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spacing w:line="285" w:lineRule="auto" w:before="28"/>
        <w:ind w:left="1373" w:right="1368" w:firstLine="0"/>
        <w:jc w:val="center"/>
        <w:rPr>
          <w:rFonts w:ascii="黑体" w:eastAsia="黑体" w:hint="eastAsia"/>
          <w:sz w:val="52"/>
        </w:rPr>
      </w:pPr>
      <w:r>
        <w:rPr>
          <w:rFonts w:ascii="黑体" w:eastAsia="黑体" w:hint="eastAsia"/>
          <w:sz w:val="52"/>
        </w:rPr>
        <w:t>双鸭山市东盛矿业集团有限公司资源整合项目</w:t>
      </w:r>
    </w:p>
    <w:p>
      <w:pPr>
        <w:pStyle w:val="BodyText"/>
        <w:spacing w:before="7"/>
        <w:rPr>
          <w:rFonts w:ascii="黑体"/>
          <w:sz w:val="62"/>
        </w:rPr>
      </w:pPr>
    </w:p>
    <w:p>
      <w:pPr>
        <w:tabs>
          <w:tab w:pos="1079" w:val="left" w:leader="none"/>
          <w:tab w:pos="2159" w:val="left" w:leader="none"/>
          <w:tab w:pos="3239" w:val="left" w:leader="none"/>
          <w:tab w:pos="4319" w:val="left" w:leader="none"/>
          <w:tab w:pos="5399" w:val="left" w:leader="none"/>
          <w:tab w:pos="6479" w:val="left" w:leader="none"/>
        </w:tabs>
        <w:spacing w:before="0"/>
        <w:ind w:left="0" w:right="1" w:firstLine="0"/>
        <w:jc w:val="center"/>
        <w:rPr>
          <w:rFonts w:ascii="黑体" w:eastAsia="黑体" w:hint="eastAsia"/>
          <w:sz w:val="72"/>
        </w:rPr>
      </w:pPr>
      <w:r>
        <w:rPr>
          <w:rFonts w:ascii="黑体" w:eastAsia="黑体" w:hint="eastAsia"/>
          <w:sz w:val="72"/>
        </w:rPr>
        <w:t>环</w:t>
        <w:tab/>
        <w:t>境</w:t>
        <w:tab/>
        <w:t>影</w:t>
        <w:tab/>
        <w:t>响</w:t>
        <w:tab/>
        <w:t>报</w:t>
        <w:tab/>
        <w:t>告</w:t>
        <w:tab/>
        <w:t>书</w:t>
      </w:r>
    </w:p>
    <w:p>
      <w:pPr>
        <w:pStyle w:val="BodyText"/>
        <w:rPr>
          <w:rFonts w:ascii="黑体"/>
          <w:sz w:val="72"/>
        </w:rPr>
      </w:pPr>
    </w:p>
    <w:p>
      <w:pPr>
        <w:pStyle w:val="BodyText"/>
        <w:rPr>
          <w:rFonts w:ascii="黑体"/>
          <w:sz w:val="72"/>
        </w:rPr>
      </w:pPr>
    </w:p>
    <w:p>
      <w:pPr>
        <w:pStyle w:val="BodyText"/>
        <w:rPr>
          <w:rFonts w:ascii="黑体"/>
          <w:sz w:val="72"/>
        </w:rPr>
      </w:pPr>
    </w:p>
    <w:p>
      <w:pPr>
        <w:pStyle w:val="BodyText"/>
        <w:rPr>
          <w:rFonts w:ascii="黑体"/>
          <w:sz w:val="72"/>
        </w:rPr>
      </w:pPr>
    </w:p>
    <w:p>
      <w:pPr>
        <w:pStyle w:val="BodyText"/>
        <w:spacing w:before="11"/>
        <w:rPr>
          <w:rFonts w:ascii="黑体"/>
          <w:sz w:val="78"/>
        </w:rPr>
      </w:pPr>
    </w:p>
    <w:p>
      <w:pPr>
        <w:spacing w:line="316" w:lineRule="auto" w:before="0"/>
        <w:ind w:left="1760" w:right="2265" w:firstLine="0"/>
        <w:jc w:val="left"/>
        <w:rPr>
          <w:rFonts w:ascii="黑体" w:eastAsia="黑体" w:hint="eastAsia"/>
          <w:sz w:val="30"/>
        </w:rPr>
      </w:pPr>
      <w:r>
        <w:rPr>
          <w:rFonts w:ascii="黑体" w:eastAsia="黑体" w:hint="eastAsia"/>
          <w:sz w:val="30"/>
        </w:rPr>
        <w:t>建设单位：双鸭山市东盛矿业集团有限公司 </w:t>
      </w:r>
      <w:r>
        <w:rPr>
          <w:rFonts w:ascii="黑体" w:eastAsia="黑体" w:hint="eastAsia"/>
          <w:spacing w:val="-1"/>
          <w:sz w:val="30"/>
        </w:rPr>
        <w:t>评价单位：黑龙江科大欣欣环保科技有限公司</w:t>
      </w:r>
    </w:p>
    <w:p>
      <w:pPr>
        <w:pStyle w:val="BodyText"/>
        <w:spacing w:before="2"/>
        <w:rPr>
          <w:rFonts w:ascii="黑体"/>
          <w:sz w:val="40"/>
        </w:rPr>
      </w:pPr>
    </w:p>
    <w:p>
      <w:pPr>
        <w:spacing w:before="0"/>
        <w:ind w:left="1368" w:right="1368" w:firstLine="0"/>
        <w:jc w:val="center"/>
        <w:rPr>
          <w:rFonts w:ascii="黑体" w:eastAsia="黑体" w:hint="eastAsia"/>
          <w:sz w:val="30"/>
        </w:rPr>
      </w:pPr>
      <w:r>
        <w:rPr>
          <w:rFonts w:ascii="黑体" w:eastAsia="黑体" w:hint="eastAsia"/>
          <w:sz w:val="30"/>
        </w:rPr>
        <w:t>二零二零年十月</w:t>
      </w:r>
    </w:p>
    <w:p>
      <w:pPr>
        <w:spacing w:after="0"/>
        <w:jc w:val="center"/>
        <w:rPr>
          <w:rFonts w:ascii="黑体" w:eastAsia="黑体" w:hint="eastAsia"/>
          <w:sz w:val="30"/>
        </w:rPr>
        <w:sectPr>
          <w:type w:val="continuous"/>
          <w:pgSz w:w="11910" w:h="16840"/>
          <w:pgMar w:top="1580" w:bottom="280" w:left="940" w:right="940"/>
        </w:sectPr>
      </w:pPr>
    </w:p>
    <w:p>
      <w:pPr>
        <w:spacing w:before="40"/>
        <w:ind w:left="1367" w:right="1368" w:firstLine="0"/>
        <w:jc w:val="center"/>
        <w:rPr>
          <w:sz w:val="21"/>
        </w:rPr>
      </w:pPr>
      <w:r>
        <w:rPr>
          <w:sz w:val="21"/>
        </w:rPr>
        <w:t>目录</w:t>
      </w:r>
    </w:p>
    <w:p>
      <w:pPr>
        <w:spacing w:after="0"/>
        <w:jc w:val="center"/>
        <w:rPr>
          <w:sz w:val="21"/>
        </w:rPr>
        <w:sectPr>
          <w:pgSz w:w="11910" w:h="16840"/>
          <w:pgMar w:top="1360" w:bottom="1640" w:left="940" w:right="940"/>
        </w:sectPr>
      </w:pPr>
    </w:p>
    <w:sdt>
      <w:sdtPr>
        <w:docPartObj>
          <w:docPartGallery w:val="Table of Contents"/>
          <w:docPartUnique/>
        </w:docPartObj>
      </w:sdtPr>
      <w:sdtEndPr/>
      <w:sdtContent>
        <w:p>
          <w:pPr>
            <w:pStyle w:val="TOC1"/>
            <w:numPr>
              <w:ilvl w:val="0"/>
              <w:numId w:val="1"/>
            </w:numPr>
            <w:tabs>
              <w:tab w:pos="250" w:val="left" w:leader="none"/>
              <w:tab w:pos="8968" w:val="left" w:leader="dot"/>
            </w:tabs>
            <w:spacing w:line="240" w:lineRule="auto" w:before="5" w:after="0"/>
            <w:ind w:left="728" w:right="477" w:hanging="728"/>
            <w:jc w:val="right"/>
            <w:rPr>
              <w:rFonts w:ascii="Times New Roman" w:eastAsia="Times New Roman"/>
            </w:rPr>
          </w:pPr>
          <w:hyperlink w:history="true" w:anchor="_bookmark1">
            <w:r>
              <w:rPr/>
              <w:t>前言</w:t>
              <w:tab/>
            </w:r>
            <w:r>
              <w:rPr>
                <w:rFonts w:ascii="Times New Roman" w:eastAsia="Times New Roman"/>
                <w:spacing w:val="-1"/>
              </w:rPr>
              <w:t>1</w:t>
            </w:r>
          </w:hyperlink>
        </w:p>
        <w:p>
          <w:pPr>
            <w:pStyle w:val="TOC2"/>
            <w:numPr>
              <w:ilvl w:val="1"/>
              <w:numId w:val="1"/>
            </w:numPr>
            <w:tabs>
              <w:tab w:pos="300" w:val="left" w:leader="none"/>
              <w:tab w:pos="8548" w:val="left" w:leader="dot"/>
            </w:tabs>
            <w:spacing w:line="240" w:lineRule="auto" w:before="3" w:after="0"/>
            <w:ind w:left="1198" w:right="477" w:hanging="1199"/>
            <w:jc w:val="right"/>
            <w:rPr>
              <w:rFonts w:ascii="Times New Roman" w:eastAsia="Times New Roman"/>
            </w:rPr>
          </w:pPr>
          <w:hyperlink w:history="true" w:anchor="_bookmark0">
            <w:r>
              <w:rPr/>
              <w:t>项目由来</w:t>
              <w:tab/>
            </w:r>
            <w:r>
              <w:rPr>
                <w:rFonts w:ascii="Times New Roman" w:eastAsia="Times New Roman"/>
                <w:spacing w:val="-1"/>
              </w:rPr>
              <w:t>1</w:t>
            </w:r>
          </w:hyperlink>
        </w:p>
        <w:p>
          <w:pPr>
            <w:pStyle w:val="TOC3"/>
            <w:numPr>
              <w:ilvl w:val="1"/>
              <w:numId w:val="1"/>
            </w:numPr>
            <w:tabs>
              <w:tab w:pos="1199" w:val="left" w:leader="none"/>
              <w:tab w:pos="9447" w:val="left" w:leader="dot"/>
            </w:tabs>
            <w:spacing w:line="240" w:lineRule="auto" w:before="3" w:after="0"/>
            <w:ind w:left="1198" w:right="0" w:hanging="301"/>
            <w:jc w:val="left"/>
            <w:rPr>
              <w:rFonts w:ascii="Times New Roman" w:eastAsia="Times New Roman"/>
            </w:rPr>
          </w:pPr>
          <w:hyperlink w:history="true" w:anchor="_bookmark2">
            <w:r>
              <w:rPr/>
              <w:t>建设项目特点</w:t>
              <w:tab/>
            </w:r>
            <w:r>
              <w:rPr>
                <w:rFonts w:ascii="Times New Roman" w:eastAsia="Times New Roman"/>
              </w:rPr>
              <w:t>2</w:t>
            </w:r>
          </w:hyperlink>
        </w:p>
        <w:p>
          <w:pPr>
            <w:pStyle w:val="TOC3"/>
            <w:numPr>
              <w:ilvl w:val="1"/>
              <w:numId w:val="1"/>
            </w:numPr>
            <w:tabs>
              <w:tab w:pos="1199" w:val="left" w:leader="none"/>
              <w:tab w:pos="9447" w:val="left" w:leader="dot"/>
            </w:tabs>
            <w:spacing w:line="240" w:lineRule="auto" w:before="3" w:after="0"/>
            <w:ind w:left="1198" w:right="0" w:hanging="301"/>
            <w:jc w:val="left"/>
            <w:rPr>
              <w:rFonts w:ascii="Times New Roman" w:eastAsia="Times New Roman"/>
            </w:rPr>
          </w:pPr>
          <w:hyperlink w:history="true" w:anchor="_bookmark3">
            <w:r>
              <w:rPr/>
              <w:t>环境影响评价工作过程</w:t>
              <w:tab/>
            </w:r>
            <w:r>
              <w:rPr>
                <w:rFonts w:ascii="Times New Roman" w:eastAsia="Times New Roman"/>
              </w:rPr>
              <w:t>3</w:t>
            </w:r>
          </w:hyperlink>
        </w:p>
        <w:p>
          <w:pPr>
            <w:pStyle w:val="TOC3"/>
            <w:numPr>
              <w:ilvl w:val="1"/>
              <w:numId w:val="1"/>
            </w:numPr>
            <w:tabs>
              <w:tab w:pos="1199" w:val="left" w:leader="none"/>
              <w:tab w:pos="9447" w:val="left" w:leader="dot"/>
            </w:tabs>
            <w:spacing w:line="240" w:lineRule="auto" w:before="3" w:after="0"/>
            <w:ind w:left="1198" w:right="0" w:hanging="301"/>
            <w:jc w:val="left"/>
            <w:rPr>
              <w:rFonts w:ascii="Times New Roman" w:eastAsia="Times New Roman"/>
            </w:rPr>
          </w:pPr>
          <w:hyperlink w:history="true" w:anchor="_bookmark4">
            <w:r>
              <w:rPr/>
              <w:t>关注的主要环境问题及环境</w:t>
              <w:tab/>
            </w:r>
            <w:r>
              <w:rPr>
                <w:rFonts w:ascii="Times New Roman" w:eastAsia="Times New Roman"/>
              </w:rPr>
              <w:t>4</w:t>
            </w:r>
          </w:hyperlink>
        </w:p>
        <w:p>
          <w:pPr>
            <w:pStyle w:val="TOC3"/>
            <w:numPr>
              <w:ilvl w:val="1"/>
              <w:numId w:val="1"/>
            </w:numPr>
            <w:tabs>
              <w:tab w:pos="1199" w:val="left" w:leader="none"/>
              <w:tab w:pos="9447" w:val="left" w:leader="dot"/>
            </w:tabs>
            <w:spacing w:line="240" w:lineRule="auto" w:before="3" w:after="0"/>
            <w:ind w:left="1198" w:right="0" w:hanging="301"/>
            <w:jc w:val="left"/>
            <w:rPr>
              <w:rFonts w:ascii="Times New Roman" w:eastAsia="Times New Roman"/>
            </w:rPr>
          </w:pPr>
          <w:hyperlink w:history="true" w:anchor="_bookmark5">
            <w:r>
              <w:rPr/>
              <w:t>环境影响评价主要结论</w:t>
              <w:tab/>
            </w:r>
            <w:r>
              <w:rPr>
                <w:rFonts w:ascii="Times New Roman" w:eastAsia="Times New Roman"/>
              </w:rPr>
              <w:t>5</w:t>
            </w:r>
          </w:hyperlink>
        </w:p>
        <w:p>
          <w:pPr>
            <w:pStyle w:val="TOC1"/>
            <w:numPr>
              <w:ilvl w:val="0"/>
              <w:numId w:val="1"/>
            </w:numPr>
            <w:tabs>
              <w:tab w:pos="150" w:val="left" w:leader="none"/>
              <w:tab w:pos="8968" w:val="left" w:leader="dot"/>
            </w:tabs>
            <w:spacing w:line="240" w:lineRule="auto" w:before="3" w:after="0"/>
            <w:ind w:left="627" w:right="477" w:hanging="628"/>
            <w:jc w:val="right"/>
            <w:rPr>
              <w:rFonts w:ascii="Times New Roman" w:eastAsia="Times New Roman"/>
            </w:rPr>
          </w:pPr>
          <w:hyperlink w:history="true" w:anchor="_bookmark6">
            <w:r>
              <w:rPr/>
              <w:t>总论</w:t>
              <w:tab/>
            </w:r>
            <w:r>
              <w:rPr>
                <w:rFonts w:ascii="Times New Roman" w:eastAsia="Times New Roman"/>
                <w:spacing w:val="-1"/>
              </w:rPr>
              <w:t>6</w:t>
            </w:r>
          </w:hyperlink>
        </w:p>
        <w:p>
          <w:pPr>
            <w:pStyle w:val="TOC3"/>
            <w:numPr>
              <w:ilvl w:val="1"/>
              <w:numId w:val="1"/>
            </w:numPr>
            <w:tabs>
              <w:tab w:pos="1249" w:val="left" w:leader="none"/>
              <w:tab w:pos="9447" w:val="left" w:leader="dot"/>
            </w:tabs>
            <w:spacing w:line="240" w:lineRule="auto" w:before="2" w:after="0"/>
            <w:ind w:left="1248" w:right="0" w:hanging="351"/>
            <w:jc w:val="left"/>
            <w:rPr>
              <w:rFonts w:ascii="Times New Roman" w:eastAsia="Times New Roman"/>
            </w:rPr>
          </w:pPr>
          <w:hyperlink w:history="true" w:anchor="_bookmark7">
            <w:r>
              <w:rPr/>
              <w:t>评价目的及指导思想</w:t>
              <w:tab/>
            </w:r>
            <w:r>
              <w:rPr>
                <w:rFonts w:ascii="Times New Roman" w:eastAsia="Times New Roman"/>
              </w:rPr>
              <w:t>6</w:t>
            </w:r>
          </w:hyperlink>
        </w:p>
        <w:p>
          <w:pPr>
            <w:pStyle w:val="TOC3"/>
            <w:numPr>
              <w:ilvl w:val="1"/>
              <w:numId w:val="1"/>
            </w:numPr>
            <w:tabs>
              <w:tab w:pos="1249" w:val="left" w:leader="none"/>
              <w:tab w:pos="9447" w:val="left" w:leader="dot"/>
            </w:tabs>
            <w:spacing w:line="240" w:lineRule="auto" w:before="3" w:after="0"/>
            <w:ind w:left="1248" w:right="0" w:hanging="351"/>
            <w:jc w:val="left"/>
            <w:rPr>
              <w:rFonts w:ascii="Times New Roman" w:eastAsia="Times New Roman"/>
            </w:rPr>
          </w:pPr>
          <w:hyperlink w:history="true" w:anchor="_bookmark8">
            <w:r>
              <w:rPr/>
              <w:t>编制依据</w:t>
              <w:tab/>
            </w:r>
            <w:r>
              <w:rPr>
                <w:rFonts w:ascii="Times New Roman" w:eastAsia="Times New Roman"/>
              </w:rPr>
              <w:t>7</w:t>
            </w:r>
          </w:hyperlink>
        </w:p>
        <w:p>
          <w:pPr>
            <w:pStyle w:val="TOC3"/>
            <w:numPr>
              <w:ilvl w:val="1"/>
              <w:numId w:val="1"/>
            </w:numPr>
            <w:tabs>
              <w:tab w:pos="1249" w:val="left" w:leader="none"/>
              <w:tab w:pos="9447" w:val="left" w:leader="dot"/>
            </w:tabs>
            <w:spacing w:line="240" w:lineRule="auto" w:before="3" w:after="0"/>
            <w:ind w:left="1248" w:right="0" w:hanging="351"/>
            <w:jc w:val="left"/>
            <w:rPr>
              <w:rFonts w:ascii="Times New Roman" w:eastAsia="Times New Roman"/>
            </w:rPr>
          </w:pPr>
          <w:hyperlink w:history="true" w:anchor="_bookmark9">
            <w:r>
              <w:rPr/>
              <w:t>评价标准</w:t>
              <w:tab/>
            </w:r>
            <w:r>
              <w:rPr>
                <w:rFonts w:ascii="Times New Roman" w:eastAsia="Times New Roman"/>
              </w:rPr>
              <w:t>9</w:t>
            </w:r>
          </w:hyperlink>
        </w:p>
        <w:p>
          <w:pPr>
            <w:pStyle w:val="TOC3"/>
            <w:numPr>
              <w:ilvl w:val="1"/>
              <w:numId w:val="1"/>
            </w:numPr>
            <w:tabs>
              <w:tab w:pos="1249" w:val="left" w:leader="none"/>
              <w:tab w:pos="9348" w:val="left" w:leader="dot"/>
            </w:tabs>
            <w:spacing w:line="240" w:lineRule="auto" w:before="6" w:after="0"/>
            <w:ind w:left="1248" w:right="0" w:hanging="351"/>
            <w:jc w:val="left"/>
            <w:rPr>
              <w:rFonts w:ascii="Times New Roman" w:eastAsia="Times New Roman"/>
            </w:rPr>
          </w:pPr>
          <w:hyperlink w:history="true" w:anchor="_bookmark10">
            <w:r>
              <w:rPr/>
              <w:t>评价工作等级</w:t>
              <w:tab/>
            </w:r>
            <w:r>
              <w:rPr>
                <w:rFonts w:ascii="Times New Roman" w:eastAsia="Times New Roman"/>
              </w:rPr>
              <w:t>14</w:t>
            </w:r>
          </w:hyperlink>
        </w:p>
        <w:p>
          <w:pPr>
            <w:pStyle w:val="TOC3"/>
            <w:numPr>
              <w:ilvl w:val="1"/>
              <w:numId w:val="1"/>
            </w:numPr>
            <w:tabs>
              <w:tab w:pos="1249" w:val="left" w:leader="none"/>
              <w:tab w:pos="9348" w:val="left" w:leader="dot"/>
            </w:tabs>
            <w:spacing w:line="240" w:lineRule="auto" w:before="3" w:after="0"/>
            <w:ind w:left="1248" w:right="0" w:hanging="351"/>
            <w:jc w:val="left"/>
            <w:rPr>
              <w:rFonts w:ascii="Times New Roman" w:eastAsia="Times New Roman"/>
            </w:rPr>
          </w:pPr>
          <w:hyperlink w:history="true" w:anchor="_bookmark11">
            <w:r>
              <w:rPr/>
              <w:t>评价范围</w:t>
              <w:tab/>
            </w:r>
            <w:r>
              <w:rPr>
                <w:rFonts w:ascii="Times New Roman" w:eastAsia="Times New Roman"/>
              </w:rPr>
              <w:t>21</w:t>
            </w:r>
          </w:hyperlink>
        </w:p>
        <w:p>
          <w:pPr>
            <w:pStyle w:val="TOC2"/>
            <w:numPr>
              <w:ilvl w:val="1"/>
              <w:numId w:val="1"/>
            </w:numPr>
            <w:tabs>
              <w:tab w:pos="1249" w:val="left" w:leader="none"/>
              <w:tab w:pos="8450" w:val="left" w:leader="dot"/>
            </w:tabs>
            <w:spacing w:line="240" w:lineRule="auto" w:before="3" w:after="0"/>
            <w:ind w:left="1248" w:right="474" w:hanging="1249"/>
            <w:jc w:val="right"/>
            <w:rPr>
              <w:rFonts w:ascii="Times New Roman" w:eastAsia="Times New Roman"/>
            </w:rPr>
          </w:pPr>
          <w:hyperlink w:history="true" w:anchor="_bookmark12">
            <w:r>
              <w:rPr/>
              <w:t>控制污染与环境保护目标</w:t>
              <w:tab/>
            </w:r>
            <w:r>
              <w:rPr>
                <w:rFonts w:ascii="Times New Roman" w:eastAsia="Times New Roman"/>
              </w:rPr>
              <w:t>21</w:t>
            </w:r>
          </w:hyperlink>
        </w:p>
        <w:p>
          <w:pPr>
            <w:pStyle w:val="TOC1"/>
            <w:numPr>
              <w:ilvl w:val="0"/>
              <w:numId w:val="1"/>
            </w:numPr>
            <w:tabs>
              <w:tab w:pos="300" w:val="left" w:leader="none"/>
              <w:tab w:pos="8870" w:val="left" w:leader="dot"/>
            </w:tabs>
            <w:spacing w:line="240" w:lineRule="auto" w:before="3" w:after="0"/>
            <w:ind w:left="778" w:right="474" w:hanging="779"/>
            <w:jc w:val="right"/>
            <w:rPr>
              <w:rFonts w:ascii="Times New Roman" w:eastAsia="Times New Roman"/>
            </w:rPr>
          </w:pPr>
          <w:hyperlink w:history="true" w:anchor="_bookmark14">
            <w:r>
              <w:rPr/>
              <w:t>项目概况与工程分析</w:t>
              <w:tab/>
            </w:r>
            <w:r>
              <w:rPr>
                <w:rFonts w:ascii="Times New Roman" w:eastAsia="Times New Roman"/>
              </w:rPr>
              <w:t>23</w:t>
            </w:r>
          </w:hyperlink>
        </w:p>
        <w:p>
          <w:pPr>
            <w:pStyle w:val="TOC3"/>
            <w:numPr>
              <w:ilvl w:val="1"/>
              <w:numId w:val="1"/>
            </w:numPr>
            <w:tabs>
              <w:tab w:pos="1199" w:val="left" w:leader="none"/>
              <w:tab w:pos="9348" w:val="left" w:leader="dot"/>
            </w:tabs>
            <w:spacing w:line="240" w:lineRule="auto" w:before="3" w:after="0"/>
            <w:ind w:left="1198" w:right="0" w:hanging="301"/>
            <w:jc w:val="left"/>
            <w:rPr>
              <w:rFonts w:ascii="Times New Roman" w:eastAsia="Times New Roman"/>
            </w:rPr>
          </w:pPr>
          <w:hyperlink w:history="true" w:anchor="_bookmark13">
            <w:r>
              <w:rPr/>
              <w:t>原有工程概况</w:t>
              <w:tab/>
            </w:r>
            <w:r>
              <w:rPr>
                <w:rFonts w:ascii="Times New Roman" w:eastAsia="Times New Roman"/>
              </w:rPr>
              <w:t>23</w:t>
            </w:r>
          </w:hyperlink>
        </w:p>
        <w:p>
          <w:pPr>
            <w:pStyle w:val="TOC2"/>
            <w:numPr>
              <w:ilvl w:val="1"/>
              <w:numId w:val="1"/>
            </w:numPr>
            <w:tabs>
              <w:tab w:pos="351" w:val="left" w:leader="none"/>
              <w:tab w:pos="8450" w:val="left" w:leader="dot"/>
            </w:tabs>
            <w:spacing w:line="240" w:lineRule="auto" w:before="2" w:after="0"/>
            <w:ind w:left="1248" w:right="474" w:hanging="1249"/>
            <w:jc w:val="right"/>
            <w:rPr>
              <w:rFonts w:ascii="Times New Roman" w:eastAsia="Times New Roman"/>
            </w:rPr>
          </w:pPr>
          <w:hyperlink w:history="true" w:anchor="_bookmark15">
            <w:r>
              <w:rPr/>
              <w:t>改扩建生产项目概况</w:t>
              <w:tab/>
            </w:r>
            <w:r>
              <w:rPr>
                <w:rFonts w:ascii="Times New Roman" w:eastAsia="Times New Roman"/>
              </w:rPr>
              <w:t>25</w:t>
            </w:r>
          </w:hyperlink>
        </w:p>
        <w:p>
          <w:pPr>
            <w:pStyle w:val="TOC3"/>
            <w:numPr>
              <w:ilvl w:val="1"/>
              <w:numId w:val="1"/>
            </w:numPr>
            <w:tabs>
              <w:tab w:pos="1249" w:val="left" w:leader="none"/>
              <w:tab w:pos="9348" w:val="left" w:leader="dot"/>
            </w:tabs>
            <w:spacing w:line="240" w:lineRule="auto" w:before="3" w:after="0"/>
            <w:ind w:left="1248" w:right="0" w:hanging="351"/>
            <w:jc w:val="left"/>
            <w:rPr>
              <w:rFonts w:ascii="Times New Roman" w:eastAsia="Times New Roman"/>
            </w:rPr>
          </w:pPr>
          <w:hyperlink w:history="true" w:anchor="_bookmark16">
            <w:r>
              <w:rPr/>
              <w:t>工程分析</w:t>
              <w:tab/>
            </w:r>
            <w:r>
              <w:rPr>
                <w:rFonts w:ascii="Times New Roman" w:eastAsia="Times New Roman"/>
              </w:rPr>
              <w:t>34</w:t>
            </w:r>
          </w:hyperlink>
        </w:p>
        <w:p>
          <w:pPr>
            <w:pStyle w:val="TOC2"/>
            <w:numPr>
              <w:ilvl w:val="1"/>
              <w:numId w:val="1"/>
            </w:numPr>
            <w:tabs>
              <w:tab w:pos="351" w:val="left" w:leader="none"/>
              <w:tab w:pos="8450" w:val="left" w:leader="dot"/>
            </w:tabs>
            <w:spacing w:line="240" w:lineRule="auto" w:before="3" w:after="0"/>
            <w:ind w:left="1248" w:right="474" w:hanging="1249"/>
            <w:jc w:val="right"/>
            <w:rPr>
              <w:rFonts w:ascii="Times New Roman" w:eastAsia="Times New Roman"/>
            </w:rPr>
          </w:pPr>
          <w:hyperlink w:history="true" w:anchor="_bookmark17">
            <w:r>
              <w:rPr/>
              <w:t>污染源及环境影响因素分析</w:t>
              <w:tab/>
            </w:r>
            <w:r>
              <w:rPr>
                <w:rFonts w:ascii="Times New Roman" w:eastAsia="Times New Roman"/>
              </w:rPr>
              <w:t>48</w:t>
            </w:r>
          </w:hyperlink>
        </w:p>
        <w:p>
          <w:pPr>
            <w:pStyle w:val="TOC2"/>
            <w:numPr>
              <w:ilvl w:val="1"/>
              <w:numId w:val="1"/>
            </w:numPr>
            <w:tabs>
              <w:tab w:pos="1199" w:val="left" w:leader="none"/>
              <w:tab w:pos="8450" w:val="left" w:leader="dot"/>
            </w:tabs>
            <w:spacing w:line="240" w:lineRule="auto" w:before="3" w:after="0"/>
            <w:ind w:left="1198" w:right="474" w:hanging="1199"/>
            <w:jc w:val="right"/>
            <w:rPr>
              <w:rFonts w:ascii="Times New Roman" w:hAnsi="Times New Roman" w:eastAsia="Times New Roman"/>
            </w:rPr>
          </w:pPr>
          <w:hyperlink w:history="true" w:anchor="_bookmark18">
            <w:r>
              <w:rPr/>
              <w:t>本工程</w:t>
            </w:r>
            <w:r>
              <w:rPr>
                <w:rFonts w:ascii="Times New Roman" w:hAnsi="Times New Roman" w:eastAsia="Times New Roman"/>
              </w:rPr>
              <w:t>“</w:t>
            </w:r>
            <w:r>
              <w:rPr/>
              <w:t>以新带老</w:t>
            </w:r>
            <w:r>
              <w:rPr>
                <w:rFonts w:ascii="Times New Roman" w:hAnsi="Times New Roman" w:eastAsia="Times New Roman"/>
              </w:rPr>
              <w:t>”</w:t>
            </w:r>
            <w:r>
              <w:rPr/>
              <w:t>环境保护措施</w:t>
              <w:tab/>
            </w:r>
            <w:r>
              <w:rPr>
                <w:rFonts w:ascii="Times New Roman" w:hAnsi="Times New Roman" w:eastAsia="Times New Roman"/>
              </w:rPr>
              <w:t>62</w:t>
            </w:r>
          </w:hyperlink>
        </w:p>
        <w:p>
          <w:pPr>
            <w:pStyle w:val="TOC1"/>
            <w:numPr>
              <w:ilvl w:val="0"/>
              <w:numId w:val="1"/>
            </w:numPr>
            <w:tabs>
              <w:tab w:pos="150" w:val="left" w:leader="none"/>
              <w:tab w:pos="8870" w:val="left" w:leader="dot"/>
            </w:tabs>
            <w:spacing w:line="240" w:lineRule="auto" w:before="3" w:after="0"/>
            <w:ind w:left="627" w:right="474" w:hanging="628"/>
            <w:jc w:val="right"/>
            <w:rPr>
              <w:rFonts w:ascii="Times New Roman" w:eastAsia="Times New Roman"/>
            </w:rPr>
          </w:pPr>
          <w:hyperlink w:history="true" w:anchor="_bookmark19">
            <w:r>
              <w:rPr/>
              <w:t>项目所在区域环境概况</w:t>
              <w:tab/>
            </w:r>
            <w:r>
              <w:rPr>
                <w:rFonts w:ascii="Times New Roman" w:eastAsia="Times New Roman"/>
              </w:rPr>
              <w:t>65</w:t>
            </w:r>
          </w:hyperlink>
        </w:p>
        <w:p>
          <w:pPr>
            <w:pStyle w:val="TOC3"/>
            <w:numPr>
              <w:ilvl w:val="1"/>
              <w:numId w:val="1"/>
            </w:numPr>
            <w:tabs>
              <w:tab w:pos="1199" w:val="left" w:leader="none"/>
              <w:tab w:pos="9348" w:val="left" w:leader="dot"/>
            </w:tabs>
            <w:spacing w:line="240" w:lineRule="auto" w:before="3" w:after="0"/>
            <w:ind w:left="1198" w:right="0" w:hanging="301"/>
            <w:jc w:val="left"/>
            <w:rPr>
              <w:rFonts w:ascii="Times New Roman" w:eastAsia="Times New Roman"/>
            </w:rPr>
          </w:pPr>
          <w:hyperlink w:history="true" w:anchor="_bookmark20">
            <w:r>
              <w:rPr/>
              <w:t>自然环境概况</w:t>
              <w:tab/>
            </w:r>
            <w:r>
              <w:rPr>
                <w:rFonts w:ascii="Times New Roman" w:eastAsia="Times New Roman"/>
              </w:rPr>
              <w:t>65</w:t>
            </w:r>
          </w:hyperlink>
        </w:p>
        <w:p>
          <w:pPr>
            <w:pStyle w:val="TOC3"/>
            <w:numPr>
              <w:ilvl w:val="1"/>
              <w:numId w:val="1"/>
            </w:numPr>
            <w:tabs>
              <w:tab w:pos="1199" w:val="left" w:leader="none"/>
              <w:tab w:pos="9348" w:val="left" w:leader="dot"/>
            </w:tabs>
            <w:spacing w:line="240" w:lineRule="auto" w:before="3" w:after="0"/>
            <w:ind w:left="1198" w:right="0" w:hanging="301"/>
            <w:jc w:val="left"/>
            <w:rPr>
              <w:rFonts w:ascii="Times New Roman" w:eastAsia="Times New Roman"/>
            </w:rPr>
          </w:pPr>
          <w:hyperlink w:history="true" w:anchor="_bookmark21">
            <w:r>
              <w:rPr/>
              <w:t>敏感目标调查</w:t>
              <w:tab/>
            </w:r>
            <w:r>
              <w:rPr>
                <w:rFonts w:ascii="Times New Roman" w:eastAsia="Times New Roman"/>
              </w:rPr>
              <w:t>72</w:t>
            </w:r>
          </w:hyperlink>
        </w:p>
        <w:p>
          <w:pPr>
            <w:pStyle w:val="TOC1"/>
            <w:numPr>
              <w:ilvl w:val="0"/>
              <w:numId w:val="1"/>
            </w:numPr>
            <w:tabs>
              <w:tab w:pos="152" w:val="left" w:leader="none"/>
              <w:tab w:pos="8870" w:val="left" w:leader="dot"/>
            </w:tabs>
            <w:spacing w:line="240" w:lineRule="auto" w:before="3" w:after="0"/>
            <w:ind w:left="629" w:right="474" w:hanging="630"/>
            <w:jc w:val="right"/>
            <w:rPr>
              <w:rFonts w:ascii="Times New Roman" w:eastAsia="Times New Roman"/>
            </w:rPr>
          </w:pPr>
          <w:hyperlink w:history="true" w:anchor="_bookmark22">
            <w:r>
              <w:rPr/>
              <w:t>地表沉陷预测及生态环境影响评价</w:t>
              <w:tab/>
            </w:r>
            <w:r>
              <w:rPr>
                <w:rFonts w:ascii="Times New Roman" w:eastAsia="Times New Roman"/>
              </w:rPr>
              <w:t>73</w:t>
            </w:r>
          </w:hyperlink>
        </w:p>
        <w:p>
          <w:pPr>
            <w:pStyle w:val="TOC2"/>
            <w:numPr>
              <w:ilvl w:val="1"/>
              <w:numId w:val="1"/>
            </w:numPr>
            <w:tabs>
              <w:tab w:pos="300" w:val="left" w:leader="none"/>
              <w:tab w:pos="8450" w:val="left" w:leader="dot"/>
            </w:tabs>
            <w:spacing w:line="240" w:lineRule="auto" w:before="3" w:after="0"/>
            <w:ind w:left="1198" w:right="474" w:hanging="1199"/>
            <w:jc w:val="right"/>
            <w:rPr>
              <w:rFonts w:ascii="Times New Roman" w:eastAsia="Times New Roman"/>
            </w:rPr>
          </w:pPr>
          <w:hyperlink w:history="true" w:anchor="_bookmark23">
            <w:r>
              <w:rPr/>
              <w:t>生态环境现状调查与评价</w:t>
              <w:tab/>
            </w:r>
            <w:r>
              <w:rPr>
                <w:rFonts w:ascii="Times New Roman" w:eastAsia="Times New Roman"/>
              </w:rPr>
              <w:t>73</w:t>
            </w:r>
          </w:hyperlink>
        </w:p>
        <w:p>
          <w:pPr>
            <w:pStyle w:val="TOC2"/>
            <w:numPr>
              <w:ilvl w:val="1"/>
              <w:numId w:val="1"/>
            </w:numPr>
            <w:tabs>
              <w:tab w:pos="351" w:val="left" w:leader="none"/>
              <w:tab w:pos="8450" w:val="left" w:leader="dot"/>
            </w:tabs>
            <w:spacing w:line="240" w:lineRule="auto" w:before="5" w:after="0"/>
            <w:ind w:left="1248" w:right="474" w:hanging="1249"/>
            <w:jc w:val="right"/>
            <w:rPr>
              <w:rFonts w:ascii="Times New Roman" w:eastAsia="Times New Roman"/>
            </w:rPr>
          </w:pPr>
          <w:hyperlink w:history="true" w:anchor="_bookmark24">
            <w:r>
              <w:rPr/>
              <w:t>建设期生态影响分析与保护措施</w:t>
              <w:tab/>
            </w:r>
            <w:r>
              <w:rPr>
                <w:rFonts w:ascii="Times New Roman" w:eastAsia="Times New Roman"/>
              </w:rPr>
              <w:t>76</w:t>
            </w:r>
          </w:hyperlink>
        </w:p>
        <w:p>
          <w:pPr>
            <w:pStyle w:val="TOC2"/>
            <w:numPr>
              <w:ilvl w:val="1"/>
              <w:numId w:val="1"/>
            </w:numPr>
            <w:tabs>
              <w:tab w:pos="351" w:val="left" w:leader="none"/>
              <w:tab w:pos="8450" w:val="left" w:leader="dot"/>
            </w:tabs>
            <w:spacing w:line="240" w:lineRule="auto" w:before="3" w:after="0"/>
            <w:ind w:left="1248" w:right="474" w:hanging="1249"/>
            <w:jc w:val="right"/>
            <w:rPr>
              <w:rFonts w:ascii="Times New Roman" w:eastAsia="Times New Roman"/>
            </w:rPr>
          </w:pPr>
          <w:hyperlink w:history="true" w:anchor="_bookmark25">
            <w:r>
              <w:rPr/>
              <w:t>地表沉陷预测与影响分析</w:t>
              <w:tab/>
            </w:r>
            <w:r>
              <w:rPr>
                <w:rFonts w:ascii="Times New Roman" w:eastAsia="Times New Roman"/>
              </w:rPr>
              <w:t>77</w:t>
            </w:r>
          </w:hyperlink>
        </w:p>
        <w:p>
          <w:pPr>
            <w:pStyle w:val="TOC3"/>
            <w:numPr>
              <w:ilvl w:val="1"/>
              <w:numId w:val="1"/>
            </w:numPr>
            <w:tabs>
              <w:tab w:pos="1249" w:val="left" w:leader="none"/>
              <w:tab w:pos="9348" w:val="left" w:leader="dot"/>
            </w:tabs>
            <w:spacing w:line="240" w:lineRule="auto" w:before="3" w:after="0"/>
            <w:ind w:left="1248" w:right="0" w:hanging="351"/>
            <w:jc w:val="left"/>
            <w:rPr>
              <w:rFonts w:ascii="Times New Roman" w:eastAsia="Times New Roman"/>
            </w:rPr>
          </w:pPr>
          <w:hyperlink w:history="true" w:anchor="_bookmark26">
            <w:r>
              <w:rPr/>
              <w:t>生态影响评价</w:t>
              <w:tab/>
            </w:r>
            <w:r>
              <w:rPr>
                <w:rFonts w:ascii="Times New Roman" w:eastAsia="Times New Roman"/>
              </w:rPr>
              <w:t>84</w:t>
            </w:r>
          </w:hyperlink>
        </w:p>
        <w:p>
          <w:pPr>
            <w:pStyle w:val="TOC2"/>
            <w:numPr>
              <w:ilvl w:val="1"/>
              <w:numId w:val="1"/>
            </w:numPr>
            <w:tabs>
              <w:tab w:pos="300" w:val="left" w:leader="none"/>
              <w:tab w:pos="8450" w:val="left" w:leader="dot"/>
            </w:tabs>
            <w:spacing w:line="240" w:lineRule="auto" w:before="3" w:after="0"/>
            <w:ind w:left="1198" w:right="474" w:hanging="1199"/>
            <w:jc w:val="right"/>
            <w:rPr>
              <w:rFonts w:ascii="Times New Roman" w:eastAsia="Times New Roman"/>
            </w:rPr>
          </w:pPr>
          <w:hyperlink w:history="true" w:anchor="_bookmark27">
            <w:r>
              <w:rPr/>
              <w:t>地表沉陷区治理与生态环境综合整治</w:t>
              <w:tab/>
            </w:r>
            <w:r>
              <w:rPr>
                <w:rFonts w:ascii="Times New Roman" w:eastAsia="Times New Roman"/>
              </w:rPr>
              <w:t>86</w:t>
            </w:r>
          </w:hyperlink>
        </w:p>
        <w:p>
          <w:pPr>
            <w:pStyle w:val="TOC1"/>
            <w:numPr>
              <w:ilvl w:val="0"/>
              <w:numId w:val="1"/>
            </w:numPr>
            <w:tabs>
              <w:tab w:pos="152" w:val="left" w:leader="none"/>
              <w:tab w:pos="8870" w:val="left" w:leader="dot"/>
            </w:tabs>
            <w:spacing w:line="240" w:lineRule="auto" w:before="3" w:after="0"/>
            <w:ind w:left="629" w:right="474" w:hanging="630"/>
            <w:jc w:val="right"/>
            <w:rPr>
              <w:rFonts w:ascii="Times New Roman" w:eastAsia="Times New Roman"/>
            </w:rPr>
          </w:pPr>
          <w:hyperlink w:history="true" w:anchor="_bookmark28">
            <w:r>
              <w:rPr/>
              <w:t>地下水环境影响分析</w:t>
              <w:tab/>
            </w:r>
            <w:r>
              <w:rPr>
                <w:rFonts w:ascii="Times New Roman" w:eastAsia="Times New Roman"/>
              </w:rPr>
              <w:t>97</w:t>
            </w:r>
          </w:hyperlink>
        </w:p>
        <w:p>
          <w:pPr>
            <w:pStyle w:val="TOC3"/>
            <w:tabs>
              <w:tab w:pos="9348" w:val="left" w:leader="dot"/>
            </w:tabs>
            <w:ind w:left="898" w:firstLine="0"/>
            <w:rPr>
              <w:rFonts w:ascii="Times New Roman" w:eastAsia="Times New Roman"/>
            </w:rPr>
          </w:pPr>
          <w:hyperlink w:history="true" w:anchor="_bookmark29">
            <w:r>
              <w:rPr>
                <w:rFonts w:ascii="Times New Roman" w:eastAsia="Times New Roman"/>
              </w:rPr>
              <w:t>6.1</w:t>
            </w:r>
            <w:r>
              <w:rPr>
                <w:rFonts w:ascii="Times New Roman" w:eastAsia="Times New Roman"/>
                <w:spacing w:val="-2"/>
              </w:rPr>
              <w:t> </w:t>
            </w:r>
            <w:r>
              <w:rPr/>
              <w:t>概述</w:t>
              <w:tab/>
            </w:r>
            <w:r>
              <w:rPr>
                <w:rFonts w:ascii="Times New Roman" w:eastAsia="Times New Roman"/>
              </w:rPr>
              <w:t>97</w:t>
            </w:r>
          </w:hyperlink>
        </w:p>
        <w:p>
          <w:pPr>
            <w:pStyle w:val="TOC3"/>
            <w:numPr>
              <w:ilvl w:val="1"/>
              <w:numId w:val="2"/>
            </w:numPr>
            <w:tabs>
              <w:tab w:pos="1249" w:val="left" w:leader="none"/>
              <w:tab w:pos="9348" w:val="left" w:leader="dot"/>
            </w:tabs>
            <w:spacing w:line="240" w:lineRule="auto" w:before="3" w:after="0"/>
            <w:ind w:left="1248" w:right="0" w:hanging="351"/>
            <w:jc w:val="left"/>
            <w:rPr>
              <w:rFonts w:ascii="Times New Roman" w:eastAsia="Times New Roman"/>
            </w:rPr>
          </w:pPr>
          <w:hyperlink w:history="true" w:anchor="_bookmark30">
            <w:r>
              <w:rPr/>
              <w:t>地层和构造</w:t>
              <w:tab/>
            </w:r>
            <w:r>
              <w:rPr>
                <w:rFonts w:ascii="Times New Roman" w:eastAsia="Times New Roman"/>
              </w:rPr>
              <w:t>97</w:t>
            </w:r>
          </w:hyperlink>
        </w:p>
        <w:p>
          <w:pPr>
            <w:pStyle w:val="TOC3"/>
            <w:numPr>
              <w:ilvl w:val="1"/>
              <w:numId w:val="2"/>
            </w:numPr>
            <w:tabs>
              <w:tab w:pos="1199" w:val="left" w:leader="none"/>
              <w:tab w:pos="9247" w:val="left" w:leader="dot"/>
            </w:tabs>
            <w:spacing w:line="240" w:lineRule="auto" w:before="3" w:after="0"/>
            <w:ind w:left="1198" w:right="0" w:hanging="301"/>
            <w:jc w:val="left"/>
            <w:rPr>
              <w:rFonts w:ascii="Times New Roman" w:eastAsia="Times New Roman"/>
            </w:rPr>
          </w:pPr>
          <w:hyperlink w:history="true" w:anchor="_bookmark31">
            <w:r>
              <w:rPr/>
              <w:t>水文地质条件</w:t>
              <w:tab/>
            </w:r>
            <w:r>
              <w:rPr>
                <w:rFonts w:ascii="Times New Roman" w:eastAsia="Times New Roman"/>
              </w:rPr>
              <w:t>100</w:t>
            </w:r>
          </w:hyperlink>
        </w:p>
        <w:p>
          <w:pPr>
            <w:pStyle w:val="TOC2"/>
            <w:numPr>
              <w:ilvl w:val="1"/>
              <w:numId w:val="2"/>
            </w:numPr>
            <w:tabs>
              <w:tab w:pos="300" w:val="left" w:leader="none"/>
              <w:tab w:pos="8349" w:val="left" w:leader="dot"/>
            </w:tabs>
            <w:spacing w:line="240" w:lineRule="auto" w:before="3" w:after="0"/>
            <w:ind w:left="1198" w:right="474" w:hanging="1199"/>
            <w:jc w:val="right"/>
            <w:rPr>
              <w:rFonts w:ascii="Times New Roman" w:eastAsia="Times New Roman"/>
            </w:rPr>
          </w:pPr>
          <w:hyperlink w:history="true" w:anchor="_bookmark32">
            <w:r>
              <w:rPr/>
              <w:t>地下水环境质量现状评价</w:t>
              <w:tab/>
            </w:r>
            <w:r>
              <w:rPr>
                <w:rFonts w:ascii="Times New Roman" w:eastAsia="Times New Roman"/>
              </w:rPr>
              <w:t>101</w:t>
            </w:r>
          </w:hyperlink>
        </w:p>
        <w:p>
          <w:pPr>
            <w:pStyle w:val="TOC2"/>
            <w:numPr>
              <w:ilvl w:val="1"/>
              <w:numId w:val="2"/>
            </w:numPr>
            <w:tabs>
              <w:tab w:pos="300" w:val="left" w:leader="none"/>
              <w:tab w:pos="8349" w:val="left" w:leader="dot"/>
            </w:tabs>
            <w:spacing w:line="240" w:lineRule="auto" w:before="3" w:after="0"/>
            <w:ind w:left="1198" w:right="474" w:hanging="1199"/>
            <w:jc w:val="right"/>
            <w:rPr>
              <w:rFonts w:ascii="Times New Roman" w:eastAsia="Times New Roman"/>
            </w:rPr>
          </w:pPr>
          <w:hyperlink w:history="true" w:anchor="_bookmark33">
            <w:r>
              <w:rPr/>
              <w:t>建设期地下水环境影响分析与防治措施</w:t>
              <w:tab/>
            </w:r>
            <w:r>
              <w:rPr>
                <w:rFonts w:ascii="Times New Roman" w:eastAsia="Times New Roman"/>
              </w:rPr>
              <w:t>110</w:t>
            </w:r>
          </w:hyperlink>
        </w:p>
        <w:p>
          <w:pPr>
            <w:pStyle w:val="TOC2"/>
            <w:tabs>
              <w:tab w:pos="8349" w:val="left" w:leader="dot"/>
            </w:tabs>
            <w:ind w:left="0" w:firstLine="0"/>
            <w:rPr>
              <w:rFonts w:ascii="Times New Roman" w:eastAsia="Times New Roman"/>
            </w:rPr>
          </w:pPr>
          <w:hyperlink w:history="true" w:anchor="_bookmark34">
            <w:r>
              <w:rPr>
                <w:rFonts w:ascii="Times New Roman" w:eastAsia="Times New Roman"/>
              </w:rPr>
              <w:t>6.7</w:t>
            </w:r>
            <w:r>
              <w:rPr>
                <w:rFonts w:ascii="Times New Roman" w:eastAsia="Times New Roman"/>
                <w:spacing w:val="-1"/>
              </w:rPr>
              <w:t> </w:t>
            </w:r>
            <w:r>
              <w:rPr/>
              <w:t>地下水环境保护措施</w:t>
              <w:tab/>
            </w:r>
            <w:r>
              <w:rPr>
                <w:rFonts w:ascii="Times New Roman" w:eastAsia="Times New Roman"/>
              </w:rPr>
              <w:t>114</w:t>
            </w:r>
          </w:hyperlink>
        </w:p>
        <w:p>
          <w:pPr>
            <w:pStyle w:val="TOC1"/>
            <w:numPr>
              <w:ilvl w:val="0"/>
              <w:numId w:val="1"/>
            </w:numPr>
            <w:tabs>
              <w:tab w:pos="152" w:val="left" w:leader="none"/>
              <w:tab w:pos="8769" w:val="left" w:leader="dot"/>
            </w:tabs>
            <w:spacing w:line="240" w:lineRule="auto" w:before="3" w:after="0"/>
            <w:ind w:left="629" w:right="474" w:hanging="630"/>
            <w:jc w:val="right"/>
            <w:rPr>
              <w:rFonts w:ascii="Times New Roman" w:eastAsia="Times New Roman"/>
            </w:rPr>
          </w:pPr>
          <w:hyperlink w:history="true" w:anchor="_bookmark35">
            <w:r>
              <w:rPr/>
              <w:t>地表水环境影响分析</w:t>
              <w:tab/>
            </w:r>
            <w:r>
              <w:rPr>
                <w:rFonts w:ascii="Times New Roman" w:eastAsia="Times New Roman"/>
              </w:rPr>
              <w:t>119</w:t>
            </w:r>
          </w:hyperlink>
        </w:p>
        <w:p>
          <w:pPr>
            <w:pStyle w:val="TOC2"/>
            <w:numPr>
              <w:ilvl w:val="1"/>
              <w:numId w:val="1"/>
            </w:numPr>
            <w:tabs>
              <w:tab w:pos="351" w:val="left" w:leader="none"/>
              <w:tab w:pos="8349" w:val="left" w:leader="dot"/>
            </w:tabs>
            <w:spacing w:line="240" w:lineRule="auto" w:before="3" w:after="0"/>
            <w:ind w:left="1248" w:right="474" w:hanging="1249"/>
            <w:jc w:val="right"/>
            <w:rPr>
              <w:rFonts w:ascii="Times New Roman" w:eastAsia="Times New Roman"/>
            </w:rPr>
          </w:pPr>
          <w:hyperlink w:history="true" w:anchor="_bookmark36">
            <w:r>
              <w:rPr/>
              <w:t>建设期地表水环境影响分析与防治措施</w:t>
              <w:tab/>
            </w:r>
            <w:r>
              <w:rPr>
                <w:rFonts w:ascii="Times New Roman" w:eastAsia="Times New Roman"/>
              </w:rPr>
              <w:t>120</w:t>
            </w:r>
          </w:hyperlink>
        </w:p>
        <w:p>
          <w:pPr>
            <w:pStyle w:val="TOC2"/>
            <w:numPr>
              <w:ilvl w:val="1"/>
              <w:numId w:val="1"/>
            </w:numPr>
            <w:tabs>
              <w:tab w:pos="351" w:val="left" w:leader="none"/>
              <w:tab w:pos="8349" w:val="left" w:leader="dot"/>
            </w:tabs>
            <w:spacing w:line="240" w:lineRule="auto" w:before="5" w:after="0"/>
            <w:ind w:left="1248" w:right="474" w:hanging="1249"/>
            <w:jc w:val="right"/>
            <w:rPr>
              <w:rFonts w:ascii="Times New Roman" w:eastAsia="Times New Roman"/>
            </w:rPr>
          </w:pPr>
          <w:hyperlink w:history="true" w:anchor="_bookmark37">
            <w:r>
              <w:rPr/>
              <w:t>水资源利用及水染防治措施可行性分析</w:t>
              <w:tab/>
            </w:r>
            <w:r>
              <w:rPr>
                <w:rFonts w:ascii="Times New Roman" w:eastAsia="Times New Roman"/>
              </w:rPr>
              <w:t>120</w:t>
            </w:r>
          </w:hyperlink>
        </w:p>
        <w:p>
          <w:pPr>
            <w:pStyle w:val="TOC1"/>
            <w:numPr>
              <w:ilvl w:val="0"/>
              <w:numId w:val="1"/>
            </w:numPr>
            <w:tabs>
              <w:tab w:pos="152" w:val="left" w:leader="none"/>
              <w:tab w:pos="8769" w:val="left" w:leader="dot"/>
            </w:tabs>
            <w:spacing w:line="240" w:lineRule="auto" w:before="3" w:after="0"/>
            <w:ind w:left="629" w:right="474" w:hanging="630"/>
            <w:jc w:val="right"/>
            <w:rPr>
              <w:rFonts w:ascii="Times New Roman" w:eastAsia="Times New Roman"/>
            </w:rPr>
          </w:pPr>
          <w:hyperlink w:history="true" w:anchor="_bookmark38">
            <w:r>
              <w:rPr/>
              <w:t>大气环境影响分析</w:t>
              <w:tab/>
            </w:r>
            <w:r>
              <w:rPr>
                <w:rFonts w:ascii="Times New Roman" w:eastAsia="Times New Roman"/>
              </w:rPr>
              <w:t>123</w:t>
            </w:r>
          </w:hyperlink>
        </w:p>
        <w:p>
          <w:pPr>
            <w:pStyle w:val="TOC2"/>
            <w:numPr>
              <w:ilvl w:val="1"/>
              <w:numId w:val="1"/>
            </w:numPr>
            <w:tabs>
              <w:tab w:pos="300" w:val="left" w:leader="none"/>
              <w:tab w:pos="8349" w:val="left" w:leader="dot"/>
            </w:tabs>
            <w:spacing w:line="240" w:lineRule="auto" w:before="1" w:after="0"/>
            <w:ind w:left="1198" w:right="474" w:hanging="1199"/>
            <w:jc w:val="right"/>
            <w:rPr>
              <w:rFonts w:ascii="Times New Roman" w:eastAsia="Times New Roman"/>
            </w:rPr>
          </w:pPr>
          <w:hyperlink w:history="true" w:anchor="_bookmark39">
            <w:r>
              <w:rPr/>
              <w:t>评价工作等级及范围</w:t>
              <w:tab/>
            </w:r>
            <w:r>
              <w:rPr>
                <w:rFonts w:ascii="Times New Roman" w:eastAsia="Times New Roman"/>
              </w:rPr>
              <w:t>123</w:t>
            </w:r>
          </w:hyperlink>
        </w:p>
        <w:p>
          <w:pPr>
            <w:pStyle w:val="TOC2"/>
            <w:numPr>
              <w:ilvl w:val="1"/>
              <w:numId w:val="1"/>
            </w:numPr>
            <w:tabs>
              <w:tab w:pos="300" w:val="left" w:leader="none"/>
              <w:tab w:pos="8349" w:val="left" w:leader="dot"/>
            </w:tabs>
            <w:spacing w:line="240" w:lineRule="auto" w:before="5" w:after="0"/>
            <w:ind w:left="1198" w:right="474" w:hanging="1199"/>
            <w:jc w:val="right"/>
            <w:rPr>
              <w:rFonts w:ascii="Times New Roman" w:eastAsia="Times New Roman"/>
            </w:rPr>
          </w:pPr>
          <w:hyperlink w:history="true" w:anchor="_bookmark40">
            <w:r>
              <w:rPr/>
              <w:t>环境空气质量现状评价</w:t>
              <w:tab/>
            </w:r>
            <w:r>
              <w:rPr>
                <w:rFonts w:ascii="Times New Roman" w:eastAsia="Times New Roman"/>
              </w:rPr>
              <w:t>123</w:t>
            </w:r>
          </w:hyperlink>
        </w:p>
        <w:p>
          <w:pPr>
            <w:pStyle w:val="TOC2"/>
            <w:numPr>
              <w:ilvl w:val="1"/>
              <w:numId w:val="1"/>
            </w:numPr>
            <w:tabs>
              <w:tab w:pos="351" w:val="left" w:leader="none"/>
              <w:tab w:pos="8349" w:val="left" w:leader="dot"/>
            </w:tabs>
            <w:spacing w:line="240" w:lineRule="auto" w:before="3" w:after="0"/>
            <w:ind w:left="1248" w:right="474" w:hanging="1249"/>
            <w:jc w:val="right"/>
            <w:rPr>
              <w:rFonts w:ascii="Times New Roman" w:eastAsia="Times New Roman"/>
            </w:rPr>
          </w:pPr>
          <w:hyperlink w:history="true" w:anchor="_bookmark41">
            <w:r>
              <w:rPr/>
              <w:t>建设期大气环境影响及防治措施</w:t>
              <w:tab/>
            </w:r>
            <w:r>
              <w:rPr>
                <w:rFonts w:ascii="Times New Roman" w:eastAsia="Times New Roman"/>
              </w:rPr>
              <w:t>126</w:t>
            </w:r>
          </w:hyperlink>
        </w:p>
        <w:p>
          <w:pPr>
            <w:pStyle w:val="TOC2"/>
            <w:numPr>
              <w:ilvl w:val="1"/>
              <w:numId w:val="1"/>
            </w:numPr>
            <w:tabs>
              <w:tab w:pos="300" w:val="left" w:leader="none"/>
              <w:tab w:pos="8349" w:val="left" w:leader="dot"/>
            </w:tabs>
            <w:spacing w:line="240" w:lineRule="auto" w:before="3" w:after="0"/>
            <w:ind w:left="1198" w:right="474" w:hanging="1199"/>
            <w:jc w:val="right"/>
            <w:rPr>
              <w:rFonts w:ascii="Times New Roman" w:eastAsia="Times New Roman"/>
            </w:rPr>
          </w:pPr>
          <w:hyperlink w:history="true" w:anchor="_bookmark42">
            <w:r>
              <w:rPr/>
              <w:t>运营期大气环境影响预测与评价</w:t>
              <w:tab/>
            </w:r>
            <w:r>
              <w:rPr>
                <w:rFonts w:ascii="Times New Roman" w:eastAsia="Times New Roman"/>
              </w:rPr>
              <w:t>127</w:t>
            </w:r>
          </w:hyperlink>
        </w:p>
        <w:p>
          <w:pPr>
            <w:pStyle w:val="TOC2"/>
            <w:numPr>
              <w:ilvl w:val="1"/>
              <w:numId w:val="1"/>
            </w:numPr>
            <w:tabs>
              <w:tab w:pos="300" w:val="left" w:leader="none"/>
              <w:tab w:pos="8349" w:val="left" w:leader="dot"/>
            </w:tabs>
            <w:spacing w:line="240" w:lineRule="auto" w:before="3" w:after="0"/>
            <w:ind w:left="1198" w:right="474" w:hanging="1199"/>
            <w:jc w:val="right"/>
            <w:rPr>
              <w:rFonts w:ascii="Times New Roman" w:eastAsia="Times New Roman"/>
            </w:rPr>
          </w:pPr>
          <w:hyperlink w:history="true" w:anchor="_bookmark43">
            <w:r>
              <w:rPr/>
              <w:t>大气污染防治措施</w:t>
              <w:tab/>
            </w:r>
            <w:r>
              <w:rPr>
                <w:rFonts w:ascii="Times New Roman" w:eastAsia="Times New Roman"/>
              </w:rPr>
              <w:t>128</w:t>
            </w:r>
          </w:hyperlink>
        </w:p>
        <w:p>
          <w:pPr>
            <w:pStyle w:val="TOC3"/>
            <w:numPr>
              <w:ilvl w:val="1"/>
              <w:numId w:val="1"/>
            </w:numPr>
            <w:tabs>
              <w:tab w:pos="1199" w:val="left" w:leader="none"/>
              <w:tab w:pos="9247" w:val="left" w:leader="dot"/>
            </w:tabs>
            <w:spacing w:line="240" w:lineRule="auto" w:before="3" w:after="0"/>
            <w:ind w:left="1198" w:right="0" w:hanging="301"/>
            <w:jc w:val="left"/>
            <w:rPr>
              <w:rFonts w:ascii="Times New Roman" w:eastAsia="Times New Roman"/>
            </w:rPr>
          </w:pPr>
          <w:hyperlink w:history="true" w:anchor="_bookmark44">
            <w:r>
              <w:rPr/>
              <w:t>排放量核算</w:t>
              <w:tab/>
            </w:r>
            <w:r>
              <w:rPr>
                <w:rFonts w:ascii="Times New Roman" w:eastAsia="Times New Roman"/>
              </w:rPr>
              <w:t>129</w:t>
            </w:r>
          </w:hyperlink>
        </w:p>
        <w:p>
          <w:pPr>
            <w:pStyle w:val="TOC1"/>
            <w:numPr>
              <w:ilvl w:val="0"/>
              <w:numId w:val="1"/>
            </w:numPr>
            <w:tabs>
              <w:tab w:pos="350" w:val="left" w:leader="none"/>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45">
            <w:r>
              <w:rPr/>
              <w:t>声环境影响分析</w:t>
              <w:tab/>
            </w:r>
            <w:r>
              <w:rPr>
                <w:rFonts w:ascii="Times New Roman" w:eastAsia="Times New Roman"/>
              </w:rPr>
              <w:t>130</w:t>
            </w:r>
          </w:hyperlink>
        </w:p>
        <w:p>
          <w:pPr>
            <w:pStyle w:val="TOC2"/>
            <w:numPr>
              <w:ilvl w:val="1"/>
              <w:numId w:val="1"/>
            </w:numPr>
            <w:tabs>
              <w:tab w:pos="351" w:val="left" w:leader="none"/>
              <w:tab w:pos="8349" w:val="left" w:leader="dot"/>
            </w:tabs>
            <w:spacing w:line="240" w:lineRule="auto" w:before="3" w:after="0"/>
            <w:ind w:left="1248" w:right="474" w:hanging="1249"/>
            <w:jc w:val="right"/>
            <w:rPr>
              <w:rFonts w:ascii="Times New Roman" w:eastAsia="Times New Roman"/>
            </w:rPr>
          </w:pPr>
          <w:hyperlink w:history="true" w:anchor="_bookmark46">
            <w:r>
              <w:rPr/>
              <w:t>声环境评价工作等级及范围</w:t>
              <w:tab/>
            </w:r>
            <w:r>
              <w:rPr>
                <w:rFonts w:ascii="Times New Roman" w:eastAsia="Times New Roman"/>
              </w:rPr>
              <w:t>130</w:t>
            </w:r>
          </w:hyperlink>
        </w:p>
        <w:p>
          <w:pPr>
            <w:pStyle w:val="TOC2"/>
            <w:numPr>
              <w:ilvl w:val="1"/>
              <w:numId w:val="1"/>
            </w:numPr>
            <w:tabs>
              <w:tab w:pos="351" w:val="left" w:leader="none"/>
              <w:tab w:pos="8349" w:val="left" w:leader="dot"/>
            </w:tabs>
            <w:spacing w:line="240" w:lineRule="auto" w:before="3" w:after="0"/>
            <w:ind w:left="1248" w:right="474" w:hanging="1249"/>
            <w:jc w:val="right"/>
            <w:rPr>
              <w:rFonts w:ascii="Times New Roman" w:eastAsia="Times New Roman"/>
            </w:rPr>
          </w:pPr>
          <w:hyperlink w:history="true" w:anchor="_bookmark47">
            <w:r>
              <w:rPr/>
              <w:t>声环境现状监测与评价</w:t>
              <w:tab/>
            </w:r>
            <w:r>
              <w:rPr>
                <w:rFonts w:ascii="Times New Roman" w:eastAsia="Times New Roman"/>
              </w:rPr>
              <w:t>130</w:t>
            </w:r>
          </w:hyperlink>
        </w:p>
        <w:p>
          <w:pPr>
            <w:pStyle w:val="TOC2"/>
            <w:numPr>
              <w:ilvl w:val="1"/>
              <w:numId w:val="1"/>
            </w:numPr>
            <w:tabs>
              <w:tab w:pos="351" w:val="left" w:leader="none"/>
              <w:tab w:pos="8349" w:val="left" w:leader="dot"/>
            </w:tabs>
            <w:spacing w:line="240" w:lineRule="auto" w:before="3" w:after="0"/>
            <w:ind w:left="1248" w:right="474" w:hanging="1249"/>
            <w:jc w:val="right"/>
            <w:rPr>
              <w:rFonts w:ascii="Times New Roman" w:eastAsia="Times New Roman"/>
            </w:rPr>
          </w:pPr>
          <w:hyperlink w:history="true" w:anchor="_bookmark48">
            <w:r>
              <w:rPr/>
              <w:t>建设期声环境影响及防治措施</w:t>
              <w:tab/>
            </w:r>
            <w:r>
              <w:rPr>
                <w:rFonts w:ascii="Times New Roman" w:eastAsia="Times New Roman"/>
              </w:rPr>
              <w:t>131</w:t>
            </w:r>
          </w:hyperlink>
        </w:p>
        <w:p>
          <w:pPr>
            <w:pStyle w:val="TOC2"/>
            <w:tabs>
              <w:tab w:pos="8349" w:val="left" w:leader="dot"/>
            </w:tabs>
            <w:ind w:left="0" w:firstLine="0"/>
            <w:rPr>
              <w:rFonts w:ascii="Times New Roman" w:eastAsia="Times New Roman"/>
            </w:rPr>
          </w:pPr>
          <w:hyperlink w:history="true" w:anchor="_bookmark49">
            <w:r>
              <w:rPr>
                <w:rFonts w:ascii="Times New Roman" w:eastAsia="Times New Roman"/>
              </w:rPr>
              <w:t>9.3.2</w:t>
            </w:r>
            <w:r>
              <w:rPr>
                <w:rFonts w:ascii="Times New Roman" w:eastAsia="Times New Roman"/>
                <w:spacing w:val="-3"/>
              </w:rPr>
              <w:t> </w:t>
            </w:r>
            <w:r>
              <w:rPr/>
              <w:t>建设期声环境影响分析</w:t>
              <w:tab/>
            </w:r>
            <w:r>
              <w:rPr>
                <w:rFonts w:ascii="Times New Roman" w:eastAsia="Times New Roman"/>
              </w:rPr>
              <w:t>131</w:t>
            </w:r>
          </w:hyperlink>
        </w:p>
        <w:p>
          <w:pPr>
            <w:pStyle w:val="TOC2"/>
            <w:numPr>
              <w:ilvl w:val="1"/>
              <w:numId w:val="1"/>
            </w:numPr>
            <w:tabs>
              <w:tab w:pos="300" w:val="left" w:leader="none"/>
              <w:tab w:pos="8349" w:val="left" w:leader="dot"/>
            </w:tabs>
            <w:spacing w:line="240" w:lineRule="auto" w:before="5" w:after="0"/>
            <w:ind w:left="1198" w:right="474" w:hanging="1199"/>
            <w:jc w:val="right"/>
            <w:rPr>
              <w:rFonts w:ascii="Times New Roman" w:eastAsia="Times New Roman"/>
            </w:rPr>
          </w:pPr>
          <w:hyperlink w:history="true" w:anchor="_bookmark50">
            <w:r>
              <w:rPr/>
              <w:t>运营期声环境影响预测与评价</w:t>
              <w:tab/>
            </w:r>
            <w:r>
              <w:rPr>
                <w:rFonts w:ascii="Times New Roman" w:eastAsia="Times New Roman"/>
              </w:rPr>
              <w:t>132</w:t>
            </w:r>
          </w:hyperlink>
        </w:p>
        <w:p>
          <w:pPr>
            <w:pStyle w:val="TOC2"/>
            <w:numPr>
              <w:ilvl w:val="1"/>
              <w:numId w:val="1"/>
            </w:numPr>
            <w:tabs>
              <w:tab w:pos="351" w:val="left" w:leader="none"/>
              <w:tab w:pos="8349" w:val="left" w:leader="dot"/>
            </w:tabs>
            <w:spacing w:line="240" w:lineRule="auto" w:before="3" w:after="20"/>
            <w:ind w:left="1248" w:right="474" w:hanging="1249"/>
            <w:jc w:val="right"/>
            <w:rPr>
              <w:rFonts w:ascii="Times New Roman" w:eastAsia="Times New Roman"/>
            </w:rPr>
          </w:pPr>
          <w:hyperlink w:history="true" w:anchor="_bookmark51">
            <w:r>
              <w:rPr/>
              <w:t>声环境污染防治措施</w:t>
              <w:tab/>
            </w:r>
            <w:r>
              <w:rPr>
                <w:rFonts w:ascii="Times New Roman" w:eastAsia="Times New Roman"/>
              </w:rPr>
              <w:t>135</w:t>
            </w:r>
          </w:hyperlink>
        </w:p>
        <w:p>
          <w:pPr>
            <w:pStyle w:val="TOC1"/>
            <w:numPr>
              <w:ilvl w:val="0"/>
              <w:numId w:val="1"/>
            </w:numPr>
            <w:tabs>
              <w:tab w:pos="253" w:val="left" w:leader="none"/>
              <w:tab w:pos="8769" w:val="left" w:leader="dot"/>
            </w:tabs>
            <w:spacing w:line="240" w:lineRule="auto" w:before="63" w:after="0"/>
            <w:ind w:left="730" w:right="474" w:hanging="731"/>
            <w:jc w:val="right"/>
            <w:rPr>
              <w:rFonts w:ascii="Times New Roman" w:eastAsia="Times New Roman"/>
            </w:rPr>
          </w:pPr>
          <w:hyperlink w:history="true" w:anchor="_bookmark52">
            <w:r>
              <w:rPr/>
              <w:t>固体废物环境影响分析</w:t>
              <w:tab/>
            </w:r>
            <w:r>
              <w:rPr>
                <w:rFonts w:ascii="Times New Roman" w:eastAsia="Times New Roman"/>
              </w:rPr>
              <w:t>136</w:t>
            </w:r>
          </w:hyperlink>
        </w:p>
        <w:p>
          <w:pPr>
            <w:pStyle w:val="TOC2"/>
            <w:numPr>
              <w:ilvl w:val="1"/>
              <w:numId w:val="1"/>
            </w:numPr>
            <w:tabs>
              <w:tab w:pos="449" w:val="left" w:leader="none"/>
              <w:tab w:pos="8349" w:val="left" w:leader="dot"/>
            </w:tabs>
            <w:spacing w:line="240" w:lineRule="auto" w:before="0" w:after="0"/>
            <w:ind w:left="1347" w:right="474" w:hanging="1348"/>
            <w:jc w:val="right"/>
            <w:rPr>
              <w:rFonts w:ascii="Times New Roman" w:eastAsia="Times New Roman"/>
            </w:rPr>
          </w:pPr>
          <w:hyperlink w:history="true" w:anchor="_bookmark53">
            <w:r>
              <w:rPr/>
              <w:t>建设期固体废物的处置</w:t>
              <w:tab/>
            </w:r>
            <w:r>
              <w:rPr>
                <w:rFonts w:ascii="Times New Roman" w:eastAsia="Times New Roman"/>
              </w:rPr>
              <w:t>136</w:t>
            </w:r>
          </w:hyperlink>
        </w:p>
        <w:p>
          <w:pPr>
            <w:pStyle w:val="TOC2"/>
            <w:numPr>
              <w:ilvl w:val="1"/>
              <w:numId w:val="1"/>
            </w:numPr>
            <w:tabs>
              <w:tab w:pos="449" w:val="left" w:leader="none"/>
              <w:tab w:pos="8349" w:val="left" w:leader="dot"/>
            </w:tabs>
            <w:spacing w:line="240" w:lineRule="auto" w:before="3" w:after="0"/>
            <w:ind w:left="1347" w:right="474" w:hanging="1348"/>
            <w:jc w:val="right"/>
            <w:rPr>
              <w:rFonts w:ascii="Times New Roman" w:eastAsia="Times New Roman"/>
            </w:rPr>
          </w:pPr>
          <w:hyperlink w:history="true" w:anchor="_bookmark54">
            <w:r>
              <w:rPr/>
              <w:t>运营期固体废物排放情况与处置措施分析</w:t>
              <w:tab/>
            </w:r>
            <w:r>
              <w:rPr>
                <w:rFonts w:ascii="Times New Roman" w:eastAsia="Times New Roman"/>
              </w:rPr>
              <w:t>136</w:t>
            </w:r>
          </w:hyperlink>
        </w:p>
        <w:p>
          <w:pPr>
            <w:pStyle w:val="TOC2"/>
            <w:numPr>
              <w:ilvl w:val="1"/>
              <w:numId w:val="1"/>
            </w:numPr>
            <w:tabs>
              <w:tab w:pos="449" w:val="left" w:leader="none"/>
              <w:tab w:pos="8349" w:val="left" w:leader="dot"/>
            </w:tabs>
            <w:spacing w:line="240" w:lineRule="auto" w:before="6" w:after="0"/>
            <w:ind w:left="1347" w:right="474" w:hanging="1348"/>
            <w:jc w:val="right"/>
            <w:rPr>
              <w:rFonts w:ascii="Times New Roman" w:eastAsia="Times New Roman"/>
            </w:rPr>
          </w:pPr>
          <w:hyperlink w:history="true" w:anchor="_bookmark55">
            <w:r>
              <w:rPr/>
              <w:t>固体废物环境的影响分析</w:t>
              <w:tab/>
            </w:r>
            <w:r>
              <w:rPr>
                <w:rFonts w:ascii="Times New Roman" w:eastAsia="Times New Roman"/>
              </w:rPr>
              <w:t>136</w:t>
            </w:r>
          </w:hyperlink>
        </w:p>
        <w:p>
          <w:pPr>
            <w:pStyle w:val="TOC2"/>
            <w:numPr>
              <w:ilvl w:val="1"/>
              <w:numId w:val="1"/>
            </w:numPr>
            <w:tabs>
              <w:tab w:pos="449" w:val="left" w:leader="none"/>
              <w:tab w:pos="8349" w:val="left" w:leader="dot"/>
            </w:tabs>
            <w:spacing w:line="240" w:lineRule="auto" w:before="2" w:after="0"/>
            <w:ind w:left="1347" w:right="474" w:hanging="1348"/>
            <w:jc w:val="right"/>
            <w:rPr>
              <w:rFonts w:ascii="Times New Roman" w:eastAsia="Times New Roman"/>
            </w:rPr>
          </w:pPr>
          <w:hyperlink w:history="true" w:anchor="_bookmark56">
            <w:r>
              <w:rPr/>
              <w:t>排矸场污染防治和复垦措施</w:t>
              <w:tab/>
            </w:r>
            <w:r>
              <w:rPr>
                <w:rFonts w:ascii="Times New Roman" w:eastAsia="Times New Roman"/>
              </w:rPr>
              <w:t>139</w:t>
            </w:r>
          </w:hyperlink>
        </w:p>
        <w:p>
          <w:pPr>
            <w:pStyle w:val="TOC1"/>
            <w:numPr>
              <w:ilvl w:val="0"/>
              <w:numId w:val="1"/>
            </w:numPr>
            <w:tabs>
              <w:tab w:pos="250" w:val="left" w:leader="none"/>
              <w:tab w:pos="8769" w:val="left" w:leader="dot"/>
            </w:tabs>
            <w:spacing w:line="240" w:lineRule="auto" w:before="3" w:after="0"/>
            <w:ind w:left="728" w:right="474" w:hanging="729"/>
            <w:jc w:val="right"/>
            <w:rPr>
              <w:rFonts w:ascii="Times New Roman" w:eastAsia="Times New Roman"/>
            </w:rPr>
          </w:pPr>
          <w:hyperlink w:history="true" w:anchor="_bookmark58">
            <w:r>
              <w:rPr/>
              <w:t>土壤环境影响评价</w:t>
              <w:tab/>
            </w:r>
            <w:r>
              <w:rPr>
                <w:rFonts w:ascii="Times New Roman" w:eastAsia="Times New Roman"/>
              </w:rPr>
              <w:t>140</w:t>
            </w:r>
          </w:hyperlink>
        </w:p>
        <w:p>
          <w:pPr>
            <w:pStyle w:val="TOC3"/>
            <w:tabs>
              <w:tab w:pos="9247" w:val="left" w:leader="dot"/>
            </w:tabs>
            <w:ind w:left="898" w:firstLine="0"/>
            <w:rPr>
              <w:rFonts w:ascii="Times New Roman" w:eastAsia="Times New Roman"/>
            </w:rPr>
          </w:pPr>
          <w:hyperlink w:history="true" w:anchor="_bookmark57">
            <w:r>
              <w:rPr>
                <w:rFonts w:ascii="Times New Roman" w:eastAsia="Times New Roman"/>
              </w:rPr>
              <w:t>11.1</w:t>
            </w:r>
            <w:r>
              <w:rPr>
                <w:rFonts w:ascii="Times New Roman" w:eastAsia="Times New Roman"/>
                <w:spacing w:val="47"/>
              </w:rPr>
              <w:t> </w:t>
            </w:r>
            <w:r>
              <w:rPr/>
              <w:t>概述</w:t>
              <w:tab/>
            </w:r>
            <w:r>
              <w:rPr>
                <w:rFonts w:ascii="Times New Roman" w:eastAsia="Times New Roman"/>
              </w:rPr>
              <w:t>140</w:t>
            </w:r>
          </w:hyperlink>
        </w:p>
        <w:p>
          <w:pPr>
            <w:pStyle w:val="TOC2"/>
            <w:numPr>
              <w:ilvl w:val="1"/>
              <w:numId w:val="3"/>
            </w:numPr>
            <w:tabs>
              <w:tab w:pos="449" w:val="left" w:leader="none"/>
              <w:tab w:pos="8349" w:val="left" w:leader="dot"/>
            </w:tabs>
            <w:spacing w:line="240" w:lineRule="auto" w:before="3" w:after="0"/>
            <w:ind w:left="1347" w:right="474" w:hanging="1348"/>
            <w:jc w:val="right"/>
            <w:rPr>
              <w:rFonts w:ascii="Times New Roman" w:eastAsia="Times New Roman"/>
            </w:rPr>
          </w:pPr>
          <w:hyperlink w:history="true" w:anchor="_bookmark59">
            <w:r>
              <w:rPr/>
              <w:t>土壤环境评价等级、评价范围确定及敏感目标</w:t>
              <w:tab/>
            </w:r>
            <w:r>
              <w:rPr>
                <w:rFonts w:ascii="Times New Roman" w:eastAsia="Times New Roman"/>
              </w:rPr>
              <w:t>140</w:t>
            </w:r>
          </w:hyperlink>
        </w:p>
        <w:p>
          <w:pPr>
            <w:pStyle w:val="TOC2"/>
            <w:numPr>
              <w:ilvl w:val="1"/>
              <w:numId w:val="3"/>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60">
            <w:r>
              <w:rPr/>
              <w:t>土壤环境质量现状监测与评价</w:t>
              <w:tab/>
            </w:r>
            <w:r>
              <w:rPr>
                <w:rFonts w:ascii="Times New Roman" w:eastAsia="Times New Roman"/>
              </w:rPr>
              <w:t>141</w:t>
            </w:r>
          </w:hyperlink>
        </w:p>
        <w:p>
          <w:pPr>
            <w:pStyle w:val="TOC1"/>
            <w:numPr>
              <w:ilvl w:val="0"/>
              <w:numId w:val="1"/>
            </w:numPr>
            <w:tabs>
              <w:tab w:pos="250" w:val="left" w:leader="none"/>
              <w:tab w:pos="8769" w:val="left" w:leader="dot"/>
            </w:tabs>
            <w:spacing w:line="240" w:lineRule="auto" w:before="3" w:after="0"/>
            <w:ind w:left="728" w:right="474" w:hanging="729"/>
            <w:jc w:val="right"/>
            <w:rPr>
              <w:rFonts w:ascii="Times New Roman" w:eastAsia="Times New Roman"/>
            </w:rPr>
          </w:pPr>
          <w:hyperlink w:history="true" w:anchor="_bookmark61">
            <w:r>
              <w:rPr/>
              <w:t>清洁生产与循环经济分析</w:t>
              <w:tab/>
            </w:r>
            <w:r>
              <w:rPr>
                <w:rFonts w:ascii="Times New Roman" w:eastAsia="Times New Roman"/>
              </w:rPr>
              <w:t>156</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62">
            <w:r>
              <w:rPr/>
              <w:t>循环经济分析</w:t>
              <w:tab/>
            </w:r>
            <w:r>
              <w:rPr>
                <w:rFonts w:ascii="Times New Roman" w:eastAsia="Times New Roman"/>
              </w:rPr>
              <w:t>156</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63">
            <w:r>
              <w:rPr/>
              <w:t>清洁生产水平分析</w:t>
              <w:tab/>
            </w:r>
            <w:r>
              <w:rPr>
                <w:rFonts w:ascii="Times New Roman" w:eastAsia="Times New Roman"/>
              </w:rPr>
              <w:t>157</w:t>
            </w:r>
          </w:hyperlink>
        </w:p>
        <w:p>
          <w:pPr>
            <w:pStyle w:val="TOC2"/>
            <w:numPr>
              <w:ilvl w:val="1"/>
              <w:numId w:val="1"/>
            </w:numPr>
            <w:tabs>
              <w:tab w:pos="1297" w:val="left" w:leader="none"/>
              <w:tab w:pos="8349" w:val="left" w:leader="dot"/>
            </w:tabs>
            <w:spacing w:line="240" w:lineRule="auto" w:before="3" w:after="0"/>
            <w:ind w:left="1296" w:right="474" w:hanging="1297"/>
            <w:jc w:val="right"/>
            <w:rPr>
              <w:rFonts w:ascii="Times New Roman" w:eastAsia="Times New Roman"/>
            </w:rPr>
          </w:pPr>
          <w:hyperlink w:history="true" w:anchor="_bookmark64">
            <w:r>
              <w:rPr/>
              <w:t>清洁生产管理体系建设</w:t>
              <w:tab/>
            </w:r>
            <w:r>
              <w:rPr>
                <w:rFonts w:ascii="Times New Roman" w:eastAsia="Times New Roman"/>
              </w:rPr>
              <w:t>166</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65">
            <w:r>
              <w:rPr/>
              <w:t>清洁生产总体评价</w:t>
              <w:tab/>
            </w:r>
            <w:r>
              <w:rPr>
                <w:rFonts w:ascii="Times New Roman" w:eastAsia="Times New Roman"/>
              </w:rPr>
              <w:t>166</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66">
            <w:r>
              <w:rPr/>
              <w:t>清洁生产建议</w:t>
              <w:tab/>
            </w:r>
            <w:r>
              <w:rPr>
                <w:rFonts w:ascii="Times New Roman" w:eastAsia="Times New Roman"/>
              </w:rPr>
              <w:t>167</w:t>
            </w:r>
          </w:hyperlink>
        </w:p>
        <w:p>
          <w:pPr>
            <w:pStyle w:val="TOC1"/>
            <w:numPr>
              <w:ilvl w:val="0"/>
              <w:numId w:val="1"/>
            </w:numPr>
            <w:tabs>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67">
            <w:r>
              <w:rPr/>
              <w:t>环境管理与环境监测计划</w:t>
              <w:tab/>
            </w:r>
            <w:r>
              <w:rPr>
                <w:rFonts w:ascii="Times New Roman" w:eastAsia="Times New Roman"/>
              </w:rPr>
              <w:t>168</w:t>
            </w:r>
          </w:hyperlink>
        </w:p>
        <w:p>
          <w:pPr>
            <w:pStyle w:val="TOC2"/>
            <w:numPr>
              <w:ilvl w:val="1"/>
              <w:numId w:val="1"/>
            </w:numPr>
            <w:tabs>
              <w:tab w:pos="449" w:val="left" w:leader="none"/>
              <w:tab w:pos="8349" w:val="left" w:leader="dot"/>
            </w:tabs>
            <w:spacing w:line="240" w:lineRule="auto" w:before="5" w:after="0"/>
            <w:ind w:left="1347" w:right="474" w:hanging="1348"/>
            <w:jc w:val="right"/>
            <w:rPr>
              <w:rFonts w:ascii="Times New Roman" w:eastAsia="Times New Roman"/>
            </w:rPr>
          </w:pPr>
          <w:hyperlink w:history="true" w:anchor="_bookmark68">
            <w:r>
              <w:rPr/>
              <w:t>建设期环境管理和环境监理</w:t>
              <w:tab/>
            </w:r>
            <w:r>
              <w:rPr>
                <w:rFonts w:ascii="Times New Roman" w:eastAsia="Times New Roman"/>
              </w:rPr>
              <w:t>168</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69">
            <w:r>
              <w:rPr/>
              <w:t>环境管理机构及职责</w:t>
              <w:tab/>
            </w:r>
            <w:r>
              <w:rPr>
                <w:rFonts w:ascii="Times New Roman" w:eastAsia="Times New Roman"/>
              </w:rPr>
              <w:t>169</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70">
            <w:r>
              <w:rPr/>
              <w:t>环境监测计划</w:t>
              <w:tab/>
            </w:r>
            <w:r>
              <w:rPr>
                <w:rFonts w:ascii="Times New Roman" w:eastAsia="Times New Roman"/>
              </w:rPr>
              <w:t>171</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71">
            <w:r>
              <w:rPr/>
              <w:t>污染物排放清单</w:t>
              <w:tab/>
            </w:r>
            <w:r>
              <w:rPr>
                <w:rFonts w:ascii="Times New Roman" w:eastAsia="Times New Roman"/>
              </w:rPr>
              <w:t>175</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72">
            <w:r>
              <w:rPr/>
              <w:t>排污口规划化管理</w:t>
              <w:tab/>
            </w:r>
            <w:r>
              <w:rPr>
                <w:rFonts w:ascii="Times New Roman" w:eastAsia="Times New Roman"/>
              </w:rPr>
              <w:t>178</w:t>
            </w:r>
          </w:hyperlink>
        </w:p>
        <w:p>
          <w:pPr>
            <w:pStyle w:val="TOC3"/>
            <w:numPr>
              <w:ilvl w:val="1"/>
              <w:numId w:val="1"/>
            </w:numPr>
            <w:tabs>
              <w:tab w:pos="1297" w:val="left" w:leader="none"/>
              <w:tab w:pos="9247" w:val="left" w:leader="dot"/>
            </w:tabs>
            <w:spacing w:line="240" w:lineRule="auto" w:before="3" w:after="0"/>
            <w:ind w:left="1296" w:right="0" w:hanging="399"/>
            <w:jc w:val="left"/>
            <w:rPr>
              <w:rFonts w:ascii="Times New Roman" w:eastAsia="Times New Roman"/>
            </w:rPr>
          </w:pPr>
          <w:hyperlink w:history="true" w:anchor="_bookmark73">
            <w:r>
              <w:rPr/>
              <w:t>环境保护竣工验收</w:t>
              <w:tab/>
            </w:r>
            <w:r>
              <w:rPr>
                <w:rFonts w:ascii="Times New Roman" w:eastAsia="Times New Roman"/>
              </w:rPr>
              <w:t>179</w:t>
            </w:r>
          </w:hyperlink>
        </w:p>
        <w:p>
          <w:pPr>
            <w:pStyle w:val="TOC1"/>
            <w:numPr>
              <w:ilvl w:val="0"/>
              <w:numId w:val="1"/>
            </w:numPr>
            <w:tabs>
              <w:tab w:pos="253" w:val="left" w:leader="none"/>
              <w:tab w:pos="8769" w:val="left" w:leader="dot"/>
            </w:tabs>
            <w:spacing w:line="240" w:lineRule="auto" w:before="3" w:after="0"/>
            <w:ind w:left="730" w:right="474" w:hanging="731"/>
            <w:jc w:val="right"/>
            <w:rPr>
              <w:rFonts w:ascii="Times New Roman" w:eastAsia="Times New Roman"/>
            </w:rPr>
          </w:pPr>
          <w:hyperlink w:history="true" w:anchor="_bookmark75">
            <w:r>
              <w:rPr/>
              <w:t>项目选址环境可行性分析</w:t>
              <w:tab/>
            </w:r>
            <w:r>
              <w:rPr>
                <w:rFonts w:ascii="Times New Roman" w:eastAsia="Times New Roman"/>
              </w:rPr>
              <w:t>181</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74">
            <w:r>
              <w:rPr/>
              <w:t>场址方案概述</w:t>
              <w:tab/>
            </w:r>
            <w:r>
              <w:rPr>
                <w:rFonts w:ascii="Times New Roman" w:eastAsia="Times New Roman"/>
              </w:rPr>
              <w:t>181</w:t>
            </w:r>
          </w:hyperlink>
        </w:p>
        <w:p>
          <w:pPr>
            <w:pStyle w:val="TOC2"/>
            <w:numPr>
              <w:ilvl w:val="1"/>
              <w:numId w:val="1"/>
            </w:numPr>
            <w:tabs>
              <w:tab w:pos="1348" w:val="left" w:leader="none"/>
              <w:tab w:pos="8349" w:val="left" w:leader="dot"/>
            </w:tabs>
            <w:spacing w:line="240" w:lineRule="auto" w:before="3" w:after="0"/>
            <w:ind w:left="1347" w:right="474" w:hanging="1348"/>
            <w:jc w:val="right"/>
            <w:rPr>
              <w:rFonts w:ascii="Times New Roman" w:eastAsia="Times New Roman"/>
            </w:rPr>
          </w:pPr>
          <w:hyperlink w:history="true" w:anchor="_bookmark76">
            <w:r>
              <w:rPr/>
              <w:t>厂址方案的技术经济比较</w:t>
              <w:tab/>
            </w:r>
            <w:r>
              <w:rPr>
                <w:rFonts w:ascii="Times New Roman" w:eastAsia="Times New Roman"/>
              </w:rPr>
              <w:t>181</w:t>
            </w:r>
          </w:hyperlink>
        </w:p>
        <w:p>
          <w:pPr>
            <w:pStyle w:val="TOC2"/>
            <w:numPr>
              <w:ilvl w:val="1"/>
              <w:numId w:val="1"/>
            </w:numPr>
            <w:tabs>
              <w:tab w:pos="1348" w:val="left" w:leader="none"/>
              <w:tab w:pos="8349" w:val="left" w:leader="dot"/>
            </w:tabs>
            <w:spacing w:line="240" w:lineRule="auto" w:before="3" w:after="0"/>
            <w:ind w:left="1347" w:right="474" w:hanging="1348"/>
            <w:jc w:val="right"/>
            <w:rPr>
              <w:rFonts w:ascii="Times New Roman" w:eastAsia="Times New Roman"/>
            </w:rPr>
          </w:pPr>
          <w:hyperlink w:history="true" w:anchor="_bookmark77">
            <w:r>
              <w:rPr/>
              <w:t>设计场地环境制约因素分析</w:t>
              <w:tab/>
            </w:r>
            <w:r>
              <w:rPr>
                <w:rFonts w:ascii="Times New Roman" w:eastAsia="Times New Roman"/>
              </w:rPr>
              <w:t>181</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78">
            <w:r>
              <w:rPr/>
              <w:t>排矸场的环境可行性</w:t>
              <w:tab/>
            </w:r>
            <w:r>
              <w:rPr>
                <w:rFonts w:ascii="Times New Roman" w:eastAsia="Times New Roman"/>
              </w:rPr>
              <w:t>181</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79">
            <w:r>
              <w:rPr/>
              <w:t>项目选址环境可行性综合分析</w:t>
              <w:tab/>
            </w:r>
            <w:r>
              <w:rPr>
                <w:rFonts w:ascii="Times New Roman" w:eastAsia="Times New Roman"/>
              </w:rPr>
              <w:t>182</w:t>
            </w:r>
          </w:hyperlink>
        </w:p>
        <w:p>
          <w:pPr>
            <w:pStyle w:val="TOC1"/>
            <w:numPr>
              <w:ilvl w:val="0"/>
              <w:numId w:val="1"/>
            </w:numPr>
            <w:tabs>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81">
            <w:r>
              <w:rPr/>
              <w:t>环境风险影响分析</w:t>
              <w:tab/>
            </w:r>
            <w:r>
              <w:rPr>
                <w:rFonts w:ascii="Times New Roman" w:eastAsia="Times New Roman"/>
              </w:rPr>
              <w:t>184</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80">
            <w:r>
              <w:rPr/>
              <w:t>评价依据</w:t>
              <w:tab/>
            </w:r>
            <w:r>
              <w:rPr>
                <w:rFonts w:ascii="Times New Roman" w:eastAsia="Times New Roman"/>
              </w:rPr>
              <w:t>184</w:t>
            </w:r>
          </w:hyperlink>
        </w:p>
        <w:p>
          <w:pPr>
            <w:pStyle w:val="TOC3"/>
            <w:numPr>
              <w:ilvl w:val="1"/>
              <w:numId w:val="1"/>
            </w:numPr>
            <w:tabs>
              <w:tab w:pos="1348" w:val="left" w:leader="none"/>
              <w:tab w:pos="9247" w:val="left" w:leader="dot"/>
            </w:tabs>
            <w:spacing w:line="240" w:lineRule="auto" w:before="5" w:after="0"/>
            <w:ind w:left="1347" w:right="0" w:hanging="450"/>
            <w:jc w:val="left"/>
            <w:rPr>
              <w:rFonts w:ascii="Times New Roman" w:eastAsia="Times New Roman"/>
            </w:rPr>
          </w:pPr>
          <w:hyperlink w:history="true" w:anchor="_bookmark82">
            <w:r>
              <w:rPr/>
              <w:t>环境敏感目标调查</w:t>
              <w:tab/>
            </w:r>
            <w:r>
              <w:rPr>
                <w:rFonts w:ascii="Times New Roman" w:eastAsia="Times New Roman"/>
              </w:rPr>
              <w:t>184</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83">
            <w:r>
              <w:rPr/>
              <w:t>环境风险识别</w:t>
              <w:tab/>
            </w:r>
            <w:r>
              <w:rPr>
                <w:rFonts w:ascii="Times New Roman" w:eastAsia="Times New Roman"/>
              </w:rPr>
              <w:t>185</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84">
            <w:r>
              <w:rPr/>
              <w:t>环境风险分析</w:t>
              <w:tab/>
            </w:r>
            <w:r>
              <w:rPr>
                <w:rFonts w:ascii="Times New Roman" w:eastAsia="Times New Roman"/>
              </w:rPr>
              <w:t>185</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85">
            <w:r>
              <w:rPr/>
              <w:t>环境风险防范措施及环应急要求</w:t>
              <w:tab/>
            </w:r>
            <w:r>
              <w:rPr>
                <w:rFonts w:ascii="Times New Roman" w:eastAsia="Times New Roman"/>
              </w:rPr>
              <w:t>186</w:t>
            </w:r>
          </w:hyperlink>
        </w:p>
        <w:p>
          <w:pPr>
            <w:pStyle w:val="TOC3"/>
            <w:numPr>
              <w:ilvl w:val="1"/>
              <w:numId w:val="1"/>
            </w:numPr>
            <w:tabs>
              <w:tab w:pos="1348" w:val="left" w:leader="none"/>
              <w:tab w:pos="9247" w:val="left" w:leader="dot"/>
            </w:tabs>
            <w:spacing w:line="240" w:lineRule="auto" w:before="3" w:after="0"/>
            <w:ind w:left="1347" w:right="0" w:hanging="450"/>
            <w:jc w:val="left"/>
            <w:rPr>
              <w:rFonts w:ascii="Times New Roman" w:eastAsia="Times New Roman"/>
            </w:rPr>
          </w:pPr>
          <w:hyperlink w:history="true" w:anchor="_bookmark86">
            <w:r>
              <w:rPr/>
              <w:t>分析结论</w:t>
              <w:tab/>
            </w:r>
            <w:r>
              <w:rPr>
                <w:rFonts w:ascii="Times New Roman" w:eastAsia="Times New Roman"/>
              </w:rPr>
              <w:t>189</w:t>
            </w:r>
          </w:hyperlink>
        </w:p>
        <w:p>
          <w:pPr>
            <w:pStyle w:val="TOC1"/>
            <w:numPr>
              <w:ilvl w:val="0"/>
              <w:numId w:val="1"/>
            </w:numPr>
            <w:tabs>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87">
            <w:r>
              <w:rPr/>
              <w:t>环境经济损益分析</w:t>
              <w:tab/>
            </w:r>
            <w:r>
              <w:rPr>
                <w:rFonts w:ascii="Times New Roman" w:eastAsia="Times New Roman"/>
              </w:rPr>
              <w:t>191</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88">
            <w:r>
              <w:rPr/>
              <w:t>环境保护工程投资分析</w:t>
              <w:tab/>
            </w:r>
            <w:r>
              <w:rPr>
                <w:rFonts w:ascii="Times New Roman" w:eastAsia="Times New Roman"/>
              </w:rPr>
              <w:t>191</w:t>
            </w:r>
          </w:hyperlink>
        </w:p>
        <w:p>
          <w:pPr>
            <w:pStyle w:val="TOC2"/>
            <w:numPr>
              <w:ilvl w:val="1"/>
              <w:numId w:val="1"/>
            </w:numPr>
            <w:tabs>
              <w:tab w:pos="449" w:val="left" w:leader="none"/>
              <w:tab w:pos="8349" w:val="left" w:leader="dot"/>
            </w:tabs>
            <w:spacing w:line="240" w:lineRule="auto" w:before="3" w:after="0"/>
            <w:ind w:left="1347" w:right="474" w:hanging="1348"/>
            <w:jc w:val="right"/>
            <w:rPr>
              <w:rFonts w:ascii="Times New Roman" w:eastAsia="Times New Roman"/>
            </w:rPr>
          </w:pPr>
          <w:hyperlink w:history="true" w:anchor="_bookmark89">
            <w:r>
              <w:rPr/>
              <w:t>环境经济效益分析与评价</w:t>
              <w:tab/>
            </w:r>
            <w:r>
              <w:rPr>
                <w:rFonts w:ascii="Times New Roman" w:eastAsia="Times New Roman"/>
              </w:rPr>
              <w:t>191</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90">
            <w:r>
              <w:rPr/>
              <w:t>环境经济损益简要分析</w:t>
              <w:tab/>
            </w:r>
            <w:r>
              <w:rPr>
                <w:rFonts w:ascii="Times New Roman" w:eastAsia="Times New Roman"/>
              </w:rPr>
              <w:t>192</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91">
            <w:r>
              <w:rPr/>
              <w:t>环境保护工程的经济效益分析</w:t>
              <w:tab/>
            </w:r>
            <w:r>
              <w:rPr>
                <w:rFonts w:ascii="Times New Roman" w:eastAsia="Times New Roman"/>
              </w:rPr>
              <w:t>194</w:t>
            </w:r>
          </w:hyperlink>
        </w:p>
        <w:p>
          <w:pPr>
            <w:pStyle w:val="TOC3"/>
            <w:numPr>
              <w:ilvl w:val="1"/>
              <w:numId w:val="1"/>
            </w:numPr>
            <w:tabs>
              <w:tab w:pos="1297" w:val="left" w:leader="none"/>
              <w:tab w:pos="9247" w:val="left" w:leader="dot"/>
            </w:tabs>
            <w:spacing w:line="240" w:lineRule="auto" w:before="2" w:after="0"/>
            <w:ind w:left="1296" w:right="0" w:hanging="399"/>
            <w:jc w:val="left"/>
            <w:rPr>
              <w:rFonts w:ascii="Times New Roman" w:eastAsia="Times New Roman"/>
            </w:rPr>
          </w:pPr>
          <w:hyperlink w:history="true" w:anchor="_bookmark92">
            <w:r>
              <w:rPr/>
              <w:t>环境经济分析结论</w:t>
              <w:tab/>
            </w:r>
            <w:r>
              <w:rPr>
                <w:rFonts w:ascii="Times New Roman" w:eastAsia="Times New Roman"/>
              </w:rPr>
              <w:t>195</w:t>
            </w:r>
          </w:hyperlink>
        </w:p>
        <w:p>
          <w:pPr>
            <w:pStyle w:val="TOC1"/>
            <w:numPr>
              <w:ilvl w:val="0"/>
              <w:numId w:val="1"/>
            </w:numPr>
            <w:tabs>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93">
            <w:r>
              <w:rPr/>
              <w:t>选址及规划符合性分析</w:t>
              <w:tab/>
            </w:r>
            <w:r>
              <w:rPr>
                <w:rFonts w:ascii="Times New Roman" w:eastAsia="Times New Roman"/>
              </w:rPr>
              <w:t>196</w:t>
            </w:r>
          </w:hyperlink>
        </w:p>
        <w:p>
          <w:pPr>
            <w:pStyle w:val="TOC2"/>
            <w:numPr>
              <w:ilvl w:val="1"/>
              <w:numId w:val="1"/>
            </w:numPr>
            <w:tabs>
              <w:tab w:pos="399" w:val="left" w:leader="none"/>
              <w:tab w:pos="8349" w:val="left" w:leader="dot"/>
            </w:tabs>
            <w:spacing w:line="240" w:lineRule="auto" w:before="3" w:after="0"/>
            <w:ind w:left="1296" w:right="474" w:hanging="1297"/>
            <w:jc w:val="right"/>
            <w:rPr>
              <w:rFonts w:ascii="Times New Roman" w:eastAsia="Times New Roman"/>
            </w:rPr>
          </w:pPr>
          <w:hyperlink w:history="true" w:anchor="_bookmark94">
            <w:r>
              <w:rPr/>
              <w:t>与国家产业政策符合性分析</w:t>
              <w:tab/>
            </w:r>
            <w:r>
              <w:rPr>
                <w:rFonts w:ascii="Times New Roman" w:eastAsia="Times New Roman"/>
              </w:rPr>
              <w:t>196</w:t>
            </w:r>
          </w:hyperlink>
        </w:p>
        <w:p>
          <w:pPr>
            <w:pStyle w:val="TOC2"/>
            <w:numPr>
              <w:ilvl w:val="1"/>
              <w:numId w:val="1"/>
            </w:numPr>
            <w:tabs>
              <w:tab w:pos="399" w:val="left" w:leader="none"/>
              <w:tab w:pos="8348" w:val="left" w:leader="dot"/>
            </w:tabs>
            <w:spacing w:line="240" w:lineRule="auto" w:before="6" w:after="0"/>
            <w:ind w:left="1296" w:right="478" w:hanging="1297"/>
            <w:jc w:val="right"/>
            <w:rPr>
              <w:rFonts w:ascii="Times New Roman" w:hAnsi="Times New Roman" w:eastAsia="Times New Roman"/>
            </w:rPr>
          </w:pPr>
          <w:r>
            <w:rPr/>
            <w:t>与“三线一单”符合性分析</w:t>
            <w:tab/>
          </w:r>
          <w:r>
            <w:rPr>
              <w:rFonts w:ascii="Times New Roman" w:hAnsi="Times New Roman" w:eastAsia="Times New Roman"/>
              <w:spacing w:val="-1"/>
            </w:rPr>
            <w:t>196</w:t>
          </w:r>
        </w:p>
        <w:p>
          <w:pPr>
            <w:pStyle w:val="TOC2"/>
            <w:numPr>
              <w:ilvl w:val="1"/>
              <w:numId w:val="1"/>
            </w:numPr>
            <w:tabs>
              <w:tab w:pos="399" w:val="left" w:leader="none"/>
              <w:tab w:pos="8348" w:val="left" w:leader="dot"/>
            </w:tabs>
            <w:spacing w:line="240" w:lineRule="auto" w:before="3" w:after="0"/>
            <w:ind w:left="1296" w:right="475" w:hanging="1297"/>
            <w:jc w:val="right"/>
            <w:rPr>
              <w:rFonts w:ascii="Times New Roman" w:eastAsia="Times New Roman"/>
            </w:rPr>
          </w:pPr>
          <w:r>
            <w:rPr/>
            <w:t>与黑龙江省相关政策符合性分析</w:t>
            <w:tab/>
          </w:r>
          <w:r>
            <w:rPr>
              <w:rFonts w:ascii="Times New Roman" w:eastAsia="Times New Roman"/>
            </w:rPr>
            <w:t>197</w:t>
          </w:r>
        </w:p>
        <w:p>
          <w:pPr>
            <w:pStyle w:val="TOC2"/>
            <w:numPr>
              <w:ilvl w:val="1"/>
              <w:numId w:val="1"/>
            </w:numPr>
            <w:tabs>
              <w:tab w:pos="399" w:val="left" w:leader="none"/>
              <w:tab w:pos="8348" w:val="left" w:leader="dot"/>
            </w:tabs>
            <w:spacing w:line="240" w:lineRule="auto" w:before="0" w:after="0"/>
            <w:ind w:left="1296" w:right="475" w:hanging="1297"/>
            <w:jc w:val="right"/>
            <w:rPr>
              <w:rFonts w:ascii="Times New Roman" w:eastAsia="Times New Roman"/>
            </w:rPr>
          </w:pPr>
          <w:hyperlink w:history="true" w:anchor="_TOC_250001">
            <w:r>
              <w:rPr/>
              <w:t>与双鸭山市城市总体规划符合性分析</w:t>
              <w:tab/>
            </w:r>
            <w:r>
              <w:rPr>
                <w:rFonts w:ascii="Times New Roman" w:eastAsia="Times New Roman"/>
              </w:rPr>
              <w:t>199</w:t>
            </w:r>
          </w:hyperlink>
        </w:p>
        <w:p>
          <w:pPr>
            <w:pStyle w:val="TOC2"/>
            <w:numPr>
              <w:ilvl w:val="1"/>
              <w:numId w:val="1"/>
            </w:numPr>
            <w:tabs>
              <w:tab w:pos="399" w:val="left" w:leader="none"/>
              <w:tab w:pos="8348" w:val="left" w:leader="dot"/>
            </w:tabs>
            <w:spacing w:line="240" w:lineRule="auto" w:before="6" w:after="0"/>
            <w:ind w:left="1296" w:right="478" w:hanging="1297"/>
            <w:jc w:val="right"/>
            <w:rPr>
              <w:rFonts w:ascii="Times New Roman" w:eastAsia="Times New Roman"/>
            </w:rPr>
          </w:pPr>
          <w:hyperlink w:history="true" w:anchor="_TOC_250000">
            <w:r>
              <w:rPr/>
              <w:t>选址环境合理性分析</w:t>
              <w:tab/>
            </w:r>
            <w:r>
              <w:rPr>
                <w:rFonts w:ascii="Times New Roman" w:eastAsia="Times New Roman"/>
                <w:spacing w:val="-1"/>
              </w:rPr>
              <w:t>199</w:t>
            </w:r>
          </w:hyperlink>
        </w:p>
        <w:p>
          <w:pPr>
            <w:pStyle w:val="TOC1"/>
            <w:numPr>
              <w:ilvl w:val="0"/>
              <w:numId w:val="1"/>
            </w:numPr>
            <w:tabs>
              <w:tab w:pos="351" w:val="left" w:leader="none"/>
              <w:tab w:pos="8769" w:val="left" w:leader="dot"/>
            </w:tabs>
            <w:spacing w:line="240" w:lineRule="auto" w:before="3" w:after="0"/>
            <w:ind w:left="828" w:right="474" w:hanging="829"/>
            <w:jc w:val="right"/>
            <w:rPr>
              <w:rFonts w:ascii="Times New Roman" w:eastAsia="Times New Roman"/>
            </w:rPr>
          </w:pPr>
          <w:hyperlink w:history="true" w:anchor="_bookmark95">
            <w:r>
              <w:rPr/>
              <w:t>结论与建议</w:t>
              <w:tab/>
            </w:r>
            <w:r>
              <w:rPr>
                <w:rFonts w:ascii="Times New Roman" w:eastAsia="Times New Roman"/>
              </w:rPr>
              <w:t>201</w:t>
            </w:r>
          </w:hyperlink>
        </w:p>
        <w:p>
          <w:pPr>
            <w:pStyle w:val="TOC2"/>
            <w:numPr>
              <w:ilvl w:val="1"/>
              <w:numId w:val="1"/>
            </w:numPr>
            <w:tabs>
              <w:tab w:pos="399" w:val="left" w:leader="none"/>
              <w:tab w:pos="8349" w:val="left" w:leader="dot"/>
            </w:tabs>
            <w:spacing w:line="240" w:lineRule="auto" w:before="2" w:after="0"/>
            <w:ind w:left="1296" w:right="474" w:hanging="1297"/>
            <w:jc w:val="right"/>
            <w:rPr>
              <w:rFonts w:ascii="Times New Roman" w:eastAsia="Times New Roman"/>
            </w:rPr>
          </w:pPr>
          <w:hyperlink w:history="true" w:anchor="_bookmark96">
            <w:r>
              <w:rPr/>
              <w:t>项目概况</w:t>
              <w:tab/>
            </w:r>
            <w:r>
              <w:rPr>
                <w:rFonts w:ascii="Times New Roman" w:eastAsia="Times New Roman"/>
              </w:rPr>
              <w:t>201</w:t>
            </w:r>
          </w:hyperlink>
        </w:p>
        <w:p>
          <w:pPr>
            <w:pStyle w:val="TOC2"/>
            <w:numPr>
              <w:ilvl w:val="1"/>
              <w:numId w:val="1"/>
            </w:numPr>
            <w:tabs>
              <w:tab w:pos="449" w:val="left" w:leader="none"/>
              <w:tab w:pos="8349" w:val="left" w:leader="dot"/>
            </w:tabs>
            <w:spacing w:line="240" w:lineRule="auto" w:before="3" w:after="0"/>
            <w:ind w:left="1347" w:right="474" w:hanging="1348"/>
            <w:jc w:val="right"/>
            <w:rPr>
              <w:rFonts w:ascii="Times New Roman" w:eastAsia="Times New Roman"/>
            </w:rPr>
          </w:pPr>
          <w:hyperlink w:history="true" w:anchor="_bookmark97">
            <w:r>
              <w:rPr/>
              <w:t>项目环境影响结论</w:t>
              <w:tab/>
            </w:r>
            <w:r>
              <w:rPr>
                <w:rFonts w:ascii="Times New Roman" w:eastAsia="Times New Roman"/>
              </w:rPr>
              <w:t>201</w:t>
            </w:r>
          </w:hyperlink>
        </w:p>
        <w:p>
          <w:pPr>
            <w:pStyle w:val="TOC2"/>
            <w:numPr>
              <w:ilvl w:val="1"/>
              <w:numId w:val="1"/>
            </w:numPr>
            <w:tabs>
              <w:tab w:pos="449" w:val="left" w:leader="none"/>
              <w:tab w:pos="8349" w:val="left" w:leader="dot"/>
            </w:tabs>
            <w:spacing w:line="240" w:lineRule="auto" w:before="3" w:after="0"/>
            <w:ind w:left="1347" w:right="474" w:hanging="1348"/>
            <w:jc w:val="right"/>
            <w:rPr>
              <w:rFonts w:ascii="Times New Roman" w:eastAsia="Times New Roman"/>
            </w:rPr>
          </w:pPr>
          <w:hyperlink w:history="true" w:anchor="_bookmark98">
            <w:r>
              <w:rPr/>
              <w:t>建设项目的环境可行性总结</w:t>
              <w:tab/>
            </w:r>
            <w:r>
              <w:rPr>
                <w:rFonts w:ascii="Times New Roman" w:eastAsia="Times New Roman"/>
              </w:rPr>
              <w:t>203</w:t>
            </w:r>
          </w:hyperlink>
        </w:p>
      </w:sdtContent>
    </w:sdt>
    <w:p>
      <w:pPr>
        <w:spacing w:after="0" w:line="240" w:lineRule="auto"/>
        <w:jc w:val="right"/>
        <w:rPr>
          <w:rFonts w:ascii="Times New Roman" w:eastAsia="Times New Roman"/>
        </w:rPr>
        <w:sectPr>
          <w:type w:val="continuous"/>
          <w:pgSz w:w="11910" w:h="16840"/>
          <w:pgMar w:top="1360" w:bottom="1640" w:left="940" w:right="940"/>
        </w:sectPr>
      </w:pPr>
    </w:p>
    <w:p>
      <w:pPr>
        <w:pStyle w:val="Heading2"/>
        <w:numPr>
          <w:ilvl w:val="1"/>
          <w:numId w:val="4"/>
        </w:numPr>
        <w:tabs>
          <w:tab w:pos="928" w:val="left" w:leader="none"/>
        </w:tabs>
        <w:spacing w:line="240" w:lineRule="auto" w:before="742" w:after="0"/>
        <w:ind w:left="927" w:right="0" w:hanging="450"/>
        <w:jc w:val="left"/>
      </w:pPr>
      <w:bookmarkStart w:name="1.1项目由来" w:id="1"/>
      <w:bookmarkEnd w:id="1"/>
      <w:r>
        <w:rPr>
          <w:b w:val="0"/>
        </w:rPr>
      </w:r>
      <w:bookmarkStart w:name="_bookmark0" w:id="2"/>
      <w:bookmarkEnd w:id="2"/>
      <w:r>
        <w:rPr>
          <w:b w:val="0"/>
        </w:rPr>
      </w:r>
      <w:bookmarkStart w:name="_bookmark0" w:id="3"/>
      <w:bookmarkEnd w:id="3"/>
      <w:r>
        <w:rPr/>
        <w:t>项目由来</w:t>
      </w:r>
    </w:p>
    <w:p>
      <w:pPr>
        <w:pStyle w:val="Heading1"/>
        <w:numPr>
          <w:ilvl w:val="0"/>
          <w:numId w:val="5"/>
        </w:numPr>
        <w:tabs>
          <w:tab w:pos="791" w:val="left" w:leader="none"/>
        </w:tabs>
        <w:spacing w:line="240" w:lineRule="auto" w:before="41" w:after="0"/>
        <w:ind w:left="790" w:right="0" w:hanging="313"/>
        <w:jc w:val="left"/>
      </w:pPr>
      <w:bookmarkStart w:name="1.前言" w:id="4"/>
      <w:bookmarkEnd w:id="4"/>
      <w:r>
        <w:rPr>
          <w:b w:val="0"/>
        </w:rPr>
      </w:r>
      <w:bookmarkStart w:name="_bookmark1" w:id="5"/>
      <w:bookmarkEnd w:id="5"/>
      <w:r>
        <w:rPr>
          <w:b w:val="0"/>
        </w:rPr>
      </w:r>
      <w:bookmarkStart w:name="_bookmark1" w:id="6"/>
      <w:bookmarkEnd w:id="6"/>
      <w:r>
        <w:rPr>
          <w:spacing w:val="2"/>
          <w:w w:val="99"/>
        </w:rPr>
        <w:br w:type="column"/>
      </w:r>
      <w:r>
        <w:rPr/>
        <w:t>前言</w:t>
      </w:r>
    </w:p>
    <w:p>
      <w:pPr>
        <w:spacing w:after="0" w:line="240" w:lineRule="auto"/>
        <w:jc w:val="left"/>
        <w:sectPr>
          <w:footerReference w:type="default" r:id="rId5"/>
          <w:pgSz w:w="11910" w:h="16840"/>
          <w:pgMar w:footer="993" w:header="0" w:top="1360" w:bottom="1180" w:left="940" w:right="940"/>
          <w:pgNumType w:start="1"/>
          <w:cols w:num="2" w:equalWidth="0">
            <w:col w:w="2170" w:space="1848"/>
            <w:col w:w="6012"/>
          </w:cols>
        </w:sectPr>
      </w:pPr>
    </w:p>
    <w:p>
      <w:pPr>
        <w:pStyle w:val="BodyText"/>
        <w:spacing w:line="364" w:lineRule="auto" w:before="199"/>
        <w:ind w:left="478" w:right="477" w:firstLine="480"/>
        <w:jc w:val="both"/>
      </w:pPr>
      <w:r>
        <w:rPr>
          <w:spacing w:val="-2"/>
        </w:rPr>
        <w:t>双鸭山市东盛矿业集团有限公司</w:t>
      </w:r>
      <w:r>
        <w:rPr/>
        <w:t>（以下简称东盛煤矿</w:t>
      </w:r>
      <w:r>
        <w:rPr>
          <w:spacing w:val="-24"/>
        </w:rPr>
        <w:t>）</w:t>
      </w:r>
      <w:r>
        <w:rPr>
          <w:spacing w:val="-2"/>
        </w:rPr>
        <w:t>整合矿区范围位于双鸭山市</w:t>
      </w:r>
      <w:r>
        <w:rPr/>
        <w:t>岭东区长胜乡东兴村南</w:t>
      </w:r>
      <w:r>
        <w:rPr>
          <w:rFonts w:ascii="Times New Roman" w:eastAsia="Times New Roman"/>
        </w:rPr>
        <w:t>2.5km</w:t>
      </w:r>
      <w:r>
        <w:rPr/>
        <w:t>，行政区隶属于双鸭山市岭东区，地表林地划属双鸭山林业局定国山林场。</w:t>
      </w:r>
    </w:p>
    <w:p>
      <w:pPr>
        <w:pStyle w:val="BodyText"/>
        <w:spacing w:line="362" w:lineRule="auto"/>
        <w:ind w:left="478" w:right="412" w:firstLine="480"/>
      </w:pPr>
      <w:r>
        <w:rPr/>
        <w:t>东盛煤矿是岭东区一家私营性质的煤矿企业，原批准开采</w:t>
      </w:r>
      <w:r>
        <w:rPr>
          <w:rFonts w:ascii="Times New Roman" w:eastAsia="Times New Roman"/>
        </w:rPr>
        <w:t>10</w:t>
      </w:r>
      <w:r>
        <w:rPr/>
        <w:t>、</w:t>
      </w:r>
      <w:r>
        <w:rPr>
          <w:rFonts w:ascii="Times New Roman" w:eastAsia="Times New Roman"/>
        </w:rPr>
        <w:t>15</w:t>
      </w:r>
      <w:r>
        <w:rPr/>
        <w:t>、</w:t>
      </w:r>
      <w:r>
        <w:rPr>
          <w:rFonts w:ascii="Times New Roman" w:eastAsia="Times New Roman"/>
        </w:rPr>
        <w:t>20</w:t>
      </w:r>
      <w:r>
        <w:rPr/>
        <w:t>号三煤层，核定生产能力</w:t>
      </w:r>
      <w:r>
        <w:rPr>
          <w:rFonts w:ascii="Times New Roman" w:eastAsia="Times New Roman"/>
        </w:rPr>
        <w:t>4</w:t>
      </w:r>
      <w:r>
        <w:rPr/>
        <w:t>万</w:t>
      </w:r>
      <w:r>
        <w:rPr>
          <w:rFonts w:ascii="Times New Roman" w:eastAsia="Times New Roman"/>
        </w:rPr>
        <w:t>t/</w:t>
      </w:r>
      <w:r>
        <w:rPr/>
        <w:t>年，经济类型为私营企业，主要经营范围为原煤生产与销售。</w:t>
      </w:r>
    </w:p>
    <w:p>
      <w:pPr>
        <w:pStyle w:val="BodyText"/>
        <w:spacing w:line="364" w:lineRule="auto" w:before="4"/>
        <w:ind w:left="478" w:right="473" w:firstLine="480"/>
        <w:jc w:val="both"/>
      </w:pPr>
      <w:r>
        <w:rPr/>
        <w:t>东盛煤矿在</w:t>
      </w:r>
      <w:r>
        <w:rPr>
          <w:rFonts w:ascii="Times New Roman" w:hAnsi="Times New Roman" w:eastAsia="Times New Roman"/>
        </w:rPr>
        <w:t>“</w:t>
      </w:r>
      <w:r>
        <w:rPr/>
        <w:t>十二五</w:t>
      </w:r>
      <w:r>
        <w:rPr>
          <w:rFonts w:ascii="Times New Roman" w:hAnsi="Times New Roman" w:eastAsia="Times New Roman"/>
        </w:rPr>
        <w:t>”</w:t>
      </w:r>
      <w:r>
        <w:rPr>
          <w:spacing w:val="-1"/>
        </w:rPr>
        <w:t>期间规划与双鸭山市源丰煤矿资源整合</w:t>
      </w:r>
      <w:r>
        <w:rPr>
          <w:rFonts w:ascii="Times New Roman" w:hAnsi="Times New Roman" w:eastAsia="Times New Roman"/>
        </w:rPr>
        <w:t>30</w:t>
      </w:r>
      <w:r>
        <w:rPr/>
        <w:t>万</w:t>
      </w:r>
      <w:r>
        <w:rPr>
          <w:rFonts w:ascii="Times New Roman" w:hAnsi="Times New Roman" w:eastAsia="Times New Roman"/>
        </w:rPr>
        <w:t>t/a</w:t>
      </w:r>
      <w:r>
        <w:rPr>
          <w:spacing w:val="-6"/>
        </w:rPr>
        <w:t>的建设项目，已</w:t>
      </w:r>
      <w:r>
        <w:rPr>
          <w:spacing w:val="-5"/>
        </w:rPr>
        <w:t>经黑龙江省人民政府以《黑龙江省人民政府关于双鸭山市、牡丹江市、佳木斯市煤矿整</w:t>
      </w:r>
      <w:r>
        <w:rPr/>
        <w:t>顿关闭实施方案的批复》（黑政函〔</w:t>
      </w:r>
      <w:r>
        <w:rPr>
          <w:rFonts w:ascii="Times New Roman" w:hAnsi="Times New Roman" w:eastAsia="Times New Roman"/>
        </w:rPr>
        <w:t>2015</w:t>
      </w:r>
      <w:r>
        <w:rPr/>
        <w:t>〕</w:t>
      </w:r>
      <w:r>
        <w:rPr>
          <w:rFonts w:ascii="Times New Roman" w:hAnsi="Times New Roman" w:eastAsia="Times New Roman"/>
        </w:rPr>
        <w:t>76</w:t>
      </w:r>
      <w:r>
        <w:rPr/>
        <w:t>号）予以批复。</w:t>
      </w:r>
    </w:p>
    <w:p>
      <w:pPr>
        <w:pStyle w:val="BodyText"/>
        <w:spacing w:line="364" w:lineRule="auto"/>
        <w:ind w:left="478" w:right="471" w:firstLine="480"/>
        <w:jc w:val="both"/>
      </w:pPr>
      <w:r>
        <w:rPr>
          <w:rFonts w:ascii="Times New Roman" w:hAnsi="Times New Roman" w:eastAsia="Times New Roman"/>
        </w:rPr>
        <w:t>2019</w:t>
      </w:r>
      <w:r>
        <w:rPr>
          <w:spacing w:val="-9"/>
        </w:rPr>
        <w:t>年，因黑龙江省煤炭产业政策变化，淘汰落后产能化解过剩产能工作的不断深</w:t>
      </w:r>
      <w:r>
        <w:rPr>
          <w:spacing w:val="-3"/>
        </w:rPr>
        <w:t>入，东盛煤矿在本轮</w:t>
      </w:r>
      <w:r>
        <w:rPr>
          <w:rFonts w:ascii="Times New Roman" w:hAnsi="Times New Roman" w:eastAsia="Times New Roman"/>
        </w:rPr>
        <w:t>“</w:t>
      </w:r>
      <w:r>
        <w:rPr/>
        <w:t>淘化工作</w:t>
      </w:r>
      <w:r>
        <w:rPr>
          <w:rFonts w:ascii="Times New Roman" w:hAnsi="Times New Roman" w:eastAsia="Times New Roman"/>
        </w:rPr>
        <w:t>”</w:t>
      </w:r>
      <w:r>
        <w:rPr>
          <w:spacing w:val="-2"/>
        </w:rPr>
        <w:t>中继续推进资源整合项目。依据黑龙江省人民政府办公</w:t>
      </w:r>
      <w:r>
        <w:rPr/>
        <w:t>厅文件（黑政办规〔</w:t>
      </w:r>
      <w:r>
        <w:rPr>
          <w:rFonts w:ascii="Times New Roman" w:hAnsi="Times New Roman" w:eastAsia="Times New Roman"/>
        </w:rPr>
        <w:t>2019</w:t>
      </w:r>
      <w:r>
        <w:rPr/>
        <w:t>〕</w:t>
      </w:r>
      <w:r>
        <w:rPr>
          <w:rFonts w:ascii="Times New Roman" w:hAnsi="Times New Roman" w:eastAsia="Times New Roman"/>
        </w:rPr>
        <w:t>7</w:t>
      </w:r>
      <w:r>
        <w:rPr/>
        <w:t>号）文件和黑龙江省煤炭行业淘汰落后产能化解过剩产能</w:t>
      </w:r>
      <w:r>
        <w:rPr>
          <w:spacing w:val="-3"/>
        </w:rPr>
        <w:t>工作领导小组办公室</w:t>
      </w:r>
      <w:r>
        <w:rPr/>
        <w:t>（</w:t>
      </w:r>
      <w:r>
        <w:rPr>
          <w:spacing w:val="-5"/>
        </w:rPr>
        <w:t>黑煤整治办〔</w:t>
      </w:r>
      <w:r>
        <w:rPr>
          <w:rFonts w:ascii="Times New Roman" w:hAnsi="Times New Roman" w:eastAsia="Times New Roman"/>
        </w:rPr>
        <w:t>2019</w:t>
      </w:r>
      <w:r>
        <w:rPr>
          <w:spacing w:val="-24"/>
        </w:rPr>
        <w:t>〕</w:t>
      </w:r>
      <w:r>
        <w:rPr>
          <w:rFonts w:ascii="Times New Roman" w:hAnsi="Times New Roman" w:eastAsia="Times New Roman"/>
        </w:rPr>
        <w:t>17</w:t>
      </w:r>
      <w:r>
        <w:rPr/>
        <w:t>号</w:t>
      </w:r>
      <w:r>
        <w:rPr>
          <w:spacing w:val="-27"/>
        </w:rPr>
        <w:t>）</w:t>
      </w:r>
      <w:r>
        <w:rPr>
          <w:spacing w:val="-5"/>
        </w:rPr>
        <w:t>文件要求，东盛煤矿对</w:t>
      </w:r>
      <w:r>
        <w:rPr>
          <w:rFonts w:ascii="Times New Roman" w:hAnsi="Times New Roman" w:eastAsia="Times New Roman"/>
        </w:rPr>
        <w:t>10#</w:t>
      </w:r>
      <w:r>
        <w:rPr>
          <w:spacing w:val="-24"/>
        </w:rPr>
        <w:t>、</w:t>
      </w:r>
      <w:r>
        <w:rPr>
          <w:rFonts w:ascii="Times New Roman" w:hAnsi="Times New Roman" w:eastAsia="Times New Roman"/>
        </w:rPr>
        <w:t>20#</w:t>
      </w:r>
      <w:r>
        <w:rPr>
          <w:spacing w:val="-24"/>
        </w:rPr>
        <w:t>、</w:t>
      </w:r>
      <w:r>
        <w:rPr>
          <w:rFonts w:ascii="Times New Roman" w:hAnsi="Times New Roman" w:eastAsia="Times New Roman"/>
          <w:spacing w:val="-6"/>
        </w:rPr>
        <w:t>30# </w:t>
      </w:r>
      <w:r>
        <w:rPr/>
        <w:t>三个煤层进行扩界，并调整开采标高，资源整合设计生产能力</w:t>
      </w:r>
      <w:r>
        <w:rPr>
          <w:rFonts w:ascii="Times New Roman" w:hAnsi="Times New Roman" w:eastAsia="Times New Roman"/>
        </w:rPr>
        <w:t>30</w:t>
      </w:r>
      <w:r>
        <w:rPr/>
        <w:t>万</w:t>
      </w:r>
      <w:r>
        <w:rPr>
          <w:rFonts w:ascii="Times New Roman" w:hAnsi="Times New Roman" w:eastAsia="Times New Roman"/>
        </w:rPr>
        <w:t>t/a</w:t>
      </w:r>
      <w:r>
        <w:rPr/>
        <w:t>。</w:t>
      </w:r>
    </w:p>
    <w:p>
      <w:pPr>
        <w:pStyle w:val="BodyText"/>
        <w:spacing w:line="364" w:lineRule="auto"/>
        <w:ind w:left="478" w:right="476" w:firstLine="480"/>
        <w:jc w:val="both"/>
      </w:pPr>
      <w:r>
        <w:rPr/>
        <w:t>东盛煤矿资源整合项目规划已经黑龙江省煤炭行业淘汰落后产能化解过剩产能专项整治工作领导小组办公室以《关于全省</w:t>
      </w:r>
      <w:r>
        <w:rPr>
          <w:rFonts w:ascii="Times New Roman" w:eastAsia="Times New Roman"/>
        </w:rPr>
        <w:t>167</w:t>
      </w:r>
      <w:r>
        <w:rPr/>
        <w:t>处煤矿进入规划升级改造核准程序名单的批复》（黑煤整治办发</w:t>
      </w:r>
      <w:r>
        <w:rPr>
          <w:rFonts w:ascii="Times New Roman" w:eastAsia="Times New Roman"/>
        </w:rPr>
        <w:t>2020</w:t>
      </w:r>
      <w:r>
        <w:rPr/>
        <w:t>〕</w:t>
      </w:r>
      <w:r>
        <w:rPr>
          <w:rFonts w:ascii="Times New Roman" w:eastAsia="Times New Roman"/>
        </w:rPr>
        <w:t>7</w:t>
      </w:r>
      <w:r>
        <w:rPr/>
        <w:t>号）予以批复。</w:t>
      </w:r>
    </w:p>
    <w:p>
      <w:pPr>
        <w:pStyle w:val="BodyText"/>
        <w:spacing w:line="364" w:lineRule="auto"/>
        <w:ind w:left="478" w:right="353" w:firstLine="480"/>
      </w:pPr>
      <w:r>
        <w:rPr/>
        <w:t>黑龙江三兴工程有限责任公司于</w:t>
      </w:r>
      <w:r>
        <w:rPr>
          <w:rFonts w:ascii="Times New Roman" w:hAnsi="Times New Roman" w:eastAsia="Times New Roman"/>
        </w:rPr>
        <w:t>2018</w:t>
      </w:r>
      <w:r>
        <w:rPr/>
        <w:t>年</w:t>
      </w:r>
      <w:r>
        <w:rPr>
          <w:rFonts w:ascii="Times New Roman" w:hAnsi="Times New Roman" w:eastAsia="Times New Roman"/>
        </w:rPr>
        <w:t>8</w:t>
      </w:r>
      <w:r>
        <w:rPr/>
        <w:t>月对东盛矿业集团有限公司整合矿区范围的各煤层进行了煤炭资源储量核实工作，于</w:t>
      </w:r>
      <w:r>
        <w:rPr>
          <w:rFonts w:ascii="Times New Roman" w:hAnsi="Times New Roman" w:eastAsia="Times New Roman"/>
        </w:rPr>
        <w:t>2019</w:t>
      </w:r>
      <w:r>
        <w:rPr/>
        <w:t>年</w:t>
      </w:r>
      <w:r>
        <w:rPr>
          <w:rFonts w:ascii="Times New Roman" w:hAnsi="Times New Roman" w:eastAsia="Times New Roman"/>
        </w:rPr>
        <w:t>8</w:t>
      </w:r>
      <w:r>
        <w:rPr/>
        <w:t>月提交的编制了《黑龙江省双鸭山市</w:t>
      </w:r>
      <w:r>
        <w:rPr>
          <w:rFonts w:ascii="Times New Roman" w:hAnsi="Times New Roman" w:eastAsia="Times New Roman"/>
        </w:rPr>
        <w:t>(</w:t>
      </w:r>
      <w:r>
        <w:rPr/>
        <w:t>岭东矿区</w:t>
      </w:r>
      <w:r>
        <w:rPr>
          <w:rFonts w:ascii="Times New Roman" w:hAnsi="Times New Roman" w:eastAsia="Times New Roman"/>
        </w:rPr>
        <w:t>)</w:t>
      </w:r>
      <w:r>
        <w:rPr/>
        <w:t>东盛矿业集团有限公司（整合矿区范围）煤炭资源储量核实报告》。编制的核实报告于</w:t>
      </w:r>
      <w:r>
        <w:rPr>
          <w:rFonts w:ascii="Times New Roman" w:hAnsi="Times New Roman" w:eastAsia="Times New Roman"/>
        </w:rPr>
        <w:t>2020</w:t>
      </w:r>
      <w:r>
        <w:rPr/>
        <w:t>年</w:t>
      </w:r>
      <w:r>
        <w:rPr>
          <w:rFonts w:ascii="Times New Roman" w:hAnsi="Times New Roman" w:eastAsia="Times New Roman"/>
        </w:rPr>
        <w:t>6</w:t>
      </w:r>
      <w:r>
        <w:rPr/>
        <w:t>月</w:t>
      </w:r>
      <w:r>
        <w:rPr>
          <w:rFonts w:ascii="Times New Roman" w:hAnsi="Times New Roman" w:eastAsia="Times New Roman"/>
        </w:rPr>
        <w:t>14</w:t>
      </w:r>
      <w:r>
        <w:rPr/>
        <w:t>日由双鸭山市储量评审中心召开专家评审会议，以（双矿储</w:t>
      </w:r>
      <w:r>
        <w:rPr>
          <w:spacing w:val="-27"/>
        </w:rPr>
        <w:t>评字〔</w:t>
      </w:r>
      <w:r>
        <w:rPr>
          <w:rFonts w:ascii="Times New Roman" w:hAnsi="Times New Roman" w:eastAsia="Times New Roman"/>
        </w:rPr>
        <w:t>2020</w:t>
      </w:r>
      <w:r>
        <w:rPr>
          <w:spacing w:val="-80"/>
        </w:rPr>
        <w:t>〕</w:t>
      </w:r>
      <w:r>
        <w:rPr>
          <w:rFonts w:ascii="Times New Roman" w:hAnsi="Times New Roman" w:eastAsia="Times New Roman"/>
        </w:rPr>
        <w:t>028</w:t>
      </w:r>
      <w:r>
        <w:rPr/>
        <w:t>号</w:t>
      </w:r>
      <w:r>
        <w:rPr>
          <w:spacing w:val="-80"/>
        </w:rPr>
        <w:t>）</w:t>
      </w:r>
      <w:r>
        <w:rPr>
          <w:spacing w:val="-9"/>
        </w:rPr>
        <w:t>下达了评审意见书。双鸭山市自然资源局以</w:t>
      </w:r>
      <w:r>
        <w:rPr>
          <w:rFonts w:ascii="Times New Roman" w:hAnsi="Times New Roman" w:eastAsia="Times New Roman"/>
        </w:rPr>
        <w:t>“</w:t>
      </w:r>
      <w:r>
        <w:rPr>
          <w:spacing w:val="-10"/>
        </w:rPr>
        <w:t>双自然资储备字〔</w:t>
      </w:r>
      <w:r>
        <w:rPr>
          <w:rFonts w:ascii="Times New Roman" w:hAnsi="Times New Roman" w:eastAsia="Times New Roman"/>
        </w:rPr>
        <w:t>2020</w:t>
      </w:r>
      <w:r>
        <w:rPr>
          <w:spacing w:val="-12"/>
        </w:rPr>
        <w:t>〕</w:t>
      </w:r>
      <w:r>
        <w:rPr>
          <w:rFonts w:ascii="Times New Roman" w:hAnsi="Times New Roman" w:eastAsia="Times New Roman"/>
        </w:rPr>
        <w:t>027</w:t>
      </w:r>
      <w:r>
        <w:rPr/>
        <w:t>号</w:t>
      </w:r>
      <w:r>
        <w:rPr>
          <w:rFonts w:ascii="Times New Roman" w:hAnsi="Times New Roman" w:eastAsia="Times New Roman"/>
        </w:rPr>
        <w:t>”</w:t>
      </w:r>
      <w:r>
        <w:rPr>
          <w:spacing w:val="-2"/>
        </w:rPr>
        <w:t>下达了矿产资源储量备案核收证明，备案截止日期为</w:t>
      </w:r>
      <w:r>
        <w:rPr>
          <w:rFonts w:ascii="Times New Roman" w:hAnsi="Times New Roman" w:eastAsia="Times New Roman"/>
        </w:rPr>
        <w:t>2018</w:t>
      </w:r>
      <w:r>
        <w:rPr/>
        <w:t>年</w:t>
      </w:r>
      <w:r>
        <w:rPr>
          <w:rFonts w:ascii="Times New Roman" w:hAnsi="Times New Roman" w:eastAsia="Times New Roman"/>
        </w:rPr>
        <w:t>12</w:t>
      </w:r>
      <w:r>
        <w:rPr/>
        <w:t>月</w:t>
      </w:r>
      <w:r>
        <w:rPr>
          <w:rFonts w:ascii="Times New Roman" w:hAnsi="Times New Roman" w:eastAsia="Times New Roman"/>
        </w:rPr>
        <w:t>31</w:t>
      </w:r>
      <w:r>
        <w:rPr>
          <w:spacing w:val="-5"/>
        </w:rPr>
        <w:t>日，矿井保有煤炭资源储量</w:t>
      </w:r>
      <w:r>
        <w:rPr>
          <w:rFonts w:ascii="Times New Roman" w:hAnsi="Times New Roman" w:eastAsia="Times New Roman"/>
          <w:spacing w:val="-5"/>
        </w:rPr>
        <w:t>941.15</w:t>
      </w:r>
      <w:r>
        <w:rPr>
          <w:spacing w:val="-8"/>
        </w:rPr>
        <w:t>万吨，其中：</w:t>
      </w:r>
      <w:r>
        <w:rPr>
          <w:rFonts w:ascii="Times New Roman" w:hAnsi="Times New Roman" w:eastAsia="Times New Roman"/>
          <w:spacing w:val="-8"/>
        </w:rPr>
        <w:t>331</w:t>
      </w:r>
      <w:r>
        <w:rPr/>
        <w:t>资源储量</w:t>
      </w:r>
      <w:r>
        <w:rPr>
          <w:rFonts w:ascii="Times New Roman" w:hAnsi="Times New Roman" w:eastAsia="Times New Roman"/>
        </w:rPr>
        <w:t>78.85</w:t>
      </w:r>
      <w:r>
        <w:rPr>
          <w:spacing w:val="-3"/>
        </w:rPr>
        <w:t>万吨，</w:t>
      </w:r>
      <w:r>
        <w:rPr>
          <w:rFonts w:ascii="Times New Roman" w:hAnsi="Times New Roman" w:eastAsia="Times New Roman"/>
          <w:spacing w:val="-7"/>
        </w:rPr>
        <w:t>332</w:t>
      </w:r>
      <w:r>
        <w:rPr/>
        <w:t>资源储量</w:t>
      </w:r>
      <w:r>
        <w:rPr>
          <w:rFonts w:ascii="Times New Roman" w:hAnsi="Times New Roman" w:eastAsia="Times New Roman"/>
        </w:rPr>
        <w:t>356.41</w:t>
      </w:r>
      <w:r>
        <w:rPr>
          <w:spacing w:val="-3"/>
        </w:rPr>
        <w:t>万吨，</w:t>
      </w:r>
      <w:r>
        <w:rPr>
          <w:rFonts w:ascii="Times New Roman" w:hAnsi="Times New Roman" w:eastAsia="Times New Roman"/>
          <w:spacing w:val="-8"/>
        </w:rPr>
        <w:t>333 </w:t>
      </w:r>
      <w:r>
        <w:rPr/>
        <w:t>资源储量</w:t>
      </w:r>
      <w:r>
        <w:rPr>
          <w:rFonts w:ascii="Times New Roman" w:hAnsi="Times New Roman" w:eastAsia="Times New Roman"/>
        </w:rPr>
        <w:t>505.89</w:t>
      </w:r>
      <w:r>
        <w:rPr/>
        <w:t>万吨。</w:t>
      </w:r>
    </w:p>
    <w:p>
      <w:pPr>
        <w:pStyle w:val="BodyText"/>
        <w:spacing w:line="364" w:lineRule="auto"/>
        <w:ind w:left="478" w:right="473" w:firstLine="480"/>
        <w:jc w:val="both"/>
      </w:pPr>
      <w:r>
        <w:rPr/>
        <w:t>根据国土资源部</w:t>
      </w:r>
      <w:r>
        <w:rPr>
          <w:rFonts w:ascii="Times New Roman" w:hAnsi="Times New Roman" w:eastAsia="Times New Roman"/>
          <w:spacing w:val="3"/>
        </w:rPr>
        <w:t>“</w:t>
      </w:r>
      <w:r>
        <w:rPr/>
        <w:t>国土资发〔</w:t>
      </w:r>
      <w:r>
        <w:rPr>
          <w:rFonts w:ascii="Times New Roman" w:hAnsi="Times New Roman" w:eastAsia="Times New Roman"/>
        </w:rPr>
        <w:t>1999</w:t>
      </w:r>
      <w:r>
        <w:rPr/>
        <w:t>〕</w:t>
      </w:r>
      <w:r>
        <w:rPr>
          <w:rFonts w:ascii="Times New Roman" w:hAnsi="Times New Roman" w:eastAsia="Times New Roman"/>
        </w:rPr>
        <w:t>98</w:t>
      </w:r>
      <w:r>
        <w:rPr/>
        <w:t>号</w:t>
      </w:r>
      <w:r>
        <w:rPr>
          <w:rFonts w:ascii="Times New Roman" w:hAnsi="Times New Roman" w:eastAsia="Times New Roman"/>
          <w:spacing w:val="3"/>
        </w:rPr>
        <w:t>”</w:t>
      </w:r>
      <w:r>
        <w:rPr/>
        <w:t>文件要求：</w:t>
      </w:r>
      <w:r>
        <w:rPr>
          <w:rFonts w:ascii="Times New Roman" w:hAnsi="Times New Roman" w:eastAsia="Times New Roman"/>
          <w:spacing w:val="3"/>
        </w:rPr>
        <w:t>“</w:t>
      </w:r>
      <w:r>
        <w:rPr/>
        <w:t>凡新建或改扩建矿井申请采</w:t>
      </w:r>
      <w:r>
        <w:rPr>
          <w:spacing w:val="-7"/>
        </w:rPr>
        <w:t>矿权时，申请人必须按编写内容的要求编写开发利用方案，采矿登记管理机关必须按照</w:t>
      </w:r>
      <w:r>
        <w:rPr>
          <w:spacing w:val="-4"/>
        </w:rPr>
        <w:t>审查大纲的要求对开发利用方案进行审查，并将其作为采矿权授予中必经的、重要的程</w:t>
      </w:r>
    </w:p>
    <w:p>
      <w:pPr>
        <w:spacing w:after="0" w:line="364" w:lineRule="auto"/>
        <w:jc w:val="both"/>
        <w:sectPr>
          <w:type w:val="continuous"/>
          <w:pgSz w:w="11910" w:h="16840"/>
          <w:pgMar w:top="1580" w:bottom="280" w:left="940" w:right="940"/>
        </w:sectPr>
      </w:pPr>
    </w:p>
    <w:p>
      <w:pPr>
        <w:pStyle w:val="BodyText"/>
        <w:spacing w:line="364" w:lineRule="auto" w:before="61"/>
        <w:ind w:left="478" w:right="477"/>
        <w:jc w:val="both"/>
      </w:pPr>
      <w:r>
        <w:rPr/>
        <w:t>序，纳入采矿权审批的内容管理责任制中</w:t>
      </w:r>
      <w:r>
        <w:rPr>
          <w:rFonts w:ascii="Times New Roman" w:hAnsi="Times New Roman" w:eastAsia="Times New Roman"/>
          <w:spacing w:val="3"/>
        </w:rPr>
        <w:t>”</w:t>
      </w:r>
      <w:r>
        <w:rPr/>
        <w:t>。东盛煤矿为了取得资源整合扩储后矿区范</w:t>
      </w:r>
      <w:r>
        <w:rPr>
          <w:spacing w:val="-6"/>
        </w:rPr>
        <w:t>围的采矿权，合理规划矿井后续开采方案，为开采监管提供依据，并作为矿业权价款评估的经济技术依据，特委托辽宁盛达工程设计咨询有限公司编制《双鸭山市东盛矿业集</w:t>
      </w:r>
      <w:r>
        <w:rPr/>
        <w:t>团有限公司资源整合矿产资源开发利用方案》。</w:t>
      </w:r>
    </w:p>
    <w:p>
      <w:pPr>
        <w:pStyle w:val="BodyText"/>
        <w:spacing w:line="364" w:lineRule="auto"/>
        <w:ind w:left="478" w:right="471" w:firstLine="480"/>
        <w:jc w:val="both"/>
      </w:pPr>
      <w:r>
        <w:rPr>
          <w:spacing w:val="-5"/>
        </w:rPr>
        <w:t>矿井采用斜井开拓方式，采用采煤机落煤、机械化开采采煤工艺，采煤方法采用走向长壁后退式普通机械化开采、自然冒落法管理顶板，根据矿区地质构造、煤层走向及</w:t>
      </w:r>
      <w:r>
        <w:rPr>
          <w:spacing w:val="-4"/>
        </w:rPr>
        <w:t>倾角和现有储量及矿井生产现状，矿井采用单水平上下山开拓，将矿井每个煤层划分为</w:t>
      </w:r>
      <w:r>
        <w:rPr>
          <w:rFonts w:ascii="Times New Roman" w:eastAsia="Times New Roman"/>
        </w:rPr>
        <w:t>4</w:t>
      </w:r>
      <w:r>
        <w:rPr>
          <w:spacing w:val="-5"/>
        </w:rPr>
        <w:t>个采区。</w:t>
      </w:r>
      <w:r>
        <w:rPr>
          <w:rFonts w:ascii="Times New Roman" w:eastAsia="Times New Roman"/>
        </w:rPr>
        <w:t>10</w:t>
      </w:r>
      <w:r>
        <w:rPr/>
        <w:t>煤层</w:t>
      </w:r>
      <w:r>
        <w:rPr>
          <w:rFonts w:ascii="Times New Roman" w:eastAsia="Times New Roman"/>
        </w:rPr>
        <w:t>-65.0m</w:t>
      </w:r>
      <w:r>
        <w:rPr/>
        <w:t>标高划分为</w:t>
      </w:r>
      <w:r>
        <w:rPr>
          <w:rFonts w:ascii="Times New Roman" w:eastAsia="Times New Roman"/>
        </w:rPr>
        <w:t>10</w:t>
      </w:r>
      <w:r>
        <w:rPr>
          <w:spacing w:val="-1"/>
        </w:rPr>
        <w:t>煤层一采区，</w:t>
      </w:r>
      <w:r>
        <w:rPr>
          <w:rFonts w:ascii="Times New Roman" w:eastAsia="Times New Roman"/>
          <w:spacing w:val="-5"/>
        </w:rPr>
        <w:t>-110m</w:t>
      </w:r>
      <w:r>
        <w:rPr/>
        <w:t>标高设水平运输大巷将</w:t>
      </w:r>
      <w:r>
        <w:rPr>
          <w:rFonts w:ascii="Times New Roman" w:eastAsia="Times New Roman"/>
        </w:rPr>
        <w:t>10</w:t>
      </w:r>
      <w:r>
        <w:rPr>
          <w:spacing w:val="-8"/>
        </w:rPr>
        <w:t>煤层</w:t>
      </w:r>
      <w:r>
        <w:rPr/>
        <w:t>划分为三个采区；</w:t>
      </w:r>
      <w:r>
        <w:rPr>
          <w:rFonts w:ascii="Times New Roman" w:eastAsia="Times New Roman"/>
        </w:rPr>
        <w:t>20</w:t>
      </w:r>
      <w:r>
        <w:rPr/>
        <w:t>煤层划分四个采区，采区间通过</w:t>
      </w:r>
      <w:r>
        <w:rPr>
          <w:rFonts w:ascii="Times New Roman" w:eastAsia="Times New Roman"/>
        </w:rPr>
        <w:t>-110m</w:t>
      </w:r>
      <w:r>
        <w:rPr/>
        <w:t>水平布置运输大巷联络。其</w:t>
      </w:r>
      <w:r>
        <w:rPr>
          <w:spacing w:val="-7"/>
        </w:rPr>
        <w:t>中一采区、二采区、三采区分层布置；四采区采用联合布置采区运输、回风上山布置在</w:t>
      </w:r>
      <w:r>
        <w:rPr>
          <w:rFonts w:ascii="Times New Roman" w:eastAsia="Times New Roman"/>
        </w:rPr>
        <w:t>20</w:t>
      </w:r>
      <w:r>
        <w:rPr>
          <w:spacing w:val="-4"/>
        </w:rPr>
        <w:t>煤层中，通过石门联络</w:t>
      </w:r>
      <w:r>
        <w:rPr>
          <w:rFonts w:ascii="Times New Roman" w:eastAsia="Times New Roman"/>
        </w:rPr>
        <w:t>10</w:t>
      </w:r>
      <w:r>
        <w:rPr>
          <w:spacing w:val="-4"/>
        </w:rPr>
        <w:t>煤层。改扩建后矿井生产能力为</w:t>
      </w:r>
      <w:r>
        <w:rPr>
          <w:rFonts w:ascii="Times New Roman" w:eastAsia="Times New Roman"/>
        </w:rPr>
        <w:t>30</w:t>
      </w:r>
      <w:r>
        <w:rPr/>
        <w:t>万</w:t>
      </w:r>
      <w:r>
        <w:rPr>
          <w:rFonts w:ascii="Times New Roman" w:eastAsia="Times New Roman"/>
          <w:spacing w:val="-5"/>
        </w:rPr>
        <w:t>t/a</w:t>
      </w:r>
      <w:r>
        <w:rPr>
          <w:spacing w:val="-2"/>
        </w:rPr>
        <w:t>，截止日期为</w:t>
      </w:r>
      <w:r>
        <w:rPr>
          <w:rFonts w:ascii="Times New Roman" w:eastAsia="Times New Roman"/>
        </w:rPr>
        <w:t>2018</w:t>
      </w:r>
      <w:r>
        <w:rPr>
          <w:spacing w:val="-12"/>
        </w:rPr>
        <w:t>年</w:t>
      </w:r>
    </w:p>
    <w:p>
      <w:pPr>
        <w:pStyle w:val="BodyText"/>
        <w:spacing w:line="364" w:lineRule="auto"/>
        <w:ind w:left="478" w:right="353"/>
      </w:pPr>
      <w:r>
        <w:rPr>
          <w:rFonts w:ascii="Times New Roman" w:eastAsia="Times New Roman"/>
        </w:rPr>
        <w:t>12</w:t>
      </w:r>
      <w:r>
        <w:rPr/>
        <w:t>月</w:t>
      </w:r>
      <w:r>
        <w:rPr>
          <w:rFonts w:ascii="Times New Roman" w:eastAsia="Times New Roman"/>
        </w:rPr>
        <w:t>31</w:t>
      </w:r>
      <w:r>
        <w:rPr>
          <w:spacing w:val="-4"/>
        </w:rPr>
        <w:t>日，矿井保有煤炭资源储量</w:t>
      </w:r>
      <w:r>
        <w:rPr>
          <w:rFonts w:ascii="Times New Roman" w:eastAsia="Times New Roman"/>
        </w:rPr>
        <w:t>941.15</w:t>
      </w:r>
      <w:r>
        <w:rPr>
          <w:spacing w:val="-4"/>
        </w:rPr>
        <w:t>万吨，其中：</w:t>
      </w:r>
      <w:r>
        <w:rPr>
          <w:rFonts w:ascii="Times New Roman" w:eastAsia="Times New Roman"/>
          <w:spacing w:val="-4"/>
        </w:rPr>
        <w:t>331</w:t>
      </w:r>
      <w:r>
        <w:rPr/>
        <w:t>资源储量</w:t>
      </w:r>
      <w:r>
        <w:rPr>
          <w:rFonts w:ascii="Times New Roman" w:eastAsia="Times New Roman"/>
        </w:rPr>
        <w:t>78.85</w:t>
      </w:r>
      <w:r>
        <w:rPr>
          <w:spacing w:val="-2"/>
        </w:rPr>
        <w:t>万吨，</w:t>
      </w:r>
      <w:r>
        <w:rPr>
          <w:rFonts w:ascii="Times New Roman" w:eastAsia="Times New Roman"/>
          <w:spacing w:val="-4"/>
        </w:rPr>
        <w:t>332</w:t>
      </w:r>
      <w:r>
        <w:rPr/>
        <w:t>资源储量</w:t>
      </w:r>
      <w:r>
        <w:rPr>
          <w:rFonts w:ascii="Times New Roman" w:eastAsia="Times New Roman"/>
        </w:rPr>
        <w:t>356.41</w:t>
      </w:r>
      <w:r>
        <w:rPr>
          <w:spacing w:val="-5"/>
        </w:rPr>
        <w:t>万吨，</w:t>
      </w:r>
      <w:r>
        <w:rPr>
          <w:rFonts w:ascii="Times New Roman" w:eastAsia="Times New Roman"/>
          <w:spacing w:val="-14"/>
        </w:rPr>
        <w:t>333</w:t>
      </w:r>
      <w:r>
        <w:rPr/>
        <w:t>资源储量</w:t>
      </w:r>
      <w:r>
        <w:rPr>
          <w:rFonts w:ascii="Times New Roman" w:eastAsia="Times New Roman"/>
        </w:rPr>
        <w:t>505.89</w:t>
      </w:r>
      <w:r>
        <w:rPr>
          <w:spacing w:val="-9"/>
        </w:rPr>
        <w:t>万吨，可采储量</w:t>
      </w:r>
      <w:r>
        <w:rPr>
          <w:rFonts w:ascii="Times New Roman" w:eastAsia="Times New Roman"/>
        </w:rPr>
        <w:t>584.05</w:t>
      </w:r>
      <w:r>
        <w:rPr>
          <w:spacing w:val="-8"/>
        </w:rPr>
        <w:t>万吨，矿井服务年限为</w:t>
      </w:r>
      <w:r>
        <w:rPr>
          <w:rFonts w:ascii="Times New Roman" w:eastAsia="Times New Roman"/>
          <w:spacing w:val="-4"/>
        </w:rPr>
        <w:t>13.9a</w:t>
      </w:r>
      <w:r>
        <w:rPr>
          <w:spacing w:val="-4"/>
        </w:rPr>
        <w:t>， 矿井改扩建后服务年限满足《煤炭工业矿井设计规范》中关于改扩建矿井服务年限的规定。本项目建设总投资</w:t>
      </w:r>
      <w:r>
        <w:rPr>
          <w:rFonts w:ascii="Times New Roman" w:eastAsia="Times New Roman"/>
          <w:spacing w:val="-4"/>
        </w:rPr>
        <w:t>11358.62</w:t>
      </w:r>
      <w:r>
        <w:rPr>
          <w:spacing w:val="-4"/>
        </w:rPr>
        <w:t>万元（含铺底流动资金</w:t>
      </w:r>
      <w:r>
        <w:rPr>
          <w:rFonts w:ascii="Times New Roman" w:eastAsia="Times New Roman"/>
          <w:spacing w:val="-4"/>
        </w:rPr>
        <w:t>138.62</w:t>
      </w:r>
      <w:r>
        <w:rPr>
          <w:spacing w:val="-4"/>
        </w:rPr>
        <w:t>万元）</w:t>
      </w:r>
    </w:p>
    <w:p>
      <w:pPr>
        <w:pStyle w:val="BodyText"/>
        <w:spacing w:line="364" w:lineRule="auto"/>
        <w:ind w:left="478" w:right="425" w:firstLine="480"/>
        <w:jc w:val="both"/>
      </w:pPr>
      <w:r>
        <w:rPr>
          <w:spacing w:val="-8"/>
        </w:rPr>
        <w:t>根据《中华人民共和国环境保护法》和国务院第 </w:t>
      </w:r>
      <w:r>
        <w:rPr>
          <w:rFonts w:ascii="Times New Roman" w:eastAsia="Times New Roman"/>
        </w:rPr>
        <w:t>253 </w:t>
      </w:r>
      <w:r>
        <w:rPr>
          <w:spacing w:val="-4"/>
        </w:rPr>
        <w:t>号令《建设项目环境保护管理</w:t>
      </w:r>
      <w:r>
        <w:rPr>
          <w:spacing w:val="-8"/>
        </w:rPr>
        <w:t>条例》中有关规定，受双鸭山市东盛矿业集团有限公司的委托，黑龙江科大欣欣环保科</w:t>
      </w:r>
      <w:r>
        <w:rPr>
          <w:spacing w:val="-9"/>
        </w:rPr>
        <w:t>技有限公司承担了双鸭山市东盛矿业集团有限公司资源整合项目的环境影响评价工作。</w:t>
      </w:r>
      <w:r>
        <w:rPr>
          <w:spacing w:val="-7"/>
        </w:rPr>
        <w:t>接受委托后，评价单位组成了课题组，课题组评价人员对现场进行了实地踏查并收集了</w:t>
      </w:r>
      <w:r>
        <w:rPr>
          <w:spacing w:val="-10"/>
        </w:rPr>
        <w:t>相关资料，经工程分析、环境影响识别等工作，按照环境影响评价导则以及国家、地方的有关环境保护法律、法规的规定，制定了环境影响评价工作方案。</w:t>
      </w:r>
    </w:p>
    <w:p>
      <w:pPr>
        <w:pStyle w:val="BodyText"/>
        <w:spacing w:line="364" w:lineRule="auto"/>
        <w:ind w:left="478" w:right="425" w:firstLine="480"/>
        <w:jc w:val="both"/>
      </w:pPr>
      <w:r>
        <w:rPr/>
        <w:t>根据环境影响评价工作方案确定的工作内容，评价单位进行了公众参与以及污染源调查。课题组经过资料整理、模式计算及统计分析，编制出该工程的环境影响报告书， 现提交主管部门及与会专家审查。</w:t>
      </w:r>
    </w:p>
    <w:p>
      <w:pPr>
        <w:pStyle w:val="BodyText"/>
        <w:spacing w:line="362" w:lineRule="auto"/>
        <w:ind w:left="478" w:right="414" w:firstLine="480"/>
      </w:pPr>
      <w:r>
        <w:rPr/>
        <w:t>在报告书编制过程中，</w:t>
      </w:r>
      <w:hyperlink r:id="rId6">
        <w:r>
          <w:rPr/>
          <w:t>得到了双鸭山市生态环境局</w:t>
        </w:r>
      </w:hyperlink>
      <w:r>
        <w:rPr/>
        <w:t>等单位的热情支持和指导，以及建设单位双鸭山市东盛矿业集团有限公司的积极协助与支持，在此一并表示感谢。</w:t>
      </w:r>
    </w:p>
    <w:p>
      <w:pPr>
        <w:pStyle w:val="Heading2"/>
        <w:numPr>
          <w:ilvl w:val="1"/>
          <w:numId w:val="4"/>
        </w:numPr>
        <w:tabs>
          <w:tab w:pos="928" w:val="left" w:leader="none"/>
        </w:tabs>
        <w:spacing w:line="240" w:lineRule="auto" w:before="0" w:after="0"/>
        <w:ind w:left="927" w:right="0" w:hanging="450"/>
        <w:jc w:val="left"/>
      </w:pPr>
      <w:bookmarkStart w:name="1.2建设项目特点" w:id="7"/>
      <w:bookmarkEnd w:id="7"/>
      <w:r>
        <w:rPr>
          <w:b w:val="0"/>
        </w:rPr>
      </w:r>
      <w:bookmarkStart w:name="_bookmark2" w:id="8"/>
      <w:bookmarkEnd w:id="8"/>
      <w:r>
        <w:rPr>
          <w:b w:val="0"/>
        </w:rPr>
      </w:r>
      <w:bookmarkStart w:name="_bookmark2" w:id="9"/>
      <w:bookmarkEnd w:id="9"/>
      <w:r>
        <w:rPr/>
        <w:t>建设项目特点</w:t>
      </w:r>
    </w:p>
    <w:p>
      <w:pPr>
        <w:pStyle w:val="BodyText"/>
        <w:spacing w:line="364" w:lineRule="auto" w:before="192"/>
        <w:ind w:left="478" w:right="476" w:firstLine="480"/>
      </w:pPr>
      <w:r>
        <w:rPr/>
        <w:t>双鸭山市东盛矿业集团有限公司整合矿区范围位于双鸭山市岭东区长胜乡东兴村南 </w:t>
      </w:r>
      <w:r>
        <w:rPr>
          <w:rFonts w:ascii="Times New Roman" w:eastAsia="Times New Roman"/>
        </w:rPr>
        <w:t>2.5km</w:t>
      </w:r>
      <w:r>
        <w:rPr/>
        <w:t>，资源整合后矿井生产能力为 </w:t>
      </w:r>
      <w:r>
        <w:rPr>
          <w:rFonts w:ascii="Times New Roman" w:eastAsia="Times New Roman"/>
        </w:rPr>
        <w:t>30 </w:t>
      </w:r>
      <w:r>
        <w:rPr/>
        <w:t>万 </w:t>
      </w:r>
      <w:r>
        <w:rPr>
          <w:rFonts w:ascii="Times New Roman" w:eastAsia="Times New Roman"/>
        </w:rPr>
        <w:t>t/a</w:t>
      </w:r>
      <w:r>
        <w:rPr/>
        <w:t>，井田面积 </w:t>
      </w:r>
      <w:r>
        <w:rPr>
          <w:rFonts w:ascii="Times New Roman" w:eastAsia="Times New Roman"/>
        </w:rPr>
        <w:t>5.91km</w:t>
      </w:r>
      <w:r>
        <w:rPr>
          <w:rFonts w:ascii="Times New Roman" w:eastAsia="Times New Roman"/>
          <w:position w:val="8"/>
          <w:sz w:val="15"/>
        </w:rPr>
        <w:t>2</w:t>
      </w:r>
      <w:r>
        <w:rPr/>
        <w:t>。</w:t>
      </w:r>
    </w:p>
    <w:p>
      <w:pPr>
        <w:pStyle w:val="ListParagraph"/>
        <w:numPr>
          <w:ilvl w:val="2"/>
          <w:numId w:val="4"/>
        </w:numPr>
        <w:tabs>
          <w:tab w:pos="1564" w:val="left" w:leader="none"/>
        </w:tabs>
        <w:spacing w:line="306" w:lineRule="exact" w:before="0" w:after="0"/>
        <w:ind w:left="1563" w:right="0" w:hanging="606"/>
        <w:jc w:val="left"/>
        <w:rPr>
          <w:sz w:val="24"/>
        </w:rPr>
      </w:pPr>
      <w:r>
        <w:rPr>
          <w:sz w:val="24"/>
        </w:rPr>
        <w:t>本项目属于煤矿改扩建项目，采用井工开采，井田境界外围不存在生态恢复</w:t>
      </w:r>
    </w:p>
    <w:p>
      <w:pPr>
        <w:spacing w:after="0" w:line="306" w:lineRule="exact"/>
        <w:jc w:val="left"/>
        <w:rPr>
          <w:sz w:val="24"/>
        </w:rPr>
        <w:sectPr>
          <w:pgSz w:w="11910" w:h="16840"/>
          <w:pgMar w:header="0" w:footer="993" w:top="1340" w:bottom="1180" w:left="940" w:right="940"/>
        </w:sectPr>
      </w:pPr>
    </w:p>
    <w:p>
      <w:pPr>
        <w:pStyle w:val="BodyText"/>
        <w:spacing w:before="41"/>
        <w:ind w:left="478"/>
      </w:pPr>
      <w:r>
        <w:rPr/>
        <w:t>问题。</w:t>
      </w:r>
    </w:p>
    <w:p>
      <w:pPr>
        <w:pStyle w:val="ListParagraph"/>
        <w:numPr>
          <w:ilvl w:val="2"/>
          <w:numId w:val="4"/>
        </w:numPr>
        <w:tabs>
          <w:tab w:pos="1564" w:val="left" w:leader="none"/>
        </w:tabs>
        <w:spacing w:line="364" w:lineRule="auto" w:before="158" w:after="0"/>
        <w:ind w:left="478" w:right="477" w:firstLine="480"/>
        <w:jc w:val="both"/>
        <w:rPr>
          <w:sz w:val="24"/>
        </w:rPr>
      </w:pPr>
      <w:r>
        <w:rPr>
          <w:sz w:val="24"/>
        </w:rPr>
        <w:t>本项目原煤由主井带式输送机提升至井口直接进入筛分车间，经缓冲仓进入</w:t>
      </w:r>
      <w:r>
        <w:rPr>
          <w:spacing w:val="-6"/>
          <w:sz w:val="24"/>
        </w:rPr>
        <w:t>原煤筛分机分选，筛选后末煤经运输机送入末煤存储场地，块煤经人工选矸后经运输机</w:t>
      </w:r>
      <w:r>
        <w:rPr>
          <w:sz w:val="24"/>
        </w:rPr>
        <w:t>送入块煤存储场地，可供给当地及附近地市电厂，亦可在当地零散销售。</w:t>
      </w:r>
    </w:p>
    <w:p>
      <w:pPr>
        <w:pStyle w:val="ListParagraph"/>
        <w:numPr>
          <w:ilvl w:val="2"/>
          <w:numId w:val="4"/>
        </w:numPr>
        <w:tabs>
          <w:tab w:pos="1560" w:val="left" w:leader="none"/>
        </w:tabs>
        <w:spacing w:line="364" w:lineRule="auto" w:before="0" w:after="0"/>
        <w:ind w:left="478" w:right="357" w:firstLine="480"/>
        <w:jc w:val="left"/>
        <w:rPr>
          <w:sz w:val="24"/>
        </w:rPr>
      </w:pPr>
      <w:r>
        <w:rPr>
          <w:spacing w:val="-3"/>
          <w:sz w:val="24"/>
        </w:rPr>
        <w:t>矸石经矿车运至排矸线后排放到矸石山。矸石量较小，可用于平整工业场地、</w:t>
      </w:r>
      <w:r>
        <w:rPr>
          <w:sz w:val="24"/>
        </w:rPr>
        <w:t>公路的路基石料、或用于填沟造田等</w:t>
      </w:r>
    </w:p>
    <w:p>
      <w:pPr>
        <w:pStyle w:val="ListParagraph"/>
        <w:numPr>
          <w:ilvl w:val="2"/>
          <w:numId w:val="4"/>
        </w:numPr>
        <w:tabs>
          <w:tab w:pos="1560" w:val="left" w:leader="none"/>
        </w:tabs>
        <w:spacing w:line="306" w:lineRule="exact" w:before="0" w:after="0"/>
        <w:ind w:left="1559" w:right="0" w:hanging="602"/>
        <w:jc w:val="left"/>
        <w:rPr>
          <w:sz w:val="24"/>
        </w:rPr>
      </w:pPr>
      <w:r>
        <w:rPr>
          <w:sz w:val="24"/>
        </w:rPr>
        <w:t>本井田范围内无自然村庄，因此不需要村庄搬迁工作。</w:t>
      </w:r>
    </w:p>
    <w:p>
      <w:pPr>
        <w:pStyle w:val="ListParagraph"/>
        <w:numPr>
          <w:ilvl w:val="2"/>
          <w:numId w:val="4"/>
        </w:numPr>
        <w:tabs>
          <w:tab w:pos="1560" w:val="left" w:leader="none"/>
        </w:tabs>
        <w:spacing w:line="362" w:lineRule="auto" w:before="160" w:after="0"/>
        <w:ind w:left="478" w:right="34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4"/>
          <w:position w:val="2"/>
          <w:sz w:val="24"/>
          <w:vertAlign w:val="baseline"/>
        </w:rPr>
        <w:t>、 </w:t>
      </w:r>
      <w:r>
        <w:rPr>
          <w:rFonts w:ascii="Times New Roman" w:eastAsia="Times New Roman"/>
          <w:position w:val="2"/>
          <w:sz w:val="24"/>
          <w:vertAlign w:val="baseline"/>
        </w:rPr>
        <w:t>NO</w:t>
      </w:r>
      <w:r>
        <w:rPr>
          <w:rFonts w:ascii="Times New Roman" w:eastAsia="Times New Roman"/>
          <w:position w:val="2"/>
          <w:sz w:val="24"/>
          <w:vertAlign w:val="subscript"/>
        </w:rPr>
        <w:t>x</w:t>
      </w:r>
      <w:r>
        <w:rPr>
          <w:rFonts w:ascii="Times New Roman" w:eastAsia="Times New Roman"/>
          <w:position w:val="2"/>
          <w:sz w:val="24"/>
          <w:vertAlign w:val="baseline"/>
        </w:rPr>
        <w:t>300mg/m</w:t>
      </w:r>
      <w:r>
        <w:rPr>
          <w:rFonts w:ascii="Times New Roman" w:eastAsia="Times New Roman"/>
          <w:position w:val="2"/>
          <w:sz w:val="24"/>
          <w:vertAlign w:val="superscript"/>
        </w:rPr>
        <w:t>3</w:t>
      </w:r>
      <w:r>
        <w:rPr>
          <w:rFonts w:ascii="Times New Roman" w:eastAsia="Times New Roman"/>
          <w:spacing w:val="-22"/>
          <w:position w:val="2"/>
          <w:sz w:val="24"/>
          <w:vertAlign w:val="baseline"/>
        </w:rPr>
        <w:t> </w:t>
      </w:r>
      <w:r>
        <w:rPr>
          <w:spacing w:val="-7"/>
          <w:position w:val="2"/>
          <w:sz w:val="24"/>
          <w:vertAlign w:val="baseline"/>
        </w:rPr>
        <w:t>的标准限值要求；井筒加热采用热风炉，产生的废气经布袋除尘器处理后</w:t>
      </w:r>
      <w:r>
        <w:rPr>
          <w:spacing w:val="-7"/>
          <w:sz w:val="24"/>
          <w:vertAlign w:val="baseline"/>
        </w:rPr>
        <w:t>排放，热风炉污染物排放浓度满足《工业炉窑大气污染物排放</w:t>
      </w:r>
      <w:r>
        <w:rPr>
          <w:spacing w:val="-10"/>
          <w:sz w:val="21"/>
          <w:vertAlign w:val="baseline"/>
        </w:rPr>
        <w:t>标准》</w:t>
      </w:r>
      <w:r>
        <w:rPr>
          <w:sz w:val="21"/>
          <w:vertAlign w:val="baseline"/>
        </w:rPr>
        <w:t>（</w:t>
      </w:r>
      <w:r>
        <w:rPr>
          <w:rFonts w:ascii="Times New Roman" w:eastAsia="Times New Roman"/>
          <w:sz w:val="21"/>
          <w:vertAlign w:val="baseline"/>
        </w:rPr>
        <w:t>GB9078-1996</w:t>
      </w:r>
      <w:r>
        <w:rPr>
          <w:sz w:val="21"/>
          <w:vertAlign w:val="baseline"/>
        </w:rPr>
        <w:t>）中表</w:t>
      </w:r>
      <w:r>
        <w:rPr>
          <w:spacing w:val="-1"/>
          <w:position w:val="2"/>
          <w:sz w:val="21"/>
          <w:vertAlign w:val="baseline"/>
        </w:rPr>
        <w:t> </w:t>
      </w:r>
      <w:r>
        <w:rPr>
          <w:rFonts w:ascii="Times New Roman" w:eastAsia="Times New Roman"/>
          <w:position w:val="2"/>
          <w:sz w:val="21"/>
          <w:vertAlign w:val="baseline"/>
        </w:rPr>
        <w:t>2</w:t>
      </w:r>
      <w:r>
        <w:rPr>
          <w:rFonts w:ascii="Times New Roman" w:eastAsia="Times New Roman"/>
          <w:spacing w:val="-1"/>
          <w:position w:val="2"/>
          <w:sz w:val="21"/>
          <w:vertAlign w:val="baseline"/>
        </w:rPr>
        <w:t> </w:t>
      </w:r>
      <w:r>
        <w:rPr>
          <w:spacing w:val="-17"/>
          <w:position w:val="2"/>
          <w:sz w:val="21"/>
          <w:vertAlign w:val="baseline"/>
        </w:rPr>
        <w:t>及表 </w:t>
      </w:r>
      <w:r>
        <w:rPr>
          <w:rFonts w:ascii="Times New Roman" w:eastAsia="Times New Roman"/>
          <w:position w:val="2"/>
          <w:sz w:val="21"/>
          <w:vertAlign w:val="baseline"/>
        </w:rPr>
        <w:t>4 </w:t>
      </w:r>
      <w:r>
        <w:rPr>
          <w:position w:val="2"/>
          <w:sz w:val="21"/>
          <w:vertAlign w:val="baseline"/>
        </w:rPr>
        <w:t>中</w:t>
      </w:r>
      <w:r>
        <w:rPr>
          <w:spacing w:val="-20"/>
          <w:position w:val="2"/>
          <w:sz w:val="24"/>
          <w:vertAlign w:val="baseline"/>
        </w:rPr>
        <w:t>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1"/>
          <w:position w:val="2"/>
          <w:sz w:val="24"/>
          <w:vertAlign w:val="baseline"/>
        </w:rPr>
        <w:t> </w:t>
      </w:r>
      <w:r>
        <w:rPr>
          <w:position w:val="2"/>
          <w:sz w:val="24"/>
          <w:vertAlign w:val="baseline"/>
        </w:rPr>
        <w:t>的标准限值要求。</w:t>
      </w:r>
    </w:p>
    <w:p>
      <w:pPr>
        <w:pStyle w:val="ListParagraph"/>
        <w:numPr>
          <w:ilvl w:val="2"/>
          <w:numId w:val="4"/>
        </w:numPr>
        <w:tabs>
          <w:tab w:pos="1564" w:val="left" w:leader="none"/>
        </w:tabs>
        <w:spacing w:line="364" w:lineRule="auto" w:before="0" w:after="0"/>
        <w:ind w:left="478" w:right="478" w:firstLine="480"/>
        <w:jc w:val="left"/>
        <w:rPr>
          <w:sz w:val="24"/>
        </w:rPr>
      </w:pPr>
      <w:r>
        <w:rPr>
          <w:sz w:val="24"/>
        </w:rPr>
        <w:t>处理后的井下排水水质达到井下消防洒水用水的水质标准，回用于井下消防洒水、地面生产、消防、防尘洒水、绿化等用水，多余部分排放于附近自建鱼塘。</w:t>
      </w:r>
    </w:p>
    <w:p>
      <w:pPr>
        <w:pStyle w:val="BodyText"/>
        <w:spacing w:line="364" w:lineRule="auto"/>
        <w:ind w:left="478" w:right="425" w:firstLine="480"/>
        <w:jc w:val="both"/>
      </w:pPr>
      <w:r>
        <w:rPr/>
        <w:t>本项目对环境产生的主要影响为营运期产生的废气对大气环境的影响，经分析，本项目产生的废气均能得到有效治理并实现达标排放；产生的污废水经处理后部分回用， 多余部分排放于附近自建鱼塘；产生的固体废物均得到妥善处置；噪声源均经过有效的降噪措施，可以实现达标排放。</w:t>
      </w:r>
    </w:p>
    <w:p>
      <w:pPr>
        <w:pStyle w:val="Heading2"/>
        <w:numPr>
          <w:ilvl w:val="1"/>
          <w:numId w:val="4"/>
        </w:numPr>
        <w:tabs>
          <w:tab w:pos="928" w:val="left" w:leader="none"/>
        </w:tabs>
        <w:spacing w:line="382" w:lineRule="exact" w:before="0" w:after="0"/>
        <w:ind w:left="927" w:right="0" w:hanging="450"/>
        <w:jc w:val="left"/>
      </w:pPr>
      <w:bookmarkStart w:name="1.3环境影响评价工作过程" w:id="10"/>
      <w:bookmarkEnd w:id="10"/>
      <w:r>
        <w:rPr>
          <w:b w:val="0"/>
        </w:rPr>
      </w:r>
      <w:bookmarkStart w:name="_bookmark3" w:id="11"/>
      <w:bookmarkEnd w:id="11"/>
      <w:r>
        <w:rPr>
          <w:b w:val="0"/>
        </w:rPr>
      </w:r>
      <w:bookmarkStart w:name="_bookmark3" w:id="12"/>
      <w:bookmarkEnd w:id="12"/>
      <w:r>
        <w:rPr/>
        <w:t>环境影响评价工作过程</w:t>
      </w:r>
    </w:p>
    <w:p>
      <w:pPr>
        <w:pStyle w:val="BodyText"/>
        <w:spacing w:line="364" w:lineRule="auto" w:before="198"/>
        <w:ind w:left="478" w:right="471" w:firstLine="480"/>
        <w:jc w:val="both"/>
      </w:pPr>
      <w:r>
        <w:rPr>
          <w:spacing w:val="-8"/>
        </w:rPr>
        <w:t>根据《中华人民共和国环境保护法》、《中华人民共和国环境影响评价法》及《建</w:t>
      </w:r>
      <w:r>
        <w:rPr>
          <w:spacing w:val="-6"/>
        </w:rPr>
        <w:t>设项目环境保护管理条例》等有关规定，双鸭山市东盛矿业集团有限公司委托黑龙江科</w:t>
      </w:r>
      <w:r>
        <w:rPr>
          <w:spacing w:val="-4"/>
        </w:rPr>
        <w:t>大欣欣环保科技有限公司开展本项目的环境影响评价工作，根据《建设项目环境影响评</w:t>
      </w:r>
      <w:r>
        <w:rPr>
          <w:spacing w:val="-6"/>
        </w:rPr>
        <w:t>价分类管理名录》</w:t>
      </w:r>
      <w:r>
        <w:rPr/>
        <w:t>（</w:t>
      </w:r>
      <w:r>
        <w:rPr>
          <w:spacing w:val="-10"/>
        </w:rPr>
        <w:t>生态环境部 </w:t>
      </w:r>
      <w:r>
        <w:rPr>
          <w:rFonts w:ascii="Times New Roman" w:eastAsia="Times New Roman"/>
        </w:rPr>
        <w:t>2018 </w:t>
      </w:r>
      <w:r>
        <w:rPr>
          <w:spacing w:val="-20"/>
        </w:rPr>
        <w:t>年第 </w:t>
      </w:r>
      <w:r>
        <w:rPr>
          <w:rFonts w:ascii="Times New Roman" w:eastAsia="Times New Roman"/>
        </w:rPr>
        <w:t>1 </w:t>
      </w:r>
      <w:r>
        <w:rPr>
          <w:spacing w:val="-1"/>
        </w:rPr>
        <w:t>号令修改，</w:t>
      </w:r>
      <w:r>
        <w:rPr>
          <w:rFonts w:ascii="Times New Roman" w:eastAsia="Times New Roman"/>
          <w:spacing w:val="-5"/>
        </w:rPr>
        <w:t>2018</w:t>
      </w:r>
      <w:r>
        <w:rPr>
          <w:rFonts w:ascii="Times New Roman" w:eastAsia="Times New Roman"/>
        </w:rPr>
        <w:t> </w:t>
      </w:r>
      <w:r>
        <w:rPr>
          <w:spacing w:val="-30"/>
        </w:rPr>
        <w:t>年 </w:t>
      </w:r>
      <w:r>
        <w:rPr>
          <w:rFonts w:ascii="Times New Roman" w:eastAsia="Times New Roman"/>
        </w:rPr>
        <w:t>4 </w:t>
      </w:r>
      <w:r>
        <w:rPr>
          <w:spacing w:val="-30"/>
        </w:rPr>
        <w:t>月 </w:t>
      </w:r>
      <w:r>
        <w:rPr>
          <w:rFonts w:ascii="Times New Roman" w:eastAsia="Times New Roman"/>
        </w:rPr>
        <w:t>28</w:t>
      </w:r>
      <w:r>
        <w:rPr>
          <w:rFonts w:ascii="Times New Roman" w:eastAsia="Times New Roman"/>
          <w:spacing w:val="1"/>
        </w:rPr>
        <w:t> </w:t>
      </w:r>
      <w:r>
        <w:rPr/>
        <w:t>日</w:t>
      </w:r>
      <w:r>
        <w:rPr>
          <w:spacing w:val="-22"/>
        </w:rPr>
        <w:t>），</w:t>
      </w:r>
      <w:r>
        <w:rPr>
          <w:spacing w:val="-3"/>
        </w:rPr>
        <w:t>本项目类</w:t>
      </w:r>
    </w:p>
    <w:p>
      <w:pPr>
        <w:pStyle w:val="BodyText"/>
        <w:spacing w:line="362" w:lineRule="auto"/>
        <w:ind w:left="958" w:right="393" w:hanging="480"/>
      </w:pPr>
      <w:r>
        <w:rPr/>
        <w:t>别为</w:t>
      </w:r>
      <w:r>
        <w:rPr>
          <w:rFonts w:ascii="Times New Roman" w:hAnsi="Times New Roman" w:eastAsia="Times New Roman"/>
        </w:rPr>
        <w:t>“</w:t>
      </w:r>
      <w:r>
        <w:rPr/>
        <w:t>四十一、煤炭开采和洗选业 </w:t>
      </w:r>
      <w:r>
        <w:rPr>
          <w:rFonts w:ascii="Times New Roman" w:hAnsi="Times New Roman" w:eastAsia="Times New Roman"/>
        </w:rPr>
        <w:t>128 </w:t>
      </w:r>
      <w:r>
        <w:rPr/>
        <w:t>煤炭开采</w:t>
      </w:r>
      <w:r>
        <w:rPr>
          <w:rFonts w:ascii="Times New Roman" w:hAnsi="Times New Roman" w:eastAsia="Times New Roman"/>
        </w:rPr>
        <w:t>”</w:t>
      </w:r>
      <w:r>
        <w:rPr>
          <w:spacing w:val="-2"/>
        </w:rPr>
        <w:t>，因此本项目需编制环境影响报告书。</w:t>
      </w:r>
      <w:r>
        <w:rPr/>
        <w:t>依据《环境影响评价技术导则总纲》（</w:t>
      </w:r>
      <w:r>
        <w:rPr>
          <w:rFonts w:ascii="Times New Roman" w:hAnsi="Times New Roman" w:eastAsia="Times New Roman"/>
        </w:rPr>
        <w:t>HJ2.1-2016</w:t>
      </w:r>
      <w:r>
        <w:rPr/>
        <w:t>）要求，本次环评工作分为三个</w:t>
      </w:r>
    </w:p>
    <w:p>
      <w:pPr>
        <w:pStyle w:val="BodyText"/>
        <w:spacing w:before="3"/>
        <w:ind w:left="478"/>
      </w:pPr>
      <w:r>
        <w:rPr/>
        <w:t>阶段进行。</w:t>
      </w:r>
    </w:p>
    <w:p>
      <w:pPr>
        <w:pStyle w:val="BodyText"/>
        <w:spacing w:line="364" w:lineRule="auto" w:before="158"/>
        <w:ind w:left="478" w:right="477" w:firstLine="480"/>
        <w:jc w:val="both"/>
      </w:pPr>
      <w:r>
        <w:rPr>
          <w:spacing w:val="-8"/>
        </w:rPr>
        <w:t>一、在研究相关技术及其他有关文件基础上进行初步工程分析，开展了初步环境现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rPr/>
        <w:t>工作方案。</w:t>
      </w:r>
    </w:p>
    <w:p>
      <w:pPr>
        <w:spacing w:after="0" w:line="364" w:lineRule="auto"/>
        <w:jc w:val="both"/>
        <w:sectPr>
          <w:pgSz w:w="11910" w:h="16840"/>
          <w:pgMar w:header="0" w:footer="993" w:top="1360" w:bottom="1180" w:left="940" w:right="940"/>
        </w:sectPr>
      </w:pPr>
    </w:p>
    <w:p>
      <w:pPr>
        <w:pStyle w:val="BodyText"/>
        <w:spacing w:line="362" w:lineRule="auto" w:before="41"/>
        <w:ind w:left="478" w:right="425" w:firstLine="480"/>
      </w:pPr>
      <w:r>
        <w:rPr/>
        <w:t>二、根据第一阶段工作成果，对环境现状进行了监测与评价，详细进行工程分析， 对各环境要素影响进行预测与分析。</w:t>
      </w:r>
    </w:p>
    <w:p>
      <w:pPr>
        <w:pStyle w:val="BodyText"/>
        <w:spacing w:line="364" w:lineRule="auto" w:before="5"/>
        <w:ind w:left="478" w:right="477" w:firstLine="480"/>
        <w:jc w:val="both"/>
      </w:pPr>
      <w:r>
        <w:rPr/>
        <w:drawing>
          <wp:anchor distT="0" distB="0" distL="0" distR="0" allowOverlap="1" layoutInCell="1" locked="0" behindDoc="0" simplePos="0" relativeHeight="0">
            <wp:simplePos x="0" y="0"/>
            <wp:positionH relativeFrom="page">
              <wp:posOffset>1167383</wp:posOffset>
            </wp:positionH>
            <wp:positionV relativeFrom="paragraph">
              <wp:posOffset>977900</wp:posOffset>
            </wp:positionV>
            <wp:extent cx="5018911" cy="5038725"/>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018911" cy="5038725"/>
                    </a:xfrm>
                    <a:prstGeom prst="rect">
                      <a:avLst/>
                    </a:prstGeom>
                  </pic:spPr>
                </pic:pic>
              </a:graphicData>
            </a:graphic>
          </wp:anchor>
        </w:drawing>
      </w:r>
      <w:r>
        <w:rPr>
          <w:spacing w:val="-8"/>
        </w:rPr>
        <w:t>三、提出环境保护措施，进行经济技术可行性论证，给出污染物排放清单，并给出</w:t>
      </w:r>
      <w:r>
        <w:rPr>
          <w:spacing w:val="3"/>
        </w:rPr>
        <w:t>评价结论。为工程设计、环保决策提供科学依据。本项目环境影响评价工作程序见图</w:t>
      </w:r>
      <w:r>
        <w:rPr>
          <w:rFonts w:ascii="Times New Roman" w:eastAsia="Times New Roman"/>
          <w:spacing w:val="3"/>
        </w:rPr>
        <w:t>1.3-1</w:t>
      </w:r>
      <w:r>
        <w:rPr>
          <w:spacing w:val="3"/>
        </w:rPr>
        <w:t>。</w:t>
      </w:r>
    </w:p>
    <w:p>
      <w:pPr>
        <w:pStyle w:val="BodyText"/>
        <w:ind w:left="1373" w:right="895"/>
        <w:jc w:val="center"/>
      </w:pPr>
      <w:r>
        <w:rPr/>
        <w:t>图 </w:t>
      </w:r>
      <w:r>
        <w:rPr>
          <w:rFonts w:ascii="Times New Roman" w:eastAsia="Times New Roman"/>
        </w:rPr>
        <w:t>1.3-1 </w:t>
      </w:r>
      <w:r>
        <w:rPr/>
        <w:t>环境影响评价工作程序</w:t>
      </w:r>
    </w:p>
    <w:p>
      <w:pPr>
        <w:pStyle w:val="Heading2"/>
        <w:numPr>
          <w:ilvl w:val="1"/>
          <w:numId w:val="4"/>
        </w:numPr>
        <w:tabs>
          <w:tab w:pos="928" w:val="left" w:leader="none"/>
        </w:tabs>
        <w:spacing w:line="240" w:lineRule="auto" w:before="160" w:after="0"/>
        <w:ind w:left="927" w:right="0" w:hanging="450"/>
        <w:jc w:val="left"/>
      </w:pPr>
      <w:bookmarkStart w:name="1.4关注的主要环境问题及环境" w:id="13"/>
      <w:bookmarkEnd w:id="13"/>
      <w:r>
        <w:rPr>
          <w:b w:val="0"/>
        </w:rPr>
      </w:r>
      <w:bookmarkStart w:name="_bookmark4" w:id="14"/>
      <w:bookmarkEnd w:id="14"/>
      <w:r>
        <w:rPr>
          <w:b w:val="0"/>
        </w:rPr>
      </w:r>
      <w:bookmarkStart w:name="_bookmark4" w:id="15"/>
      <w:bookmarkEnd w:id="15"/>
      <w:r>
        <w:rPr/>
        <w:t>关注的主要环境问题及环境</w:t>
      </w:r>
    </w:p>
    <w:p>
      <w:pPr>
        <w:pStyle w:val="BodyText"/>
        <w:spacing w:line="364" w:lineRule="auto" w:before="199"/>
        <w:ind w:left="478" w:right="476" w:firstLine="480"/>
      </w:pPr>
      <w:r>
        <w:rPr/>
        <w:t>本次评价主要关注的环境问题是建设项目建设过程及投入营运后主要污染物的产生、控制。</w:t>
      </w:r>
    </w:p>
    <w:p>
      <w:pPr>
        <w:pStyle w:val="ListParagraph"/>
        <w:numPr>
          <w:ilvl w:val="0"/>
          <w:numId w:val="6"/>
        </w:numPr>
        <w:tabs>
          <w:tab w:pos="1560" w:val="left" w:leader="none"/>
        </w:tabs>
        <w:spacing w:line="306" w:lineRule="exact" w:before="0" w:after="0"/>
        <w:ind w:left="1559" w:right="0" w:hanging="602"/>
        <w:jc w:val="left"/>
        <w:rPr>
          <w:sz w:val="24"/>
        </w:rPr>
      </w:pPr>
      <w:r>
        <w:rPr>
          <w:sz w:val="24"/>
        </w:rPr>
        <w:t>项目施工期扬尘、废水、噪声等对周围环境的影响；</w:t>
      </w:r>
    </w:p>
    <w:p>
      <w:pPr>
        <w:pStyle w:val="ListParagraph"/>
        <w:numPr>
          <w:ilvl w:val="0"/>
          <w:numId w:val="6"/>
        </w:numPr>
        <w:tabs>
          <w:tab w:pos="1560" w:val="left" w:leader="none"/>
        </w:tabs>
        <w:spacing w:line="240" w:lineRule="auto" w:before="161" w:after="0"/>
        <w:ind w:left="1559" w:right="0" w:hanging="602"/>
        <w:jc w:val="left"/>
        <w:rPr>
          <w:sz w:val="24"/>
        </w:rPr>
      </w:pPr>
      <w:r>
        <w:rPr>
          <w:sz w:val="24"/>
        </w:rPr>
        <w:t>营运期污水排放对地表水环境的影响以及采取的污染防治措施；</w:t>
      </w:r>
    </w:p>
    <w:p>
      <w:pPr>
        <w:pStyle w:val="ListParagraph"/>
        <w:numPr>
          <w:ilvl w:val="0"/>
          <w:numId w:val="6"/>
        </w:numPr>
        <w:tabs>
          <w:tab w:pos="1560" w:val="left" w:leader="none"/>
        </w:tabs>
        <w:spacing w:line="240" w:lineRule="auto" w:before="158" w:after="0"/>
        <w:ind w:left="1559" w:right="0" w:hanging="602"/>
        <w:jc w:val="left"/>
        <w:rPr>
          <w:sz w:val="24"/>
        </w:rPr>
      </w:pPr>
      <w:r>
        <w:rPr>
          <w:sz w:val="24"/>
        </w:rPr>
        <w:t>营运期锅炉及热风炉废气对大气环境的影响以及采取的污染防治措施；</w:t>
      </w:r>
    </w:p>
    <w:p>
      <w:pPr>
        <w:spacing w:after="0" w:line="240" w:lineRule="auto"/>
        <w:jc w:val="left"/>
        <w:rPr>
          <w:sz w:val="24"/>
        </w:rPr>
        <w:sectPr>
          <w:pgSz w:w="11910" w:h="16840"/>
          <w:pgMar w:header="0" w:footer="993" w:top="1360" w:bottom="1180" w:left="940" w:right="940"/>
        </w:sectPr>
      </w:pPr>
    </w:p>
    <w:p>
      <w:pPr>
        <w:pStyle w:val="ListParagraph"/>
        <w:numPr>
          <w:ilvl w:val="0"/>
          <w:numId w:val="6"/>
        </w:numPr>
        <w:tabs>
          <w:tab w:pos="1560" w:val="left" w:leader="none"/>
        </w:tabs>
        <w:spacing w:line="240" w:lineRule="auto" w:before="61" w:after="0"/>
        <w:ind w:left="1559" w:right="0" w:hanging="602"/>
        <w:jc w:val="left"/>
        <w:rPr>
          <w:sz w:val="24"/>
        </w:rPr>
      </w:pPr>
      <w:r>
        <w:rPr>
          <w:sz w:val="24"/>
        </w:rPr>
        <w:t>采空沉陷引起的井田范围生态破坏；</w:t>
      </w:r>
    </w:p>
    <w:p>
      <w:pPr>
        <w:pStyle w:val="ListParagraph"/>
        <w:numPr>
          <w:ilvl w:val="0"/>
          <w:numId w:val="6"/>
        </w:numPr>
        <w:tabs>
          <w:tab w:pos="1560" w:val="left" w:leader="none"/>
        </w:tabs>
        <w:spacing w:line="240" w:lineRule="auto" w:before="158" w:after="0"/>
        <w:ind w:left="1559" w:right="0" w:hanging="602"/>
        <w:jc w:val="left"/>
        <w:rPr>
          <w:sz w:val="24"/>
        </w:rPr>
      </w:pPr>
      <w:r>
        <w:rPr>
          <w:sz w:val="24"/>
        </w:rPr>
        <w:t>煤层开采过程对地下水环境的影响及采取的污染防治措施。</w:t>
      </w:r>
    </w:p>
    <w:p>
      <w:pPr>
        <w:pStyle w:val="Heading2"/>
        <w:numPr>
          <w:ilvl w:val="1"/>
          <w:numId w:val="4"/>
        </w:numPr>
        <w:tabs>
          <w:tab w:pos="928" w:val="left" w:leader="none"/>
        </w:tabs>
        <w:spacing w:line="240" w:lineRule="auto" w:before="161" w:after="0"/>
        <w:ind w:left="927" w:right="0" w:hanging="450"/>
        <w:jc w:val="left"/>
      </w:pPr>
      <w:bookmarkStart w:name="1.5环境影响评价主要结论" w:id="16"/>
      <w:bookmarkEnd w:id="16"/>
      <w:r>
        <w:rPr>
          <w:b w:val="0"/>
        </w:rPr>
      </w:r>
      <w:bookmarkStart w:name="_bookmark5" w:id="17"/>
      <w:bookmarkEnd w:id="17"/>
      <w:r>
        <w:rPr>
          <w:b w:val="0"/>
        </w:rPr>
      </w:r>
      <w:bookmarkStart w:name="_bookmark5" w:id="18"/>
      <w:bookmarkEnd w:id="18"/>
      <w:r>
        <w:rPr/>
        <w:t>环境影响评价主要结论</w:t>
      </w:r>
    </w:p>
    <w:p>
      <w:pPr>
        <w:pStyle w:val="BodyText"/>
        <w:spacing w:line="364" w:lineRule="auto" w:before="199"/>
        <w:ind w:left="478" w:right="477" w:firstLine="480"/>
        <w:jc w:val="both"/>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r>
        <w:rPr/>
        <w:t>制要求，对周围环境的影响可接受。同时本项目建设得到所在地公众的支持。</w:t>
      </w:r>
    </w:p>
    <w:p>
      <w:pPr>
        <w:pStyle w:val="BodyText"/>
        <w:spacing w:line="307" w:lineRule="exact"/>
        <w:ind w:left="958"/>
      </w:pPr>
      <w:r>
        <w:rPr/>
        <w:t>从环境保护角度分析，本工程建设是可行的。</w:t>
      </w:r>
    </w:p>
    <w:p>
      <w:pPr>
        <w:spacing w:after="0" w:line="307" w:lineRule="exact"/>
        <w:sectPr>
          <w:pgSz w:w="11910" w:h="16840"/>
          <w:pgMar w:header="0" w:footer="993" w:top="1340" w:bottom="1180" w:left="940" w:right="940"/>
        </w:sectPr>
      </w:pPr>
    </w:p>
    <w:p>
      <w:pPr>
        <w:pStyle w:val="Heading1"/>
        <w:numPr>
          <w:ilvl w:val="0"/>
          <w:numId w:val="5"/>
        </w:numPr>
        <w:tabs>
          <w:tab w:pos="4789" w:val="left" w:leader="none"/>
        </w:tabs>
        <w:spacing w:line="240" w:lineRule="auto" w:before="41" w:after="0"/>
        <w:ind w:left="4788" w:right="0" w:hanging="4789"/>
        <w:jc w:val="left"/>
      </w:pPr>
      <w:bookmarkStart w:name="2.总论" w:id="19"/>
      <w:bookmarkEnd w:id="19"/>
      <w:r>
        <w:rPr>
          <w:b w:val="0"/>
        </w:rPr>
      </w:r>
      <w:bookmarkStart w:name="_bookmark6" w:id="20"/>
      <w:bookmarkEnd w:id="20"/>
      <w:r>
        <w:rPr>
          <w:b w:val="0"/>
        </w:rPr>
      </w:r>
      <w:bookmarkStart w:name="_bookmark6" w:id="21"/>
      <w:bookmarkEnd w:id="21"/>
      <w:r>
        <w:rPr/>
        <w:t>总论</w:t>
      </w:r>
    </w:p>
    <w:p>
      <w:pPr>
        <w:pStyle w:val="Heading2"/>
        <w:numPr>
          <w:ilvl w:val="1"/>
          <w:numId w:val="7"/>
        </w:numPr>
        <w:tabs>
          <w:tab w:pos="1004" w:val="left" w:leader="none"/>
        </w:tabs>
        <w:spacing w:line="240" w:lineRule="auto" w:before="240" w:after="0"/>
        <w:ind w:left="1004" w:right="0" w:hanging="526"/>
        <w:jc w:val="left"/>
      </w:pPr>
      <w:bookmarkStart w:name="2.1 评价目的及指导思想" w:id="22"/>
      <w:bookmarkEnd w:id="22"/>
      <w:r>
        <w:rPr>
          <w:b w:val="0"/>
        </w:rPr>
      </w:r>
      <w:bookmarkStart w:name="_bookmark7" w:id="23"/>
      <w:bookmarkEnd w:id="23"/>
      <w:r>
        <w:rPr>
          <w:b w:val="0"/>
        </w:rPr>
      </w:r>
      <w:bookmarkStart w:name="_bookmark7" w:id="24"/>
      <w:bookmarkEnd w:id="24"/>
      <w:r>
        <w:rPr/>
        <w:t>评价目的及指导思想</w:t>
      </w:r>
    </w:p>
    <w:p>
      <w:pPr>
        <w:pStyle w:val="Heading3"/>
        <w:numPr>
          <w:ilvl w:val="2"/>
          <w:numId w:val="7"/>
        </w:numPr>
        <w:tabs>
          <w:tab w:pos="1108" w:val="left" w:leader="none"/>
        </w:tabs>
        <w:spacing w:line="240" w:lineRule="auto" w:before="199" w:after="0"/>
        <w:ind w:left="1107" w:right="0" w:hanging="630"/>
        <w:jc w:val="left"/>
      </w:pPr>
      <w:bookmarkStart w:name="2.1.1评价目的" w:id="25"/>
      <w:bookmarkEnd w:id="25"/>
      <w:r>
        <w:rPr>
          <w:b w:val="0"/>
        </w:rPr>
      </w:r>
      <w:bookmarkStart w:name="2.1.1评价目的" w:id="26"/>
      <w:bookmarkEnd w:id="26"/>
      <w:r>
        <w:rPr/>
        <w:t>评价目的</w:t>
      </w:r>
    </w:p>
    <w:p>
      <w:pPr>
        <w:pStyle w:val="BodyText"/>
        <w:spacing w:before="4"/>
        <w:rPr>
          <w:b/>
          <w:sz w:val="9"/>
        </w:rPr>
      </w:pPr>
    </w:p>
    <w:p>
      <w:pPr>
        <w:pStyle w:val="BodyText"/>
        <w:spacing w:line="364" w:lineRule="auto" w:before="66"/>
        <w:ind w:left="478" w:right="47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rPr/>
        <w:t>科学依据。</w:t>
      </w:r>
    </w:p>
    <w:p>
      <w:pPr>
        <w:pStyle w:val="Heading3"/>
        <w:numPr>
          <w:ilvl w:val="2"/>
          <w:numId w:val="7"/>
        </w:numPr>
        <w:tabs>
          <w:tab w:pos="1108" w:val="left" w:leader="none"/>
        </w:tabs>
        <w:spacing w:line="355" w:lineRule="exact" w:before="0" w:after="0"/>
        <w:ind w:left="1107" w:right="0" w:hanging="630"/>
        <w:jc w:val="left"/>
      </w:pPr>
      <w:bookmarkStart w:name="2.1.2评价指导思想" w:id="27"/>
      <w:bookmarkEnd w:id="27"/>
      <w:r>
        <w:rPr>
          <w:b w:val="0"/>
        </w:rPr>
      </w:r>
      <w:bookmarkStart w:name="2.1.2评价指导思想" w:id="28"/>
      <w:bookmarkEnd w:id="28"/>
      <w:r>
        <w:rPr/>
        <w:t>评价指导思想</w:t>
      </w:r>
    </w:p>
    <w:p>
      <w:pPr>
        <w:pStyle w:val="ListParagraph"/>
        <w:numPr>
          <w:ilvl w:val="3"/>
          <w:numId w:val="7"/>
        </w:numPr>
        <w:tabs>
          <w:tab w:pos="1564" w:val="left" w:leader="none"/>
        </w:tabs>
        <w:spacing w:line="364" w:lineRule="auto" w:before="185" w:after="0"/>
        <w:ind w:left="478" w:right="357" w:firstLine="480"/>
        <w:jc w:val="left"/>
        <w:rPr>
          <w:sz w:val="24"/>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ListParagraph"/>
        <w:numPr>
          <w:ilvl w:val="3"/>
          <w:numId w:val="7"/>
        </w:numPr>
        <w:tabs>
          <w:tab w:pos="1560" w:val="left" w:leader="none"/>
        </w:tabs>
        <w:spacing w:line="306" w:lineRule="exact" w:before="0" w:after="0"/>
        <w:ind w:left="1559" w:right="0" w:hanging="602"/>
        <w:jc w:val="left"/>
        <w:rPr>
          <w:sz w:val="24"/>
        </w:rPr>
      </w:pPr>
      <w:r>
        <w:rPr>
          <w:spacing w:val="-3"/>
          <w:sz w:val="24"/>
        </w:rPr>
        <w:t>该项目为改扩建项目，项目建设带来的环境问题具有一般传统工业污染特征。</w:t>
      </w:r>
    </w:p>
    <w:p>
      <w:pPr>
        <w:pStyle w:val="ListParagraph"/>
        <w:numPr>
          <w:ilvl w:val="3"/>
          <w:numId w:val="7"/>
        </w:numPr>
        <w:tabs>
          <w:tab w:pos="1566" w:val="left" w:leader="none"/>
        </w:tabs>
        <w:spacing w:line="364" w:lineRule="auto" w:before="159" w:after="0"/>
        <w:ind w:left="478" w:right="476" w:firstLine="480"/>
        <w:jc w:val="both"/>
        <w:rPr>
          <w:sz w:val="24"/>
        </w:rPr>
      </w:pPr>
      <w:r>
        <w:rPr>
          <w:sz w:val="24"/>
        </w:rPr>
        <w:t>本着</w:t>
      </w:r>
      <w:r>
        <w:rPr>
          <w:rFonts w:ascii="Times New Roman" w:hAnsi="Times New Roman" w:eastAsia="Times New Roman"/>
          <w:spacing w:val="3"/>
          <w:sz w:val="24"/>
        </w:rPr>
        <w:t>“</w:t>
      </w:r>
      <w:r>
        <w:rPr>
          <w:sz w:val="24"/>
        </w:rPr>
        <w:t>以新带老、清洁生产、达标排放、总量控制</w:t>
      </w:r>
      <w:r>
        <w:rPr>
          <w:rFonts w:ascii="Times New Roman" w:hAnsi="Times New Roman" w:eastAsia="Times New Roman"/>
          <w:spacing w:val="3"/>
          <w:sz w:val="24"/>
        </w:rPr>
        <w:t>”</w:t>
      </w:r>
      <w:r>
        <w:rPr>
          <w:sz w:val="24"/>
        </w:rPr>
        <w:t>的原则，充分论证项目污</w:t>
      </w:r>
      <w:r>
        <w:rPr>
          <w:spacing w:val="-2"/>
          <w:sz w:val="24"/>
        </w:rPr>
        <w:t>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w:t>
      </w:r>
      <w:r>
        <w:rPr>
          <w:spacing w:val="-2"/>
          <w:sz w:val="24"/>
        </w:rPr>
        <w:t>原则。减少煤矸</w:t>
      </w:r>
      <w:r>
        <w:rPr>
          <w:sz w:val="24"/>
        </w:rPr>
        <w:t>石的排放量，充分利用采煤废水，化害为利，变废为宝，保护生态环境。</w:t>
      </w:r>
    </w:p>
    <w:p>
      <w:pPr>
        <w:pStyle w:val="ListParagraph"/>
        <w:numPr>
          <w:ilvl w:val="3"/>
          <w:numId w:val="7"/>
        </w:numPr>
        <w:tabs>
          <w:tab w:pos="1564" w:val="left" w:leader="none"/>
        </w:tabs>
        <w:spacing w:line="364" w:lineRule="auto" w:before="0" w:after="0"/>
        <w:ind w:left="478" w:right="477" w:firstLine="480"/>
        <w:jc w:val="both"/>
        <w:rPr>
          <w:sz w:val="24"/>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Heading3"/>
        <w:numPr>
          <w:ilvl w:val="2"/>
          <w:numId w:val="7"/>
        </w:numPr>
        <w:tabs>
          <w:tab w:pos="1108" w:val="left" w:leader="none"/>
        </w:tabs>
        <w:spacing w:line="357" w:lineRule="exact" w:before="0" w:after="0"/>
        <w:ind w:left="1107" w:right="0" w:hanging="630"/>
        <w:jc w:val="left"/>
      </w:pPr>
      <w:bookmarkStart w:name="2.1.3评价重点" w:id="29"/>
      <w:bookmarkEnd w:id="29"/>
      <w:r>
        <w:rPr>
          <w:b w:val="0"/>
        </w:rPr>
      </w:r>
      <w:bookmarkStart w:name="2.1.3评价重点" w:id="30"/>
      <w:bookmarkEnd w:id="30"/>
      <w:r>
        <w:rPr/>
        <w:t>评价重点</w:t>
      </w:r>
    </w:p>
    <w:p>
      <w:pPr>
        <w:pStyle w:val="BodyText"/>
        <w:spacing w:line="364" w:lineRule="auto" w:before="184"/>
        <w:ind w:left="478" w:right="414" w:firstLine="480"/>
      </w:pPr>
      <w:r>
        <w:rPr/>
        <w:t>根据环境影响识别结果，确定本次评价重点为生态环境影响评价（包括地表沉陷预测与影响评价）、水环境影响评价、土壤环境影响评价及大气环境影响评价。</w:t>
      </w:r>
    </w:p>
    <w:p>
      <w:pPr>
        <w:pStyle w:val="BodyText"/>
        <w:spacing w:before="1"/>
        <w:ind w:left="958"/>
      </w:pPr>
      <w:r>
        <w:rPr/>
        <w:t>通过本次评价，重点回答以下几个问题：</w:t>
      </w:r>
    </w:p>
    <w:p>
      <w:pPr>
        <w:pStyle w:val="ListParagraph"/>
        <w:numPr>
          <w:ilvl w:val="0"/>
          <w:numId w:val="8"/>
        </w:numPr>
        <w:tabs>
          <w:tab w:pos="1564" w:val="left" w:leader="none"/>
        </w:tabs>
        <w:spacing w:line="240" w:lineRule="auto" w:before="158" w:after="0"/>
        <w:ind w:left="1563" w:right="0" w:hanging="606"/>
        <w:jc w:val="left"/>
        <w:rPr>
          <w:sz w:val="24"/>
        </w:rPr>
      </w:pPr>
      <w:r>
        <w:rPr>
          <w:sz w:val="24"/>
        </w:rPr>
        <w:t>煤炭开采沉陷引起的生态环境破坏及恢复措施，主要包括：土地利用结构的</w:t>
      </w:r>
    </w:p>
    <w:p>
      <w:pPr>
        <w:spacing w:after="0" w:line="240" w:lineRule="auto"/>
        <w:jc w:val="left"/>
        <w:rPr>
          <w:sz w:val="24"/>
        </w:rPr>
        <w:sectPr>
          <w:pgSz w:w="11910" w:h="16840"/>
          <w:pgMar w:header="0" w:footer="993" w:top="1360" w:bottom="1180" w:left="940" w:right="940"/>
        </w:sectPr>
      </w:pPr>
    </w:p>
    <w:p>
      <w:pPr>
        <w:pStyle w:val="BodyText"/>
        <w:spacing w:line="362" w:lineRule="auto" w:before="41"/>
        <w:ind w:left="478" w:right="477"/>
      </w:pPr>
      <w:r>
        <w:rPr>
          <w:spacing w:val="-8"/>
        </w:rPr>
        <w:t>变化，地表植被影响与恢复，沉陷区土地综合整治，浅层地下水影响与保护措施、对地</w:t>
      </w:r>
      <w:r>
        <w:rPr/>
        <w:t>面基础设施影响及保护等。</w:t>
      </w:r>
    </w:p>
    <w:p>
      <w:pPr>
        <w:pStyle w:val="ListParagraph"/>
        <w:numPr>
          <w:ilvl w:val="0"/>
          <w:numId w:val="8"/>
        </w:numPr>
        <w:tabs>
          <w:tab w:pos="1560" w:val="left" w:leader="none"/>
        </w:tabs>
        <w:spacing w:line="240" w:lineRule="auto" w:before="5" w:after="0"/>
        <w:ind w:left="1559" w:right="0" w:hanging="602"/>
        <w:jc w:val="left"/>
        <w:rPr>
          <w:sz w:val="24"/>
        </w:rPr>
      </w:pPr>
      <w:r>
        <w:rPr>
          <w:sz w:val="24"/>
        </w:rPr>
        <w:t>矸石处置措施及综合利用途径分析论证。</w:t>
      </w:r>
    </w:p>
    <w:p>
      <w:pPr>
        <w:pStyle w:val="Heading2"/>
        <w:numPr>
          <w:ilvl w:val="1"/>
          <w:numId w:val="7"/>
        </w:numPr>
        <w:tabs>
          <w:tab w:pos="1004" w:val="left" w:leader="none"/>
        </w:tabs>
        <w:spacing w:line="240" w:lineRule="auto" w:before="161" w:after="0"/>
        <w:ind w:left="1004" w:right="0" w:hanging="526"/>
        <w:jc w:val="left"/>
      </w:pPr>
      <w:bookmarkStart w:name="2.2 编制依据" w:id="31"/>
      <w:bookmarkEnd w:id="31"/>
      <w:r>
        <w:rPr>
          <w:b w:val="0"/>
        </w:rPr>
      </w:r>
      <w:bookmarkStart w:name="_bookmark8" w:id="32"/>
      <w:bookmarkEnd w:id="32"/>
      <w:r>
        <w:rPr>
          <w:b w:val="0"/>
        </w:rPr>
      </w:r>
      <w:bookmarkStart w:name="_bookmark8" w:id="33"/>
      <w:bookmarkEnd w:id="33"/>
      <w:r>
        <w:rPr/>
        <w:t>编制依据</w:t>
      </w:r>
    </w:p>
    <w:p>
      <w:pPr>
        <w:pStyle w:val="Heading3"/>
        <w:numPr>
          <w:ilvl w:val="2"/>
          <w:numId w:val="7"/>
        </w:numPr>
        <w:tabs>
          <w:tab w:pos="1108" w:val="left" w:leader="none"/>
        </w:tabs>
        <w:spacing w:line="240" w:lineRule="auto" w:before="199" w:after="0"/>
        <w:ind w:left="1107" w:right="0" w:hanging="630"/>
        <w:jc w:val="left"/>
      </w:pPr>
      <w:r>
        <w:rPr/>
        <w:t>相关法律、法规</w:t>
      </w:r>
    </w:p>
    <w:p>
      <w:pPr>
        <w:pStyle w:val="ListParagraph"/>
        <w:numPr>
          <w:ilvl w:val="0"/>
          <w:numId w:val="9"/>
        </w:numPr>
        <w:tabs>
          <w:tab w:pos="1239" w:val="left" w:leader="none"/>
        </w:tabs>
        <w:spacing w:line="362" w:lineRule="auto" w:before="185" w:after="0"/>
        <w:ind w:left="478" w:right="473" w:firstLine="480"/>
        <w:jc w:val="left"/>
        <w:rPr>
          <w:sz w:val="24"/>
        </w:rPr>
      </w:pPr>
      <w:r>
        <w:rPr>
          <w:spacing w:val="-4"/>
          <w:sz w:val="24"/>
        </w:rPr>
        <w:t>《中华人民共和国环境保护法》</w:t>
      </w:r>
      <w:r>
        <w:rPr>
          <w:sz w:val="24"/>
        </w:rPr>
        <w:t>（</w:t>
      </w:r>
      <w:r>
        <w:rPr>
          <w:rFonts w:ascii="Times New Roman" w:eastAsia="Times New Roman"/>
          <w:sz w:val="24"/>
        </w:rPr>
        <w:t>2014 </w:t>
      </w:r>
      <w:r>
        <w:rPr>
          <w:spacing w:val="-30"/>
          <w:sz w:val="24"/>
        </w:rPr>
        <w:t>年 </w:t>
      </w:r>
      <w:r>
        <w:rPr>
          <w:rFonts w:ascii="Times New Roman" w:eastAsia="Times New Roman"/>
          <w:sz w:val="24"/>
        </w:rPr>
        <w:t>4 </w:t>
      </w:r>
      <w:r>
        <w:rPr>
          <w:spacing w:val="-30"/>
          <w:sz w:val="24"/>
        </w:rPr>
        <w:t>月 </w:t>
      </w:r>
      <w:r>
        <w:rPr>
          <w:rFonts w:ascii="Times New Roman" w:eastAsia="Times New Roman"/>
          <w:sz w:val="24"/>
        </w:rPr>
        <w:t>24 </w:t>
      </w:r>
      <w:r>
        <w:rPr>
          <w:spacing w:val="-2"/>
          <w:sz w:val="24"/>
        </w:rPr>
        <w:t>日修订，</w:t>
      </w:r>
      <w:r>
        <w:rPr>
          <w:rFonts w:ascii="Times New Roman" w:eastAsia="Times New Roman"/>
          <w:spacing w:val="-5"/>
          <w:sz w:val="24"/>
        </w:rPr>
        <w:t>2015</w:t>
      </w:r>
      <w:r>
        <w:rPr>
          <w:rFonts w:ascii="Times New Roman" w:eastAsia="Times New Roman"/>
          <w:spacing w:val="1"/>
          <w:sz w:val="24"/>
        </w:rPr>
        <w:t> </w:t>
      </w:r>
      <w:r>
        <w:rPr>
          <w:spacing w:val="-30"/>
          <w:sz w:val="24"/>
        </w:rPr>
        <w:t>年 </w:t>
      </w:r>
      <w:r>
        <w:rPr>
          <w:rFonts w:ascii="Times New Roman" w:eastAsia="Times New Roman"/>
          <w:sz w:val="24"/>
        </w:rPr>
        <w:t>1</w:t>
      </w:r>
      <w:r>
        <w:rPr>
          <w:rFonts w:ascii="Times New Roman" w:eastAsia="Times New Roman"/>
          <w:spacing w:val="1"/>
          <w:sz w:val="24"/>
        </w:rPr>
        <w:t> </w:t>
      </w:r>
      <w:r>
        <w:rPr>
          <w:spacing w:val="-30"/>
          <w:sz w:val="24"/>
        </w:rPr>
        <w:t>月 </w:t>
      </w:r>
      <w:r>
        <w:rPr>
          <w:rFonts w:ascii="Times New Roman" w:eastAsia="Times New Roman"/>
          <w:sz w:val="24"/>
        </w:rPr>
        <w:t>1</w:t>
      </w:r>
      <w:r>
        <w:rPr>
          <w:rFonts w:ascii="Times New Roman" w:eastAsia="Times New Roman"/>
          <w:spacing w:val="1"/>
          <w:sz w:val="24"/>
        </w:rPr>
        <w:t> </w:t>
      </w:r>
      <w:r>
        <w:rPr>
          <w:spacing w:val="-5"/>
          <w:sz w:val="24"/>
        </w:rPr>
        <w:t>日起施</w:t>
      </w:r>
      <w:r>
        <w:rPr>
          <w:sz w:val="24"/>
        </w:rPr>
        <w:t>行）；</w:t>
      </w:r>
    </w:p>
    <w:p>
      <w:pPr>
        <w:pStyle w:val="ListParagraph"/>
        <w:numPr>
          <w:ilvl w:val="0"/>
          <w:numId w:val="9"/>
        </w:numPr>
        <w:tabs>
          <w:tab w:pos="1239" w:val="left" w:leader="none"/>
        </w:tabs>
        <w:spacing w:line="240" w:lineRule="auto" w:before="5" w:after="0"/>
        <w:ind w:left="1238" w:right="0" w:hanging="281"/>
        <w:jc w:val="left"/>
        <w:rPr>
          <w:sz w:val="24"/>
        </w:rPr>
      </w:pPr>
      <w:r>
        <w:rPr>
          <w:spacing w:val="-1"/>
          <w:sz w:val="24"/>
        </w:rPr>
        <w:t>《中华人民共和国环境影响评价法》</w:t>
      </w:r>
      <w:r>
        <w:rPr>
          <w:sz w:val="24"/>
        </w:rPr>
        <w:t>（</w:t>
      </w:r>
      <w:r>
        <w:rPr>
          <w:rFonts w:ascii="Times New Roman" w:eastAsia="Times New Roman"/>
          <w:sz w:val="24"/>
        </w:rPr>
        <w:t>2018 </w:t>
      </w:r>
      <w:r>
        <w:rPr>
          <w:spacing w:val="-30"/>
          <w:sz w:val="24"/>
        </w:rPr>
        <w:t>年 </w:t>
      </w:r>
      <w:r>
        <w:rPr>
          <w:rFonts w:ascii="Times New Roman" w:eastAsia="Times New Roman"/>
          <w:sz w:val="24"/>
        </w:rPr>
        <w:t>12 </w:t>
      </w:r>
      <w:r>
        <w:rPr>
          <w:spacing w:val="-30"/>
          <w:sz w:val="24"/>
        </w:rPr>
        <w:t>月 </w:t>
      </w:r>
      <w:r>
        <w:rPr>
          <w:rFonts w:ascii="Times New Roman" w:eastAsia="Times New Roman"/>
          <w:sz w:val="24"/>
        </w:rPr>
        <w:t>29 </w:t>
      </w:r>
      <w:r>
        <w:rPr>
          <w:sz w:val="24"/>
        </w:rPr>
        <w:t>日第二次修正并施行</w:t>
      </w:r>
      <w:r>
        <w:rPr>
          <w:spacing w:val="-4"/>
          <w:sz w:val="24"/>
        </w:rPr>
        <w:t>）；</w:t>
      </w:r>
    </w:p>
    <w:p>
      <w:pPr>
        <w:pStyle w:val="ListParagraph"/>
        <w:numPr>
          <w:ilvl w:val="0"/>
          <w:numId w:val="9"/>
        </w:numPr>
        <w:tabs>
          <w:tab w:pos="1239" w:val="left" w:leader="none"/>
        </w:tabs>
        <w:spacing w:line="240" w:lineRule="auto" w:before="158" w:after="0"/>
        <w:ind w:left="1238" w:right="0" w:hanging="281"/>
        <w:jc w:val="left"/>
        <w:rPr>
          <w:sz w:val="24"/>
        </w:rPr>
      </w:pPr>
      <w:r>
        <w:rPr>
          <w:spacing w:val="-1"/>
          <w:sz w:val="24"/>
        </w:rPr>
        <w:t>《中华人民共和国大气污染防治法》</w:t>
      </w:r>
      <w:r>
        <w:rPr>
          <w:sz w:val="24"/>
        </w:rPr>
        <w:t>（</w:t>
      </w:r>
      <w:r>
        <w:rPr>
          <w:rFonts w:ascii="Times New Roman" w:eastAsia="Times New Roman"/>
          <w:sz w:val="24"/>
        </w:rPr>
        <w:t>2018 </w:t>
      </w:r>
      <w:r>
        <w:rPr>
          <w:spacing w:val="-30"/>
          <w:sz w:val="24"/>
        </w:rPr>
        <w:t>年 </w:t>
      </w:r>
      <w:r>
        <w:rPr>
          <w:rFonts w:ascii="Times New Roman" w:eastAsia="Times New Roman"/>
          <w:sz w:val="24"/>
        </w:rPr>
        <w:t>10 </w:t>
      </w:r>
      <w:r>
        <w:rPr>
          <w:spacing w:val="-30"/>
          <w:sz w:val="24"/>
        </w:rPr>
        <w:t>月 </w:t>
      </w:r>
      <w:r>
        <w:rPr>
          <w:rFonts w:ascii="Times New Roman" w:eastAsia="Times New Roman"/>
          <w:sz w:val="24"/>
        </w:rPr>
        <w:t>26 </w:t>
      </w:r>
      <w:r>
        <w:rPr>
          <w:sz w:val="24"/>
        </w:rPr>
        <w:t>日第二次修正并施行</w:t>
      </w:r>
      <w:r>
        <w:rPr>
          <w:spacing w:val="-4"/>
          <w:sz w:val="24"/>
        </w:rPr>
        <w:t>）；</w:t>
      </w:r>
    </w:p>
    <w:p>
      <w:pPr>
        <w:pStyle w:val="ListParagraph"/>
        <w:numPr>
          <w:ilvl w:val="0"/>
          <w:numId w:val="9"/>
        </w:numPr>
        <w:tabs>
          <w:tab w:pos="1239" w:val="left" w:leader="none"/>
        </w:tabs>
        <w:spacing w:line="240" w:lineRule="auto" w:before="161" w:after="0"/>
        <w:ind w:left="1238" w:right="0" w:hanging="281"/>
        <w:jc w:val="left"/>
        <w:rPr>
          <w:sz w:val="24"/>
        </w:rPr>
      </w:pPr>
      <w:r>
        <w:rPr>
          <w:sz w:val="24"/>
        </w:rPr>
        <w:t>《中华人民共和国环境噪声污染防治法》（</w:t>
      </w:r>
      <w:r>
        <w:rPr>
          <w:rFonts w:ascii="Times New Roman" w:eastAsia="Times New Roman"/>
          <w:sz w:val="24"/>
        </w:rPr>
        <w:t>2018 </w:t>
      </w:r>
      <w:r>
        <w:rPr>
          <w:spacing w:val="-30"/>
          <w:sz w:val="24"/>
        </w:rPr>
        <w:t>年 </w:t>
      </w:r>
      <w:r>
        <w:rPr>
          <w:rFonts w:ascii="Times New Roman" w:eastAsia="Times New Roman"/>
          <w:sz w:val="24"/>
        </w:rPr>
        <w:t>12 </w:t>
      </w:r>
      <w:r>
        <w:rPr>
          <w:spacing w:val="-30"/>
          <w:sz w:val="24"/>
        </w:rPr>
        <w:t>月 </w:t>
      </w:r>
      <w:r>
        <w:rPr>
          <w:rFonts w:ascii="Times New Roman" w:eastAsia="Times New Roman"/>
          <w:sz w:val="24"/>
        </w:rPr>
        <w:t>29 </w:t>
      </w:r>
      <w:r>
        <w:rPr>
          <w:sz w:val="24"/>
        </w:rPr>
        <w:t>日修正并施行）；</w:t>
      </w:r>
    </w:p>
    <w:p>
      <w:pPr>
        <w:pStyle w:val="ListParagraph"/>
        <w:numPr>
          <w:ilvl w:val="0"/>
          <w:numId w:val="9"/>
        </w:numPr>
        <w:tabs>
          <w:tab w:pos="1239" w:val="left" w:leader="none"/>
        </w:tabs>
        <w:spacing w:line="240" w:lineRule="auto" w:before="158" w:after="0"/>
        <w:ind w:left="1238" w:right="0" w:hanging="281"/>
        <w:jc w:val="left"/>
        <w:rPr>
          <w:sz w:val="24"/>
        </w:rPr>
      </w:pPr>
      <w:r>
        <w:rPr>
          <w:spacing w:val="-4"/>
          <w:sz w:val="24"/>
        </w:rPr>
        <w:t>《中华人民共和国水污染防治法》</w:t>
      </w:r>
      <w:r>
        <w:rPr>
          <w:sz w:val="24"/>
        </w:rPr>
        <w:t>（</w:t>
      </w:r>
      <w:r>
        <w:rPr>
          <w:rFonts w:ascii="Times New Roman" w:eastAsia="Times New Roman"/>
          <w:sz w:val="24"/>
        </w:rPr>
        <w:t>2017 </w:t>
      </w:r>
      <w:r>
        <w:rPr>
          <w:spacing w:val="-30"/>
          <w:sz w:val="24"/>
        </w:rPr>
        <w:t>年 </w:t>
      </w:r>
      <w:r>
        <w:rPr>
          <w:rFonts w:ascii="Times New Roman" w:eastAsia="Times New Roman"/>
          <w:sz w:val="24"/>
        </w:rPr>
        <w:t>6 </w:t>
      </w:r>
      <w:r>
        <w:rPr>
          <w:spacing w:val="-30"/>
          <w:sz w:val="24"/>
        </w:rPr>
        <w:t>月 </w:t>
      </w:r>
      <w:r>
        <w:rPr>
          <w:rFonts w:ascii="Times New Roman" w:eastAsia="Times New Roman"/>
          <w:sz w:val="24"/>
        </w:rPr>
        <w:t>27 </w:t>
      </w:r>
      <w:r>
        <w:rPr>
          <w:spacing w:val="-1"/>
          <w:sz w:val="24"/>
        </w:rPr>
        <w:t>日第二次修正，</w:t>
      </w:r>
      <w:r>
        <w:rPr>
          <w:rFonts w:ascii="Times New Roman" w:eastAsia="Times New Roman"/>
          <w:spacing w:val="-5"/>
          <w:sz w:val="24"/>
        </w:rPr>
        <w:t>2018</w:t>
      </w:r>
      <w:r>
        <w:rPr>
          <w:rFonts w:ascii="Times New Roman" w:eastAsia="Times New Roman"/>
          <w:sz w:val="24"/>
        </w:rPr>
        <w:t> </w:t>
      </w:r>
      <w:r>
        <w:rPr>
          <w:spacing w:val="-30"/>
          <w:sz w:val="24"/>
        </w:rPr>
        <w:t>年 </w:t>
      </w:r>
      <w:r>
        <w:rPr>
          <w:rFonts w:ascii="Times New Roman" w:eastAsia="Times New Roman"/>
          <w:sz w:val="24"/>
        </w:rPr>
        <w:t>1</w:t>
      </w:r>
      <w:r>
        <w:rPr>
          <w:rFonts w:ascii="Times New Roman" w:eastAsia="Times New Roman"/>
          <w:spacing w:val="2"/>
          <w:sz w:val="24"/>
        </w:rPr>
        <w:t> </w:t>
      </w:r>
      <w:r>
        <w:rPr>
          <w:sz w:val="24"/>
        </w:rPr>
        <w:t>月</w:t>
      </w:r>
    </w:p>
    <w:p>
      <w:pPr>
        <w:pStyle w:val="BodyText"/>
        <w:spacing w:before="161"/>
        <w:ind w:left="478"/>
      </w:pPr>
      <w:r>
        <w:rPr>
          <w:rFonts w:ascii="Times New Roman" w:eastAsia="Times New Roman"/>
        </w:rPr>
        <w:t>1 </w:t>
      </w:r>
      <w:r>
        <w:rPr/>
        <w:t>日起施行）；</w:t>
      </w:r>
    </w:p>
    <w:p>
      <w:pPr>
        <w:pStyle w:val="ListParagraph"/>
        <w:numPr>
          <w:ilvl w:val="0"/>
          <w:numId w:val="9"/>
        </w:numPr>
        <w:tabs>
          <w:tab w:pos="1239" w:val="left" w:leader="none"/>
        </w:tabs>
        <w:spacing w:line="240" w:lineRule="auto" w:before="160" w:after="0"/>
        <w:ind w:left="1238" w:right="0" w:hanging="281"/>
        <w:jc w:val="left"/>
        <w:rPr>
          <w:sz w:val="24"/>
        </w:rPr>
      </w:pPr>
      <w:r>
        <w:rPr>
          <w:spacing w:val="-4"/>
          <w:sz w:val="24"/>
        </w:rPr>
        <w:t>《中华人民共和国固体废物污染环境防治法》</w:t>
      </w:r>
      <w:r>
        <w:rPr>
          <w:rFonts w:ascii="Times New Roman" w:eastAsia="Times New Roman"/>
          <w:sz w:val="24"/>
        </w:rPr>
        <w:t>(2020 </w:t>
      </w:r>
      <w:r>
        <w:rPr>
          <w:spacing w:val="-29"/>
          <w:sz w:val="24"/>
        </w:rPr>
        <w:t>年 </w:t>
      </w:r>
      <w:r>
        <w:rPr>
          <w:rFonts w:ascii="Times New Roman" w:eastAsia="Times New Roman"/>
          <w:sz w:val="24"/>
        </w:rPr>
        <w:t>4 </w:t>
      </w:r>
      <w:r>
        <w:rPr>
          <w:spacing w:val="-30"/>
          <w:sz w:val="24"/>
        </w:rPr>
        <w:t>月 </w:t>
      </w:r>
      <w:r>
        <w:rPr>
          <w:rFonts w:ascii="Times New Roman" w:eastAsia="Times New Roman"/>
          <w:sz w:val="24"/>
        </w:rPr>
        <w:t>29 </w:t>
      </w:r>
      <w:r>
        <w:rPr>
          <w:sz w:val="24"/>
        </w:rPr>
        <w:t>日第十三届全国人</w:t>
      </w:r>
    </w:p>
    <w:p>
      <w:pPr>
        <w:pStyle w:val="BodyText"/>
        <w:spacing w:before="158"/>
        <w:ind w:left="478"/>
      </w:pPr>
      <w:r>
        <w:rPr/>
        <w:t>民代表大会常务委员会第十七次会议第二次修订</w:t>
      </w:r>
      <w:r>
        <w:rPr>
          <w:rFonts w:ascii="Times New Roman" w:eastAsia="Times New Roman"/>
        </w:rPr>
        <w:t>,2020 </w:t>
      </w:r>
      <w:r>
        <w:rPr/>
        <w:t>年 </w:t>
      </w:r>
      <w:r>
        <w:rPr>
          <w:rFonts w:ascii="Times New Roman" w:eastAsia="Times New Roman"/>
        </w:rPr>
        <w:t>09 </w:t>
      </w:r>
      <w:r>
        <w:rPr/>
        <w:t>月 </w:t>
      </w:r>
      <w:r>
        <w:rPr>
          <w:rFonts w:ascii="Times New Roman" w:eastAsia="Times New Roman"/>
        </w:rPr>
        <w:t>1 </w:t>
      </w:r>
      <w:r>
        <w:rPr/>
        <w:t>日施行）；</w:t>
      </w:r>
    </w:p>
    <w:p>
      <w:pPr>
        <w:pStyle w:val="ListParagraph"/>
        <w:numPr>
          <w:ilvl w:val="0"/>
          <w:numId w:val="9"/>
        </w:numPr>
        <w:tabs>
          <w:tab w:pos="1239" w:val="left" w:leader="none"/>
        </w:tabs>
        <w:spacing w:line="240" w:lineRule="auto" w:before="158" w:after="0"/>
        <w:ind w:left="123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1 </w:t>
      </w:r>
      <w:r>
        <w:rPr>
          <w:sz w:val="24"/>
        </w:rPr>
        <w:t>日施行）；</w:t>
      </w:r>
    </w:p>
    <w:p>
      <w:pPr>
        <w:pStyle w:val="ListParagraph"/>
        <w:numPr>
          <w:ilvl w:val="0"/>
          <w:numId w:val="9"/>
        </w:numPr>
        <w:tabs>
          <w:tab w:pos="1240" w:val="left" w:leader="none"/>
        </w:tabs>
        <w:spacing w:line="364" w:lineRule="auto" w:before="161" w:after="0"/>
        <w:ind w:left="478" w:right="47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w:t>
      </w:r>
      <w:r>
        <w:rPr>
          <w:spacing w:val="-29"/>
          <w:sz w:val="24"/>
        </w:rPr>
        <w:t>年 </w:t>
      </w:r>
      <w:r>
        <w:rPr>
          <w:rFonts w:ascii="Times New Roman" w:eastAsia="Times New Roman"/>
          <w:sz w:val="24"/>
        </w:rPr>
        <w:t>12</w:t>
      </w:r>
      <w:r>
        <w:rPr>
          <w:rFonts w:ascii="Times New Roman" w:eastAsia="Times New Roman"/>
          <w:spacing w:val="1"/>
          <w:sz w:val="24"/>
        </w:rPr>
        <w:t> </w:t>
      </w:r>
      <w:r>
        <w:rPr>
          <w:spacing w:val="-28"/>
          <w:sz w:val="24"/>
        </w:rPr>
        <w:t>月 </w:t>
      </w:r>
      <w:r>
        <w:rPr>
          <w:rFonts w:ascii="Times New Roman" w:eastAsia="Times New Roman"/>
          <w:sz w:val="24"/>
        </w:rPr>
        <w:t>25</w:t>
      </w:r>
      <w:r>
        <w:rPr>
          <w:rFonts w:ascii="Times New Roman" w:eastAsia="Times New Roman"/>
          <w:spacing w:val="4"/>
          <w:sz w:val="24"/>
        </w:rPr>
        <w:t> </w:t>
      </w:r>
      <w:r>
        <w:rPr>
          <w:sz w:val="24"/>
        </w:rPr>
        <w:t>日修订，</w:t>
      </w:r>
      <w:r>
        <w:rPr>
          <w:rFonts w:ascii="Times New Roman" w:eastAsia="Times New Roman"/>
          <w:sz w:val="24"/>
        </w:rPr>
        <w:t>2011</w:t>
      </w:r>
      <w:r>
        <w:rPr>
          <w:rFonts w:ascii="Times New Roman" w:eastAsia="Times New Roman"/>
          <w:spacing w:val="-2"/>
          <w:sz w:val="24"/>
        </w:rPr>
        <w:t> </w:t>
      </w:r>
      <w:r>
        <w:rPr>
          <w:spacing w:val="-29"/>
          <w:sz w:val="24"/>
        </w:rPr>
        <w:t>年 </w:t>
      </w:r>
      <w:r>
        <w:rPr>
          <w:rFonts w:ascii="Times New Roman" w:eastAsia="Times New Roman"/>
          <w:sz w:val="24"/>
        </w:rPr>
        <w:t>3</w:t>
      </w:r>
      <w:r>
        <w:rPr>
          <w:rFonts w:ascii="Times New Roman" w:eastAsia="Times New Roman"/>
          <w:spacing w:val="4"/>
          <w:sz w:val="24"/>
        </w:rPr>
        <w:t> </w:t>
      </w:r>
      <w:r>
        <w:rPr>
          <w:spacing w:val="-29"/>
          <w:sz w:val="24"/>
        </w:rPr>
        <w:t>月 </w:t>
      </w:r>
      <w:r>
        <w:rPr>
          <w:rFonts w:ascii="Times New Roman" w:eastAsia="Times New Roman"/>
          <w:sz w:val="24"/>
        </w:rPr>
        <w:t>1</w:t>
      </w:r>
      <w:r>
        <w:rPr>
          <w:rFonts w:ascii="Times New Roman" w:eastAsia="Times New Roman"/>
          <w:spacing w:val="2"/>
          <w:sz w:val="24"/>
        </w:rPr>
        <w:t> </w:t>
      </w:r>
      <w:r>
        <w:rPr>
          <w:sz w:val="24"/>
        </w:rPr>
        <w:t>日起施行）；</w:t>
      </w:r>
    </w:p>
    <w:p>
      <w:pPr>
        <w:pStyle w:val="ListParagraph"/>
        <w:numPr>
          <w:ilvl w:val="0"/>
          <w:numId w:val="9"/>
        </w:numPr>
        <w:tabs>
          <w:tab w:pos="1239" w:val="left" w:leader="none"/>
        </w:tabs>
        <w:spacing w:line="364" w:lineRule="auto" w:before="0" w:after="0"/>
        <w:ind w:left="478" w:right="47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w:t>
      </w:r>
      <w:r>
        <w:rPr>
          <w:spacing w:val="-27"/>
          <w:sz w:val="24"/>
        </w:rPr>
        <w:t>年 </w:t>
      </w:r>
      <w:r>
        <w:rPr>
          <w:rFonts w:ascii="Times New Roman" w:eastAsia="Times New Roman"/>
          <w:sz w:val="24"/>
        </w:rPr>
        <w:t>2</w:t>
      </w:r>
      <w:r>
        <w:rPr>
          <w:rFonts w:ascii="Times New Roman" w:eastAsia="Times New Roman"/>
          <w:spacing w:val="8"/>
          <w:sz w:val="24"/>
        </w:rPr>
        <w:t> </w:t>
      </w:r>
      <w:r>
        <w:rPr>
          <w:spacing w:val="-27"/>
          <w:sz w:val="24"/>
        </w:rPr>
        <w:t>月 </w:t>
      </w:r>
      <w:r>
        <w:rPr>
          <w:rFonts w:ascii="Times New Roman" w:eastAsia="Times New Roman"/>
          <w:sz w:val="24"/>
        </w:rPr>
        <w:t>29</w:t>
      </w:r>
      <w:r>
        <w:rPr>
          <w:rFonts w:ascii="Times New Roman" w:eastAsia="Times New Roman"/>
          <w:spacing w:val="8"/>
          <w:sz w:val="24"/>
        </w:rPr>
        <w:t> </w:t>
      </w:r>
      <w:r>
        <w:rPr>
          <w:spacing w:val="-2"/>
          <w:sz w:val="24"/>
        </w:rPr>
        <w:t>日修正，</w:t>
      </w:r>
      <w:r>
        <w:rPr>
          <w:rFonts w:ascii="Times New Roman" w:eastAsia="Times New Roman"/>
          <w:spacing w:val="-5"/>
          <w:sz w:val="24"/>
        </w:rPr>
        <w:t>2012</w:t>
      </w:r>
      <w:r>
        <w:rPr>
          <w:rFonts w:ascii="Times New Roman" w:eastAsia="Times New Roman"/>
          <w:spacing w:val="7"/>
          <w:sz w:val="24"/>
        </w:rPr>
        <w:t> </w:t>
      </w:r>
      <w:r>
        <w:rPr>
          <w:spacing w:val="-26"/>
          <w:sz w:val="24"/>
        </w:rPr>
        <w:t>年 </w:t>
      </w:r>
      <w:r>
        <w:rPr>
          <w:rFonts w:ascii="Times New Roman" w:eastAsia="Times New Roman"/>
          <w:sz w:val="24"/>
        </w:rPr>
        <w:t>7</w:t>
      </w:r>
      <w:r>
        <w:rPr>
          <w:rFonts w:ascii="Times New Roman" w:eastAsia="Times New Roman"/>
          <w:spacing w:val="7"/>
          <w:sz w:val="24"/>
        </w:rPr>
        <w:t> </w:t>
      </w:r>
      <w:r>
        <w:rPr>
          <w:spacing w:val="-26"/>
          <w:sz w:val="24"/>
        </w:rPr>
        <w:t>月 </w:t>
      </w:r>
      <w:r>
        <w:rPr>
          <w:rFonts w:ascii="Times New Roman" w:eastAsia="Times New Roman"/>
          <w:sz w:val="24"/>
        </w:rPr>
        <w:t>1 </w:t>
      </w:r>
      <w:r>
        <w:rPr>
          <w:spacing w:val="-5"/>
          <w:sz w:val="24"/>
        </w:rPr>
        <w:t>日起施行</w:t>
      </w:r>
      <w:r>
        <w:rPr>
          <w:sz w:val="24"/>
        </w:rPr>
        <w:t>）；</w:t>
      </w:r>
    </w:p>
    <w:p>
      <w:pPr>
        <w:pStyle w:val="ListParagraph"/>
        <w:numPr>
          <w:ilvl w:val="0"/>
          <w:numId w:val="9"/>
        </w:numPr>
        <w:tabs>
          <w:tab w:pos="1359" w:val="left" w:leader="none"/>
        </w:tabs>
        <w:spacing w:line="364" w:lineRule="auto" w:before="0" w:after="0"/>
        <w:ind w:left="478" w:right="47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w:t>
      </w:r>
      <w:r>
        <w:rPr>
          <w:sz w:val="24"/>
        </w:rPr>
        <w:t>号，</w:t>
      </w:r>
      <w:r>
        <w:rPr>
          <w:rFonts w:ascii="Times New Roman" w:eastAsia="Times New Roman"/>
          <w:sz w:val="24"/>
        </w:rPr>
        <w:t>2019</w:t>
      </w:r>
      <w:r>
        <w:rPr>
          <w:rFonts w:ascii="Times New Roman" w:eastAsia="Times New Roman"/>
          <w:spacing w:val="3"/>
          <w:sz w:val="24"/>
        </w:rPr>
        <w:t> </w:t>
      </w:r>
      <w:r>
        <w:rPr>
          <w:spacing w:val="-28"/>
          <w:sz w:val="24"/>
        </w:rPr>
        <w:t>年 </w:t>
      </w:r>
      <w:r>
        <w:rPr>
          <w:rFonts w:ascii="Times New Roman" w:eastAsia="Times New Roman"/>
          <w:sz w:val="24"/>
        </w:rPr>
        <w:t>8</w:t>
      </w:r>
      <w:r>
        <w:rPr>
          <w:rFonts w:ascii="Times New Roman" w:eastAsia="Times New Roman"/>
          <w:spacing w:val="4"/>
          <w:sz w:val="24"/>
        </w:rPr>
        <w:t> </w:t>
      </w:r>
      <w:r>
        <w:rPr>
          <w:spacing w:val="-28"/>
          <w:sz w:val="24"/>
        </w:rPr>
        <w:t>月 </w:t>
      </w:r>
      <w:r>
        <w:rPr>
          <w:rFonts w:ascii="Times New Roman" w:eastAsia="Times New Roman"/>
          <w:sz w:val="24"/>
        </w:rPr>
        <w:t>28</w:t>
      </w:r>
      <w:r>
        <w:rPr>
          <w:rFonts w:ascii="Times New Roman" w:eastAsia="Times New Roman"/>
          <w:spacing w:val="3"/>
          <w:sz w:val="24"/>
        </w:rPr>
        <w:t> </w:t>
      </w:r>
      <w:r>
        <w:rPr>
          <w:spacing w:val="-6"/>
          <w:sz w:val="24"/>
        </w:rPr>
        <w:t>日第</w:t>
      </w:r>
      <w:r>
        <w:rPr>
          <w:sz w:val="24"/>
        </w:rPr>
        <w:t>三次修订，</w:t>
      </w:r>
      <w:r>
        <w:rPr>
          <w:rFonts w:ascii="Times New Roman" w:eastAsia="Times New Roman"/>
          <w:sz w:val="24"/>
        </w:rPr>
        <w:t>2020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1 </w:t>
      </w:r>
      <w:r>
        <w:rPr>
          <w:sz w:val="24"/>
        </w:rPr>
        <w:t>日起施行）；</w:t>
      </w:r>
    </w:p>
    <w:p>
      <w:pPr>
        <w:pStyle w:val="ListParagraph"/>
        <w:numPr>
          <w:ilvl w:val="0"/>
          <w:numId w:val="9"/>
        </w:numPr>
        <w:tabs>
          <w:tab w:pos="1352" w:val="left" w:leader="none"/>
        </w:tabs>
        <w:spacing w:line="306" w:lineRule="exact" w:before="0" w:after="0"/>
        <w:ind w:left="1351" w:right="0" w:hanging="394"/>
        <w:jc w:val="left"/>
        <w:rPr>
          <w:sz w:val="24"/>
        </w:rPr>
      </w:pPr>
      <w:r>
        <w:rPr>
          <w:sz w:val="24"/>
        </w:rPr>
        <w:t>《中华人民共和国矿产资源法》（</w:t>
      </w:r>
      <w:r>
        <w:rPr>
          <w:rFonts w:ascii="Times New Roman" w:eastAsia="Times New Roman"/>
          <w:sz w:val="24"/>
        </w:rPr>
        <w:t>2009 </w:t>
      </w:r>
      <w:r>
        <w:rPr>
          <w:spacing w:val="-30"/>
          <w:sz w:val="24"/>
        </w:rPr>
        <w:t>年 </w:t>
      </w:r>
      <w:r>
        <w:rPr>
          <w:rFonts w:ascii="Times New Roman" w:eastAsia="Times New Roman"/>
          <w:sz w:val="24"/>
        </w:rPr>
        <w:t>8 </w:t>
      </w:r>
      <w:r>
        <w:rPr>
          <w:spacing w:val="-30"/>
          <w:sz w:val="24"/>
        </w:rPr>
        <w:t>月 </w:t>
      </w:r>
      <w:r>
        <w:rPr>
          <w:rFonts w:ascii="Times New Roman" w:eastAsia="Times New Roman"/>
          <w:sz w:val="24"/>
        </w:rPr>
        <w:t>27 </w:t>
      </w:r>
      <w:r>
        <w:rPr>
          <w:sz w:val="24"/>
        </w:rPr>
        <w:t>日第二次修正，</w:t>
      </w:r>
      <w:r>
        <w:rPr>
          <w:rFonts w:ascii="Times New Roman" w:eastAsia="Times New Roman"/>
          <w:sz w:val="24"/>
        </w:rPr>
        <w:t>2009 </w:t>
      </w:r>
      <w:r>
        <w:rPr>
          <w:spacing w:val="-30"/>
          <w:sz w:val="24"/>
        </w:rPr>
        <w:t>年 </w:t>
      </w:r>
      <w:r>
        <w:rPr>
          <w:rFonts w:ascii="Times New Roman" w:eastAsia="Times New Roman"/>
          <w:sz w:val="24"/>
        </w:rPr>
        <w:t>8 </w:t>
      </w:r>
      <w:r>
        <w:rPr>
          <w:sz w:val="24"/>
        </w:rPr>
        <w:t>月</w:t>
      </w:r>
    </w:p>
    <w:p>
      <w:pPr>
        <w:pStyle w:val="BodyText"/>
        <w:spacing w:before="158"/>
        <w:ind w:left="478"/>
      </w:pPr>
      <w:r>
        <w:rPr>
          <w:rFonts w:ascii="Times New Roman" w:eastAsia="Times New Roman"/>
        </w:rPr>
        <w:t>27 </w:t>
      </w:r>
      <w:r>
        <w:rPr/>
        <w:t>日起施行）；</w:t>
      </w:r>
    </w:p>
    <w:p>
      <w:pPr>
        <w:pStyle w:val="ListParagraph"/>
        <w:numPr>
          <w:ilvl w:val="0"/>
          <w:numId w:val="9"/>
        </w:numPr>
        <w:tabs>
          <w:tab w:pos="1359" w:val="left" w:leader="none"/>
        </w:tabs>
        <w:spacing w:line="364" w:lineRule="auto" w:before="158" w:after="0"/>
        <w:ind w:left="478" w:right="473" w:firstLine="480"/>
        <w:jc w:val="left"/>
        <w:rPr>
          <w:sz w:val="24"/>
        </w:rPr>
      </w:pPr>
      <w:r>
        <w:rPr>
          <w:spacing w:val="-4"/>
          <w:sz w:val="24"/>
        </w:rPr>
        <w:t>《中华人民共和国煤炭法》</w:t>
      </w:r>
      <w:r>
        <w:rPr>
          <w:sz w:val="24"/>
        </w:rPr>
        <w:t>（</w:t>
      </w:r>
      <w:r>
        <w:rPr>
          <w:rFonts w:ascii="Times New Roman" w:eastAsia="Times New Roman"/>
          <w:sz w:val="24"/>
        </w:rPr>
        <w:t>2016</w:t>
      </w:r>
      <w:r>
        <w:rPr>
          <w:rFonts w:ascii="Times New Roman" w:eastAsia="Times New Roman"/>
          <w:spacing w:val="6"/>
          <w:sz w:val="24"/>
        </w:rPr>
        <w:t> </w:t>
      </w:r>
      <w:r>
        <w:rPr>
          <w:spacing w:val="-27"/>
          <w:sz w:val="24"/>
        </w:rPr>
        <w:t>年 </w:t>
      </w:r>
      <w:r>
        <w:rPr>
          <w:rFonts w:ascii="Times New Roman" w:eastAsia="Times New Roman"/>
          <w:sz w:val="24"/>
        </w:rPr>
        <w:t>6</w:t>
      </w:r>
      <w:r>
        <w:rPr>
          <w:rFonts w:ascii="Times New Roman" w:eastAsia="Times New Roman"/>
          <w:spacing w:val="7"/>
          <w:sz w:val="24"/>
        </w:rPr>
        <w:t> </w:t>
      </w:r>
      <w:r>
        <w:rPr>
          <w:spacing w:val="-27"/>
          <w:sz w:val="24"/>
        </w:rPr>
        <w:t>月 </w:t>
      </w:r>
      <w:r>
        <w:rPr>
          <w:rFonts w:ascii="Times New Roman" w:eastAsia="Times New Roman"/>
          <w:sz w:val="24"/>
        </w:rPr>
        <w:t>17</w:t>
      </w:r>
      <w:r>
        <w:rPr>
          <w:rFonts w:ascii="Times New Roman" w:eastAsia="Times New Roman"/>
          <w:spacing w:val="7"/>
          <w:sz w:val="24"/>
        </w:rPr>
        <w:t> </w:t>
      </w:r>
      <w:r>
        <w:rPr>
          <w:spacing w:val="-1"/>
          <w:sz w:val="24"/>
        </w:rPr>
        <w:t>日第四次修正，</w:t>
      </w:r>
      <w:r>
        <w:rPr>
          <w:rFonts w:ascii="Times New Roman" w:eastAsia="Times New Roman"/>
          <w:spacing w:val="-5"/>
          <w:sz w:val="24"/>
        </w:rPr>
        <w:t>2016</w:t>
      </w:r>
      <w:r>
        <w:rPr>
          <w:rFonts w:ascii="Times New Roman" w:eastAsia="Times New Roman"/>
          <w:spacing w:val="7"/>
          <w:sz w:val="24"/>
        </w:rPr>
        <w:t> </w:t>
      </w:r>
      <w:r>
        <w:rPr>
          <w:spacing w:val="-27"/>
          <w:sz w:val="24"/>
        </w:rPr>
        <w:t>年 </w:t>
      </w:r>
      <w:r>
        <w:rPr>
          <w:rFonts w:ascii="Times New Roman" w:eastAsia="Times New Roman"/>
          <w:sz w:val="24"/>
        </w:rPr>
        <w:t>6</w:t>
      </w:r>
      <w:r>
        <w:rPr>
          <w:rFonts w:ascii="Times New Roman" w:eastAsia="Times New Roman"/>
          <w:spacing w:val="7"/>
          <w:sz w:val="24"/>
        </w:rPr>
        <w:t> </w:t>
      </w:r>
      <w:r>
        <w:rPr>
          <w:spacing w:val="-27"/>
          <w:sz w:val="24"/>
        </w:rPr>
        <w:t>月 </w:t>
      </w:r>
      <w:r>
        <w:rPr>
          <w:rFonts w:ascii="Times New Roman" w:eastAsia="Times New Roman"/>
          <w:sz w:val="24"/>
        </w:rPr>
        <w:t>17 </w:t>
      </w:r>
      <w:r>
        <w:rPr>
          <w:spacing w:val="-4"/>
          <w:sz w:val="24"/>
        </w:rPr>
        <w:t>日起施行</w:t>
      </w:r>
      <w:r>
        <w:rPr>
          <w:sz w:val="24"/>
        </w:rPr>
        <w:t>）；</w:t>
      </w:r>
    </w:p>
    <w:p>
      <w:pPr>
        <w:pStyle w:val="ListParagraph"/>
        <w:numPr>
          <w:ilvl w:val="0"/>
          <w:numId w:val="9"/>
        </w:numPr>
        <w:tabs>
          <w:tab w:pos="1359" w:val="left" w:leader="none"/>
        </w:tabs>
        <w:spacing w:line="306" w:lineRule="exact" w:before="0" w:after="0"/>
        <w:ind w:left="135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w:t>
      </w:r>
      <w:r>
        <w:rPr>
          <w:spacing w:val="-30"/>
          <w:sz w:val="24"/>
        </w:rPr>
        <w:t>年 </w:t>
      </w:r>
      <w:r>
        <w:rPr>
          <w:rFonts w:ascii="Times New Roman" w:eastAsia="Times New Roman"/>
          <w:sz w:val="24"/>
        </w:rPr>
        <w:t>10</w:t>
      </w:r>
      <w:r>
        <w:rPr>
          <w:rFonts w:ascii="Times New Roman" w:eastAsia="Times New Roman"/>
          <w:spacing w:val="-1"/>
          <w:sz w:val="24"/>
        </w:rPr>
        <w:t> </w:t>
      </w:r>
      <w:r>
        <w:rPr>
          <w:spacing w:val="-30"/>
          <w:sz w:val="24"/>
        </w:rPr>
        <w:t>月 </w:t>
      </w:r>
      <w:r>
        <w:rPr>
          <w:rFonts w:ascii="Times New Roman" w:eastAsia="Times New Roman"/>
          <w:sz w:val="24"/>
        </w:rPr>
        <w:t>26 </w:t>
      </w:r>
      <w:r>
        <w:rPr>
          <w:sz w:val="24"/>
        </w:rPr>
        <w:t>日修正，</w:t>
      </w:r>
      <w:r>
        <w:rPr>
          <w:rFonts w:ascii="Times New Roman" w:eastAsia="Times New Roman"/>
          <w:sz w:val="24"/>
        </w:rPr>
        <w:t>2019</w:t>
      </w:r>
      <w:r>
        <w:rPr>
          <w:rFonts w:ascii="Times New Roman" w:eastAsia="Times New Roman"/>
          <w:spacing w:val="-1"/>
          <w:sz w:val="24"/>
        </w:rPr>
        <w:t> </w:t>
      </w:r>
      <w:r>
        <w:rPr>
          <w:spacing w:val="-30"/>
          <w:sz w:val="24"/>
        </w:rPr>
        <w:t>年 </w:t>
      </w:r>
      <w:r>
        <w:rPr>
          <w:rFonts w:ascii="Times New Roman" w:eastAsia="Times New Roman"/>
          <w:sz w:val="24"/>
        </w:rPr>
        <w:t>1 </w:t>
      </w:r>
      <w:r>
        <w:rPr>
          <w:spacing w:val="-31"/>
          <w:sz w:val="24"/>
        </w:rPr>
        <w:t>月 </w:t>
      </w:r>
      <w:r>
        <w:rPr>
          <w:rFonts w:ascii="Times New Roman" w:eastAsia="Times New Roman"/>
          <w:sz w:val="24"/>
        </w:rPr>
        <w:t>1</w:t>
      </w:r>
    </w:p>
    <w:p>
      <w:pPr>
        <w:pStyle w:val="BodyText"/>
        <w:spacing w:before="160"/>
        <w:ind w:left="478"/>
      </w:pPr>
      <w:r>
        <w:rPr/>
        <w:t>日起施行）；</w:t>
      </w:r>
    </w:p>
    <w:p>
      <w:pPr>
        <w:pStyle w:val="ListParagraph"/>
        <w:numPr>
          <w:ilvl w:val="0"/>
          <w:numId w:val="9"/>
        </w:numPr>
        <w:tabs>
          <w:tab w:pos="1359" w:val="left" w:leader="none"/>
        </w:tabs>
        <w:spacing w:line="240" w:lineRule="auto" w:before="161" w:after="0"/>
        <w:ind w:left="1358" w:right="0" w:hanging="401"/>
        <w:jc w:val="left"/>
        <w:rPr>
          <w:rFonts w:ascii="Times New Roman" w:eastAsia="Times New Roman"/>
          <w:sz w:val="24"/>
        </w:rPr>
      </w:pPr>
      <w:r>
        <w:rPr>
          <w:spacing w:val="-5"/>
          <w:sz w:val="24"/>
        </w:rPr>
        <w:t>中华人民共和国国务院令第 </w:t>
      </w:r>
      <w:r>
        <w:rPr>
          <w:rFonts w:ascii="Times New Roman" w:eastAsia="Times New Roman"/>
          <w:sz w:val="24"/>
        </w:rPr>
        <w:t>682 </w:t>
      </w:r>
      <w:r>
        <w:rPr>
          <w:sz w:val="24"/>
        </w:rPr>
        <w:t>号《建设项目环境保护管理条例》（</w:t>
      </w:r>
      <w:r>
        <w:rPr>
          <w:rFonts w:ascii="Times New Roman" w:eastAsia="Times New Roman"/>
          <w:sz w:val="24"/>
        </w:rPr>
        <w:t>2017 </w:t>
      </w:r>
      <w:r>
        <w:rPr>
          <w:spacing w:val="-30"/>
          <w:sz w:val="24"/>
        </w:rPr>
        <w:t>年 </w:t>
      </w:r>
      <w:r>
        <w:rPr>
          <w:rFonts w:ascii="Times New Roman" w:eastAsia="Times New Roman"/>
          <w:sz w:val="24"/>
        </w:rPr>
        <w:t>7</w:t>
      </w:r>
    </w:p>
    <w:p>
      <w:pPr>
        <w:pStyle w:val="BodyText"/>
        <w:spacing w:before="158"/>
        <w:ind w:left="478"/>
      </w:pPr>
      <w:r>
        <w:rPr/>
        <w:t>月 </w:t>
      </w:r>
      <w:r>
        <w:rPr>
          <w:rFonts w:ascii="Times New Roman" w:eastAsia="Times New Roman"/>
        </w:rPr>
        <w:t>16 </w:t>
      </w:r>
      <w:r>
        <w:rPr/>
        <w:t>日修订，</w:t>
      </w:r>
      <w:r>
        <w:rPr>
          <w:rFonts w:ascii="Times New Roman" w:eastAsia="Times New Roman"/>
        </w:rPr>
        <w:t>2017 </w:t>
      </w:r>
      <w:r>
        <w:rPr/>
        <w:t>年 </w:t>
      </w:r>
      <w:r>
        <w:rPr>
          <w:rFonts w:ascii="Times New Roman" w:eastAsia="Times New Roman"/>
        </w:rPr>
        <w:t>10 </w:t>
      </w:r>
      <w:r>
        <w:rPr/>
        <w:t>月 </w:t>
      </w:r>
      <w:r>
        <w:rPr>
          <w:rFonts w:ascii="Times New Roman" w:eastAsia="Times New Roman"/>
        </w:rPr>
        <w:t>1 </w:t>
      </w:r>
      <w:r>
        <w:rPr/>
        <w:t>日起实施）；</w:t>
      </w:r>
    </w:p>
    <w:p>
      <w:pPr>
        <w:spacing w:after="0"/>
        <w:sectPr>
          <w:pgSz w:w="11910" w:h="16840"/>
          <w:pgMar w:header="0" w:footer="993" w:top="1360" w:bottom="1180" w:left="940" w:right="940"/>
        </w:sectPr>
      </w:pPr>
    </w:p>
    <w:p>
      <w:pPr>
        <w:pStyle w:val="ListParagraph"/>
        <w:numPr>
          <w:ilvl w:val="0"/>
          <w:numId w:val="9"/>
        </w:numPr>
        <w:tabs>
          <w:tab w:pos="1359" w:val="left" w:leader="none"/>
        </w:tabs>
        <w:spacing w:line="240" w:lineRule="auto" w:before="61" w:after="0"/>
        <w:ind w:left="1358" w:right="0" w:hanging="401"/>
        <w:jc w:val="left"/>
        <w:rPr>
          <w:sz w:val="24"/>
        </w:rPr>
      </w:pPr>
      <w:r>
        <w:rPr>
          <w:sz w:val="24"/>
        </w:rPr>
        <w:t>《建设项目环境影响评价分类管理名录》（</w:t>
      </w:r>
      <w:r>
        <w:rPr>
          <w:rFonts w:ascii="Times New Roman" w:eastAsia="Times New Roman"/>
          <w:sz w:val="24"/>
        </w:rPr>
        <w:t>2018 </w:t>
      </w:r>
      <w:r>
        <w:rPr>
          <w:spacing w:val="-30"/>
          <w:sz w:val="24"/>
        </w:rPr>
        <w:t>年 </w:t>
      </w:r>
      <w:r>
        <w:rPr>
          <w:rFonts w:ascii="Times New Roman" w:eastAsia="Times New Roman"/>
          <w:sz w:val="24"/>
        </w:rPr>
        <w:t>4 </w:t>
      </w:r>
      <w:r>
        <w:rPr>
          <w:spacing w:val="-30"/>
          <w:sz w:val="24"/>
        </w:rPr>
        <w:t>月 </w:t>
      </w:r>
      <w:r>
        <w:rPr>
          <w:rFonts w:ascii="Times New Roman" w:eastAsia="Times New Roman"/>
          <w:sz w:val="24"/>
        </w:rPr>
        <w:t>28 </w:t>
      </w:r>
      <w:r>
        <w:rPr>
          <w:sz w:val="24"/>
        </w:rPr>
        <w:t>日修订）；</w:t>
      </w:r>
    </w:p>
    <w:p>
      <w:pPr>
        <w:pStyle w:val="ListParagraph"/>
        <w:numPr>
          <w:ilvl w:val="0"/>
          <w:numId w:val="9"/>
        </w:numPr>
        <w:tabs>
          <w:tab w:pos="1359" w:val="left" w:leader="none"/>
        </w:tabs>
        <w:spacing w:line="364" w:lineRule="auto" w:before="158" w:after="0"/>
        <w:ind w:left="478" w:right="471" w:firstLine="480"/>
        <w:jc w:val="left"/>
        <w:rPr>
          <w:sz w:val="24"/>
        </w:rPr>
      </w:pPr>
      <w:r>
        <w:rPr>
          <w:spacing w:val="-5"/>
          <w:sz w:val="24"/>
        </w:rPr>
        <w:t>国家发展和改革委员会文件第 </w:t>
      </w:r>
      <w:r>
        <w:rPr>
          <w:rFonts w:ascii="Times New Roman" w:eastAsia="Times New Roman"/>
          <w:sz w:val="24"/>
        </w:rPr>
        <w:t>29</w:t>
      </w:r>
      <w:r>
        <w:rPr>
          <w:rFonts w:ascii="Times New Roman" w:eastAsia="Times New Roman"/>
          <w:spacing w:val="1"/>
          <w:sz w:val="24"/>
        </w:rPr>
        <w:t> </w:t>
      </w:r>
      <w:r>
        <w:rPr>
          <w:spacing w:val="-11"/>
          <w:sz w:val="24"/>
        </w:rPr>
        <w:t>号令《产业结构调整指导目录</w:t>
      </w:r>
      <w:r>
        <w:rPr>
          <w:rFonts w:ascii="Times New Roman" w:eastAsia="Times New Roman"/>
          <w:sz w:val="24"/>
        </w:rPr>
        <w:t>(2019</w:t>
      </w:r>
      <w:r>
        <w:rPr>
          <w:rFonts w:ascii="Times New Roman" w:eastAsia="Times New Roman"/>
          <w:spacing w:val="1"/>
          <w:sz w:val="24"/>
        </w:rPr>
        <w:t>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BodyText"/>
        <w:spacing w:before="1"/>
        <w:ind w:left="95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w:t>
      </w:r>
      <w:r>
        <w:rP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rPr/>
        <w:t>；</w:t>
      </w:r>
    </w:p>
    <w:p>
      <w:pPr>
        <w:pStyle w:val="ListParagraph"/>
        <w:numPr>
          <w:ilvl w:val="0"/>
          <w:numId w:val="10"/>
        </w:numPr>
        <w:tabs>
          <w:tab w:pos="1359" w:val="left" w:leader="none"/>
        </w:tabs>
        <w:spacing w:line="364" w:lineRule="auto" w:before="158" w:after="0"/>
        <w:ind w:left="478" w:right="477" w:firstLine="480"/>
        <w:jc w:val="left"/>
        <w:rPr>
          <w:sz w:val="24"/>
        </w:rPr>
      </w:pPr>
      <w:r>
        <w:rPr>
          <w:spacing w:val="-1"/>
          <w:sz w:val="24"/>
        </w:rPr>
        <w:t>《环境影响评价公众参与办法》</w:t>
      </w:r>
      <w:r>
        <w:rPr>
          <w:sz w:val="24"/>
        </w:rPr>
        <w:t>（</w:t>
      </w:r>
      <w:r>
        <w:rPr>
          <w:spacing w:val="-8"/>
          <w:sz w:val="24"/>
        </w:rPr>
        <w:t>生态环境部令第 </w:t>
      </w:r>
      <w:r>
        <w:rPr>
          <w:rFonts w:ascii="Times New Roman" w:eastAsia="Times New Roman"/>
          <w:sz w:val="24"/>
        </w:rPr>
        <w:t>4</w:t>
      </w:r>
      <w:r>
        <w:rPr>
          <w:rFonts w:ascii="Times New Roman" w:eastAsia="Times New Roman"/>
          <w:spacing w:val="1"/>
          <w:sz w:val="24"/>
        </w:rPr>
        <w:t>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w:t>
      </w:r>
      <w:r>
        <w:rPr>
          <w:spacing w:val="-30"/>
          <w:sz w:val="24"/>
        </w:rPr>
        <w:t>年 </w:t>
      </w:r>
      <w:r>
        <w:rPr>
          <w:rFonts w:ascii="Times New Roman" w:eastAsia="Times New Roman"/>
          <w:sz w:val="24"/>
        </w:rPr>
        <w:t>1</w:t>
      </w:r>
      <w:r>
        <w:rPr>
          <w:rFonts w:ascii="Times New Roman" w:eastAsia="Times New Roman"/>
          <w:spacing w:val="1"/>
          <w:sz w:val="24"/>
        </w:rPr>
        <w:t> </w:t>
      </w:r>
      <w:r>
        <w:rPr>
          <w:spacing w:val="-30"/>
          <w:sz w:val="24"/>
        </w:rPr>
        <w:t>月 </w:t>
      </w:r>
      <w:r>
        <w:rPr>
          <w:rFonts w:ascii="Times New Roman" w:eastAsia="Times New Roman"/>
          <w:sz w:val="24"/>
        </w:rPr>
        <w:t>1 </w:t>
      </w:r>
      <w:r>
        <w:rPr>
          <w:spacing w:val="-9"/>
          <w:sz w:val="24"/>
        </w:rPr>
        <w:t>日起</w:t>
      </w:r>
      <w:r>
        <w:rPr>
          <w:sz w:val="24"/>
        </w:rPr>
        <w:t>施行）；</w:t>
      </w:r>
    </w:p>
    <w:p>
      <w:pPr>
        <w:pStyle w:val="ListParagraph"/>
        <w:numPr>
          <w:ilvl w:val="0"/>
          <w:numId w:val="10"/>
        </w:numPr>
        <w:tabs>
          <w:tab w:pos="1359" w:val="left" w:leader="none"/>
        </w:tabs>
        <w:spacing w:line="364" w:lineRule="auto" w:before="0" w:after="0"/>
        <w:ind w:left="478" w:right="473" w:firstLine="480"/>
        <w:jc w:val="left"/>
        <w:rPr>
          <w:sz w:val="24"/>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150 </w:t>
      </w:r>
      <w:r>
        <w:rPr>
          <w:sz w:val="24"/>
        </w:rPr>
        <w:t>号）（</w:t>
      </w:r>
      <w:r>
        <w:rPr>
          <w:rFonts w:ascii="Times New Roman" w:eastAsia="Times New Roman"/>
          <w:sz w:val="24"/>
        </w:rPr>
        <w:t>2016.10.27</w:t>
      </w:r>
      <w:r>
        <w:rPr>
          <w:sz w:val="24"/>
        </w:rPr>
        <w:t>）；</w:t>
      </w:r>
    </w:p>
    <w:p>
      <w:pPr>
        <w:pStyle w:val="ListParagraph"/>
        <w:numPr>
          <w:ilvl w:val="0"/>
          <w:numId w:val="10"/>
        </w:numPr>
        <w:tabs>
          <w:tab w:pos="1359" w:val="left" w:leader="none"/>
        </w:tabs>
        <w:spacing w:line="306" w:lineRule="exact" w:before="0" w:after="0"/>
        <w:ind w:left="1358" w:right="0" w:hanging="401"/>
        <w:jc w:val="left"/>
        <w:rPr>
          <w:sz w:val="24"/>
        </w:rPr>
      </w:pPr>
      <w:r>
        <w:rPr>
          <w:spacing w:val="-7"/>
          <w:sz w:val="24"/>
        </w:rPr>
        <w:t>《矿山生态环境保护与污染防治技术政策》</w:t>
      </w:r>
      <w:r>
        <w:rPr>
          <w:spacing w:val="-3"/>
          <w:sz w:val="24"/>
        </w:rPr>
        <w:t>（</w:t>
      </w:r>
      <w:r>
        <w:rPr>
          <w:spacing w:val="-16"/>
          <w:sz w:val="24"/>
        </w:rPr>
        <w:t>环发〔</w:t>
      </w:r>
      <w:r>
        <w:rPr>
          <w:rFonts w:ascii="Times New Roman" w:eastAsia="Times New Roman"/>
          <w:sz w:val="24"/>
        </w:rPr>
        <w:t>2005</w:t>
      </w:r>
      <w:r>
        <w:rPr>
          <w:spacing w:val="-48"/>
          <w:sz w:val="24"/>
        </w:rPr>
        <w:t>〕</w:t>
      </w:r>
      <w:r>
        <w:rPr>
          <w:rFonts w:ascii="Times New Roman" w:eastAsia="Times New Roman"/>
          <w:sz w:val="24"/>
        </w:rPr>
        <w:t>109  </w:t>
      </w:r>
      <w:r>
        <w:rPr>
          <w:sz w:val="24"/>
        </w:rPr>
        <w:t>号</w:t>
      </w:r>
      <w:r>
        <w:rPr>
          <w:spacing w:val="-94"/>
          <w:sz w:val="24"/>
        </w:rPr>
        <w:t>）</w:t>
      </w:r>
      <w:r>
        <w:rPr>
          <w:sz w:val="24"/>
        </w:rPr>
        <w:t>（</w:t>
      </w:r>
      <w:r>
        <w:rPr>
          <w:rFonts w:ascii="Times New Roman" w:eastAsia="Times New Roman"/>
          <w:sz w:val="24"/>
        </w:rPr>
        <w:t>2005.9.7</w:t>
      </w:r>
      <w:r>
        <w:rPr>
          <w:spacing w:val="-120"/>
          <w:sz w:val="24"/>
        </w:rPr>
        <w:t>）</w:t>
      </w:r>
      <w:r>
        <w:rPr>
          <w:sz w:val="24"/>
        </w:rPr>
        <w:t>；</w:t>
      </w:r>
    </w:p>
    <w:p>
      <w:pPr>
        <w:pStyle w:val="ListParagraph"/>
        <w:numPr>
          <w:ilvl w:val="0"/>
          <w:numId w:val="10"/>
        </w:numPr>
        <w:tabs>
          <w:tab w:pos="1359" w:val="left" w:leader="none"/>
        </w:tabs>
        <w:spacing w:line="240" w:lineRule="auto" w:before="160" w:after="0"/>
        <w:ind w:left="1358" w:right="0" w:hanging="401"/>
        <w:jc w:val="left"/>
        <w:rPr>
          <w:sz w:val="24"/>
        </w:rPr>
      </w:pPr>
      <w:r>
        <w:rPr>
          <w:sz w:val="24"/>
        </w:rPr>
        <w:t>《矿山生态环境保护与恢复治理技术规范（试行）》（</w:t>
      </w:r>
      <w:r>
        <w:rPr>
          <w:rFonts w:ascii="Times New Roman" w:eastAsia="Times New Roman"/>
          <w:sz w:val="24"/>
        </w:rPr>
        <w:t>HJ651-2013</w:t>
      </w:r>
      <w:r>
        <w:rPr>
          <w:sz w:val="24"/>
        </w:rPr>
        <w:t>）；</w:t>
      </w:r>
    </w:p>
    <w:p>
      <w:pPr>
        <w:pStyle w:val="ListParagraph"/>
        <w:numPr>
          <w:ilvl w:val="0"/>
          <w:numId w:val="10"/>
        </w:numPr>
        <w:tabs>
          <w:tab w:pos="1359" w:val="left" w:leader="none"/>
        </w:tabs>
        <w:spacing w:line="240" w:lineRule="auto" w:before="158" w:after="0"/>
        <w:ind w:left="1358" w:right="0" w:hanging="401"/>
        <w:jc w:val="left"/>
        <w:rPr>
          <w:sz w:val="24"/>
        </w:rPr>
      </w:pPr>
      <w:r>
        <w:rPr>
          <w:spacing w:val="-10"/>
          <w:sz w:val="24"/>
        </w:rPr>
        <w:t>中共中央国务院《关于全面加强生态环境保护坚决打好污染防治攻坚战的意见》</w:t>
      </w:r>
    </w:p>
    <w:p>
      <w:pPr>
        <w:pStyle w:val="BodyText"/>
        <w:spacing w:before="160"/>
        <w:ind w:left="478"/>
      </w:pPr>
      <w:r>
        <w:rPr/>
        <w:t>（</w:t>
      </w:r>
      <w:r>
        <w:rPr>
          <w:rFonts w:ascii="Times New Roman" w:eastAsia="Times New Roman"/>
        </w:rPr>
        <w:t>2018.6.16</w:t>
      </w:r>
      <w:r>
        <w:rPr/>
        <w:t>）；</w:t>
      </w:r>
    </w:p>
    <w:p>
      <w:pPr>
        <w:pStyle w:val="BodyText"/>
        <w:spacing w:before="158"/>
        <w:ind w:left="958"/>
      </w:pPr>
      <w:r>
        <w:rPr>
          <w:rFonts w:ascii="Times New Roman" w:eastAsia="Times New Roman"/>
          <w:spacing w:val="-1"/>
        </w:rPr>
        <w:t>(</w:t>
      </w:r>
      <w:r>
        <w:rPr>
          <w:rFonts w:ascii="Times New Roman" w:eastAsia="Times New Roman"/>
        </w:rPr>
        <w:t>2</w:t>
      </w:r>
      <w:r>
        <w:rPr>
          <w:rFonts w:ascii="Times New Roman" w:eastAsia="Times New Roman"/>
          <w:spacing w:val="-10"/>
        </w:rPr>
        <w:t>3</w:t>
      </w:r>
      <w:r>
        <w:rPr>
          <w:spacing w:val="-231"/>
        </w:rPr>
        <w:t>《</w:t>
      </w:r>
      <w:r>
        <w:rPr>
          <w:rFonts w:ascii="Times New Roman" w:eastAsia="Times New Roman"/>
          <w:spacing w:val="-8"/>
        </w:rPr>
        <w:t>)   </w:t>
      </w:r>
      <w:r>
        <w:rPr/>
        <w:t>国务院关于印发水污染防治行动计划的通知</w:t>
      </w:r>
      <w:r>
        <w:rPr>
          <w:spacing w:val="-180"/>
        </w:rPr>
        <w:t>》</w:t>
      </w:r>
      <w:r>
        <w:rPr/>
        <w:t>（</w:t>
      </w:r>
      <w:r>
        <w:rPr>
          <w:spacing w:val="-31"/>
        </w:rPr>
        <w:t>国发〔</w:t>
      </w:r>
      <w:r>
        <w:rPr>
          <w:rFonts w:ascii="Times New Roman" w:eastAsia="Times New Roman"/>
        </w:rPr>
        <w:t>2015</w:t>
      </w:r>
      <w:r>
        <w:rPr>
          <w:spacing w:val="-89"/>
        </w:rPr>
        <w:t>〕</w:t>
      </w:r>
      <w:r>
        <w:rPr>
          <w:rFonts w:ascii="Times New Roman" w:eastAsia="Times New Roman"/>
        </w:rPr>
        <w:t>17 </w:t>
      </w:r>
      <w:r>
        <w:rPr/>
        <w:t>号</w:t>
      </w:r>
      <w:r>
        <w:rPr>
          <w:spacing w:val="-180"/>
        </w:rPr>
        <w:t>）</w:t>
      </w:r>
      <w:r>
        <w:rPr/>
        <w:t>（</w:t>
      </w:r>
      <w:r>
        <w:rPr>
          <w:rFonts w:ascii="Times New Roman" w:eastAsia="Times New Roman"/>
        </w:rPr>
        <w:t>2015.4.2</w:t>
      </w:r>
      <w:r>
        <w:rPr>
          <w:spacing w:val="-120"/>
        </w:rPr>
        <w:t>）</w:t>
      </w:r>
      <w:r>
        <w:rPr/>
        <w:t>；</w:t>
      </w:r>
    </w:p>
    <w:p>
      <w:pPr>
        <w:pStyle w:val="ListParagraph"/>
        <w:numPr>
          <w:ilvl w:val="0"/>
          <w:numId w:val="11"/>
        </w:numPr>
        <w:tabs>
          <w:tab w:pos="1359" w:val="left" w:leader="none"/>
        </w:tabs>
        <w:spacing w:line="240" w:lineRule="auto" w:before="161" w:after="0"/>
        <w:ind w:left="1358" w:right="0" w:hanging="401"/>
        <w:jc w:val="left"/>
        <w:rPr>
          <w:sz w:val="24"/>
        </w:rPr>
      </w:pPr>
      <w:r>
        <w:rPr>
          <w:sz w:val="24"/>
        </w:rPr>
        <w:t>《黑龙江省环境保护条例》（</w:t>
      </w:r>
      <w:r>
        <w:rPr>
          <w:rFonts w:ascii="Times New Roman" w:eastAsia="Times New Roman"/>
          <w:sz w:val="24"/>
        </w:rPr>
        <w:t>2018 </w:t>
      </w:r>
      <w:r>
        <w:rPr>
          <w:spacing w:val="-30"/>
          <w:sz w:val="24"/>
        </w:rPr>
        <w:t>年 </w:t>
      </w:r>
      <w:r>
        <w:rPr>
          <w:rFonts w:ascii="Times New Roman" w:eastAsia="Times New Roman"/>
          <w:sz w:val="24"/>
        </w:rPr>
        <w:t>4 </w:t>
      </w:r>
      <w:r>
        <w:rPr>
          <w:spacing w:val="-30"/>
          <w:sz w:val="24"/>
        </w:rPr>
        <w:t>月 </w:t>
      </w:r>
      <w:r>
        <w:rPr>
          <w:rFonts w:ascii="Times New Roman" w:eastAsia="Times New Roman"/>
          <w:sz w:val="24"/>
        </w:rPr>
        <w:t>17 </w:t>
      </w:r>
      <w:r>
        <w:rPr>
          <w:sz w:val="24"/>
        </w:rPr>
        <w:t>日修正版）；</w:t>
      </w:r>
    </w:p>
    <w:p>
      <w:pPr>
        <w:pStyle w:val="ListParagraph"/>
        <w:numPr>
          <w:ilvl w:val="0"/>
          <w:numId w:val="11"/>
        </w:numPr>
        <w:tabs>
          <w:tab w:pos="1359" w:val="left" w:leader="none"/>
        </w:tabs>
        <w:spacing w:line="240" w:lineRule="auto" w:before="160" w:after="0"/>
        <w:ind w:left="1358" w:right="0" w:hanging="401"/>
        <w:jc w:val="left"/>
        <w:rPr>
          <w:sz w:val="24"/>
        </w:rPr>
      </w:pPr>
      <w:r>
        <w:rPr>
          <w:sz w:val="24"/>
        </w:rPr>
        <w:t>《黑龙江省大气污染防治条例》（</w:t>
      </w:r>
      <w:r>
        <w:rPr>
          <w:rFonts w:ascii="Times New Roman" w:eastAsia="Times New Roman"/>
          <w:sz w:val="24"/>
        </w:rPr>
        <w:t>2018 </w:t>
      </w:r>
      <w:r>
        <w:rPr>
          <w:spacing w:val="-30"/>
          <w:sz w:val="24"/>
        </w:rPr>
        <w:t>年 </w:t>
      </w:r>
      <w:r>
        <w:rPr>
          <w:rFonts w:ascii="Times New Roman" w:eastAsia="Times New Roman"/>
          <w:sz w:val="24"/>
        </w:rPr>
        <w:t>12 </w:t>
      </w:r>
      <w:r>
        <w:rPr>
          <w:spacing w:val="-30"/>
          <w:sz w:val="24"/>
        </w:rPr>
        <w:t>月 </w:t>
      </w:r>
      <w:r>
        <w:rPr>
          <w:rFonts w:ascii="Times New Roman" w:eastAsia="Times New Roman"/>
          <w:sz w:val="24"/>
        </w:rPr>
        <w:t>27 </w:t>
      </w:r>
      <w:r>
        <w:rPr>
          <w:sz w:val="24"/>
        </w:rPr>
        <w:t>日修正）；</w:t>
      </w:r>
    </w:p>
    <w:p>
      <w:pPr>
        <w:pStyle w:val="ListParagraph"/>
        <w:numPr>
          <w:ilvl w:val="0"/>
          <w:numId w:val="11"/>
        </w:numPr>
        <w:tabs>
          <w:tab w:pos="1359" w:val="left" w:leader="none"/>
        </w:tabs>
        <w:spacing w:line="364" w:lineRule="auto" w:before="159" w:after="0"/>
        <w:ind w:left="478" w:right="476" w:firstLine="480"/>
        <w:jc w:val="left"/>
        <w:rPr>
          <w:sz w:val="24"/>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ListParagraph"/>
        <w:numPr>
          <w:ilvl w:val="0"/>
          <w:numId w:val="11"/>
        </w:numPr>
        <w:tabs>
          <w:tab w:pos="1359" w:val="left" w:leader="none"/>
        </w:tabs>
        <w:spacing w:line="306" w:lineRule="exact" w:before="0" w:after="0"/>
        <w:ind w:left="1358" w:right="0" w:hanging="401"/>
        <w:jc w:val="left"/>
        <w:rPr>
          <w:sz w:val="24"/>
        </w:rPr>
      </w:pPr>
      <w:r>
        <w:rPr>
          <w:sz w:val="24"/>
        </w:rPr>
        <w:t>《黑龙江省人民政府关于印发黑龙江省水污染防治工作方案的通知》（黑政发</w:t>
      </w:r>
    </w:p>
    <w:p>
      <w:pPr>
        <w:pStyle w:val="BodyText"/>
        <w:spacing w:before="158"/>
        <w:ind w:left="478"/>
      </w:pPr>
      <w:r>
        <w:rPr/>
        <w:t>〔</w:t>
      </w:r>
      <w:r>
        <w:rPr>
          <w:rFonts w:ascii="Times New Roman" w:eastAsia="Times New Roman"/>
        </w:rPr>
        <w:t>2016</w:t>
      </w:r>
      <w:r>
        <w:rPr/>
        <w:t>〕</w:t>
      </w:r>
      <w:r>
        <w:rPr>
          <w:rFonts w:ascii="Times New Roman" w:eastAsia="Times New Roman"/>
        </w:rPr>
        <w:t>3 </w:t>
      </w:r>
      <w:r>
        <w:rPr/>
        <w:t>号）（</w:t>
      </w:r>
      <w:r>
        <w:rPr>
          <w:rFonts w:ascii="Times New Roman" w:eastAsia="Times New Roman"/>
        </w:rPr>
        <w:t>2016.1.10</w:t>
      </w:r>
      <w:r>
        <w:rPr/>
        <w:t>）；</w:t>
      </w:r>
    </w:p>
    <w:p>
      <w:pPr>
        <w:pStyle w:val="ListParagraph"/>
        <w:numPr>
          <w:ilvl w:val="0"/>
          <w:numId w:val="11"/>
        </w:numPr>
        <w:tabs>
          <w:tab w:pos="1359" w:val="left" w:leader="none"/>
        </w:tabs>
        <w:spacing w:line="364" w:lineRule="auto" w:before="160" w:after="0"/>
        <w:ind w:left="478" w:right="473" w:firstLine="480"/>
        <w:jc w:val="left"/>
        <w:rPr>
          <w:sz w:val="24"/>
        </w:rPr>
      </w:pPr>
      <w:r>
        <w:rPr>
          <w:spacing w:val="-9"/>
          <w:sz w:val="24"/>
        </w:rPr>
        <w:t>关于印发《黑龙江省重点生态功能区产业准入负面清单</w:t>
      </w:r>
      <w:r>
        <w:rPr>
          <w:sz w:val="24"/>
        </w:rPr>
        <w:t>（试行版</w:t>
      </w:r>
      <w:r>
        <w:rPr>
          <w:spacing w:val="-44"/>
          <w:sz w:val="24"/>
        </w:rPr>
        <w:t>）</w:t>
      </w:r>
      <w:r>
        <w:rPr>
          <w:spacing w:val="-21"/>
          <w:sz w:val="24"/>
        </w:rPr>
        <w:t>》的通知</w:t>
      </w:r>
      <w:r>
        <w:rPr>
          <w:sz w:val="24"/>
        </w:rPr>
        <w:t>（</w:t>
      </w:r>
      <w:r>
        <w:rPr>
          <w:spacing w:val="-14"/>
          <w:sz w:val="24"/>
        </w:rPr>
        <w:t>黑</w:t>
      </w:r>
      <w:r>
        <w:rPr>
          <w:sz w:val="24"/>
        </w:rPr>
        <w:t>发改规〔</w:t>
      </w:r>
      <w:r>
        <w:rPr>
          <w:rFonts w:ascii="Times New Roman" w:eastAsia="Times New Roman"/>
          <w:sz w:val="24"/>
        </w:rPr>
        <w:t>2017</w:t>
      </w:r>
      <w:r>
        <w:rPr>
          <w:sz w:val="24"/>
        </w:rPr>
        <w:t>〕</w:t>
      </w:r>
      <w:r>
        <w:rPr>
          <w:rFonts w:ascii="Times New Roman" w:eastAsia="Times New Roman"/>
          <w:sz w:val="24"/>
        </w:rPr>
        <w:t>4 </w:t>
      </w:r>
      <w:r>
        <w:rPr>
          <w:sz w:val="24"/>
        </w:rPr>
        <w:t>号）；</w:t>
      </w:r>
    </w:p>
    <w:p>
      <w:pPr>
        <w:pStyle w:val="ListParagraph"/>
        <w:numPr>
          <w:ilvl w:val="0"/>
          <w:numId w:val="11"/>
        </w:numPr>
        <w:tabs>
          <w:tab w:pos="1359" w:val="left" w:leader="none"/>
        </w:tabs>
        <w:spacing w:line="306" w:lineRule="exact" w:before="0" w:after="0"/>
        <w:ind w:left="135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w:t>
      </w:r>
      <w:r>
        <w:rPr>
          <w:sz w:val="24"/>
        </w:rPr>
        <w:t>号）。</w:t>
      </w:r>
    </w:p>
    <w:p>
      <w:pPr>
        <w:pStyle w:val="Heading3"/>
        <w:numPr>
          <w:ilvl w:val="2"/>
          <w:numId w:val="7"/>
        </w:numPr>
        <w:tabs>
          <w:tab w:pos="1108" w:val="left" w:leader="none"/>
        </w:tabs>
        <w:spacing w:line="240" w:lineRule="auto" w:before="162" w:after="0"/>
        <w:ind w:left="1107" w:right="0" w:hanging="630"/>
        <w:jc w:val="left"/>
      </w:pPr>
      <w:r>
        <w:rPr/>
        <w:t>相关技术规范</w:t>
      </w:r>
    </w:p>
    <w:p>
      <w:pPr>
        <w:pStyle w:val="ListParagraph"/>
        <w:numPr>
          <w:ilvl w:val="0"/>
          <w:numId w:val="12"/>
        </w:numPr>
        <w:tabs>
          <w:tab w:pos="1239" w:val="left" w:leader="none"/>
        </w:tabs>
        <w:spacing w:line="240" w:lineRule="auto" w:before="182" w:after="0"/>
        <w:ind w:left="1238" w:right="0" w:hanging="281"/>
        <w:jc w:val="left"/>
        <w:rPr>
          <w:sz w:val="24"/>
        </w:rPr>
      </w:pPr>
      <w:r>
        <w:rPr>
          <w:spacing w:val="-1"/>
          <w:sz w:val="24"/>
        </w:rPr>
        <w:t>《建设项目环境影响评价技术导则 总纲》</w:t>
      </w:r>
      <w:r>
        <w:rPr>
          <w:rFonts w:ascii="Times New Roman" w:eastAsia="Times New Roman"/>
          <w:sz w:val="24"/>
        </w:rPr>
        <w:t>(HJ2.1-2016)</w:t>
      </w:r>
      <w:r>
        <w:rPr>
          <w:sz w:val="24"/>
        </w:rPr>
        <w:t>；</w:t>
      </w:r>
    </w:p>
    <w:p>
      <w:pPr>
        <w:pStyle w:val="ListParagraph"/>
        <w:numPr>
          <w:ilvl w:val="0"/>
          <w:numId w:val="12"/>
        </w:numPr>
        <w:tabs>
          <w:tab w:pos="1239" w:val="left" w:leader="none"/>
        </w:tabs>
        <w:spacing w:line="364" w:lineRule="auto" w:before="161" w:after="0"/>
        <w:ind w:left="958" w:right="3060" w:firstLine="0"/>
        <w:jc w:val="left"/>
        <w:rPr>
          <w:sz w:val="24"/>
        </w:rPr>
      </w:pPr>
      <w:r>
        <w:rPr>
          <w:spacing w:val="-1"/>
          <w:sz w:val="24"/>
        </w:rPr>
        <w:t>《环境影响评价技术导则 大气环境》</w:t>
      </w:r>
      <w:r>
        <w:rPr>
          <w:rFonts w:ascii="Times New Roman" w:eastAsia="Times New Roman"/>
          <w:sz w:val="24"/>
        </w:rPr>
        <w:t>(HJ2.2-2018)</w:t>
      </w:r>
      <w:r>
        <w:rPr>
          <w:sz w:val="24"/>
        </w:rPr>
        <w:t>； </w:t>
      </w:r>
      <w:r>
        <w:rPr>
          <w:rFonts w:ascii="Times New Roman" w:eastAsia="Times New Roman"/>
          <w:sz w:val="24"/>
        </w:rPr>
        <w:t>(3)</w:t>
      </w:r>
      <w:r>
        <w:rPr>
          <w:sz w:val="24"/>
        </w:rPr>
        <w:t>《环境影响评价技术导则 地表水环境》</w:t>
      </w:r>
      <w:r>
        <w:rPr>
          <w:rFonts w:ascii="Times New Roman" w:eastAsia="Times New Roman"/>
          <w:spacing w:val="-3"/>
          <w:sz w:val="24"/>
        </w:rPr>
        <w:t>(HJ2.3-2018)</w:t>
      </w:r>
      <w:r>
        <w:rPr>
          <w:spacing w:val="-3"/>
          <w:sz w:val="24"/>
        </w:rPr>
        <w:t>； </w:t>
      </w:r>
      <w:r>
        <w:rPr>
          <w:rFonts w:ascii="Times New Roman" w:eastAsia="Times New Roman"/>
          <w:sz w:val="24"/>
        </w:rPr>
        <w:t>(4)</w:t>
      </w:r>
      <w:r>
        <w:rPr>
          <w:spacing w:val="-1"/>
          <w:sz w:val="24"/>
        </w:rPr>
        <w:t>《环境影响评价技术导则 声环境》</w:t>
      </w:r>
      <w:r>
        <w:rPr>
          <w:rFonts w:ascii="Times New Roman" w:eastAsia="Times New Roman"/>
          <w:sz w:val="24"/>
        </w:rPr>
        <w:t>(HJ2.4-2009)</w:t>
      </w:r>
      <w:r>
        <w:rPr>
          <w:sz w:val="24"/>
        </w:rPr>
        <w:t>；</w:t>
      </w:r>
    </w:p>
    <w:p>
      <w:pPr>
        <w:pStyle w:val="ListParagraph"/>
        <w:numPr>
          <w:ilvl w:val="0"/>
          <w:numId w:val="13"/>
        </w:numPr>
        <w:tabs>
          <w:tab w:pos="1239" w:val="left" w:leader="none"/>
        </w:tabs>
        <w:spacing w:line="307" w:lineRule="exact" w:before="0" w:after="0"/>
        <w:ind w:left="1238" w:right="0" w:hanging="281"/>
        <w:jc w:val="left"/>
        <w:rPr>
          <w:sz w:val="24"/>
        </w:rPr>
      </w:pPr>
      <w:r>
        <w:rPr>
          <w:spacing w:val="-1"/>
          <w:sz w:val="24"/>
        </w:rPr>
        <w:t>《环境影响评价技术导则 地下水环境》</w:t>
      </w:r>
      <w:r>
        <w:rPr>
          <w:rFonts w:ascii="Times New Roman" w:eastAsia="Times New Roman"/>
          <w:sz w:val="24"/>
        </w:rPr>
        <w:t>(HJ610-2016)</w:t>
      </w:r>
      <w:r>
        <w:rPr>
          <w:sz w:val="24"/>
        </w:rPr>
        <w:t>；</w:t>
      </w:r>
    </w:p>
    <w:p>
      <w:pPr>
        <w:pStyle w:val="ListParagraph"/>
        <w:numPr>
          <w:ilvl w:val="0"/>
          <w:numId w:val="13"/>
        </w:numPr>
        <w:tabs>
          <w:tab w:pos="1239" w:val="left" w:leader="none"/>
        </w:tabs>
        <w:spacing w:line="240" w:lineRule="auto" w:before="158" w:after="0"/>
        <w:ind w:left="1238" w:right="0" w:hanging="281"/>
        <w:jc w:val="left"/>
        <w:rPr>
          <w:sz w:val="24"/>
        </w:rPr>
      </w:pPr>
      <w:r>
        <w:rPr>
          <w:spacing w:val="-1"/>
          <w:sz w:val="24"/>
        </w:rPr>
        <w:t>《环境影响评价技术导则 生态影响》</w:t>
      </w:r>
      <w:r>
        <w:rPr>
          <w:rFonts w:ascii="Times New Roman" w:eastAsia="Times New Roman"/>
          <w:sz w:val="24"/>
        </w:rPr>
        <w:t>(HJ19-2011)</w:t>
      </w:r>
      <w:r>
        <w:rPr>
          <w:sz w:val="24"/>
        </w:rPr>
        <w:t>；</w:t>
      </w:r>
    </w:p>
    <w:p>
      <w:pPr>
        <w:pStyle w:val="ListParagraph"/>
        <w:numPr>
          <w:ilvl w:val="0"/>
          <w:numId w:val="13"/>
        </w:numPr>
        <w:tabs>
          <w:tab w:pos="1239" w:val="left" w:leader="none"/>
        </w:tabs>
        <w:spacing w:line="240" w:lineRule="auto" w:before="160" w:after="0"/>
        <w:ind w:left="1238" w:right="0" w:hanging="281"/>
        <w:jc w:val="left"/>
        <w:rPr>
          <w:sz w:val="24"/>
        </w:rPr>
      </w:pPr>
      <w:r>
        <w:rPr>
          <w:sz w:val="24"/>
        </w:rPr>
        <w:t>《环境影响评价技术导则 土壤环境（试行）》（</w:t>
      </w:r>
      <w:r>
        <w:rPr>
          <w:rFonts w:ascii="Times New Roman" w:eastAsia="Times New Roman"/>
          <w:sz w:val="24"/>
        </w:rPr>
        <w:t>HJ964-2018</w:t>
      </w:r>
      <w:r>
        <w:rPr>
          <w:sz w:val="24"/>
        </w:rPr>
        <w:t>）；</w:t>
      </w:r>
    </w:p>
    <w:p>
      <w:pPr>
        <w:spacing w:after="0" w:line="240" w:lineRule="auto"/>
        <w:jc w:val="left"/>
        <w:rPr>
          <w:sz w:val="24"/>
        </w:rPr>
        <w:sectPr>
          <w:pgSz w:w="11910" w:h="16840"/>
          <w:pgMar w:header="0" w:footer="993" w:top="1340" w:bottom="1180" w:left="940" w:right="940"/>
        </w:sectPr>
      </w:pPr>
    </w:p>
    <w:p>
      <w:pPr>
        <w:pStyle w:val="ListParagraph"/>
        <w:numPr>
          <w:ilvl w:val="0"/>
          <w:numId w:val="13"/>
        </w:numPr>
        <w:tabs>
          <w:tab w:pos="1239" w:val="left" w:leader="none"/>
        </w:tabs>
        <w:spacing w:line="240" w:lineRule="auto" w:before="61" w:after="0"/>
        <w:ind w:left="1238" w:right="0" w:hanging="281"/>
        <w:jc w:val="left"/>
        <w:rPr>
          <w:sz w:val="24"/>
        </w:rPr>
      </w:pPr>
      <w:r>
        <w:rPr>
          <w:sz w:val="24"/>
        </w:rPr>
        <w:t>《建设项目环境风险评价技术导则》</w:t>
      </w:r>
      <w:r>
        <w:rPr>
          <w:rFonts w:ascii="Times New Roman" w:eastAsia="Times New Roman"/>
          <w:sz w:val="24"/>
        </w:rPr>
        <w:t>(HJ169-2018)</w:t>
      </w:r>
      <w:r>
        <w:rPr>
          <w:sz w:val="24"/>
        </w:rPr>
        <w:t>；</w:t>
      </w:r>
    </w:p>
    <w:p>
      <w:pPr>
        <w:pStyle w:val="ListParagraph"/>
        <w:numPr>
          <w:ilvl w:val="0"/>
          <w:numId w:val="13"/>
        </w:numPr>
        <w:tabs>
          <w:tab w:pos="1239" w:val="left" w:leader="none"/>
        </w:tabs>
        <w:spacing w:line="240" w:lineRule="auto" w:before="158" w:after="0"/>
        <w:ind w:left="1238" w:right="0" w:hanging="281"/>
        <w:jc w:val="left"/>
        <w:rPr>
          <w:sz w:val="24"/>
        </w:rPr>
      </w:pPr>
      <w:r>
        <w:rPr>
          <w:spacing w:val="-1"/>
          <w:sz w:val="24"/>
        </w:rPr>
        <w:t>《环境影响评价技术导则 煤炭采选工程》</w:t>
      </w:r>
      <w:r>
        <w:rPr>
          <w:sz w:val="24"/>
        </w:rPr>
        <w:t>（</w:t>
      </w:r>
      <w:r>
        <w:rPr>
          <w:rFonts w:ascii="Times New Roman" w:eastAsia="Times New Roman"/>
          <w:sz w:val="24"/>
        </w:rPr>
        <w:t>HJ619-2011</w:t>
      </w:r>
      <w:r>
        <w:rPr>
          <w:sz w:val="24"/>
        </w:rPr>
        <w:t>）；</w:t>
      </w:r>
    </w:p>
    <w:p>
      <w:pPr>
        <w:pStyle w:val="ListParagraph"/>
        <w:numPr>
          <w:ilvl w:val="0"/>
          <w:numId w:val="13"/>
        </w:numPr>
        <w:tabs>
          <w:tab w:pos="1359" w:val="left" w:leader="none"/>
        </w:tabs>
        <w:spacing w:line="240" w:lineRule="auto" w:before="161" w:after="0"/>
        <w:ind w:left="1358" w:right="0" w:hanging="401"/>
        <w:jc w:val="left"/>
        <w:rPr>
          <w:sz w:val="24"/>
        </w:rPr>
      </w:pPr>
      <w:r>
        <w:rPr>
          <w:sz w:val="24"/>
        </w:rPr>
        <w:t>《建设项目危险废物环境影响评价指南》（</w:t>
      </w:r>
      <w:r>
        <w:rPr>
          <w:spacing w:val="-8"/>
          <w:sz w:val="24"/>
        </w:rPr>
        <w:t>环境保护部公告 </w:t>
      </w:r>
      <w:r>
        <w:rPr>
          <w:rFonts w:ascii="Times New Roman" w:eastAsia="Times New Roman"/>
          <w:sz w:val="24"/>
        </w:rPr>
        <w:t>2017</w:t>
      </w:r>
      <w:r>
        <w:rPr>
          <w:rFonts w:ascii="Times New Roman" w:eastAsia="Times New Roman"/>
          <w:spacing w:val="4"/>
          <w:sz w:val="24"/>
        </w:rPr>
        <w:t> </w:t>
      </w:r>
      <w:r>
        <w:rPr>
          <w:spacing w:val="-19"/>
          <w:sz w:val="24"/>
        </w:rPr>
        <w:t>年第 </w:t>
      </w:r>
      <w:r>
        <w:rPr>
          <w:rFonts w:ascii="Times New Roman" w:eastAsia="Times New Roman"/>
          <w:sz w:val="24"/>
        </w:rPr>
        <w:t>43</w:t>
      </w:r>
      <w:r>
        <w:rPr>
          <w:rFonts w:ascii="Times New Roman" w:eastAsia="Times New Roman"/>
          <w:spacing w:val="1"/>
          <w:sz w:val="24"/>
        </w:rPr>
        <w:t> </w:t>
      </w:r>
      <w:r>
        <w:rPr>
          <w:sz w:val="24"/>
        </w:rPr>
        <w:t>号）</w:t>
      </w:r>
    </w:p>
    <w:p>
      <w:pPr>
        <w:pStyle w:val="BodyText"/>
        <w:spacing w:before="160"/>
        <w:ind w:left="478"/>
      </w:pPr>
      <w:r>
        <w:rPr/>
        <w:t>（</w:t>
      </w:r>
      <w:r>
        <w:rPr>
          <w:rFonts w:ascii="Times New Roman" w:eastAsia="Times New Roman"/>
        </w:rPr>
        <w:t>2017.10.01</w:t>
      </w:r>
      <w:r>
        <w:rPr/>
        <w:t>）；</w:t>
      </w:r>
    </w:p>
    <w:p>
      <w:pPr>
        <w:pStyle w:val="ListParagraph"/>
        <w:numPr>
          <w:ilvl w:val="0"/>
          <w:numId w:val="13"/>
        </w:numPr>
        <w:tabs>
          <w:tab w:pos="1352" w:val="left" w:leader="none"/>
        </w:tabs>
        <w:spacing w:line="364" w:lineRule="auto" w:before="158" w:after="0"/>
        <w:ind w:left="958" w:right="3101" w:firstLine="0"/>
        <w:jc w:val="left"/>
        <w:rPr>
          <w:sz w:val="24"/>
        </w:rPr>
      </w:pPr>
      <w:r>
        <w:rPr>
          <w:spacing w:val="-1"/>
          <w:sz w:val="24"/>
        </w:rPr>
        <w:t>《危险化学品重大危险源辨识》</w:t>
      </w:r>
      <w:r>
        <w:rPr>
          <w:sz w:val="24"/>
        </w:rPr>
        <w:t>（</w:t>
      </w:r>
      <w:r>
        <w:rPr>
          <w:rFonts w:ascii="Times New Roman" w:eastAsia="Times New Roman"/>
          <w:sz w:val="24"/>
        </w:rPr>
        <w:t>GB18218-2018</w:t>
      </w:r>
      <w:r>
        <w:rPr>
          <w:sz w:val="24"/>
        </w:rPr>
        <w:t>）； </w:t>
      </w:r>
      <w:r>
        <w:rPr>
          <w:rFonts w:ascii="Times New Roman" w:eastAsia="Times New Roman"/>
          <w:sz w:val="24"/>
        </w:rPr>
        <w:t>(12)</w:t>
      </w:r>
      <w:r>
        <w:rPr>
          <w:sz w:val="24"/>
        </w:rPr>
        <w:t>《清洁生产标准 煤炭采选业》（</w:t>
      </w:r>
      <w:r>
        <w:rPr>
          <w:rFonts w:ascii="Times New Roman" w:eastAsia="Times New Roman"/>
          <w:sz w:val="24"/>
        </w:rPr>
        <w:t>HJ446-2008</w:t>
      </w:r>
      <w:r>
        <w:rPr>
          <w:sz w:val="24"/>
        </w:rPr>
        <w:t>）； </w:t>
      </w:r>
      <w:r>
        <w:rPr>
          <w:rFonts w:ascii="Times New Roman" w:eastAsia="Times New Roman"/>
          <w:sz w:val="24"/>
        </w:rPr>
        <w:t>(13)</w:t>
      </w:r>
      <w:r>
        <w:rPr>
          <w:sz w:val="24"/>
        </w:rPr>
        <w:t>《煤炭工业矿井设计规范》（</w:t>
      </w:r>
      <w:r>
        <w:rPr>
          <w:rFonts w:ascii="Times New Roman" w:eastAsia="Times New Roman"/>
          <w:sz w:val="24"/>
        </w:rPr>
        <w:t>GB50215-2015</w:t>
      </w:r>
      <w:r>
        <w:rPr>
          <w:sz w:val="24"/>
        </w:rPr>
        <w:t>）；</w:t>
      </w:r>
    </w:p>
    <w:p>
      <w:pPr>
        <w:pStyle w:val="BodyText"/>
        <w:spacing w:line="307" w:lineRule="exact"/>
        <w:ind w:left="958"/>
      </w:pPr>
      <w:bookmarkStart w:name="(14)《开发建设项目水土保持方案技术规范》（SL204-98）。" w:id="34"/>
      <w:bookmarkEnd w:id="34"/>
      <w:r>
        <w:rPr/>
      </w:r>
      <w:r>
        <w:rPr>
          <w:rFonts w:ascii="Times New Roman" w:eastAsia="Times New Roman"/>
        </w:rPr>
        <w:t>(14)</w:t>
      </w:r>
      <w:r>
        <w:rPr/>
        <w:t>《开发建设项目水土保持方案技术规范》（</w:t>
      </w:r>
      <w:r>
        <w:rPr>
          <w:rFonts w:ascii="Times New Roman" w:eastAsia="Times New Roman"/>
        </w:rPr>
        <w:t>SL204-98</w:t>
      </w:r>
      <w:r>
        <w:rPr/>
        <w:t>）。</w:t>
      </w:r>
    </w:p>
    <w:p>
      <w:pPr>
        <w:pStyle w:val="Heading2"/>
        <w:numPr>
          <w:ilvl w:val="1"/>
          <w:numId w:val="7"/>
        </w:numPr>
        <w:tabs>
          <w:tab w:pos="1004" w:val="left" w:leader="none"/>
        </w:tabs>
        <w:spacing w:line="240" w:lineRule="auto" w:before="161" w:after="0"/>
        <w:ind w:left="1004" w:right="0" w:hanging="526"/>
        <w:jc w:val="left"/>
      </w:pPr>
      <w:bookmarkStart w:name="2.3 评价标准" w:id="35"/>
      <w:bookmarkEnd w:id="35"/>
      <w:r>
        <w:rPr>
          <w:b w:val="0"/>
        </w:rPr>
      </w:r>
      <w:bookmarkStart w:name="_bookmark9" w:id="36"/>
      <w:bookmarkEnd w:id="36"/>
      <w:r>
        <w:rPr>
          <w:b w:val="0"/>
        </w:rPr>
      </w:r>
      <w:bookmarkStart w:name="_bookmark9" w:id="37"/>
      <w:bookmarkEnd w:id="37"/>
      <w:r>
        <w:rPr/>
        <w:t>评价标准</w:t>
      </w:r>
    </w:p>
    <w:p>
      <w:pPr>
        <w:pStyle w:val="BodyText"/>
        <w:spacing w:before="196"/>
        <w:ind w:left="958"/>
      </w:pPr>
      <w:r>
        <w:rPr/>
        <w:t>本次环评执行的环境保护标准见表 </w:t>
      </w:r>
      <w:r>
        <w:rPr>
          <w:rFonts w:ascii="Times New Roman" w:eastAsia="Times New Roman"/>
        </w:rPr>
        <w:t>2.3-1</w:t>
      </w:r>
      <w:r>
        <w:rPr/>
        <w:t>，表 </w:t>
      </w:r>
      <w:r>
        <w:rPr>
          <w:rFonts w:ascii="Times New Roman" w:eastAsia="Times New Roman"/>
        </w:rPr>
        <w:t>2.3-2 </w:t>
      </w:r>
      <w:r>
        <w:rPr/>
        <w:t>和表 </w:t>
      </w:r>
      <w:r>
        <w:rPr>
          <w:rFonts w:ascii="Times New Roman" w:eastAsia="Times New Roman"/>
        </w:rPr>
        <w:t>2.3-3</w:t>
      </w:r>
      <w:r>
        <w:rPr/>
        <w:t>。</w:t>
      </w:r>
    </w:p>
    <w:p>
      <w:pPr>
        <w:pStyle w:val="Heading4"/>
        <w:tabs>
          <w:tab w:pos="1524" w:val="left" w:leader="none"/>
        </w:tabs>
        <w:spacing w:before="161" w:after="34"/>
        <w:ind w:left="485"/>
        <w:jc w:val="center"/>
      </w:pPr>
      <w:r>
        <w:rPr/>
        <w:t>表</w:t>
      </w:r>
      <w:r>
        <w:rPr>
          <w:spacing w:val="-62"/>
        </w:rPr>
        <w:t> </w:t>
      </w:r>
      <w:r>
        <w:rPr>
          <w:rFonts w:ascii="Times New Roman" w:eastAsia="Times New Roman"/>
        </w:rPr>
        <w:t>2.3-1</w:t>
        <w:tab/>
      </w:r>
      <w:r>
        <w:rPr/>
        <w:t>环境质量标准</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2920"/>
        <w:gridCol w:w="1763"/>
        <w:gridCol w:w="1350"/>
        <w:gridCol w:w="812"/>
        <w:gridCol w:w="1002"/>
      </w:tblGrid>
      <w:tr>
        <w:trPr>
          <w:trHeight w:val="271" w:hRule="atLeast"/>
        </w:trPr>
        <w:tc>
          <w:tcPr>
            <w:tcW w:w="675" w:type="dxa"/>
            <w:vMerge w:val="restart"/>
          </w:tcPr>
          <w:p>
            <w:pPr>
              <w:pStyle w:val="TableParagraph"/>
              <w:spacing w:before="140"/>
              <w:ind w:left="127"/>
              <w:jc w:val="left"/>
              <w:rPr>
                <w:sz w:val="21"/>
              </w:rPr>
            </w:pPr>
            <w:r>
              <w:rPr>
                <w:sz w:val="21"/>
              </w:rPr>
              <w:t>类别</w:t>
            </w:r>
          </w:p>
        </w:tc>
        <w:tc>
          <w:tcPr>
            <w:tcW w:w="2920" w:type="dxa"/>
            <w:vMerge w:val="restart"/>
          </w:tcPr>
          <w:p>
            <w:pPr>
              <w:pStyle w:val="TableParagraph"/>
              <w:spacing w:before="140"/>
              <w:ind w:left="409"/>
              <w:jc w:val="left"/>
              <w:rPr>
                <w:sz w:val="21"/>
              </w:rPr>
            </w:pPr>
            <w:r>
              <w:rPr>
                <w:sz w:val="21"/>
              </w:rPr>
              <w:t>标准名称及级（类）别</w:t>
            </w:r>
          </w:p>
        </w:tc>
        <w:tc>
          <w:tcPr>
            <w:tcW w:w="1763" w:type="dxa"/>
            <w:vMerge w:val="restart"/>
          </w:tcPr>
          <w:p>
            <w:pPr>
              <w:pStyle w:val="TableParagraph"/>
              <w:spacing w:before="140"/>
              <w:ind w:left="461"/>
              <w:jc w:val="left"/>
              <w:rPr>
                <w:sz w:val="21"/>
              </w:rPr>
            </w:pPr>
            <w:r>
              <w:rPr>
                <w:sz w:val="21"/>
              </w:rPr>
              <w:t>污染因子</w:t>
            </w:r>
          </w:p>
        </w:tc>
        <w:tc>
          <w:tcPr>
            <w:tcW w:w="3164" w:type="dxa"/>
            <w:gridSpan w:val="3"/>
          </w:tcPr>
          <w:p>
            <w:pPr>
              <w:pStyle w:val="TableParagraph"/>
              <w:spacing w:line="251" w:lineRule="exact"/>
              <w:ind w:left="1245" w:right="1238"/>
              <w:rPr>
                <w:sz w:val="21"/>
              </w:rPr>
            </w:pPr>
            <w:r>
              <w:rPr>
                <w:sz w:val="21"/>
              </w:rPr>
              <w:t>标准值</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2162" w:type="dxa"/>
            <w:gridSpan w:val="2"/>
          </w:tcPr>
          <w:p>
            <w:pPr>
              <w:pStyle w:val="TableParagraph"/>
              <w:spacing w:line="251" w:lineRule="exact" w:before="2"/>
              <w:ind w:left="744" w:right="738"/>
              <w:rPr>
                <w:sz w:val="21"/>
              </w:rPr>
            </w:pPr>
            <w:r>
              <w:rPr>
                <w:sz w:val="21"/>
              </w:rPr>
              <w:t>单位</w:t>
            </w:r>
          </w:p>
        </w:tc>
        <w:tc>
          <w:tcPr>
            <w:tcW w:w="1002" w:type="dxa"/>
          </w:tcPr>
          <w:p>
            <w:pPr>
              <w:pStyle w:val="TableParagraph"/>
              <w:spacing w:line="251" w:lineRule="exact" w:before="2"/>
              <w:ind w:left="289"/>
              <w:jc w:val="left"/>
              <w:rPr>
                <w:sz w:val="21"/>
              </w:rPr>
            </w:pPr>
            <w:r>
              <w:rPr>
                <w:sz w:val="21"/>
              </w:rPr>
              <w:t>数值</w:t>
            </w:r>
          </w:p>
        </w:tc>
      </w:tr>
      <w:tr>
        <w:trPr>
          <w:trHeight w:val="415" w:hRule="atLeast"/>
        </w:trPr>
        <w:tc>
          <w:tcPr>
            <w:tcW w:w="67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9"/>
              </w:rPr>
            </w:pPr>
          </w:p>
          <w:p>
            <w:pPr>
              <w:pStyle w:val="TableParagraph"/>
              <w:spacing w:line="244" w:lineRule="auto"/>
              <w:ind w:left="127" w:right="117"/>
              <w:jc w:val="left"/>
              <w:rPr>
                <w:sz w:val="21"/>
              </w:rPr>
            </w:pPr>
            <w:r>
              <w:rPr>
                <w:sz w:val="21"/>
              </w:rPr>
              <w:t>环境空气</w:t>
            </w:r>
          </w:p>
        </w:tc>
        <w:tc>
          <w:tcPr>
            <w:tcW w:w="2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18"/>
              </w:rPr>
            </w:pPr>
          </w:p>
          <w:p>
            <w:pPr>
              <w:pStyle w:val="TableParagraph"/>
              <w:ind w:left="119" w:right="112"/>
              <w:rPr>
                <w:sz w:val="21"/>
              </w:rPr>
            </w:pPr>
            <w:r>
              <w:rPr>
                <w:sz w:val="21"/>
              </w:rPr>
              <w:t>《环境空气质量标准》</w:t>
            </w:r>
          </w:p>
          <w:p>
            <w:pPr>
              <w:pStyle w:val="TableParagraph"/>
              <w:spacing w:line="242" w:lineRule="auto" w:before="3"/>
              <w:ind w:left="124" w:right="112"/>
              <w:rPr>
                <w:sz w:val="21"/>
              </w:rPr>
            </w:pPr>
            <w:r>
              <w:rPr>
                <w:sz w:val="21"/>
              </w:rPr>
              <w:t>（</w:t>
            </w:r>
            <w:r>
              <w:rPr>
                <w:rFonts w:ascii="Times New Roman" w:eastAsia="Times New Roman"/>
                <w:sz w:val="21"/>
              </w:rPr>
              <w:t>GB3095-2012</w:t>
            </w:r>
            <w:r>
              <w:rPr>
                <w:sz w:val="21"/>
              </w:rPr>
              <w:t>）及其修改单二级标准</w:t>
            </w:r>
          </w:p>
        </w:tc>
        <w:tc>
          <w:tcPr>
            <w:tcW w:w="1763" w:type="dxa"/>
            <w:vMerge w:val="restart"/>
          </w:tcPr>
          <w:p>
            <w:pPr>
              <w:pStyle w:val="TableParagraph"/>
              <w:spacing w:before="7"/>
              <w:jc w:val="left"/>
              <w:rPr>
                <w:b/>
                <w:sz w:val="28"/>
              </w:rPr>
            </w:pPr>
          </w:p>
          <w:p>
            <w:pPr>
              <w:pStyle w:val="TableParagraph"/>
              <w:ind w:left="117" w:right="107"/>
              <w:rPr>
                <w:rFonts w:ascii="Times New Roman"/>
                <w:sz w:val="21"/>
              </w:rPr>
            </w:pPr>
            <w:r>
              <w:rPr>
                <w:rFonts w:ascii="Times New Roman"/>
                <w:position w:val="2"/>
                <w:sz w:val="21"/>
              </w:rPr>
              <w:t>SO</w:t>
            </w:r>
            <w:r>
              <w:rPr>
                <w:rFonts w:ascii="Times New Roman"/>
                <w:position w:val="2"/>
                <w:sz w:val="21"/>
                <w:vertAlign w:val="subscript"/>
              </w:rPr>
              <w:t>2</w:t>
            </w:r>
          </w:p>
        </w:tc>
        <w:tc>
          <w:tcPr>
            <w:tcW w:w="1350" w:type="dxa"/>
          </w:tcPr>
          <w:p>
            <w:pPr>
              <w:pStyle w:val="TableParagraph"/>
              <w:spacing w:before="72"/>
              <w:ind w:left="101" w:right="95"/>
              <w:rPr>
                <w:sz w:val="21"/>
              </w:rPr>
            </w:pPr>
            <w:r>
              <w:rPr>
                <w:rFonts w:ascii="Times New Roman" w:eastAsia="Times New Roman"/>
                <w:sz w:val="21"/>
              </w:rPr>
              <w:t>1 </w:t>
            </w:r>
            <w:r>
              <w:rPr>
                <w:sz w:val="21"/>
              </w:rPr>
              <w:t>小时平均</w:t>
            </w:r>
          </w:p>
        </w:tc>
        <w:tc>
          <w:tcPr>
            <w:tcW w:w="812" w:type="dxa"/>
          </w:tcPr>
          <w:p>
            <w:pPr>
              <w:pStyle w:val="TableParagraph"/>
              <w:spacing w:before="8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before="85"/>
              <w:ind w:left="190" w:right="182"/>
              <w:rPr>
                <w:rFonts w:ascii="Times New Roman"/>
                <w:sz w:val="21"/>
              </w:rPr>
            </w:pPr>
            <w:r>
              <w:rPr>
                <w:rFonts w:ascii="Times New Roman"/>
                <w:sz w:val="21"/>
              </w:rPr>
              <w:t>500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1" w:lineRule="exact" w:before="1"/>
              <w:ind w:left="101" w:right="95"/>
              <w:rPr>
                <w:sz w:val="21"/>
              </w:rPr>
            </w:pPr>
            <w:r>
              <w:rPr>
                <w:rFonts w:ascii="Times New Roman" w:eastAsia="Times New Roman"/>
                <w:sz w:val="21"/>
              </w:rPr>
              <w:t>24 </w:t>
            </w:r>
            <w:r>
              <w:rPr>
                <w:sz w:val="21"/>
              </w:rPr>
              <w:t>小时平均</w:t>
            </w:r>
          </w:p>
        </w:tc>
        <w:tc>
          <w:tcPr>
            <w:tcW w:w="812" w:type="dxa"/>
          </w:tcPr>
          <w:p>
            <w:pPr>
              <w:pStyle w:val="TableParagraph"/>
              <w:spacing w:line="237" w:lineRule="exact" w:before="1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7" w:lineRule="exact" w:before="15"/>
              <w:ind w:left="190" w:right="182"/>
              <w:rPr>
                <w:rFonts w:ascii="Times New Roman"/>
                <w:sz w:val="21"/>
              </w:rPr>
            </w:pPr>
            <w:r>
              <w:rPr>
                <w:rFonts w:ascii="Times New Roman"/>
                <w:sz w:val="21"/>
              </w:rPr>
              <w:t>150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2" w:lineRule="exact"/>
              <w:ind w:left="101" w:right="95"/>
              <w:rPr>
                <w:sz w:val="21"/>
              </w:rPr>
            </w:pPr>
            <w:r>
              <w:rPr>
                <w:sz w:val="21"/>
              </w:rPr>
              <w:t>年平均</w:t>
            </w:r>
          </w:p>
        </w:tc>
        <w:tc>
          <w:tcPr>
            <w:tcW w:w="812" w:type="dxa"/>
          </w:tcPr>
          <w:p>
            <w:pPr>
              <w:pStyle w:val="TableParagraph"/>
              <w:spacing w:line="238" w:lineRule="exact" w:before="13"/>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3"/>
              <w:ind w:left="190" w:right="182"/>
              <w:rPr>
                <w:rFonts w:ascii="Times New Roman"/>
                <w:sz w:val="21"/>
              </w:rPr>
            </w:pPr>
            <w:r>
              <w:rPr>
                <w:rFonts w:ascii="Times New Roman"/>
                <w:sz w:val="21"/>
              </w:rPr>
              <w:t>60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val="restart"/>
          </w:tcPr>
          <w:p>
            <w:pPr>
              <w:pStyle w:val="TableParagraph"/>
              <w:jc w:val="left"/>
              <w:rPr>
                <w:b/>
                <w:sz w:val="23"/>
              </w:rPr>
            </w:pPr>
          </w:p>
          <w:p>
            <w:pPr>
              <w:pStyle w:val="TableParagraph"/>
              <w:ind w:left="117" w:right="107"/>
              <w:rPr>
                <w:rFonts w:ascii="Times New Roman"/>
                <w:sz w:val="21"/>
              </w:rPr>
            </w:pPr>
            <w:r>
              <w:rPr>
                <w:rFonts w:ascii="Times New Roman"/>
                <w:position w:val="2"/>
                <w:sz w:val="21"/>
              </w:rPr>
              <w:t>NO</w:t>
            </w:r>
            <w:r>
              <w:rPr>
                <w:rFonts w:ascii="Times New Roman"/>
                <w:position w:val="2"/>
                <w:sz w:val="21"/>
                <w:vertAlign w:val="subscript"/>
              </w:rPr>
              <w:t>2</w:t>
            </w:r>
          </w:p>
        </w:tc>
        <w:tc>
          <w:tcPr>
            <w:tcW w:w="1350" w:type="dxa"/>
          </w:tcPr>
          <w:p>
            <w:pPr>
              <w:pStyle w:val="TableParagraph"/>
              <w:spacing w:line="252" w:lineRule="exact" w:before="1"/>
              <w:ind w:left="101" w:right="95"/>
              <w:rPr>
                <w:sz w:val="21"/>
              </w:rPr>
            </w:pPr>
            <w:r>
              <w:rPr>
                <w:rFonts w:ascii="Times New Roman" w:eastAsia="Times New Roman"/>
                <w:sz w:val="21"/>
              </w:rPr>
              <w:t>1 </w:t>
            </w:r>
            <w:r>
              <w:rPr>
                <w:sz w:val="21"/>
              </w:rPr>
              <w:t>小时平均</w:t>
            </w:r>
          </w:p>
        </w:tc>
        <w:tc>
          <w:tcPr>
            <w:tcW w:w="812" w:type="dxa"/>
          </w:tcPr>
          <w:p>
            <w:pPr>
              <w:pStyle w:val="TableParagraph"/>
              <w:spacing w:line="238" w:lineRule="exact" w:before="1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5"/>
              <w:ind w:left="190" w:right="182"/>
              <w:rPr>
                <w:rFonts w:ascii="Times New Roman"/>
                <w:sz w:val="21"/>
              </w:rPr>
            </w:pPr>
            <w:r>
              <w:rPr>
                <w:rFonts w:ascii="Times New Roman"/>
                <w:sz w:val="21"/>
              </w:rPr>
              <w:t>200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1" w:lineRule="exact" w:before="1"/>
              <w:ind w:left="101" w:right="95"/>
              <w:rPr>
                <w:sz w:val="21"/>
              </w:rPr>
            </w:pPr>
            <w:r>
              <w:rPr>
                <w:rFonts w:ascii="Times New Roman" w:eastAsia="Times New Roman"/>
                <w:sz w:val="21"/>
              </w:rPr>
              <w:t>24 </w:t>
            </w:r>
            <w:r>
              <w:rPr>
                <w:sz w:val="21"/>
              </w:rPr>
              <w:t>小时平均</w:t>
            </w:r>
          </w:p>
        </w:tc>
        <w:tc>
          <w:tcPr>
            <w:tcW w:w="812" w:type="dxa"/>
          </w:tcPr>
          <w:p>
            <w:pPr>
              <w:pStyle w:val="TableParagraph"/>
              <w:spacing w:line="237" w:lineRule="exact" w:before="1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7" w:lineRule="exact" w:before="15"/>
              <w:ind w:left="190" w:right="182"/>
              <w:rPr>
                <w:rFonts w:ascii="Times New Roman"/>
                <w:sz w:val="21"/>
              </w:rPr>
            </w:pPr>
            <w:r>
              <w:rPr>
                <w:rFonts w:ascii="Times New Roman"/>
                <w:sz w:val="21"/>
              </w:rPr>
              <w:t>80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2" w:lineRule="exact"/>
              <w:ind w:left="101" w:right="95"/>
              <w:rPr>
                <w:sz w:val="21"/>
              </w:rPr>
            </w:pPr>
            <w:r>
              <w:rPr>
                <w:sz w:val="21"/>
              </w:rPr>
              <w:t>年平均</w:t>
            </w:r>
          </w:p>
        </w:tc>
        <w:tc>
          <w:tcPr>
            <w:tcW w:w="812" w:type="dxa"/>
          </w:tcPr>
          <w:p>
            <w:pPr>
              <w:pStyle w:val="TableParagraph"/>
              <w:spacing w:line="238" w:lineRule="exact" w:before="14"/>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4"/>
              <w:ind w:left="190" w:right="182"/>
              <w:rPr>
                <w:rFonts w:ascii="Times New Roman"/>
                <w:sz w:val="21"/>
              </w:rPr>
            </w:pPr>
            <w:r>
              <w:rPr>
                <w:rFonts w:ascii="Times New Roman"/>
                <w:sz w:val="21"/>
              </w:rPr>
              <w:t>40</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val="restart"/>
          </w:tcPr>
          <w:p>
            <w:pPr>
              <w:pStyle w:val="TableParagraph"/>
              <w:spacing w:before="153"/>
              <w:ind w:left="117" w:right="104"/>
              <w:rPr>
                <w:rFonts w:ascii="Times New Roman"/>
                <w:sz w:val="21"/>
              </w:rPr>
            </w:pPr>
            <w:r>
              <w:rPr>
                <w:rFonts w:ascii="Times New Roman"/>
                <w:position w:val="2"/>
                <w:sz w:val="21"/>
              </w:rPr>
              <w:t>PM</w:t>
            </w:r>
            <w:r>
              <w:rPr>
                <w:rFonts w:ascii="Times New Roman"/>
                <w:position w:val="2"/>
                <w:sz w:val="21"/>
                <w:vertAlign w:val="subscript"/>
              </w:rPr>
              <w:t>10</w:t>
            </w:r>
          </w:p>
        </w:tc>
        <w:tc>
          <w:tcPr>
            <w:tcW w:w="1350" w:type="dxa"/>
          </w:tcPr>
          <w:p>
            <w:pPr>
              <w:pStyle w:val="TableParagraph"/>
              <w:spacing w:line="252" w:lineRule="exact" w:before="1"/>
              <w:ind w:left="101" w:right="95"/>
              <w:rPr>
                <w:sz w:val="21"/>
              </w:rPr>
            </w:pPr>
            <w:r>
              <w:rPr>
                <w:sz w:val="21"/>
              </w:rPr>
              <w:t>日平均</w:t>
            </w:r>
          </w:p>
        </w:tc>
        <w:tc>
          <w:tcPr>
            <w:tcW w:w="812" w:type="dxa"/>
          </w:tcPr>
          <w:p>
            <w:pPr>
              <w:pStyle w:val="TableParagraph"/>
              <w:spacing w:line="238" w:lineRule="exact" w:before="1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5"/>
              <w:ind w:left="190" w:right="182"/>
              <w:rPr>
                <w:rFonts w:ascii="Times New Roman"/>
                <w:sz w:val="21"/>
              </w:rPr>
            </w:pPr>
            <w:r>
              <w:rPr>
                <w:rFonts w:ascii="Times New Roman"/>
                <w:sz w:val="21"/>
              </w:rPr>
              <w:t>150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2" w:lineRule="exact"/>
              <w:ind w:left="101" w:right="95"/>
              <w:rPr>
                <w:sz w:val="21"/>
              </w:rPr>
            </w:pPr>
            <w:r>
              <w:rPr>
                <w:sz w:val="21"/>
              </w:rPr>
              <w:t>年平均</w:t>
            </w:r>
          </w:p>
        </w:tc>
        <w:tc>
          <w:tcPr>
            <w:tcW w:w="812" w:type="dxa"/>
          </w:tcPr>
          <w:p>
            <w:pPr>
              <w:pStyle w:val="TableParagraph"/>
              <w:spacing w:line="239" w:lineRule="exact" w:before="13"/>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9" w:lineRule="exact" w:before="13"/>
              <w:ind w:left="190" w:right="182"/>
              <w:rPr>
                <w:rFonts w:ascii="Times New Roman"/>
                <w:sz w:val="21"/>
              </w:rPr>
            </w:pPr>
            <w:r>
              <w:rPr>
                <w:rFonts w:ascii="Times New Roman"/>
                <w:sz w:val="21"/>
              </w:rPr>
              <w:t>70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val="restart"/>
          </w:tcPr>
          <w:p>
            <w:pPr>
              <w:pStyle w:val="TableParagraph"/>
              <w:spacing w:before="152"/>
              <w:ind w:left="117" w:right="107"/>
              <w:rPr>
                <w:rFonts w:ascii="Times New Roman"/>
                <w:sz w:val="13"/>
              </w:rPr>
            </w:pPr>
            <w:r>
              <w:rPr>
                <w:rFonts w:ascii="Times New Roman"/>
                <w:w w:val="105"/>
                <w:position w:val="2"/>
                <w:sz w:val="21"/>
              </w:rPr>
              <w:t>PM</w:t>
            </w:r>
            <w:r>
              <w:rPr>
                <w:rFonts w:ascii="Times New Roman"/>
                <w:w w:val="105"/>
                <w:sz w:val="13"/>
              </w:rPr>
              <w:t>2.5</w:t>
            </w:r>
          </w:p>
        </w:tc>
        <w:tc>
          <w:tcPr>
            <w:tcW w:w="1350" w:type="dxa"/>
          </w:tcPr>
          <w:p>
            <w:pPr>
              <w:pStyle w:val="TableParagraph"/>
              <w:spacing w:line="252" w:lineRule="exact"/>
              <w:ind w:left="101" w:right="95"/>
              <w:rPr>
                <w:sz w:val="21"/>
              </w:rPr>
            </w:pPr>
            <w:r>
              <w:rPr>
                <w:sz w:val="21"/>
              </w:rPr>
              <w:t>日平均</w:t>
            </w:r>
          </w:p>
        </w:tc>
        <w:tc>
          <w:tcPr>
            <w:tcW w:w="812" w:type="dxa"/>
          </w:tcPr>
          <w:p>
            <w:pPr>
              <w:pStyle w:val="TableParagraph"/>
              <w:spacing w:line="238" w:lineRule="exact" w:before="14"/>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4"/>
              <w:ind w:left="190" w:right="182"/>
              <w:rPr>
                <w:rFonts w:ascii="Times New Roman"/>
                <w:sz w:val="21"/>
              </w:rPr>
            </w:pPr>
            <w:r>
              <w:rPr>
                <w:rFonts w:ascii="Times New Roman"/>
                <w:sz w:val="21"/>
              </w:rPr>
              <w:t>75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2" w:lineRule="exact" w:before="1"/>
              <w:ind w:left="101" w:right="95"/>
              <w:rPr>
                <w:sz w:val="21"/>
              </w:rPr>
            </w:pPr>
            <w:r>
              <w:rPr>
                <w:sz w:val="21"/>
              </w:rPr>
              <w:t>年平均</w:t>
            </w:r>
          </w:p>
        </w:tc>
        <w:tc>
          <w:tcPr>
            <w:tcW w:w="812" w:type="dxa"/>
          </w:tcPr>
          <w:p>
            <w:pPr>
              <w:pStyle w:val="TableParagraph"/>
              <w:spacing w:line="238" w:lineRule="exact" w:before="15"/>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8" w:lineRule="exact" w:before="15"/>
              <w:ind w:left="190" w:right="182"/>
              <w:rPr>
                <w:rFonts w:ascii="Times New Roman"/>
                <w:sz w:val="21"/>
              </w:rPr>
            </w:pPr>
            <w:r>
              <w:rPr>
                <w:rFonts w:ascii="Times New Roman"/>
                <w:sz w:val="21"/>
              </w:rPr>
              <w:t>35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2" w:lineRule="exact" w:before="10"/>
              <w:ind w:left="116" w:right="108"/>
              <w:rPr>
                <w:rFonts w:ascii="Times New Roman"/>
                <w:sz w:val="21"/>
              </w:rPr>
            </w:pPr>
            <w:r>
              <w:rPr>
                <w:rFonts w:ascii="Times New Roman"/>
                <w:position w:val="2"/>
                <w:sz w:val="21"/>
              </w:rPr>
              <w:t>O</w:t>
            </w:r>
            <w:r>
              <w:rPr>
                <w:rFonts w:ascii="Times New Roman"/>
                <w:position w:val="2"/>
                <w:sz w:val="21"/>
                <w:vertAlign w:val="subscript"/>
              </w:rPr>
              <w:t>3</w:t>
            </w:r>
          </w:p>
        </w:tc>
        <w:tc>
          <w:tcPr>
            <w:tcW w:w="1350" w:type="dxa"/>
          </w:tcPr>
          <w:p>
            <w:pPr>
              <w:pStyle w:val="TableParagraph"/>
              <w:spacing w:line="252" w:lineRule="exact"/>
              <w:ind w:left="101" w:right="95"/>
              <w:rPr>
                <w:sz w:val="21"/>
              </w:rPr>
            </w:pPr>
            <w:r>
              <w:rPr>
                <w:rFonts w:ascii="Times New Roman" w:eastAsia="Times New Roman"/>
                <w:sz w:val="21"/>
              </w:rPr>
              <w:t>1 </w:t>
            </w:r>
            <w:r>
              <w:rPr>
                <w:sz w:val="21"/>
              </w:rPr>
              <w:t>小时平均</w:t>
            </w:r>
          </w:p>
        </w:tc>
        <w:tc>
          <w:tcPr>
            <w:tcW w:w="812" w:type="dxa"/>
          </w:tcPr>
          <w:p>
            <w:pPr>
              <w:pStyle w:val="TableParagraph"/>
              <w:spacing w:line="239" w:lineRule="exact" w:before="13"/>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9" w:lineRule="exact" w:before="13"/>
              <w:ind w:left="190" w:right="182"/>
              <w:rPr>
                <w:rFonts w:ascii="Times New Roman"/>
                <w:sz w:val="21"/>
              </w:rPr>
            </w:pPr>
            <w:r>
              <w:rPr>
                <w:rFonts w:ascii="Times New Roman"/>
                <w:sz w:val="21"/>
              </w:rPr>
              <w:t>200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val="restart"/>
          </w:tcPr>
          <w:p>
            <w:pPr>
              <w:pStyle w:val="TableParagraph"/>
              <w:spacing w:before="156"/>
              <w:ind w:left="114" w:right="108"/>
              <w:rPr>
                <w:rFonts w:ascii="Times New Roman"/>
                <w:sz w:val="21"/>
              </w:rPr>
            </w:pPr>
            <w:r>
              <w:rPr>
                <w:rFonts w:ascii="Times New Roman"/>
                <w:sz w:val="21"/>
              </w:rPr>
              <w:t>CO</w:t>
            </w:r>
          </w:p>
        </w:tc>
        <w:tc>
          <w:tcPr>
            <w:tcW w:w="1350" w:type="dxa"/>
          </w:tcPr>
          <w:p>
            <w:pPr>
              <w:pStyle w:val="TableParagraph"/>
              <w:spacing w:line="252" w:lineRule="exact"/>
              <w:ind w:left="101" w:right="95"/>
              <w:rPr>
                <w:sz w:val="21"/>
              </w:rPr>
            </w:pPr>
            <w:r>
              <w:rPr>
                <w:rFonts w:ascii="Times New Roman" w:eastAsia="Times New Roman"/>
                <w:sz w:val="21"/>
              </w:rPr>
              <w:t>1 </w:t>
            </w:r>
            <w:r>
              <w:rPr>
                <w:sz w:val="21"/>
              </w:rPr>
              <w:t>小时平均</w:t>
            </w:r>
          </w:p>
        </w:tc>
        <w:tc>
          <w:tcPr>
            <w:tcW w:w="812" w:type="dxa"/>
          </w:tcPr>
          <w:p>
            <w:pPr>
              <w:pStyle w:val="TableParagraph"/>
              <w:spacing w:line="238" w:lineRule="exact" w:before="14"/>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TableParagraph"/>
              <w:spacing w:line="238" w:lineRule="exact" w:before="14"/>
              <w:ind w:left="8"/>
              <w:rPr>
                <w:rFonts w:ascii="Times New Roman"/>
                <w:sz w:val="21"/>
              </w:rPr>
            </w:pPr>
            <w:r>
              <w:rPr>
                <w:rFonts w:ascii="Times New Roman"/>
                <w:w w:val="99"/>
                <w:sz w:val="21"/>
              </w:rPr>
              <w:t>4</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1" w:lineRule="exact" w:before="1"/>
              <w:ind w:left="101" w:right="95"/>
              <w:rPr>
                <w:sz w:val="21"/>
              </w:rPr>
            </w:pPr>
            <w:r>
              <w:rPr>
                <w:rFonts w:ascii="Times New Roman" w:eastAsia="Times New Roman"/>
                <w:sz w:val="21"/>
              </w:rPr>
              <w:t>24 </w:t>
            </w:r>
            <w:r>
              <w:rPr>
                <w:sz w:val="21"/>
              </w:rPr>
              <w:t>小时平均</w:t>
            </w:r>
          </w:p>
        </w:tc>
        <w:tc>
          <w:tcPr>
            <w:tcW w:w="812" w:type="dxa"/>
          </w:tcPr>
          <w:p>
            <w:pPr>
              <w:pStyle w:val="TableParagraph"/>
              <w:spacing w:line="237" w:lineRule="exact" w:before="15"/>
              <w:ind w:left="108" w:right="98"/>
              <w:rPr>
                <w:rFonts w:ascii="Times New Roman"/>
                <w:sz w:val="13"/>
              </w:rPr>
            </w:pPr>
            <w:r>
              <w:rPr>
                <w:rFonts w:ascii="Times New Roman"/>
                <w:sz w:val="21"/>
              </w:rPr>
              <w:t>mg/m</w:t>
            </w:r>
            <w:r>
              <w:rPr>
                <w:rFonts w:ascii="Times New Roman"/>
                <w:position w:val="7"/>
                <w:sz w:val="13"/>
              </w:rPr>
              <w:t>3</w:t>
            </w:r>
          </w:p>
        </w:tc>
        <w:tc>
          <w:tcPr>
            <w:tcW w:w="1002" w:type="dxa"/>
          </w:tcPr>
          <w:p>
            <w:pPr>
              <w:pStyle w:val="TableParagraph"/>
              <w:spacing w:line="237" w:lineRule="exact" w:before="15"/>
              <w:ind w:left="190" w:right="182"/>
              <w:rPr>
                <w:rFonts w:ascii="Times New Roman"/>
                <w:sz w:val="21"/>
              </w:rPr>
            </w:pPr>
            <w:r>
              <w:rPr>
                <w:rFonts w:ascii="Times New Roman"/>
                <w:sz w:val="21"/>
              </w:rPr>
              <w:t>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val="restart"/>
          </w:tcPr>
          <w:p>
            <w:pPr>
              <w:pStyle w:val="TableParagraph"/>
              <w:spacing w:before="155"/>
              <w:ind w:left="116" w:right="108"/>
              <w:rPr>
                <w:rFonts w:ascii="Times New Roman"/>
                <w:sz w:val="21"/>
              </w:rPr>
            </w:pPr>
            <w:r>
              <w:rPr>
                <w:rFonts w:ascii="Times New Roman"/>
                <w:sz w:val="21"/>
              </w:rPr>
              <w:t>TSP</w:t>
            </w:r>
          </w:p>
        </w:tc>
        <w:tc>
          <w:tcPr>
            <w:tcW w:w="1350" w:type="dxa"/>
          </w:tcPr>
          <w:p>
            <w:pPr>
              <w:pStyle w:val="TableParagraph"/>
              <w:spacing w:line="252" w:lineRule="exact"/>
              <w:ind w:left="101" w:right="95"/>
              <w:rPr>
                <w:sz w:val="21"/>
              </w:rPr>
            </w:pPr>
            <w:r>
              <w:rPr>
                <w:sz w:val="21"/>
              </w:rPr>
              <w:t>年平均</w:t>
            </w:r>
          </w:p>
        </w:tc>
        <w:tc>
          <w:tcPr>
            <w:tcW w:w="812" w:type="dxa"/>
          </w:tcPr>
          <w:p>
            <w:pPr>
              <w:pStyle w:val="TableParagraph"/>
              <w:spacing w:line="239" w:lineRule="exact" w:before="13"/>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9" w:lineRule="exact" w:before="13"/>
              <w:ind w:left="190" w:right="182"/>
              <w:rPr>
                <w:rFonts w:ascii="Times New Roman"/>
                <w:sz w:val="21"/>
              </w:rPr>
            </w:pPr>
            <w:r>
              <w:rPr>
                <w:rFonts w:ascii="Times New Roman"/>
                <w:sz w:val="21"/>
              </w:rPr>
              <w:t>200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tcPr>
          <w:p>
            <w:pPr>
              <w:pStyle w:val="TableParagraph"/>
              <w:spacing w:line="251" w:lineRule="exact"/>
              <w:ind w:left="101" w:right="95"/>
              <w:rPr>
                <w:sz w:val="21"/>
              </w:rPr>
            </w:pPr>
            <w:r>
              <w:rPr>
                <w:rFonts w:ascii="Times New Roman" w:eastAsia="Times New Roman"/>
                <w:sz w:val="21"/>
              </w:rPr>
              <w:t>24</w:t>
            </w:r>
            <w:r>
              <w:rPr>
                <w:sz w:val="21"/>
              </w:rPr>
              <w:t>小时平均</w:t>
            </w:r>
          </w:p>
        </w:tc>
        <w:tc>
          <w:tcPr>
            <w:tcW w:w="812" w:type="dxa"/>
          </w:tcPr>
          <w:p>
            <w:pPr>
              <w:pStyle w:val="TableParagraph"/>
              <w:spacing w:line="237" w:lineRule="exact" w:before="14"/>
              <w:ind w:left="106" w:right="98"/>
              <w:rPr>
                <w:rFonts w:ascii="Times New Roman"/>
                <w:sz w:val="13"/>
              </w:rPr>
            </w:pPr>
            <w:r>
              <w:rPr>
                <w:rFonts w:ascii="Times New Roman"/>
                <w:sz w:val="21"/>
              </w:rPr>
              <w:t>ug/m</w:t>
            </w:r>
            <w:r>
              <w:rPr>
                <w:rFonts w:ascii="Times New Roman"/>
                <w:position w:val="7"/>
                <w:sz w:val="13"/>
              </w:rPr>
              <w:t>3</w:t>
            </w:r>
          </w:p>
        </w:tc>
        <w:tc>
          <w:tcPr>
            <w:tcW w:w="1002" w:type="dxa"/>
          </w:tcPr>
          <w:p>
            <w:pPr>
              <w:pStyle w:val="TableParagraph"/>
              <w:spacing w:line="237" w:lineRule="exact" w:before="14"/>
              <w:ind w:left="190" w:right="182"/>
              <w:rPr>
                <w:rFonts w:ascii="Times New Roman"/>
                <w:sz w:val="21"/>
              </w:rPr>
            </w:pPr>
            <w:r>
              <w:rPr>
                <w:rFonts w:ascii="Times New Roman"/>
                <w:sz w:val="21"/>
              </w:rPr>
              <w:t>300</w:t>
            </w:r>
          </w:p>
        </w:tc>
      </w:tr>
      <w:tr>
        <w:trPr>
          <w:trHeight w:val="240" w:hRule="atLeast"/>
        </w:trPr>
        <w:tc>
          <w:tcPr>
            <w:tcW w:w="67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26"/>
              </w:rPr>
            </w:pPr>
          </w:p>
          <w:p>
            <w:pPr>
              <w:pStyle w:val="TableParagraph"/>
              <w:spacing w:line="244" w:lineRule="auto" w:before="1"/>
              <w:ind w:left="230" w:right="117" w:hanging="104"/>
              <w:jc w:val="left"/>
              <w:rPr>
                <w:sz w:val="21"/>
              </w:rPr>
            </w:pPr>
            <w:r>
              <w:rPr>
                <w:sz w:val="21"/>
              </w:rPr>
              <w:t>地表水</w:t>
            </w:r>
          </w:p>
        </w:tc>
        <w:tc>
          <w:tcPr>
            <w:tcW w:w="2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26"/>
              </w:rPr>
            </w:pPr>
          </w:p>
          <w:p>
            <w:pPr>
              <w:pStyle w:val="TableParagraph"/>
              <w:spacing w:before="1"/>
              <w:ind w:left="304"/>
              <w:jc w:val="left"/>
              <w:rPr>
                <w:sz w:val="21"/>
              </w:rPr>
            </w:pPr>
            <w:r>
              <w:rPr>
                <w:sz w:val="21"/>
              </w:rPr>
              <w:t>《地表水环境质量标准》</w:t>
            </w:r>
          </w:p>
          <w:p>
            <w:pPr>
              <w:pStyle w:val="TableParagraph"/>
              <w:spacing w:before="4"/>
              <w:ind w:left="229"/>
              <w:jc w:val="left"/>
              <w:rPr>
                <w:sz w:val="21"/>
              </w:rPr>
            </w:pPr>
            <w:r>
              <w:rPr>
                <w:sz w:val="21"/>
              </w:rPr>
              <w:t>（</w:t>
            </w:r>
            <w:r>
              <w:rPr>
                <w:rFonts w:ascii="Times New Roman" w:hAnsi="Times New Roman" w:eastAsia="Times New Roman"/>
                <w:sz w:val="21"/>
              </w:rPr>
              <w:t>GB3838-2002</w:t>
            </w:r>
            <w:r>
              <w:rPr>
                <w:sz w:val="21"/>
              </w:rPr>
              <w:t>）Ⅲ类标准</w:t>
            </w:r>
          </w:p>
        </w:tc>
        <w:tc>
          <w:tcPr>
            <w:tcW w:w="1763" w:type="dxa"/>
          </w:tcPr>
          <w:p>
            <w:pPr>
              <w:pStyle w:val="TableParagraph"/>
              <w:spacing w:line="220" w:lineRule="exact"/>
              <w:ind w:left="114" w:right="108"/>
              <w:rPr>
                <w:rFonts w:ascii="Times New Roman"/>
                <w:sz w:val="21"/>
              </w:rPr>
            </w:pPr>
            <w:r>
              <w:rPr>
                <w:rFonts w:ascii="Times New Roman"/>
                <w:sz w:val="21"/>
              </w:rPr>
              <w:t>pH</w:t>
            </w:r>
          </w:p>
        </w:tc>
        <w:tc>
          <w:tcPr>
            <w:tcW w:w="2162" w:type="dxa"/>
            <w:gridSpan w:val="2"/>
          </w:tcPr>
          <w:p>
            <w:pPr>
              <w:pStyle w:val="TableParagraph"/>
              <w:spacing w:line="220" w:lineRule="exact"/>
              <w:ind w:left="744" w:right="738"/>
              <w:rPr>
                <w:sz w:val="21"/>
              </w:rPr>
            </w:pPr>
            <w:r>
              <w:rPr>
                <w:sz w:val="21"/>
              </w:rPr>
              <w:t>无量纲</w:t>
            </w:r>
          </w:p>
        </w:tc>
        <w:tc>
          <w:tcPr>
            <w:tcW w:w="1002" w:type="dxa"/>
          </w:tcPr>
          <w:p>
            <w:pPr>
              <w:pStyle w:val="TableParagraph"/>
              <w:spacing w:line="220" w:lineRule="exact"/>
              <w:ind w:left="289"/>
              <w:jc w:val="left"/>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7" w:right="108"/>
              <w:rPr>
                <w:rFonts w:ascii="Times New Roman"/>
                <w:sz w:val="21"/>
              </w:rPr>
            </w:pPr>
            <w:r>
              <w:rPr>
                <w:rFonts w:ascii="Times New Roman"/>
                <w:sz w:val="21"/>
              </w:rPr>
              <w:t>COD</w:t>
            </w:r>
          </w:p>
        </w:tc>
        <w:tc>
          <w:tcPr>
            <w:tcW w:w="2162" w:type="dxa"/>
            <w:gridSpan w:val="2"/>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7"/>
              <w:jc w:val="left"/>
              <w:rPr>
                <w:b/>
                <w:sz w:val="18"/>
              </w:rPr>
            </w:pPr>
          </w:p>
          <w:p>
            <w:pPr>
              <w:pStyle w:val="TableParagraph"/>
              <w:ind w:left="744" w:right="736"/>
              <w:rPr>
                <w:rFonts w:ascii="Times New Roman"/>
                <w:sz w:val="21"/>
              </w:rPr>
            </w:pPr>
            <w:r>
              <w:rPr>
                <w:rFonts w:ascii="Times New Roman"/>
                <w:sz w:val="21"/>
              </w:rPr>
              <w:t>mg/L</w:t>
            </w:r>
          </w:p>
        </w:tc>
        <w:tc>
          <w:tcPr>
            <w:tcW w:w="1002" w:type="dxa"/>
          </w:tcPr>
          <w:p>
            <w:pPr>
              <w:pStyle w:val="TableParagraph"/>
              <w:spacing w:line="220" w:lineRule="exact"/>
              <w:ind w:left="289"/>
              <w:jc w:val="left"/>
              <w:rPr>
                <w:rFonts w:ascii="Times New Roman" w:hAnsi="Times New Roman"/>
                <w:sz w:val="21"/>
              </w:rPr>
            </w:pPr>
            <w:r>
              <w:rPr>
                <w:sz w:val="21"/>
              </w:rPr>
              <w:t>≤</w:t>
            </w:r>
            <w:r>
              <w:rPr>
                <w:rFonts w:ascii="Times New Roman" w:hAnsi="Times New Roman"/>
                <w:sz w:val="21"/>
              </w:rPr>
              <w:t>20</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7" w:right="108"/>
              <w:rPr>
                <w:sz w:val="21"/>
              </w:rPr>
            </w:pPr>
            <w:r>
              <w:rPr>
                <w:sz w:val="21"/>
              </w:rPr>
              <w:t>石油类</w:t>
            </w:r>
          </w:p>
        </w:tc>
        <w:tc>
          <w:tcPr>
            <w:tcW w:w="2162" w:type="dxa"/>
            <w:gridSpan w:val="2"/>
            <w:vMerge/>
            <w:tcBorders>
              <w:top w:val="nil"/>
            </w:tcBorders>
          </w:tcPr>
          <w:p>
            <w:pPr>
              <w:rPr>
                <w:sz w:val="2"/>
                <w:szCs w:val="2"/>
              </w:rPr>
            </w:pPr>
          </w:p>
        </w:tc>
        <w:tc>
          <w:tcPr>
            <w:tcW w:w="1002" w:type="dxa"/>
          </w:tcPr>
          <w:p>
            <w:pPr>
              <w:pStyle w:val="TableParagraph"/>
              <w:spacing w:line="220" w:lineRule="exact"/>
              <w:ind w:right="199"/>
              <w:jc w:val="right"/>
              <w:rPr>
                <w:rFonts w:ascii="Times New Roman" w:hAnsi="Times New Roman"/>
                <w:sz w:val="21"/>
              </w:rPr>
            </w:pPr>
            <w:r>
              <w:rPr>
                <w:sz w:val="21"/>
              </w:rPr>
              <w:t>≤</w:t>
            </w:r>
            <w:r>
              <w:rPr>
                <w:rFonts w:ascii="Times New Roman" w:hAnsi="Times New Roman"/>
                <w:sz w:val="21"/>
              </w:rPr>
              <w:t>0.05</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总铁</w:t>
            </w:r>
          </w:p>
        </w:tc>
        <w:tc>
          <w:tcPr>
            <w:tcW w:w="2162" w:type="dxa"/>
            <w:gridSpan w:val="2"/>
            <w:vMerge/>
            <w:tcBorders>
              <w:top w:val="nil"/>
            </w:tcBorders>
          </w:tcPr>
          <w:p>
            <w:pPr>
              <w:rPr>
                <w:sz w:val="2"/>
                <w:szCs w:val="2"/>
              </w:rPr>
            </w:pPr>
          </w:p>
        </w:tc>
        <w:tc>
          <w:tcPr>
            <w:tcW w:w="1002" w:type="dxa"/>
          </w:tcPr>
          <w:p>
            <w:pPr>
              <w:pStyle w:val="TableParagraph"/>
              <w:spacing w:line="220" w:lineRule="exact"/>
              <w:ind w:right="252"/>
              <w:jc w:val="right"/>
              <w:rPr>
                <w:rFonts w:ascii="Times New Roman" w:hAnsi="Times New Roman"/>
                <w:sz w:val="21"/>
              </w:rPr>
            </w:pPr>
            <w:r>
              <w:rPr>
                <w:w w:val="95"/>
                <w:sz w:val="21"/>
              </w:rPr>
              <w:t>≤</w:t>
            </w:r>
            <w:r>
              <w:rPr>
                <w:rFonts w:ascii="Times New Roman" w:hAnsi="Times New Roman"/>
                <w:w w:val="95"/>
                <w:sz w:val="21"/>
              </w:rPr>
              <w:t>0.3</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总锰</w:t>
            </w:r>
          </w:p>
        </w:tc>
        <w:tc>
          <w:tcPr>
            <w:tcW w:w="2162" w:type="dxa"/>
            <w:gridSpan w:val="2"/>
            <w:vMerge/>
            <w:tcBorders>
              <w:top w:val="nil"/>
            </w:tcBorders>
          </w:tcPr>
          <w:p>
            <w:pPr>
              <w:rPr>
                <w:sz w:val="2"/>
                <w:szCs w:val="2"/>
              </w:rPr>
            </w:pPr>
          </w:p>
        </w:tc>
        <w:tc>
          <w:tcPr>
            <w:tcW w:w="1002" w:type="dxa"/>
          </w:tcPr>
          <w:p>
            <w:pPr>
              <w:pStyle w:val="TableParagraph"/>
              <w:spacing w:line="220" w:lineRule="exact"/>
              <w:ind w:right="252"/>
              <w:jc w:val="right"/>
              <w:rPr>
                <w:rFonts w:ascii="Times New Roman" w:hAnsi="Times New Roman"/>
                <w:sz w:val="21"/>
              </w:rPr>
            </w:pPr>
            <w:r>
              <w:rPr>
                <w:w w:val="95"/>
                <w:sz w:val="21"/>
              </w:rPr>
              <w:t>≤</w:t>
            </w:r>
            <w:r>
              <w:rPr>
                <w:rFonts w:ascii="Times New Roman" w:hAnsi="Times New Roman"/>
                <w:w w:val="95"/>
                <w:sz w:val="21"/>
              </w:rPr>
              <w:t>0.1</w:t>
            </w:r>
          </w:p>
        </w:tc>
      </w:tr>
      <w:tr>
        <w:trPr>
          <w:trHeight w:val="48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before="103"/>
              <w:ind w:left="112" w:right="108"/>
              <w:rPr>
                <w:sz w:val="21"/>
              </w:rPr>
            </w:pPr>
            <w:r>
              <w:rPr>
                <w:sz w:val="21"/>
              </w:rPr>
              <w:t>总汞</w:t>
            </w:r>
          </w:p>
        </w:tc>
        <w:tc>
          <w:tcPr>
            <w:tcW w:w="2162" w:type="dxa"/>
            <w:gridSpan w:val="2"/>
            <w:vMerge/>
            <w:tcBorders>
              <w:top w:val="nil"/>
            </w:tcBorders>
          </w:tcPr>
          <w:p>
            <w:pPr>
              <w:rPr>
                <w:sz w:val="2"/>
                <w:szCs w:val="2"/>
              </w:rPr>
            </w:pPr>
          </w:p>
        </w:tc>
        <w:tc>
          <w:tcPr>
            <w:tcW w:w="1002" w:type="dxa"/>
          </w:tcPr>
          <w:p>
            <w:pPr>
              <w:pStyle w:val="TableParagraph"/>
              <w:spacing w:line="245" w:lineRule="exact"/>
              <w:ind w:left="7"/>
              <w:rPr>
                <w:sz w:val="21"/>
              </w:rPr>
            </w:pPr>
            <w:r>
              <w:rPr>
                <w:w w:val="99"/>
                <w:sz w:val="21"/>
              </w:rPr>
              <w:t>≤</w:t>
            </w:r>
          </w:p>
          <w:p>
            <w:pPr>
              <w:pStyle w:val="TableParagraph"/>
              <w:spacing w:line="215" w:lineRule="exact"/>
              <w:ind w:left="190" w:right="184"/>
              <w:rPr>
                <w:rFonts w:ascii="Times New Roman"/>
                <w:sz w:val="21"/>
              </w:rPr>
            </w:pPr>
            <w:r>
              <w:rPr>
                <w:rFonts w:ascii="Times New Roman"/>
                <w:sz w:val="21"/>
              </w:rPr>
              <w:t>0.0001</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总镉</w:t>
            </w:r>
          </w:p>
        </w:tc>
        <w:tc>
          <w:tcPr>
            <w:tcW w:w="2162" w:type="dxa"/>
            <w:gridSpan w:val="2"/>
            <w:vMerge/>
            <w:tcBorders>
              <w:top w:val="nil"/>
            </w:tcBorders>
          </w:tcPr>
          <w:p>
            <w:pPr>
              <w:rPr>
                <w:sz w:val="2"/>
                <w:szCs w:val="2"/>
              </w:rPr>
            </w:pPr>
          </w:p>
        </w:tc>
        <w:tc>
          <w:tcPr>
            <w:tcW w:w="1002" w:type="dxa"/>
          </w:tcPr>
          <w:p>
            <w:pPr>
              <w:pStyle w:val="TableParagraph"/>
              <w:spacing w:line="220" w:lineRule="exact"/>
              <w:ind w:right="146"/>
              <w:jc w:val="right"/>
              <w:rPr>
                <w:rFonts w:ascii="Times New Roman" w:hAnsi="Times New Roman"/>
                <w:sz w:val="21"/>
              </w:rPr>
            </w:pPr>
            <w:r>
              <w:rPr>
                <w:w w:val="95"/>
                <w:sz w:val="21"/>
              </w:rPr>
              <w:t>≤</w:t>
            </w:r>
            <w:r>
              <w:rPr>
                <w:rFonts w:ascii="Times New Roman" w:hAnsi="Times New Roman"/>
                <w:w w:val="95"/>
                <w:sz w:val="21"/>
              </w:rPr>
              <w:t>0.005</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7" w:right="108"/>
              <w:rPr>
                <w:sz w:val="21"/>
              </w:rPr>
            </w:pPr>
            <w:r>
              <w:rPr>
                <w:sz w:val="21"/>
              </w:rPr>
              <w:t>六价铬</w:t>
            </w:r>
          </w:p>
        </w:tc>
        <w:tc>
          <w:tcPr>
            <w:tcW w:w="2162" w:type="dxa"/>
            <w:gridSpan w:val="2"/>
            <w:vMerge/>
            <w:tcBorders>
              <w:top w:val="nil"/>
            </w:tcBorders>
          </w:tcPr>
          <w:p>
            <w:pPr>
              <w:rPr>
                <w:sz w:val="2"/>
                <w:szCs w:val="2"/>
              </w:rPr>
            </w:pPr>
          </w:p>
        </w:tc>
        <w:tc>
          <w:tcPr>
            <w:tcW w:w="1002" w:type="dxa"/>
          </w:tcPr>
          <w:p>
            <w:pPr>
              <w:pStyle w:val="TableParagraph"/>
              <w:spacing w:line="220" w:lineRule="exact"/>
              <w:ind w:right="199"/>
              <w:jc w:val="right"/>
              <w:rPr>
                <w:rFonts w:ascii="Times New Roman" w:hAnsi="Times New Roman"/>
                <w:sz w:val="21"/>
              </w:rPr>
            </w:pPr>
            <w:r>
              <w:rPr>
                <w:sz w:val="21"/>
              </w:rPr>
              <w:t>≤</w:t>
            </w:r>
            <w:r>
              <w:rPr>
                <w:rFonts w:ascii="Times New Roman" w:hAnsi="Times New Roman"/>
                <w:sz w:val="21"/>
              </w:rPr>
              <w:t>0.05</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总铅</w:t>
            </w:r>
          </w:p>
        </w:tc>
        <w:tc>
          <w:tcPr>
            <w:tcW w:w="2162" w:type="dxa"/>
            <w:gridSpan w:val="2"/>
            <w:vMerge/>
            <w:tcBorders>
              <w:top w:val="nil"/>
            </w:tcBorders>
          </w:tcPr>
          <w:p>
            <w:pPr>
              <w:rPr>
                <w:sz w:val="2"/>
                <w:szCs w:val="2"/>
              </w:rPr>
            </w:pPr>
          </w:p>
        </w:tc>
        <w:tc>
          <w:tcPr>
            <w:tcW w:w="1002" w:type="dxa"/>
          </w:tcPr>
          <w:p>
            <w:pPr>
              <w:pStyle w:val="TableParagraph"/>
              <w:spacing w:line="220" w:lineRule="exact"/>
              <w:ind w:right="199"/>
              <w:jc w:val="right"/>
              <w:rPr>
                <w:rFonts w:ascii="Times New Roman" w:hAnsi="Times New Roman"/>
                <w:sz w:val="21"/>
              </w:rPr>
            </w:pPr>
            <w:r>
              <w:rPr>
                <w:sz w:val="21"/>
              </w:rPr>
              <w:t>≤</w:t>
            </w:r>
            <w:r>
              <w:rPr>
                <w:rFonts w:ascii="Times New Roman" w:hAnsi="Times New Roman"/>
                <w:sz w:val="21"/>
              </w:rPr>
              <w:t>0.05</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总砷</w:t>
            </w:r>
          </w:p>
        </w:tc>
        <w:tc>
          <w:tcPr>
            <w:tcW w:w="2162" w:type="dxa"/>
            <w:gridSpan w:val="2"/>
            <w:vMerge/>
            <w:tcBorders>
              <w:top w:val="nil"/>
            </w:tcBorders>
          </w:tcPr>
          <w:p>
            <w:pPr>
              <w:rPr>
                <w:sz w:val="2"/>
                <w:szCs w:val="2"/>
              </w:rPr>
            </w:pPr>
          </w:p>
        </w:tc>
        <w:tc>
          <w:tcPr>
            <w:tcW w:w="1002" w:type="dxa"/>
          </w:tcPr>
          <w:p>
            <w:pPr>
              <w:pStyle w:val="TableParagraph"/>
              <w:spacing w:line="220" w:lineRule="exact"/>
              <w:ind w:right="199"/>
              <w:jc w:val="right"/>
              <w:rPr>
                <w:rFonts w:ascii="Times New Roman" w:hAnsi="Times New Roman"/>
                <w:sz w:val="21"/>
              </w:rPr>
            </w:pPr>
            <w:r>
              <w:rPr>
                <w:sz w:val="21"/>
              </w:rPr>
              <w:t>≤</w:t>
            </w:r>
            <w:r>
              <w:rPr>
                <w:rFonts w:ascii="Times New Roman" w:hAnsi="Times New Roman"/>
                <w:sz w:val="21"/>
              </w:rPr>
              <w:t>0.05</w:t>
            </w:r>
          </w:p>
        </w:tc>
      </w:tr>
      <w:tr>
        <w:trPr>
          <w:trHeight w:val="24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2" w:right="108"/>
              <w:rPr>
                <w:sz w:val="21"/>
              </w:rPr>
            </w:pPr>
            <w:r>
              <w:rPr>
                <w:sz w:val="21"/>
              </w:rPr>
              <w:t>总锌</w:t>
            </w:r>
          </w:p>
        </w:tc>
        <w:tc>
          <w:tcPr>
            <w:tcW w:w="2162" w:type="dxa"/>
            <w:gridSpan w:val="2"/>
            <w:vMerge/>
            <w:tcBorders>
              <w:top w:val="nil"/>
            </w:tcBorders>
          </w:tcPr>
          <w:p>
            <w:pPr>
              <w:rPr>
                <w:sz w:val="2"/>
                <w:szCs w:val="2"/>
              </w:rPr>
            </w:pPr>
          </w:p>
        </w:tc>
        <w:tc>
          <w:tcPr>
            <w:tcW w:w="1002" w:type="dxa"/>
          </w:tcPr>
          <w:p>
            <w:pPr>
              <w:pStyle w:val="TableParagraph"/>
              <w:spacing w:line="220" w:lineRule="exact"/>
              <w:ind w:right="252"/>
              <w:jc w:val="right"/>
              <w:rPr>
                <w:rFonts w:ascii="Times New Roman" w:hAnsi="Times New Roman"/>
                <w:sz w:val="21"/>
              </w:rPr>
            </w:pPr>
            <w:r>
              <w:rPr>
                <w:w w:val="95"/>
                <w:sz w:val="21"/>
              </w:rPr>
              <w:t>≤</w:t>
            </w:r>
            <w:r>
              <w:rPr>
                <w:rFonts w:ascii="Times New Roman" w:hAnsi="Times New Roman"/>
                <w:w w:val="95"/>
                <w:sz w:val="21"/>
              </w:rPr>
              <w:t>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2"/>
              <w:ind w:left="117" w:right="108"/>
              <w:rPr>
                <w:sz w:val="21"/>
              </w:rPr>
            </w:pPr>
            <w:r>
              <w:rPr>
                <w:sz w:val="21"/>
              </w:rPr>
              <w:t>氟化物</w:t>
            </w:r>
          </w:p>
        </w:tc>
        <w:tc>
          <w:tcPr>
            <w:tcW w:w="2162" w:type="dxa"/>
            <w:gridSpan w:val="2"/>
            <w:vMerge/>
            <w:tcBorders>
              <w:top w:val="nil"/>
            </w:tcBorders>
          </w:tcPr>
          <w:p>
            <w:pPr>
              <w:rPr>
                <w:sz w:val="2"/>
                <w:szCs w:val="2"/>
              </w:rPr>
            </w:pPr>
          </w:p>
        </w:tc>
        <w:tc>
          <w:tcPr>
            <w:tcW w:w="1002" w:type="dxa"/>
          </w:tcPr>
          <w:p>
            <w:pPr>
              <w:pStyle w:val="TableParagraph"/>
              <w:spacing w:line="253" w:lineRule="exact"/>
              <w:ind w:right="252"/>
              <w:jc w:val="right"/>
              <w:rPr>
                <w:rFonts w:ascii="Times New Roman" w:hAnsi="Times New Roman"/>
                <w:sz w:val="21"/>
              </w:rPr>
            </w:pPr>
            <w:r>
              <w:rPr>
                <w:w w:val="95"/>
                <w:sz w:val="21"/>
              </w:rPr>
              <w:t>≤</w:t>
            </w:r>
            <w:r>
              <w:rPr>
                <w:rFonts w:ascii="Times New Roman" w:hAnsi="Times New Roman"/>
                <w:w w:val="95"/>
                <w:sz w:val="21"/>
              </w:rPr>
              <w:t>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溶解氧</w:t>
            </w:r>
          </w:p>
        </w:tc>
        <w:tc>
          <w:tcPr>
            <w:tcW w:w="2162" w:type="dxa"/>
            <w:gridSpan w:val="2"/>
            <w:vMerge/>
            <w:tcBorders>
              <w:top w:val="nil"/>
            </w:tcBorders>
          </w:tcPr>
          <w:p>
            <w:pPr>
              <w:rPr>
                <w:sz w:val="2"/>
                <w:szCs w:val="2"/>
              </w:rPr>
            </w:pPr>
          </w:p>
        </w:tc>
        <w:tc>
          <w:tcPr>
            <w:tcW w:w="1002" w:type="dxa"/>
          </w:tcPr>
          <w:p>
            <w:pPr>
              <w:pStyle w:val="TableParagraph"/>
              <w:spacing w:line="252" w:lineRule="exact"/>
              <w:ind w:left="190" w:right="182"/>
              <w:rPr>
                <w:rFonts w:ascii="Times New Roman" w:hAnsi="Times New Roman"/>
                <w:sz w:val="21"/>
              </w:rPr>
            </w:pPr>
            <w:r>
              <w:rPr>
                <w:sz w:val="21"/>
              </w:rPr>
              <w:t>≥</w:t>
            </w:r>
            <w:r>
              <w:rPr>
                <w:rFonts w:ascii="Times New Roman" w:hAnsi="Times New Roman"/>
                <w:sz w:val="21"/>
              </w:rPr>
              <w:t>5</w:t>
            </w:r>
          </w:p>
        </w:tc>
      </w:tr>
      <w:tr>
        <w:trPr>
          <w:trHeight w:val="237"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18" w:lineRule="exact"/>
              <w:ind w:left="117" w:right="107"/>
              <w:rPr>
                <w:rFonts w:ascii="Times New Roman"/>
                <w:sz w:val="21"/>
              </w:rPr>
            </w:pPr>
            <w:r>
              <w:rPr>
                <w:rFonts w:ascii="Times New Roman"/>
                <w:position w:val="2"/>
                <w:sz w:val="21"/>
              </w:rPr>
              <w:t>BOD</w:t>
            </w:r>
            <w:r>
              <w:rPr>
                <w:rFonts w:ascii="Times New Roman"/>
                <w:position w:val="2"/>
                <w:sz w:val="21"/>
                <w:vertAlign w:val="subscript"/>
              </w:rPr>
              <w:t>5</w:t>
            </w:r>
          </w:p>
        </w:tc>
        <w:tc>
          <w:tcPr>
            <w:tcW w:w="2162" w:type="dxa"/>
            <w:gridSpan w:val="2"/>
            <w:vMerge/>
            <w:tcBorders>
              <w:top w:val="nil"/>
            </w:tcBorders>
          </w:tcPr>
          <w:p>
            <w:pPr>
              <w:rPr>
                <w:sz w:val="2"/>
                <w:szCs w:val="2"/>
              </w:rPr>
            </w:pPr>
          </w:p>
        </w:tc>
        <w:tc>
          <w:tcPr>
            <w:tcW w:w="1002" w:type="dxa"/>
          </w:tcPr>
          <w:p>
            <w:pPr>
              <w:pStyle w:val="TableParagraph"/>
              <w:spacing w:line="218" w:lineRule="exact"/>
              <w:ind w:left="190" w:right="182"/>
              <w:rPr>
                <w:rFonts w:ascii="Times New Roman" w:hAnsi="Times New Roman"/>
                <w:sz w:val="21"/>
              </w:rPr>
            </w:pPr>
            <w:r>
              <w:rPr>
                <w:sz w:val="21"/>
              </w:rPr>
              <w:t>≤</w:t>
            </w:r>
            <w:r>
              <w:rPr>
                <w:rFonts w:ascii="Times New Roman" w:hAnsi="Times New Roman"/>
                <w:sz w:val="21"/>
              </w:rPr>
              <w:t>4</w:t>
            </w:r>
          </w:p>
        </w:tc>
      </w:tr>
    </w:tbl>
    <w:p>
      <w:pPr>
        <w:spacing w:after="0" w:line="218" w:lineRule="exact"/>
        <w:rPr>
          <w:rFonts w:ascii="Times New Roman" w:hAnsi="Times New Roman"/>
          <w:sz w:val="21"/>
        </w:rPr>
        <w:sectPr>
          <w:pgSz w:w="11910" w:h="16840"/>
          <w:pgMar w:header="0" w:footer="993" w:top="134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2920"/>
        <w:gridCol w:w="1763"/>
        <w:gridCol w:w="1350"/>
        <w:gridCol w:w="812"/>
        <w:gridCol w:w="1002"/>
      </w:tblGrid>
      <w:tr>
        <w:trPr>
          <w:trHeight w:val="240" w:hRule="atLeast"/>
        </w:trPr>
        <w:tc>
          <w:tcPr>
            <w:tcW w:w="675" w:type="dxa"/>
          </w:tcPr>
          <w:p>
            <w:pPr>
              <w:pStyle w:val="TableParagraph"/>
              <w:jc w:val="left"/>
              <w:rPr>
                <w:rFonts w:ascii="Times New Roman"/>
                <w:sz w:val="16"/>
              </w:rPr>
            </w:pPr>
          </w:p>
        </w:tc>
        <w:tc>
          <w:tcPr>
            <w:tcW w:w="2920" w:type="dxa"/>
          </w:tcPr>
          <w:p>
            <w:pPr>
              <w:pStyle w:val="TableParagraph"/>
              <w:jc w:val="left"/>
              <w:rPr>
                <w:rFonts w:ascii="Times New Roman"/>
                <w:sz w:val="16"/>
              </w:rPr>
            </w:pPr>
          </w:p>
        </w:tc>
        <w:tc>
          <w:tcPr>
            <w:tcW w:w="1763" w:type="dxa"/>
          </w:tcPr>
          <w:p>
            <w:pPr>
              <w:pStyle w:val="TableParagraph"/>
              <w:spacing w:line="220" w:lineRule="exact"/>
              <w:ind w:left="112" w:right="108"/>
              <w:rPr>
                <w:sz w:val="21"/>
              </w:rPr>
            </w:pPr>
            <w:r>
              <w:rPr>
                <w:sz w:val="21"/>
              </w:rPr>
              <w:t>氨氮</w:t>
            </w:r>
          </w:p>
        </w:tc>
        <w:tc>
          <w:tcPr>
            <w:tcW w:w="2162" w:type="dxa"/>
            <w:gridSpan w:val="2"/>
          </w:tcPr>
          <w:p>
            <w:pPr>
              <w:pStyle w:val="TableParagraph"/>
              <w:jc w:val="left"/>
              <w:rPr>
                <w:rFonts w:ascii="Times New Roman"/>
                <w:sz w:val="16"/>
              </w:rPr>
            </w:pPr>
          </w:p>
        </w:tc>
        <w:tc>
          <w:tcPr>
            <w:tcW w:w="1002" w:type="dxa"/>
          </w:tcPr>
          <w:p>
            <w:pPr>
              <w:pStyle w:val="TableParagraph"/>
              <w:spacing w:line="220" w:lineRule="exact"/>
              <w:ind w:right="252"/>
              <w:jc w:val="right"/>
              <w:rPr>
                <w:rFonts w:ascii="Times New Roman" w:hAnsi="Times New Roman"/>
                <w:sz w:val="21"/>
              </w:rPr>
            </w:pPr>
            <w:r>
              <w:rPr>
                <w:w w:val="95"/>
                <w:sz w:val="21"/>
              </w:rPr>
              <w:t>≤</w:t>
            </w:r>
            <w:r>
              <w:rPr>
                <w:rFonts w:ascii="Times New Roman" w:hAnsi="Times New Roman"/>
                <w:w w:val="95"/>
                <w:sz w:val="21"/>
              </w:rPr>
              <w:t>1.0</w:t>
            </w:r>
          </w:p>
        </w:tc>
      </w:tr>
      <w:tr>
        <w:trPr>
          <w:trHeight w:val="272" w:hRule="atLeast"/>
        </w:trPr>
        <w:tc>
          <w:tcPr>
            <w:tcW w:w="675" w:type="dxa"/>
            <w:vMerge w:val="restart"/>
          </w:tcPr>
          <w:p>
            <w:pPr>
              <w:pStyle w:val="TableParagraph"/>
              <w:spacing w:line="270" w:lineRule="atLeast" w:before="3"/>
              <w:ind w:left="230" w:right="117" w:hanging="104"/>
              <w:jc w:val="left"/>
              <w:rPr>
                <w:sz w:val="21"/>
              </w:rPr>
            </w:pPr>
            <w:r>
              <w:rPr>
                <w:sz w:val="21"/>
              </w:rPr>
              <w:t>声环境</w:t>
            </w:r>
          </w:p>
        </w:tc>
        <w:tc>
          <w:tcPr>
            <w:tcW w:w="2920" w:type="dxa"/>
            <w:vMerge w:val="restart"/>
          </w:tcPr>
          <w:p>
            <w:pPr>
              <w:pStyle w:val="TableParagraph"/>
              <w:spacing w:before="4"/>
              <w:ind w:left="122" w:right="112"/>
              <w:rPr>
                <w:sz w:val="21"/>
              </w:rPr>
            </w:pPr>
            <w:r>
              <w:rPr>
                <w:sz w:val="21"/>
              </w:rPr>
              <w:t>《声环境质量标准》</w:t>
            </w:r>
          </w:p>
          <w:p>
            <w:pPr>
              <w:pStyle w:val="TableParagraph"/>
              <w:spacing w:line="257" w:lineRule="exact" w:before="5"/>
              <w:ind w:left="124" w:right="112"/>
              <w:rPr>
                <w:sz w:val="21"/>
              </w:rPr>
            </w:pPr>
            <w:r>
              <w:rPr>
                <w:rFonts w:ascii="Times New Roman" w:eastAsia="Times New Roman"/>
                <w:sz w:val="21"/>
              </w:rPr>
              <w:t>(GB3096-2008)</w:t>
            </w:r>
            <w:r>
              <w:rPr>
                <w:sz w:val="21"/>
              </w:rPr>
              <w:t>中 </w:t>
            </w:r>
            <w:r>
              <w:rPr>
                <w:rFonts w:ascii="Times New Roman" w:eastAsia="Times New Roman"/>
                <w:sz w:val="21"/>
              </w:rPr>
              <w:t>2 </w:t>
            </w:r>
            <w:r>
              <w:rPr>
                <w:sz w:val="21"/>
              </w:rPr>
              <w:t>类标准</w:t>
            </w:r>
          </w:p>
        </w:tc>
        <w:tc>
          <w:tcPr>
            <w:tcW w:w="1763" w:type="dxa"/>
            <w:vMerge w:val="restart"/>
          </w:tcPr>
          <w:p>
            <w:pPr>
              <w:pStyle w:val="TableParagraph"/>
              <w:spacing w:before="141"/>
              <w:ind w:left="112" w:right="108"/>
              <w:rPr>
                <w:sz w:val="21"/>
              </w:rPr>
            </w:pPr>
            <w:r>
              <w:rPr>
                <w:sz w:val="21"/>
              </w:rPr>
              <w:t>噪声</w:t>
            </w:r>
          </w:p>
        </w:tc>
        <w:tc>
          <w:tcPr>
            <w:tcW w:w="1350" w:type="dxa"/>
            <w:vMerge w:val="restart"/>
          </w:tcPr>
          <w:p>
            <w:pPr>
              <w:pStyle w:val="TableParagraph"/>
              <w:spacing w:before="141"/>
              <w:ind w:left="101" w:right="92"/>
              <w:rPr>
                <w:sz w:val="21"/>
              </w:rPr>
            </w:pPr>
            <w:r>
              <w:rPr>
                <w:sz w:val="21"/>
              </w:rPr>
              <w:t>二类</w:t>
            </w:r>
          </w:p>
        </w:tc>
        <w:tc>
          <w:tcPr>
            <w:tcW w:w="812" w:type="dxa"/>
          </w:tcPr>
          <w:p>
            <w:pPr>
              <w:pStyle w:val="TableParagraph"/>
              <w:spacing w:line="250" w:lineRule="exact" w:before="2"/>
              <w:ind w:right="187"/>
              <w:jc w:val="right"/>
              <w:rPr>
                <w:sz w:val="21"/>
              </w:rPr>
            </w:pPr>
            <w:r>
              <w:rPr>
                <w:w w:val="95"/>
                <w:sz w:val="21"/>
              </w:rPr>
              <w:t>昼间</w:t>
            </w:r>
          </w:p>
        </w:tc>
        <w:tc>
          <w:tcPr>
            <w:tcW w:w="1002" w:type="dxa"/>
          </w:tcPr>
          <w:p>
            <w:pPr>
              <w:pStyle w:val="TableParagraph"/>
              <w:spacing w:line="236" w:lineRule="exact" w:before="16"/>
              <w:ind w:left="190" w:right="182"/>
              <w:rPr>
                <w:rFonts w:ascii="Times New Roman"/>
                <w:sz w:val="21"/>
              </w:rPr>
            </w:pPr>
            <w:r>
              <w:rPr>
                <w:rFonts w:ascii="Times New Roman"/>
                <w:sz w:val="21"/>
              </w:rPr>
              <w:t>60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vMerge/>
            <w:tcBorders>
              <w:top w:val="nil"/>
            </w:tcBorders>
          </w:tcPr>
          <w:p>
            <w:pPr>
              <w:rPr>
                <w:sz w:val="2"/>
                <w:szCs w:val="2"/>
              </w:rPr>
            </w:pPr>
          </w:p>
        </w:tc>
        <w:tc>
          <w:tcPr>
            <w:tcW w:w="1350" w:type="dxa"/>
            <w:vMerge/>
            <w:tcBorders>
              <w:top w:val="nil"/>
            </w:tcBorders>
          </w:tcPr>
          <w:p>
            <w:pPr>
              <w:rPr>
                <w:sz w:val="2"/>
                <w:szCs w:val="2"/>
              </w:rPr>
            </w:pPr>
          </w:p>
        </w:tc>
        <w:tc>
          <w:tcPr>
            <w:tcW w:w="812" w:type="dxa"/>
          </w:tcPr>
          <w:p>
            <w:pPr>
              <w:pStyle w:val="TableParagraph"/>
              <w:spacing w:line="252" w:lineRule="exact" w:before="1"/>
              <w:ind w:right="187"/>
              <w:jc w:val="right"/>
              <w:rPr>
                <w:sz w:val="21"/>
              </w:rPr>
            </w:pPr>
            <w:r>
              <w:rPr>
                <w:w w:val="95"/>
                <w:sz w:val="21"/>
              </w:rPr>
              <w:t>夜间</w:t>
            </w:r>
          </w:p>
        </w:tc>
        <w:tc>
          <w:tcPr>
            <w:tcW w:w="1002" w:type="dxa"/>
          </w:tcPr>
          <w:p>
            <w:pPr>
              <w:pStyle w:val="TableParagraph"/>
              <w:spacing w:line="238" w:lineRule="exact" w:before="14"/>
              <w:ind w:left="190" w:right="182"/>
              <w:rPr>
                <w:rFonts w:ascii="Times New Roman"/>
                <w:sz w:val="21"/>
              </w:rPr>
            </w:pPr>
            <w:r>
              <w:rPr>
                <w:rFonts w:ascii="Times New Roman"/>
                <w:sz w:val="21"/>
              </w:rPr>
              <w:t>50</w:t>
            </w:r>
          </w:p>
        </w:tc>
      </w:tr>
      <w:tr>
        <w:trPr>
          <w:trHeight w:val="240" w:hRule="atLeast"/>
        </w:trPr>
        <w:tc>
          <w:tcPr>
            <w:tcW w:w="67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7"/>
              </w:rPr>
            </w:pPr>
          </w:p>
          <w:p>
            <w:pPr>
              <w:pStyle w:val="TableParagraph"/>
              <w:spacing w:line="242" w:lineRule="auto"/>
              <w:ind w:left="230" w:right="117" w:hanging="104"/>
              <w:jc w:val="left"/>
              <w:rPr>
                <w:sz w:val="21"/>
              </w:rPr>
            </w:pPr>
            <w:r>
              <w:rPr>
                <w:sz w:val="21"/>
              </w:rPr>
              <w:t>地下水</w:t>
            </w:r>
          </w:p>
        </w:tc>
        <w:tc>
          <w:tcPr>
            <w:tcW w:w="2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7"/>
              </w:rPr>
            </w:pPr>
          </w:p>
          <w:p>
            <w:pPr>
              <w:pStyle w:val="TableParagraph"/>
              <w:ind w:left="122" w:right="112"/>
              <w:rPr>
                <w:sz w:val="21"/>
              </w:rPr>
            </w:pPr>
            <w:r>
              <w:rPr>
                <w:sz w:val="21"/>
              </w:rPr>
              <w:t>《地下水质量标准》</w:t>
            </w:r>
          </w:p>
          <w:p>
            <w:pPr>
              <w:pStyle w:val="TableParagraph"/>
              <w:spacing w:before="2"/>
              <w:ind w:left="65" w:right="53"/>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T14848</w:t>
            </w:r>
            <w:r>
              <w:rPr>
                <w:rFonts w:ascii="Times New Roman" w:eastAsia="Times New Roman"/>
                <w:spacing w:val="-3"/>
                <w:w w:val="99"/>
                <w:sz w:val="21"/>
              </w:rPr>
              <w:t>-</w:t>
            </w:r>
            <w:r>
              <w:rPr>
                <w:rFonts w:ascii="Times New Roman" w:eastAsia="Times New Roman"/>
                <w:spacing w:val="1"/>
                <w:w w:val="99"/>
                <w:sz w:val="21"/>
              </w:rPr>
              <w:t>201</w:t>
            </w:r>
            <w:r>
              <w:rPr>
                <w:rFonts w:ascii="Times New Roman" w:eastAsia="Times New Roman"/>
                <w:spacing w:val="-2"/>
                <w:w w:val="99"/>
                <w:sz w:val="21"/>
              </w:rPr>
              <w:t>7</w:t>
            </w:r>
            <w:r>
              <w:rPr>
                <w:spacing w:val="-101"/>
                <w:w w:val="99"/>
                <w:sz w:val="21"/>
              </w:rPr>
              <w:t>）</w:t>
            </w:r>
            <w:r>
              <w:rPr>
                <w:rFonts w:ascii="Times New Roman" w:eastAsia="Times New Roman"/>
                <w:w w:val="99"/>
                <w:sz w:val="21"/>
              </w:rPr>
              <w:t>III</w:t>
            </w:r>
            <w:r>
              <w:rPr>
                <w:rFonts w:ascii="Times New Roman" w:eastAsia="Times New Roman"/>
                <w:spacing w:val="2"/>
                <w:sz w:val="21"/>
              </w:rPr>
              <w:t> </w:t>
            </w:r>
            <w:r>
              <w:rPr>
                <w:w w:val="99"/>
                <w:sz w:val="21"/>
              </w:rPr>
              <w:t>类标准</w:t>
            </w:r>
          </w:p>
        </w:tc>
        <w:tc>
          <w:tcPr>
            <w:tcW w:w="1763" w:type="dxa"/>
          </w:tcPr>
          <w:p>
            <w:pPr>
              <w:pStyle w:val="TableParagraph"/>
              <w:spacing w:line="221" w:lineRule="exact"/>
              <w:ind w:left="114" w:right="108"/>
              <w:rPr>
                <w:rFonts w:ascii="Times New Roman"/>
                <w:sz w:val="21"/>
              </w:rPr>
            </w:pPr>
            <w:r>
              <w:rPr>
                <w:rFonts w:ascii="Times New Roman"/>
                <w:sz w:val="21"/>
              </w:rPr>
              <w:t>pH</w:t>
            </w:r>
          </w:p>
        </w:tc>
        <w:tc>
          <w:tcPr>
            <w:tcW w:w="2162" w:type="dxa"/>
            <w:gridSpan w:val="2"/>
          </w:tcPr>
          <w:p>
            <w:pPr>
              <w:pStyle w:val="TableParagraph"/>
              <w:spacing w:line="221" w:lineRule="exact"/>
              <w:ind w:left="744" w:right="738"/>
              <w:rPr>
                <w:sz w:val="21"/>
              </w:rPr>
            </w:pPr>
            <w:r>
              <w:rPr>
                <w:sz w:val="21"/>
              </w:rPr>
              <w:t>无量纲</w:t>
            </w:r>
          </w:p>
        </w:tc>
        <w:tc>
          <w:tcPr>
            <w:tcW w:w="1002" w:type="dxa"/>
          </w:tcPr>
          <w:p>
            <w:pPr>
              <w:pStyle w:val="TableParagraph"/>
              <w:spacing w:line="221" w:lineRule="exact"/>
              <w:ind w:right="168"/>
              <w:jc w:val="right"/>
              <w:rPr>
                <w:rFonts w:ascii="Times New Roman"/>
                <w:sz w:val="21"/>
              </w:rPr>
            </w:pPr>
            <w:r>
              <w:rPr>
                <w:rFonts w:ascii="Times New Roman"/>
                <w:w w:val="95"/>
                <w:sz w:val="21"/>
              </w:rPr>
              <w:t>6.5~8.5</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2"/>
              <w:ind w:left="112" w:right="108"/>
              <w:rPr>
                <w:sz w:val="21"/>
              </w:rPr>
            </w:pPr>
            <w:r>
              <w:rPr>
                <w:sz w:val="21"/>
              </w:rPr>
              <w:t>氨氮</w:t>
            </w:r>
          </w:p>
        </w:tc>
        <w:tc>
          <w:tcPr>
            <w:tcW w:w="2162" w:type="dxa"/>
            <w:gridSpan w:val="2"/>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8"/>
              <w:jc w:val="left"/>
              <w:rPr>
                <w:b/>
                <w:sz w:val="24"/>
              </w:rPr>
            </w:pPr>
          </w:p>
          <w:p>
            <w:pPr>
              <w:pStyle w:val="TableParagraph"/>
              <w:spacing w:before="1"/>
              <w:ind w:left="744" w:right="736"/>
              <w:rPr>
                <w:rFonts w:ascii="Times New Roman"/>
                <w:sz w:val="21"/>
              </w:rPr>
            </w:pPr>
            <w:r>
              <w:rPr>
                <w:rFonts w:ascii="Times New Roman"/>
                <w:sz w:val="21"/>
              </w:rPr>
              <w:t>mg/L</w:t>
            </w:r>
          </w:p>
        </w:tc>
        <w:tc>
          <w:tcPr>
            <w:tcW w:w="1002" w:type="dxa"/>
          </w:tcPr>
          <w:p>
            <w:pPr>
              <w:pStyle w:val="TableParagraph"/>
              <w:spacing w:line="251" w:lineRule="exact" w:before="2"/>
              <w:ind w:right="199"/>
              <w:jc w:val="right"/>
              <w:rPr>
                <w:rFonts w:ascii="Times New Roman" w:hAnsi="Times New Roman"/>
                <w:sz w:val="21"/>
              </w:rPr>
            </w:pPr>
            <w:r>
              <w:rPr>
                <w:sz w:val="21"/>
              </w:rPr>
              <w:t>≤</w:t>
            </w:r>
            <w:r>
              <w:rPr>
                <w:rFonts w:ascii="Times New Roman" w:hAnsi="Times New Roman"/>
                <w:sz w:val="21"/>
              </w:rPr>
              <w:t>0.50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硝酸盐</w:t>
            </w:r>
          </w:p>
        </w:tc>
        <w:tc>
          <w:tcPr>
            <w:tcW w:w="2162" w:type="dxa"/>
            <w:gridSpan w:val="2"/>
            <w:vMerge/>
            <w:tcBorders>
              <w:top w:val="nil"/>
            </w:tcBorders>
          </w:tcPr>
          <w:p>
            <w:pPr>
              <w:rPr>
                <w:sz w:val="2"/>
                <w:szCs w:val="2"/>
              </w:rPr>
            </w:pPr>
          </w:p>
        </w:tc>
        <w:tc>
          <w:tcPr>
            <w:tcW w:w="1002" w:type="dxa"/>
          </w:tcPr>
          <w:p>
            <w:pPr>
              <w:pStyle w:val="TableParagraph"/>
              <w:spacing w:line="252" w:lineRule="exact"/>
              <w:ind w:right="199"/>
              <w:jc w:val="right"/>
              <w:rPr>
                <w:rFonts w:ascii="Times New Roman" w:hAnsi="Times New Roman"/>
                <w:sz w:val="21"/>
              </w:rPr>
            </w:pPr>
            <w:r>
              <w:rPr>
                <w:sz w:val="21"/>
              </w:rPr>
              <w:t>≤</w:t>
            </w:r>
            <w:r>
              <w:rPr>
                <w:rFonts w:ascii="Times New Roman" w:hAnsi="Times New Roman"/>
                <w:sz w:val="21"/>
              </w:rPr>
              <w:t>20.0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5" w:right="108"/>
              <w:rPr>
                <w:sz w:val="21"/>
              </w:rPr>
            </w:pPr>
            <w:r>
              <w:rPr>
                <w:sz w:val="21"/>
              </w:rPr>
              <w:t>亚硝酸盐</w:t>
            </w:r>
          </w:p>
        </w:tc>
        <w:tc>
          <w:tcPr>
            <w:tcW w:w="2162" w:type="dxa"/>
            <w:gridSpan w:val="2"/>
            <w:vMerge/>
            <w:tcBorders>
              <w:top w:val="nil"/>
            </w:tcBorders>
          </w:tcPr>
          <w:p>
            <w:pPr>
              <w:rPr>
                <w:sz w:val="2"/>
                <w:szCs w:val="2"/>
              </w:rPr>
            </w:pPr>
          </w:p>
        </w:tc>
        <w:tc>
          <w:tcPr>
            <w:tcW w:w="1002" w:type="dxa"/>
          </w:tcPr>
          <w:p>
            <w:pPr>
              <w:pStyle w:val="TableParagraph"/>
              <w:spacing w:line="251" w:lineRule="exact" w:before="1"/>
              <w:ind w:right="199"/>
              <w:jc w:val="right"/>
              <w:rPr>
                <w:rFonts w:ascii="Times New Roman" w:hAnsi="Times New Roman"/>
                <w:sz w:val="21"/>
              </w:rPr>
            </w:pPr>
            <w:r>
              <w:rPr>
                <w:sz w:val="21"/>
              </w:rPr>
              <w:t>≤</w:t>
            </w:r>
            <w:r>
              <w:rPr>
                <w:rFonts w:ascii="Times New Roman" w:hAnsi="Times New Roman"/>
                <w:sz w:val="21"/>
              </w:rPr>
              <w:t>1.00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2"/>
              <w:ind w:left="117" w:right="108"/>
              <w:rPr>
                <w:sz w:val="21"/>
              </w:rPr>
            </w:pPr>
            <w:r>
              <w:rPr>
                <w:sz w:val="21"/>
              </w:rPr>
              <w:t>总硬度</w:t>
            </w:r>
          </w:p>
        </w:tc>
        <w:tc>
          <w:tcPr>
            <w:tcW w:w="2162" w:type="dxa"/>
            <w:gridSpan w:val="2"/>
            <w:vMerge/>
            <w:tcBorders>
              <w:top w:val="nil"/>
            </w:tcBorders>
          </w:tcPr>
          <w:p>
            <w:pPr>
              <w:rPr>
                <w:sz w:val="2"/>
                <w:szCs w:val="2"/>
              </w:rPr>
            </w:pPr>
          </w:p>
        </w:tc>
        <w:tc>
          <w:tcPr>
            <w:tcW w:w="1002" w:type="dxa"/>
          </w:tcPr>
          <w:p>
            <w:pPr>
              <w:pStyle w:val="TableParagraph"/>
              <w:spacing w:line="251" w:lineRule="exact" w:before="2"/>
              <w:ind w:right="226"/>
              <w:jc w:val="right"/>
              <w:rPr>
                <w:rFonts w:ascii="Times New Roman" w:hAnsi="Times New Roman"/>
                <w:sz w:val="21"/>
              </w:rPr>
            </w:pPr>
            <w:r>
              <w:rPr>
                <w:sz w:val="21"/>
              </w:rPr>
              <w:t>≤</w:t>
            </w:r>
            <w:r>
              <w:rPr>
                <w:rFonts w:ascii="Times New Roman" w:hAnsi="Times New Roman"/>
                <w:sz w:val="21"/>
              </w:rPr>
              <w:t>450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2" w:right="108"/>
              <w:rPr>
                <w:sz w:val="21"/>
              </w:rPr>
            </w:pPr>
            <w:r>
              <w:rPr>
                <w:sz w:val="21"/>
              </w:rPr>
              <w:t>高锰酸盐指数</w:t>
            </w:r>
          </w:p>
        </w:tc>
        <w:tc>
          <w:tcPr>
            <w:tcW w:w="2162" w:type="dxa"/>
            <w:gridSpan w:val="2"/>
            <w:vMerge/>
            <w:tcBorders>
              <w:top w:val="nil"/>
            </w:tcBorders>
          </w:tcPr>
          <w:p>
            <w:pPr>
              <w:rPr>
                <w:sz w:val="2"/>
                <w:szCs w:val="2"/>
              </w:rPr>
            </w:pPr>
          </w:p>
        </w:tc>
        <w:tc>
          <w:tcPr>
            <w:tcW w:w="1002" w:type="dxa"/>
          </w:tcPr>
          <w:p>
            <w:pPr>
              <w:pStyle w:val="TableParagraph"/>
              <w:spacing w:line="252" w:lineRule="exact"/>
              <w:ind w:right="252"/>
              <w:jc w:val="right"/>
              <w:rPr>
                <w:rFonts w:ascii="Times New Roman" w:hAnsi="Times New Roman"/>
                <w:sz w:val="21"/>
              </w:rPr>
            </w:pPr>
            <w:r>
              <w:rPr>
                <w:w w:val="95"/>
                <w:sz w:val="21"/>
              </w:rPr>
              <w:t>≤</w:t>
            </w:r>
            <w:r>
              <w:rPr>
                <w:rFonts w:ascii="Times New Roman" w:hAnsi="Times New Roman"/>
                <w:w w:val="95"/>
                <w:sz w:val="21"/>
              </w:rPr>
              <w:t>3.0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2" w:right="108"/>
              <w:rPr>
                <w:sz w:val="21"/>
              </w:rPr>
            </w:pPr>
            <w:r>
              <w:rPr>
                <w:sz w:val="21"/>
              </w:rPr>
              <w:t>溶解性总固体</w:t>
            </w:r>
          </w:p>
        </w:tc>
        <w:tc>
          <w:tcPr>
            <w:tcW w:w="2162" w:type="dxa"/>
            <w:gridSpan w:val="2"/>
            <w:vMerge/>
            <w:tcBorders>
              <w:top w:val="nil"/>
            </w:tcBorders>
          </w:tcPr>
          <w:p>
            <w:pPr>
              <w:rPr>
                <w:sz w:val="2"/>
                <w:szCs w:val="2"/>
              </w:rPr>
            </w:pPr>
          </w:p>
        </w:tc>
        <w:tc>
          <w:tcPr>
            <w:tcW w:w="1002" w:type="dxa"/>
          </w:tcPr>
          <w:p>
            <w:pPr>
              <w:pStyle w:val="TableParagraph"/>
              <w:spacing w:line="251" w:lineRule="exact" w:before="1"/>
              <w:ind w:right="173"/>
              <w:jc w:val="right"/>
              <w:rPr>
                <w:rFonts w:ascii="Times New Roman" w:hAnsi="Times New Roman"/>
                <w:sz w:val="21"/>
              </w:rPr>
            </w:pPr>
            <w:r>
              <w:rPr>
                <w:w w:val="95"/>
                <w:sz w:val="21"/>
              </w:rPr>
              <w:t>≤</w:t>
            </w:r>
            <w:r>
              <w:rPr>
                <w:rFonts w:ascii="Times New Roman" w:hAnsi="Times New Roman"/>
                <w:w w:val="95"/>
                <w:sz w:val="21"/>
              </w:rPr>
              <w:t>1000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7"/>
              <w:rPr>
                <w:sz w:val="21"/>
              </w:rPr>
            </w:pPr>
            <w:r>
              <w:rPr>
                <w:w w:val="99"/>
                <w:sz w:val="21"/>
              </w:rPr>
              <w:t>铁</w:t>
            </w:r>
          </w:p>
        </w:tc>
        <w:tc>
          <w:tcPr>
            <w:tcW w:w="2162" w:type="dxa"/>
            <w:gridSpan w:val="2"/>
            <w:vMerge/>
            <w:tcBorders>
              <w:top w:val="nil"/>
            </w:tcBorders>
          </w:tcPr>
          <w:p>
            <w:pPr>
              <w:rPr>
                <w:sz w:val="2"/>
                <w:szCs w:val="2"/>
              </w:rPr>
            </w:pPr>
          </w:p>
        </w:tc>
        <w:tc>
          <w:tcPr>
            <w:tcW w:w="1002" w:type="dxa"/>
          </w:tcPr>
          <w:p>
            <w:pPr>
              <w:pStyle w:val="TableParagraph"/>
              <w:spacing w:line="253" w:lineRule="exact"/>
              <w:ind w:right="252"/>
              <w:jc w:val="right"/>
              <w:rPr>
                <w:rFonts w:ascii="Times New Roman" w:hAnsi="Times New Roman"/>
                <w:sz w:val="21"/>
              </w:rPr>
            </w:pPr>
            <w:r>
              <w:rPr>
                <w:w w:val="95"/>
                <w:sz w:val="21"/>
              </w:rPr>
              <w:t>≤</w:t>
            </w:r>
            <w:r>
              <w:rPr>
                <w:rFonts w:ascii="Times New Roman" w:hAnsi="Times New Roman"/>
                <w:w w:val="95"/>
                <w:sz w:val="21"/>
              </w:rPr>
              <w:t>0.3</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7"/>
              <w:rPr>
                <w:sz w:val="21"/>
              </w:rPr>
            </w:pPr>
            <w:r>
              <w:rPr>
                <w:w w:val="99"/>
                <w:sz w:val="21"/>
              </w:rPr>
              <w:t>锰</w:t>
            </w:r>
          </w:p>
        </w:tc>
        <w:tc>
          <w:tcPr>
            <w:tcW w:w="2162" w:type="dxa"/>
            <w:gridSpan w:val="2"/>
            <w:vMerge/>
            <w:tcBorders>
              <w:top w:val="nil"/>
            </w:tcBorders>
          </w:tcPr>
          <w:p>
            <w:pPr>
              <w:rPr>
                <w:sz w:val="2"/>
                <w:szCs w:val="2"/>
              </w:rPr>
            </w:pPr>
          </w:p>
        </w:tc>
        <w:tc>
          <w:tcPr>
            <w:tcW w:w="1002" w:type="dxa"/>
          </w:tcPr>
          <w:p>
            <w:pPr>
              <w:pStyle w:val="TableParagraph"/>
              <w:spacing w:line="252" w:lineRule="exact"/>
              <w:ind w:right="199"/>
              <w:jc w:val="right"/>
              <w:rPr>
                <w:rFonts w:ascii="Times New Roman" w:hAnsi="Times New Roman"/>
                <w:sz w:val="21"/>
              </w:rPr>
            </w:pPr>
            <w:r>
              <w:rPr>
                <w:sz w:val="21"/>
              </w:rPr>
              <w:t>≤</w:t>
            </w:r>
            <w:r>
              <w:rPr>
                <w:rFonts w:ascii="Times New Roman" w:hAnsi="Times New Roman"/>
                <w:sz w:val="21"/>
              </w:rPr>
              <w:t>0.10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7"/>
              <w:rPr>
                <w:sz w:val="21"/>
              </w:rPr>
            </w:pPr>
            <w:r>
              <w:rPr>
                <w:w w:val="99"/>
                <w:sz w:val="21"/>
              </w:rPr>
              <w:t>铅</w:t>
            </w:r>
          </w:p>
        </w:tc>
        <w:tc>
          <w:tcPr>
            <w:tcW w:w="2162" w:type="dxa"/>
            <w:gridSpan w:val="2"/>
            <w:vMerge/>
            <w:tcBorders>
              <w:top w:val="nil"/>
            </w:tcBorders>
          </w:tcPr>
          <w:p>
            <w:pPr>
              <w:rPr>
                <w:sz w:val="2"/>
                <w:szCs w:val="2"/>
              </w:rPr>
            </w:pPr>
          </w:p>
        </w:tc>
        <w:tc>
          <w:tcPr>
            <w:tcW w:w="1002" w:type="dxa"/>
          </w:tcPr>
          <w:p>
            <w:pPr>
              <w:pStyle w:val="TableParagraph"/>
              <w:spacing w:line="252" w:lineRule="exact"/>
              <w:ind w:right="199"/>
              <w:jc w:val="right"/>
              <w:rPr>
                <w:rFonts w:ascii="Times New Roman" w:hAnsi="Times New Roman"/>
                <w:sz w:val="21"/>
              </w:rPr>
            </w:pPr>
            <w:r>
              <w:rPr>
                <w:sz w:val="21"/>
              </w:rPr>
              <w:t>≤</w:t>
            </w:r>
            <w:r>
              <w:rPr>
                <w:rFonts w:ascii="Times New Roman" w:hAnsi="Times New Roman"/>
                <w:sz w:val="21"/>
              </w:rPr>
              <w:t>0.01</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117" w:right="108"/>
              <w:rPr>
                <w:sz w:val="21"/>
              </w:rPr>
            </w:pPr>
            <w:r>
              <w:rPr>
                <w:sz w:val="21"/>
              </w:rPr>
              <w:t>六价铬</w:t>
            </w:r>
          </w:p>
        </w:tc>
        <w:tc>
          <w:tcPr>
            <w:tcW w:w="2162" w:type="dxa"/>
            <w:gridSpan w:val="2"/>
            <w:vMerge/>
            <w:tcBorders>
              <w:top w:val="nil"/>
            </w:tcBorders>
          </w:tcPr>
          <w:p>
            <w:pPr>
              <w:rPr>
                <w:sz w:val="2"/>
                <w:szCs w:val="2"/>
              </w:rPr>
            </w:pPr>
          </w:p>
        </w:tc>
        <w:tc>
          <w:tcPr>
            <w:tcW w:w="1002" w:type="dxa"/>
          </w:tcPr>
          <w:p>
            <w:pPr>
              <w:pStyle w:val="TableParagraph"/>
              <w:spacing w:line="253" w:lineRule="exact"/>
              <w:ind w:right="199"/>
              <w:jc w:val="right"/>
              <w:rPr>
                <w:rFonts w:ascii="Times New Roman" w:hAnsi="Times New Roman"/>
                <w:sz w:val="21"/>
              </w:rPr>
            </w:pPr>
            <w:r>
              <w:rPr>
                <w:sz w:val="21"/>
              </w:rPr>
              <w:t>≤</w:t>
            </w:r>
            <w:r>
              <w:rPr>
                <w:rFonts w:ascii="Times New Roman" w:hAnsi="Times New Roman"/>
                <w:sz w:val="21"/>
              </w:rPr>
              <w:t>0.05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氯化物</w:t>
            </w:r>
          </w:p>
        </w:tc>
        <w:tc>
          <w:tcPr>
            <w:tcW w:w="2162" w:type="dxa"/>
            <w:gridSpan w:val="2"/>
            <w:vMerge/>
            <w:tcBorders>
              <w:top w:val="nil"/>
            </w:tcBorders>
          </w:tcPr>
          <w:p>
            <w:pPr>
              <w:rPr>
                <w:sz w:val="2"/>
                <w:szCs w:val="2"/>
              </w:rPr>
            </w:pPr>
          </w:p>
        </w:tc>
        <w:tc>
          <w:tcPr>
            <w:tcW w:w="1002" w:type="dxa"/>
          </w:tcPr>
          <w:p>
            <w:pPr>
              <w:pStyle w:val="TableParagraph"/>
              <w:spacing w:line="252" w:lineRule="exact"/>
              <w:ind w:right="226"/>
              <w:jc w:val="right"/>
              <w:rPr>
                <w:rFonts w:ascii="Times New Roman" w:hAnsi="Times New Roman"/>
                <w:sz w:val="21"/>
              </w:rPr>
            </w:pPr>
            <w:r>
              <w:rPr>
                <w:sz w:val="21"/>
              </w:rPr>
              <w:t>≤</w:t>
            </w:r>
            <w:r>
              <w:rPr>
                <w:rFonts w:ascii="Times New Roman" w:hAnsi="Times New Roman"/>
                <w:sz w:val="21"/>
              </w:rPr>
              <w:t>250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硫酸盐</w:t>
            </w:r>
          </w:p>
        </w:tc>
        <w:tc>
          <w:tcPr>
            <w:tcW w:w="2162" w:type="dxa"/>
            <w:gridSpan w:val="2"/>
            <w:vMerge/>
            <w:tcBorders>
              <w:top w:val="nil"/>
            </w:tcBorders>
          </w:tcPr>
          <w:p>
            <w:pPr>
              <w:rPr>
                <w:sz w:val="2"/>
                <w:szCs w:val="2"/>
              </w:rPr>
            </w:pPr>
          </w:p>
        </w:tc>
        <w:tc>
          <w:tcPr>
            <w:tcW w:w="1002" w:type="dxa"/>
          </w:tcPr>
          <w:p>
            <w:pPr>
              <w:pStyle w:val="TableParagraph"/>
              <w:spacing w:line="252" w:lineRule="exact"/>
              <w:ind w:right="226"/>
              <w:jc w:val="right"/>
              <w:rPr>
                <w:rFonts w:ascii="Times New Roman" w:hAnsi="Times New Roman"/>
                <w:sz w:val="21"/>
              </w:rPr>
            </w:pPr>
            <w:r>
              <w:rPr>
                <w:sz w:val="21"/>
              </w:rPr>
              <w:t>≤</w:t>
            </w:r>
            <w:r>
              <w:rPr>
                <w:rFonts w:ascii="Times New Roman" w:hAnsi="Times New Roman"/>
                <w:sz w:val="21"/>
              </w:rPr>
              <w:t>250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115" w:right="108"/>
              <w:rPr>
                <w:sz w:val="21"/>
              </w:rPr>
            </w:pPr>
            <w:r>
              <w:rPr>
                <w:sz w:val="21"/>
              </w:rPr>
              <w:t>菌落总数</w:t>
            </w:r>
          </w:p>
        </w:tc>
        <w:tc>
          <w:tcPr>
            <w:tcW w:w="2162" w:type="dxa"/>
            <w:gridSpan w:val="2"/>
          </w:tcPr>
          <w:p>
            <w:pPr>
              <w:pStyle w:val="TableParagraph"/>
              <w:spacing w:line="253" w:lineRule="exact"/>
              <w:ind w:left="493"/>
              <w:jc w:val="left"/>
              <w:rPr>
                <w:sz w:val="21"/>
              </w:rPr>
            </w:pPr>
            <w:r>
              <w:rPr>
                <w:sz w:val="21"/>
              </w:rPr>
              <w:t>（</w:t>
            </w:r>
            <w:r>
              <w:rPr>
                <w:rFonts w:ascii="Times New Roman" w:eastAsia="Times New Roman"/>
                <w:sz w:val="21"/>
              </w:rPr>
              <w:t>CFU/mL</w:t>
            </w:r>
            <w:r>
              <w:rPr>
                <w:sz w:val="21"/>
              </w:rPr>
              <w:t>）</w:t>
            </w:r>
          </w:p>
        </w:tc>
        <w:tc>
          <w:tcPr>
            <w:tcW w:w="1002" w:type="dxa"/>
          </w:tcPr>
          <w:p>
            <w:pPr>
              <w:pStyle w:val="TableParagraph"/>
              <w:spacing w:line="253" w:lineRule="exact"/>
              <w:ind w:right="226"/>
              <w:jc w:val="right"/>
              <w:rPr>
                <w:rFonts w:ascii="Times New Roman" w:hAnsi="Times New Roman"/>
                <w:sz w:val="21"/>
              </w:rPr>
            </w:pPr>
            <w:r>
              <w:rPr>
                <w:sz w:val="21"/>
              </w:rPr>
              <w:t>≤</w:t>
            </w:r>
            <w:r>
              <w:rPr>
                <w:rFonts w:ascii="Times New Roman" w:hAnsi="Times New Roman"/>
                <w:sz w:val="21"/>
              </w:rPr>
              <w:t>100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115" w:right="108"/>
              <w:rPr>
                <w:sz w:val="21"/>
              </w:rPr>
            </w:pPr>
            <w:r>
              <w:rPr>
                <w:sz w:val="21"/>
              </w:rPr>
              <w:t>总大肠菌群</w:t>
            </w:r>
          </w:p>
        </w:tc>
        <w:tc>
          <w:tcPr>
            <w:tcW w:w="2162" w:type="dxa"/>
            <w:gridSpan w:val="2"/>
          </w:tcPr>
          <w:p>
            <w:pPr>
              <w:pStyle w:val="TableParagraph"/>
              <w:spacing w:line="252" w:lineRule="exact"/>
              <w:ind w:left="310"/>
              <w:jc w:val="left"/>
              <w:rPr>
                <w:sz w:val="21"/>
              </w:rPr>
            </w:pPr>
            <w:r>
              <w:rPr>
                <w:sz w:val="21"/>
              </w:rPr>
              <w:t>（</w:t>
            </w:r>
            <w:r>
              <w:rPr>
                <w:rFonts w:ascii="Times New Roman" w:eastAsia="Times New Roman"/>
                <w:sz w:val="21"/>
              </w:rPr>
              <w:t>MPN/100mL</w:t>
            </w:r>
            <w:r>
              <w:rPr>
                <w:sz w:val="21"/>
              </w:rPr>
              <w:t>）</w:t>
            </w:r>
          </w:p>
        </w:tc>
        <w:tc>
          <w:tcPr>
            <w:tcW w:w="1002" w:type="dxa"/>
          </w:tcPr>
          <w:p>
            <w:pPr>
              <w:pStyle w:val="TableParagraph"/>
              <w:spacing w:line="252" w:lineRule="exact"/>
              <w:ind w:right="252"/>
              <w:jc w:val="right"/>
              <w:rPr>
                <w:rFonts w:ascii="Times New Roman" w:hAnsi="Times New Roman"/>
                <w:sz w:val="21"/>
              </w:rPr>
            </w:pPr>
            <w:r>
              <w:rPr>
                <w:w w:val="95"/>
                <w:sz w:val="21"/>
              </w:rPr>
              <w:t>≤</w:t>
            </w:r>
            <w:r>
              <w:rPr>
                <w:rFonts w:ascii="Times New Roman" w:hAnsi="Times New Roman"/>
                <w:w w:val="95"/>
                <w:sz w:val="21"/>
              </w:rPr>
              <w:t>3.0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5" w:right="108"/>
              <w:rPr>
                <w:sz w:val="21"/>
              </w:rPr>
            </w:pPr>
            <w:r>
              <w:rPr>
                <w:sz w:val="21"/>
              </w:rPr>
              <w:t>挥发性酚类</w:t>
            </w:r>
          </w:p>
        </w:tc>
        <w:tc>
          <w:tcPr>
            <w:tcW w:w="2162" w:type="dxa"/>
            <w:gridSpan w:val="2"/>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192"/>
              <w:ind w:left="744" w:right="736"/>
              <w:rPr>
                <w:rFonts w:ascii="Times New Roman"/>
                <w:sz w:val="21"/>
              </w:rPr>
            </w:pPr>
            <w:r>
              <w:rPr>
                <w:rFonts w:ascii="Times New Roman"/>
                <w:sz w:val="21"/>
              </w:rPr>
              <w:t>mg/L</w:t>
            </w:r>
          </w:p>
        </w:tc>
        <w:tc>
          <w:tcPr>
            <w:tcW w:w="1002" w:type="dxa"/>
          </w:tcPr>
          <w:p>
            <w:pPr>
              <w:pStyle w:val="TableParagraph"/>
              <w:spacing w:line="252" w:lineRule="exact"/>
              <w:ind w:right="146"/>
              <w:jc w:val="right"/>
              <w:rPr>
                <w:rFonts w:ascii="Times New Roman" w:hAnsi="Times New Roman"/>
                <w:sz w:val="21"/>
              </w:rPr>
            </w:pPr>
            <w:r>
              <w:rPr>
                <w:w w:val="95"/>
                <w:sz w:val="21"/>
              </w:rPr>
              <w:t>≤</w:t>
            </w:r>
            <w:r>
              <w:rPr>
                <w:rFonts w:ascii="Times New Roman" w:hAnsi="Times New Roman"/>
                <w:w w:val="95"/>
                <w:sz w:val="21"/>
              </w:rPr>
              <w:t>0.002</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氰化物</w:t>
            </w:r>
          </w:p>
        </w:tc>
        <w:tc>
          <w:tcPr>
            <w:tcW w:w="2162" w:type="dxa"/>
            <w:gridSpan w:val="2"/>
            <w:vMerge/>
            <w:tcBorders>
              <w:top w:val="nil"/>
            </w:tcBorders>
          </w:tcPr>
          <w:p>
            <w:pPr>
              <w:rPr>
                <w:sz w:val="2"/>
                <w:szCs w:val="2"/>
              </w:rPr>
            </w:pPr>
          </w:p>
        </w:tc>
        <w:tc>
          <w:tcPr>
            <w:tcW w:w="1002" w:type="dxa"/>
          </w:tcPr>
          <w:p>
            <w:pPr>
              <w:pStyle w:val="TableParagraph"/>
              <w:spacing w:line="252" w:lineRule="exact"/>
              <w:ind w:right="199"/>
              <w:jc w:val="right"/>
              <w:rPr>
                <w:rFonts w:ascii="Times New Roman" w:hAnsi="Times New Roman"/>
                <w:sz w:val="21"/>
              </w:rPr>
            </w:pPr>
            <w:r>
              <w:rPr>
                <w:sz w:val="21"/>
              </w:rPr>
              <w:t>≤</w:t>
            </w:r>
            <w:r>
              <w:rPr>
                <w:rFonts w:ascii="Times New Roman" w:hAnsi="Times New Roman"/>
                <w:sz w:val="21"/>
              </w:rPr>
              <w:t>0.05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7"/>
              <w:rPr>
                <w:sz w:val="21"/>
              </w:rPr>
            </w:pPr>
            <w:r>
              <w:rPr>
                <w:w w:val="99"/>
                <w:sz w:val="21"/>
              </w:rPr>
              <w:t>砷</w:t>
            </w:r>
          </w:p>
        </w:tc>
        <w:tc>
          <w:tcPr>
            <w:tcW w:w="2162" w:type="dxa"/>
            <w:gridSpan w:val="2"/>
            <w:vMerge/>
            <w:tcBorders>
              <w:top w:val="nil"/>
            </w:tcBorders>
          </w:tcPr>
          <w:p>
            <w:pPr>
              <w:rPr>
                <w:sz w:val="2"/>
                <w:szCs w:val="2"/>
              </w:rPr>
            </w:pPr>
          </w:p>
        </w:tc>
        <w:tc>
          <w:tcPr>
            <w:tcW w:w="1002" w:type="dxa"/>
          </w:tcPr>
          <w:p>
            <w:pPr>
              <w:pStyle w:val="TableParagraph"/>
              <w:spacing w:line="251" w:lineRule="exact" w:before="1"/>
              <w:ind w:right="199"/>
              <w:jc w:val="right"/>
              <w:rPr>
                <w:rFonts w:ascii="Times New Roman" w:hAnsi="Times New Roman"/>
                <w:sz w:val="21"/>
              </w:rPr>
            </w:pPr>
            <w:r>
              <w:rPr>
                <w:sz w:val="21"/>
              </w:rPr>
              <w:t>≤</w:t>
            </w:r>
            <w:r>
              <w:rPr>
                <w:rFonts w:ascii="Times New Roman" w:hAnsi="Times New Roman"/>
                <w:sz w:val="21"/>
              </w:rPr>
              <w:t>0.01</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7"/>
              <w:rPr>
                <w:sz w:val="21"/>
              </w:rPr>
            </w:pPr>
            <w:r>
              <w:rPr>
                <w:w w:val="99"/>
                <w:sz w:val="21"/>
              </w:rPr>
              <w:t>汞</w:t>
            </w:r>
          </w:p>
        </w:tc>
        <w:tc>
          <w:tcPr>
            <w:tcW w:w="2162" w:type="dxa"/>
            <w:gridSpan w:val="2"/>
            <w:vMerge/>
            <w:tcBorders>
              <w:top w:val="nil"/>
            </w:tcBorders>
          </w:tcPr>
          <w:p>
            <w:pPr>
              <w:rPr>
                <w:sz w:val="2"/>
                <w:szCs w:val="2"/>
              </w:rPr>
            </w:pPr>
          </w:p>
        </w:tc>
        <w:tc>
          <w:tcPr>
            <w:tcW w:w="1002" w:type="dxa"/>
          </w:tcPr>
          <w:p>
            <w:pPr>
              <w:pStyle w:val="TableParagraph"/>
              <w:spacing w:line="250" w:lineRule="exact" w:before="2"/>
              <w:ind w:right="146"/>
              <w:jc w:val="right"/>
              <w:rPr>
                <w:rFonts w:ascii="Times New Roman" w:hAnsi="Times New Roman"/>
                <w:sz w:val="21"/>
              </w:rPr>
            </w:pPr>
            <w:r>
              <w:rPr>
                <w:w w:val="95"/>
                <w:sz w:val="21"/>
              </w:rPr>
              <w:t>≤</w:t>
            </w:r>
            <w:r>
              <w:rPr>
                <w:rFonts w:ascii="Times New Roman" w:hAnsi="Times New Roman"/>
                <w:w w:val="95"/>
                <w:sz w:val="21"/>
              </w:rPr>
              <w:t>0.001</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氟化物</w:t>
            </w:r>
          </w:p>
        </w:tc>
        <w:tc>
          <w:tcPr>
            <w:tcW w:w="2162" w:type="dxa"/>
            <w:gridSpan w:val="2"/>
            <w:vMerge/>
            <w:tcBorders>
              <w:top w:val="nil"/>
            </w:tcBorders>
          </w:tcPr>
          <w:p>
            <w:pPr>
              <w:rPr>
                <w:sz w:val="2"/>
                <w:szCs w:val="2"/>
              </w:rPr>
            </w:pPr>
          </w:p>
        </w:tc>
        <w:tc>
          <w:tcPr>
            <w:tcW w:w="1002" w:type="dxa"/>
          </w:tcPr>
          <w:p>
            <w:pPr>
              <w:pStyle w:val="TableParagraph"/>
              <w:spacing w:line="252" w:lineRule="exact"/>
              <w:ind w:right="252"/>
              <w:jc w:val="right"/>
              <w:rPr>
                <w:rFonts w:ascii="Times New Roman" w:hAnsi="Times New Roman"/>
                <w:sz w:val="21"/>
              </w:rPr>
            </w:pPr>
            <w:r>
              <w:rPr>
                <w:w w:val="95"/>
                <w:sz w:val="21"/>
              </w:rPr>
              <w:t>≤</w:t>
            </w:r>
            <w:r>
              <w:rPr>
                <w:rFonts w:ascii="Times New Roman" w:hAnsi="Times New Roman"/>
                <w:w w:val="95"/>
                <w:sz w:val="21"/>
              </w:rPr>
              <w:t>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7"/>
              <w:rPr>
                <w:sz w:val="21"/>
              </w:rPr>
            </w:pPr>
            <w:r>
              <w:rPr>
                <w:w w:val="99"/>
                <w:sz w:val="21"/>
              </w:rPr>
              <w:t>镉</w:t>
            </w:r>
          </w:p>
        </w:tc>
        <w:tc>
          <w:tcPr>
            <w:tcW w:w="2162" w:type="dxa"/>
            <w:gridSpan w:val="2"/>
            <w:vMerge/>
            <w:tcBorders>
              <w:top w:val="nil"/>
            </w:tcBorders>
          </w:tcPr>
          <w:p>
            <w:pPr>
              <w:rPr>
                <w:sz w:val="2"/>
                <w:szCs w:val="2"/>
              </w:rPr>
            </w:pPr>
          </w:p>
        </w:tc>
        <w:tc>
          <w:tcPr>
            <w:tcW w:w="1002" w:type="dxa"/>
          </w:tcPr>
          <w:p>
            <w:pPr>
              <w:pStyle w:val="TableParagraph"/>
              <w:spacing w:line="251" w:lineRule="exact" w:before="1"/>
              <w:ind w:right="146"/>
              <w:jc w:val="right"/>
              <w:rPr>
                <w:rFonts w:ascii="Times New Roman" w:hAnsi="Times New Roman"/>
                <w:sz w:val="21"/>
              </w:rPr>
            </w:pPr>
            <w:r>
              <w:rPr>
                <w:w w:val="95"/>
                <w:sz w:val="21"/>
              </w:rPr>
              <w:t>≤</w:t>
            </w:r>
            <w:r>
              <w:rPr>
                <w:rFonts w:ascii="Times New Roman" w:hAnsi="Times New Roman"/>
                <w:w w:val="95"/>
                <w:sz w:val="21"/>
              </w:rPr>
              <w:t>0.005</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before="2"/>
              <w:ind w:left="117" w:right="105"/>
              <w:rPr>
                <w:rFonts w:ascii="Times New Roman"/>
                <w:sz w:val="13"/>
              </w:rPr>
            </w:pPr>
            <w:r>
              <w:rPr>
                <w:rFonts w:ascii="Times New Roman"/>
                <w:position w:val="-6"/>
                <w:sz w:val="21"/>
              </w:rPr>
              <w:t>K</w:t>
            </w:r>
            <w:r>
              <w:rPr>
                <w:rFonts w:ascii="Times New Roman"/>
                <w:sz w:val="13"/>
              </w:rPr>
              <w:t>+</w:t>
            </w:r>
          </w:p>
        </w:tc>
        <w:tc>
          <w:tcPr>
            <w:tcW w:w="2162" w:type="dxa"/>
            <w:gridSpan w:val="2"/>
            <w:vMerge/>
            <w:tcBorders>
              <w:top w:val="nil"/>
            </w:tcBorders>
          </w:tcPr>
          <w:p>
            <w:pPr>
              <w:rPr>
                <w:sz w:val="2"/>
                <w:szCs w:val="2"/>
              </w:rPr>
            </w:pPr>
          </w:p>
        </w:tc>
        <w:tc>
          <w:tcPr>
            <w:tcW w:w="1002" w:type="dxa"/>
          </w:tcPr>
          <w:p>
            <w:pPr>
              <w:pStyle w:val="TableParagraph"/>
              <w:spacing w:line="222" w:lineRule="exact"/>
              <w:ind w:left="10"/>
              <w:rPr>
                <w:rFonts w:ascii="Times New Roman"/>
                <w:sz w:val="21"/>
              </w:rPr>
            </w:pPr>
            <w:r>
              <w:rPr>
                <w:rFonts w:ascii="Times New Roman"/>
                <w:w w:val="99"/>
                <w:sz w:val="21"/>
              </w:rPr>
              <w:t>/</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1" w:lineRule="exact"/>
              <w:ind w:left="117" w:right="108"/>
              <w:rPr>
                <w:rFonts w:ascii="Times New Roman"/>
                <w:sz w:val="13"/>
              </w:rPr>
            </w:pPr>
            <w:r>
              <w:rPr>
                <w:rFonts w:ascii="Times New Roman"/>
                <w:sz w:val="21"/>
              </w:rPr>
              <w:t>Na</w:t>
            </w:r>
            <w:r>
              <w:rPr>
                <w:rFonts w:ascii="Times New Roman"/>
                <w:position w:val="7"/>
                <w:sz w:val="13"/>
              </w:rPr>
              <w:t>+</w:t>
            </w:r>
          </w:p>
        </w:tc>
        <w:tc>
          <w:tcPr>
            <w:tcW w:w="2162" w:type="dxa"/>
            <w:gridSpan w:val="2"/>
            <w:vMerge/>
            <w:tcBorders>
              <w:top w:val="nil"/>
            </w:tcBorders>
          </w:tcPr>
          <w:p>
            <w:pPr>
              <w:rPr>
                <w:sz w:val="2"/>
                <w:szCs w:val="2"/>
              </w:rPr>
            </w:pPr>
          </w:p>
        </w:tc>
        <w:tc>
          <w:tcPr>
            <w:tcW w:w="1002" w:type="dxa"/>
          </w:tcPr>
          <w:p>
            <w:pPr>
              <w:pStyle w:val="TableParagraph"/>
              <w:spacing w:line="221" w:lineRule="exact"/>
              <w:ind w:right="226"/>
              <w:jc w:val="right"/>
              <w:rPr>
                <w:rFonts w:ascii="Times New Roman" w:hAnsi="Times New Roman"/>
                <w:sz w:val="21"/>
              </w:rPr>
            </w:pPr>
            <w:r>
              <w:rPr>
                <w:sz w:val="21"/>
              </w:rPr>
              <w:t>≤</w:t>
            </w:r>
            <w:r>
              <w:rPr>
                <w:rFonts w:ascii="Times New Roman" w:hAnsi="Times New Roman"/>
                <w:sz w:val="21"/>
              </w:rPr>
              <w:t>200</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ind w:left="117" w:right="108"/>
              <w:rPr>
                <w:rFonts w:ascii="Times New Roman"/>
                <w:sz w:val="13"/>
              </w:rPr>
            </w:pPr>
            <w:r>
              <w:rPr>
                <w:rFonts w:ascii="Times New Roman"/>
                <w:position w:val="-6"/>
                <w:sz w:val="21"/>
              </w:rPr>
              <w:t>Ca</w:t>
            </w:r>
            <w:r>
              <w:rPr>
                <w:rFonts w:ascii="Times New Roman"/>
                <w:sz w:val="13"/>
              </w:rPr>
              <w:t>2+</w:t>
            </w:r>
          </w:p>
        </w:tc>
        <w:tc>
          <w:tcPr>
            <w:tcW w:w="2162" w:type="dxa"/>
            <w:gridSpan w:val="2"/>
            <w:vMerge/>
            <w:tcBorders>
              <w:top w:val="nil"/>
            </w:tcBorders>
          </w:tcPr>
          <w:p>
            <w:pPr>
              <w:rPr>
                <w:sz w:val="2"/>
                <w:szCs w:val="2"/>
              </w:rPr>
            </w:pPr>
          </w:p>
        </w:tc>
        <w:tc>
          <w:tcPr>
            <w:tcW w:w="1002" w:type="dxa"/>
          </w:tcPr>
          <w:p>
            <w:pPr>
              <w:pStyle w:val="TableParagraph"/>
              <w:spacing w:line="221" w:lineRule="exact"/>
              <w:ind w:left="10"/>
              <w:rPr>
                <w:rFonts w:ascii="Times New Roman"/>
                <w:sz w:val="21"/>
              </w:rPr>
            </w:pPr>
            <w:r>
              <w:rPr>
                <w:rFonts w:ascii="Times New Roman"/>
                <w:w w:val="99"/>
                <w:sz w:val="21"/>
              </w:rPr>
              <w:t>/</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0" w:lineRule="exact" w:before="1"/>
              <w:ind w:left="117" w:right="108"/>
              <w:rPr>
                <w:rFonts w:ascii="Times New Roman"/>
                <w:sz w:val="13"/>
              </w:rPr>
            </w:pPr>
            <w:r>
              <w:rPr>
                <w:rFonts w:ascii="Times New Roman"/>
                <w:position w:val="-6"/>
                <w:sz w:val="21"/>
              </w:rPr>
              <w:t>Mg</w:t>
            </w:r>
            <w:r>
              <w:rPr>
                <w:rFonts w:ascii="Times New Roman"/>
                <w:sz w:val="13"/>
              </w:rPr>
              <w:t>2+</w:t>
            </w:r>
          </w:p>
        </w:tc>
        <w:tc>
          <w:tcPr>
            <w:tcW w:w="2162" w:type="dxa"/>
            <w:gridSpan w:val="2"/>
            <w:vMerge/>
            <w:tcBorders>
              <w:top w:val="nil"/>
            </w:tcBorders>
          </w:tcPr>
          <w:p>
            <w:pPr>
              <w:rPr>
                <w:sz w:val="2"/>
                <w:szCs w:val="2"/>
              </w:rPr>
            </w:pPr>
          </w:p>
        </w:tc>
        <w:tc>
          <w:tcPr>
            <w:tcW w:w="1002" w:type="dxa"/>
          </w:tcPr>
          <w:p>
            <w:pPr>
              <w:pStyle w:val="TableParagraph"/>
              <w:spacing w:line="222" w:lineRule="exact"/>
              <w:ind w:left="10"/>
              <w:rPr>
                <w:rFonts w:ascii="Times New Roman"/>
                <w:sz w:val="21"/>
              </w:rPr>
            </w:pPr>
            <w:r>
              <w:rPr>
                <w:rFonts w:ascii="Times New Roman"/>
                <w:w w:val="99"/>
                <w:sz w:val="21"/>
              </w:rPr>
              <w:t>/</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71" w:lineRule="exact" w:before="4"/>
              <w:ind w:left="477" w:right="108"/>
              <w:rPr>
                <w:rFonts w:ascii="Times New Roman"/>
                <w:sz w:val="13"/>
              </w:rPr>
            </w:pPr>
            <w:r>
              <w:rPr>
                <w:rFonts w:ascii="Times New Roman"/>
                <w:w w:val="105"/>
                <w:sz w:val="13"/>
              </w:rPr>
              <w:t>2-</w:t>
            </w:r>
          </w:p>
          <w:p>
            <w:pPr>
              <w:pStyle w:val="TableParagraph"/>
              <w:spacing w:line="146" w:lineRule="exact"/>
              <w:ind w:left="6" w:right="108"/>
              <w:rPr>
                <w:rFonts w:ascii="Times New Roman"/>
                <w:sz w:val="21"/>
              </w:rPr>
            </w:pPr>
            <w:r>
              <w:rPr>
                <w:rFonts w:ascii="Times New Roman"/>
                <w:position w:val="2"/>
                <w:sz w:val="21"/>
              </w:rPr>
              <w:t>CO</w:t>
            </w:r>
            <w:r>
              <w:rPr>
                <w:rFonts w:ascii="Times New Roman"/>
                <w:position w:val="2"/>
                <w:sz w:val="21"/>
                <w:vertAlign w:val="subscript"/>
              </w:rPr>
              <w:t>3</w:t>
            </w:r>
          </w:p>
        </w:tc>
        <w:tc>
          <w:tcPr>
            <w:tcW w:w="2162" w:type="dxa"/>
            <w:gridSpan w:val="2"/>
            <w:vMerge/>
            <w:tcBorders>
              <w:top w:val="nil"/>
            </w:tcBorders>
          </w:tcPr>
          <w:p>
            <w:pPr>
              <w:rPr>
                <w:sz w:val="2"/>
                <w:szCs w:val="2"/>
              </w:rPr>
            </w:pPr>
          </w:p>
        </w:tc>
        <w:tc>
          <w:tcPr>
            <w:tcW w:w="1002" w:type="dxa"/>
          </w:tcPr>
          <w:p>
            <w:pPr>
              <w:pStyle w:val="TableParagraph"/>
              <w:spacing w:line="221" w:lineRule="exact"/>
              <w:ind w:left="10"/>
              <w:rPr>
                <w:rFonts w:ascii="Times New Roman"/>
                <w:sz w:val="21"/>
              </w:rPr>
            </w:pPr>
            <w:r>
              <w:rPr>
                <w:rFonts w:ascii="Times New Roman"/>
                <w:w w:val="99"/>
                <w:sz w:val="21"/>
              </w:rPr>
              <w:t>/</w:t>
            </w:r>
          </w:p>
        </w:tc>
      </w:tr>
      <w:tr>
        <w:trPr>
          <w:trHeight w:val="24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71" w:lineRule="exact" w:before="5"/>
              <w:ind w:left="520"/>
              <w:rPr>
                <w:rFonts w:ascii="Times New Roman"/>
                <w:sz w:val="13"/>
              </w:rPr>
            </w:pPr>
            <w:r>
              <w:rPr>
                <w:rFonts w:ascii="Times New Roman"/>
                <w:w w:val="105"/>
                <w:sz w:val="13"/>
              </w:rPr>
              <w:t>-</w:t>
            </w:r>
          </w:p>
          <w:p>
            <w:pPr>
              <w:pStyle w:val="TableParagraph"/>
              <w:spacing w:line="146" w:lineRule="exact"/>
              <w:ind w:left="76" w:right="108"/>
              <w:rPr>
                <w:rFonts w:ascii="Times New Roman"/>
                <w:sz w:val="21"/>
              </w:rPr>
            </w:pPr>
            <w:r>
              <w:rPr>
                <w:rFonts w:ascii="Times New Roman"/>
                <w:position w:val="2"/>
                <w:sz w:val="21"/>
              </w:rPr>
              <w:t>HCO</w:t>
            </w:r>
            <w:r>
              <w:rPr>
                <w:rFonts w:ascii="Times New Roman"/>
                <w:position w:val="2"/>
                <w:sz w:val="21"/>
                <w:vertAlign w:val="subscript"/>
              </w:rPr>
              <w:t>3</w:t>
            </w:r>
          </w:p>
        </w:tc>
        <w:tc>
          <w:tcPr>
            <w:tcW w:w="2162" w:type="dxa"/>
            <w:gridSpan w:val="2"/>
            <w:vMerge/>
            <w:tcBorders>
              <w:top w:val="nil"/>
            </w:tcBorders>
          </w:tcPr>
          <w:p>
            <w:pPr>
              <w:rPr>
                <w:sz w:val="2"/>
                <w:szCs w:val="2"/>
              </w:rPr>
            </w:pPr>
          </w:p>
        </w:tc>
        <w:tc>
          <w:tcPr>
            <w:tcW w:w="1002" w:type="dxa"/>
          </w:tcPr>
          <w:p>
            <w:pPr>
              <w:pStyle w:val="TableParagraph"/>
              <w:spacing w:line="222" w:lineRule="exact"/>
              <w:ind w:left="10"/>
              <w:rPr>
                <w:rFonts w:ascii="Times New Roman"/>
                <w:sz w:val="21"/>
              </w:rPr>
            </w:pPr>
            <w:r>
              <w:rPr>
                <w:rFonts w:ascii="Times New Roman"/>
                <w:w w:val="99"/>
                <w:sz w:val="21"/>
              </w:rPr>
              <w:t>/</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21" w:lineRule="exact"/>
              <w:ind w:left="117" w:right="108"/>
              <w:rPr>
                <w:rFonts w:ascii="Times New Roman"/>
                <w:sz w:val="13"/>
              </w:rPr>
            </w:pPr>
            <w:r>
              <w:rPr>
                <w:rFonts w:ascii="Times New Roman"/>
                <w:sz w:val="21"/>
              </w:rPr>
              <w:t>Cl</w:t>
            </w:r>
            <w:r>
              <w:rPr>
                <w:rFonts w:ascii="Times New Roman"/>
                <w:position w:val="7"/>
                <w:sz w:val="13"/>
              </w:rPr>
              <w:t>-</w:t>
            </w:r>
          </w:p>
        </w:tc>
        <w:tc>
          <w:tcPr>
            <w:tcW w:w="2162" w:type="dxa"/>
            <w:gridSpan w:val="2"/>
            <w:vMerge/>
            <w:tcBorders>
              <w:top w:val="nil"/>
            </w:tcBorders>
          </w:tcPr>
          <w:p>
            <w:pPr>
              <w:rPr>
                <w:sz w:val="2"/>
                <w:szCs w:val="2"/>
              </w:rPr>
            </w:pPr>
          </w:p>
        </w:tc>
        <w:tc>
          <w:tcPr>
            <w:tcW w:w="1002" w:type="dxa"/>
          </w:tcPr>
          <w:p>
            <w:pPr>
              <w:pStyle w:val="TableParagraph"/>
              <w:spacing w:line="221" w:lineRule="exact"/>
              <w:ind w:left="10"/>
              <w:rPr>
                <w:rFonts w:ascii="Times New Roman"/>
                <w:sz w:val="21"/>
              </w:rPr>
            </w:pPr>
            <w:r>
              <w:rPr>
                <w:rFonts w:ascii="Times New Roman"/>
                <w:w w:val="99"/>
                <w:sz w:val="21"/>
              </w:rPr>
              <w:t>/</w:t>
            </w:r>
          </w:p>
        </w:tc>
      </w:tr>
      <w:tr>
        <w:trPr>
          <w:trHeight w:val="24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71" w:lineRule="exact" w:before="6"/>
              <w:ind w:left="453" w:right="108"/>
              <w:rPr>
                <w:rFonts w:ascii="Times New Roman"/>
                <w:sz w:val="13"/>
              </w:rPr>
            </w:pPr>
            <w:r>
              <w:rPr>
                <w:rFonts w:ascii="Times New Roman"/>
                <w:w w:val="105"/>
                <w:sz w:val="13"/>
              </w:rPr>
              <w:t>2-</w:t>
            </w:r>
          </w:p>
          <w:p>
            <w:pPr>
              <w:pStyle w:val="TableParagraph"/>
              <w:spacing w:line="145" w:lineRule="exact"/>
              <w:ind w:left="6" w:right="108"/>
              <w:rPr>
                <w:rFonts w:ascii="Times New Roman"/>
                <w:sz w:val="21"/>
              </w:rPr>
            </w:pPr>
            <w:r>
              <w:rPr>
                <w:rFonts w:ascii="Times New Roman"/>
                <w:position w:val="2"/>
                <w:sz w:val="21"/>
              </w:rPr>
              <w:t>SO</w:t>
            </w:r>
            <w:r>
              <w:rPr>
                <w:rFonts w:ascii="Times New Roman"/>
                <w:position w:val="2"/>
                <w:sz w:val="21"/>
                <w:vertAlign w:val="subscript"/>
              </w:rPr>
              <w:t>4</w:t>
            </w:r>
          </w:p>
        </w:tc>
        <w:tc>
          <w:tcPr>
            <w:tcW w:w="2162" w:type="dxa"/>
            <w:gridSpan w:val="2"/>
            <w:vMerge/>
            <w:tcBorders>
              <w:top w:val="nil"/>
            </w:tcBorders>
          </w:tcPr>
          <w:p>
            <w:pPr>
              <w:rPr>
                <w:sz w:val="2"/>
                <w:szCs w:val="2"/>
              </w:rPr>
            </w:pPr>
          </w:p>
        </w:tc>
        <w:tc>
          <w:tcPr>
            <w:tcW w:w="1002" w:type="dxa"/>
          </w:tcPr>
          <w:p>
            <w:pPr>
              <w:pStyle w:val="TableParagraph"/>
              <w:spacing w:line="222" w:lineRule="exact"/>
              <w:ind w:left="10"/>
              <w:rPr>
                <w:rFonts w:ascii="Times New Roman"/>
                <w:sz w:val="21"/>
              </w:rPr>
            </w:pPr>
            <w:r>
              <w:rPr>
                <w:rFonts w:ascii="Times New Roman"/>
                <w:w w:val="99"/>
                <w:sz w:val="21"/>
              </w:rPr>
              <w:t>/</w:t>
            </w:r>
          </w:p>
        </w:tc>
      </w:tr>
      <w:tr>
        <w:trPr>
          <w:trHeight w:val="272" w:hRule="atLeast"/>
        </w:trPr>
        <w:tc>
          <w:tcPr>
            <w:tcW w:w="67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3"/>
              <w:jc w:val="left"/>
              <w:rPr>
                <w:b/>
                <w:sz w:val="27"/>
              </w:rPr>
            </w:pPr>
          </w:p>
          <w:p>
            <w:pPr>
              <w:pStyle w:val="TableParagraph"/>
              <w:ind w:left="127"/>
              <w:jc w:val="left"/>
              <w:rPr>
                <w:sz w:val="21"/>
              </w:rPr>
            </w:pPr>
            <w:r>
              <w:rPr>
                <w:sz w:val="21"/>
              </w:rPr>
              <w:t>土壤</w:t>
            </w:r>
          </w:p>
        </w:tc>
        <w:tc>
          <w:tcPr>
            <w:tcW w:w="2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6"/>
              </w:rPr>
            </w:pPr>
          </w:p>
          <w:p>
            <w:pPr>
              <w:pStyle w:val="TableParagraph"/>
              <w:spacing w:line="242" w:lineRule="auto" w:before="1"/>
              <w:ind w:left="107" w:right="-44" w:firstLine="38"/>
              <w:jc w:val="left"/>
              <w:rPr>
                <w:sz w:val="21"/>
              </w:rPr>
            </w:pPr>
            <w:r>
              <w:rPr>
                <w:spacing w:val="-1"/>
                <w:sz w:val="21"/>
              </w:rPr>
              <w:t>《土壤环境质量 建设用地土</w:t>
            </w:r>
            <w:r>
              <w:rPr>
                <w:spacing w:val="-7"/>
                <w:sz w:val="21"/>
              </w:rPr>
              <w:t>壤污染风险管控标准</w:t>
            </w:r>
            <w:r>
              <w:rPr>
                <w:sz w:val="21"/>
              </w:rPr>
              <w:t>（试行</w:t>
            </w:r>
            <w:r>
              <w:rPr>
                <w:spacing w:val="-51"/>
                <w:sz w:val="21"/>
              </w:rPr>
              <w:t>）</w:t>
            </w:r>
            <w:r>
              <w:rPr>
                <w:sz w:val="21"/>
              </w:rPr>
              <w:t>》</w:t>
            </w:r>
          </w:p>
          <w:p>
            <w:pPr>
              <w:pStyle w:val="TableParagraph"/>
              <w:spacing w:line="268" w:lineRule="exact"/>
              <w:ind w:left="597"/>
              <w:jc w:val="left"/>
              <w:rPr>
                <w:sz w:val="21"/>
              </w:rPr>
            </w:pPr>
            <w:r>
              <w:rPr>
                <w:sz w:val="21"/>
              </w:rPr>
              <w:t>（</w:t>
            </w:r>
            <w:r>
              <w:rPr>
                <w:rFonts w:ascii="Times New Roman" w:eastAsia="Times New Roman"/>
                <w:sz w:val="21"/>
              </w:rPr>
              <w:t>GB36600-2018</w:t>
            </w:r>
            <w:r>
              <w:rPr>
                <w:sz w:val="21"/>
              </w:rPr>
              <w:t>）</w:t>
            </w:r>
          </w:p>
        </w:tc>
        <w:tc>
          <w:tcPr>
            <w:tcW w:w="1763" w:type="dxa"/>
          </w:tcPr>
          <w:p>
            <w:pPr>
              <w:pStyle w:val="TableParagraph"/>
              <w:spacing w:line="252" w:lineRule="exact"/>
              <w:ind w:left="7"/>
              <w:rPr>
                <w:sz w:val="21"/>
              </w:rPr>
            </w:pPr>
            <w:r>
              <w:rPr>
                <w:w w:val="99"/>
                <w:sz w:val="21"/>
              </w:rPr>
              <w:t>砷</w:t>
            </w:r>
          </w:p>
        </w:tc>
        <w:tc>
          <w:tcPr>
            <w:tcW w:w="2162" w:type="dxa"/>
            <w:gridSpan w:val="2"/>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60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7"/>
              <w:rPr>
                <w:sz w:val="21"/>
              </w:rPr>
            </w:pPr>
            <w:r>
              <w:rPr>
                <w:w w:val="99"/>
                <w:sz w:val="21"/>
              </w:rPr>
              <w:t>镉</w:t>
            </w:r>
          </w:p>
        </w:tc>
        <w:tc>
          <w:tcPr>
            <w:tcW w:w="2162" w:type="dxa"/>
            <w:gridSpan w:val="2"/>
          </w:tcPr>
          <w:p>
            <w:pPr>
              <w:pStyle w:val="TableParagraph"/>
              <w:spacing w:line="239" w:lineRule="exact" w:before="14"/>
              <w:ind w:left="744" w:right="737"/>
              <w:rPr>
                <w:rFonts w:ascii="Times New Roman"/>
                <w:sz w:val="21"/>
              </w:rPr>
            </w:pPr>
            <w:r>
              <w:rPr>
                <w:rFonts w:ascii="Times New Roman"/>
                <w:sz w:val="21"/>
              </w:rPr>
              <w:t>mg/kg</w:t>
            </w:r>
          </w:p>
        </w:tc>
        <w:tc>
          <w:tcPr>
            <w:tcW w:w="1002" w:type="dxa"/>
          </w:tcPr>
          <w:p>
            <w:pPr>
              <w:pStyle w:val="TableParagraph"/>
              <w:spacing w:line="239" w:lineRule="exact" w:before="14"/>
              <w:ind w:left="190" w:right="182"/>
              <w:rPr>
                <w:rFonts w:ascii="Times New Roman"/>
                <w:sz w:val="21"/>
              </w:rPr>
            </w:pPr>
            <w:r>
              <w:rPr>
                <w:rFonts w:ascii="Times New Roman"/>
                <w:sz w:val="21"/>
              </w:rPr>
              <w:t>65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六价铬</w:t>
            </w:r>
          </w:p>
        </w:tc>
        <w:tc>
          <w:tcPr>
            <w:tcW w:w="2162" w:type="dxa"/>
            <w:gridSpan w:val="2"/>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5.7</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7"/>
              <w:rPr>
                <w:sz w:val="21"/>
              </w:rPr>
            </w:pPr>
            <w:r>
              <w:rPr>
                <w:w w:val="99"/>
                <w:sz w:val="21"/>
              </w:rPr>
              <w:t>铜</w:t>
            </w:r>
          </w:p>
        </w:tc>
        <w:tc>
          <w:tcPr>
            <w:tcW w:w="2162" w:type="dxa"/>
            <w:gridSpan w:val="2"/>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right="228"/>
              <w:jc w:val="right"/>
              <w:rPr>
                <w:rFonts w:ascii="Times New Roman"/>
                <w:sz w:val="21"/>
              </w:rPr>
            </w:pPr>
            <w:r>
              <w:rPr>
                <w:rFonts w:ascii="Times New Roman"/>
                <w:w w:val="95"/>
                <w:sz w:val="21"/>
              </w:rPr>
              <w:t>18000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7"/>
              <w:rPr>
                <w:sz w:val="21"/>
              </w:rPr>
            </w:pPr>
            <w:r>
              <w:rPr>
                <w:w w:val="99"/>
                <w:sz w:val="21"/>
              </w:rPr>
              <w:t>汞</w:t>
            </w:r>
          </w:p>
        </w:tc>
        <w:tc>
          <w:tcPr>
            <w:tcW w:w="2162" w:type="dxa"/>
            <w:gridSpan w:val="2"/>
          </w:tcPr>
          <w:p>
            <w:pPr>
              <w:pStyle w:val="TableParagraph"/>
              <w:spacing w:line="239" w:lineRule="exact" w:before="14"/>
              <w:ind w:left="744" w:right="737"/>
              <w:rPr>
                <w:rFonts w:ascii="Times New Roman"/>
                <w:sz w:val="21"/>
              </w:rPr>
            </w:pPr>
            <w:r>
              <w:rPr>
                <w:rFonts w:ascii="Times New Roman"/>
                <w:sz w:val="21"/>
              </w:rPr>
              <w:t>mg/kg</w:t>
            </w:r>
          </w:p>
        </w:tc>
        <w:tc>
          <w:tcPr>
            <w:tcW w:w="1002" w:type="dxa"/>
          </w:tcPr>
          <w:p>
            <w:pPr>
              <w:pStyle w:val="TableParagraph"/>
              <w:spacing w:line="239" w:lineRule="exact" w:before="14"/>
              <w:ind w:left="190" w:right="182"/>
              <w:rPr>
                <w:rFonts w:ascii="Times New Roman"/>
                <w:sz w:val="21"/>
              </w:rPr>
            </w:pPr>
            <w:r>
              <w:rPr>
                <w:rFonts w:ascii="Times New Roman"/>
                <w:sz w:val="21"/>
              </w:rPr>
              <w:t>38</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7"/>
              <w:rPr>
                <w:sz w:val="21"/>
              </w:rPr>
            </w:pPr>
            <w:r>
              <w:rPr>
                <w:w w:val="99"/>
                <w:sz w:val="21"/>
              </w:rPr>
              <w:t>镍</w:t>
            </w:r>
          </w:p>
        </w:tc>
        <w:tc>
          <w:tcPr>
            <w:tcW w:w="2162" w:type="dxa"/>
            <w:gridSpan w:val="2"/>
          </w:tcPr>
          <w:p>
            <w:pPr>
              <w:pStyle w:val="TableParagraph"/>
              <w:spacing w:line="237" w:lineRule="exact" w:before="14"/>
              <w:ind w:left="744" w:right="737"/>
              <w:rPr>
                <w:rFonts w:ascii="Times New Roman"/>
                <w:sz w:val="21"/>
              </w:rPr>
            </w:pPr>
            <w:r>
              <w:rPr>
                <w:rFonts w:ascii="Times New Roman"/>
                <w:sz w:val="21"/>
              </w:rPr>
              <w:t>mg/kg</w:t>
            </w:r>
          </w:p>
        </w:tc>
        <w:tc>
          <w:tcPr>
            <w:tcW w:w="1002" w:type="dxa"/>
          </w:tcPr>
          <w:p>
            <w:pPr>
              <w:pStyle w:val="TableParagraph"/>
              <w:spacing w:line="237" w:lineRule="exact" w:before="14"/>
              <w:ind w:left="190" w:right="182"/>
              <w:rPr>
                <w:rFonts w:ascii="Times New Roman"/>
                <w:sz w:val="21"/>
              </w:rPr>
            </w:pPr>
            <w:r>
              <w:rPr>
                <w:rFonts w:ascii="Times New Roman"/>
                <w:sz w:val="21"/>
              </w:rPr>
              <w:t>900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7"/>
              <w:rPr>
                <w:sz w:val="21"/>
              </w:rPr>
            </w:pPr>
            <w:r>
              <w:rPr>
                <w:w w:val="99"/>
                <w:sz w:val="21"/>
              </w:rPr>
              <w:t>铅</w:t>
            </w:r>
          </w:p>
        </w:tc>
        <w:tc>
          <w:tcPr>
            <w:tcW w:w="2162" w:type="dxa"/>
            <w:gridSpan w:val="2"/>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800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氯乙烯</w:t>
            </w:r>
          </w:p>
        </w:tc>
        <w:tc>
          <w:tcPr>
            <w:tcW w:w="2162" w:type="dxa"/>
            <w:gridSpan w:val="2"/>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right="252"/>
              <w:jc w:val="right"/>
              <w:rPr>
                <w:rFonts w:ascii="Times New Roman"/>
                <w:sz w:val="21"/>
              </w:rPr>
            </w:pPr>
            <w:r>
              <w:rPr>
                <w:rFonts w:ascii="Times New Roman"/>
                <w:w w:val="95"/>
                <w:sz w:val="21"/>
              </w:rPr>
              <w:t>0.430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115" w:right="108"/>
              <w:rPr>
                <w:sz w:val="21"/>
              </w:rPr>
            </w:pPr>
            <w:r>
              <w:rPr>
                <w:rFonts w:ascii="Times New Roman" w:eastAsia="Times New Roman"/>
                <w:sz w:val="21"/>
              </w:rPr>
              <w:t>1,1-</w:t>
            </w:r>
            <w:r>
              <w:rPr>
                <w:sz w:val="21"/>
              </w:rPr>
              <w:t>二氯乙烯</w:t>
            </w:r>
          </w:p>
        </w:tc>
        <w:tc>
          <w:tcPr>
            <w:tcW w:w="2162" w:type="dxa"/>
            <w:gridSpan w:val="2"/>
          </w:tcPr>
          <w:p>
            <w:pPr>
              <w:pStyle w:val="TableParagraph"/>
              <w:spacing w:line="237" w:lineRule="exact" w:before="14"/>
              <w:ind w:left="744" w:right="737"/>
              <w:rPr>
                <w:rFonts w:ascii="Times New Roman"/>
                <w:sz w:val="21"/>
              </w:rPr>
            </w:pPr>
            <w:r>
              <w:rPr>
                <w:rFonts w:ascii="Times New Roman"/>
                <w:sz w:val="21"/>
              </w:rPr>
              <w:t>mg/kg</w:t>
            </w:r>
          </w:p>
        </w:tc>
        <w:tc>
          <w:tcPr>
            <w:tcW w:w="1002" w:type="dxa"/>
          </w:tcPr>
          <w:p>
            <w:pPr>
              <w:pStyle w:val="TableParagraph"/>
              <w:spacing w:line="237" w:lineRule="exact" w:before="14"/>
              <w:ind w:left="190" w:right="182"/>
              <w:rPr>
                <w:rFonts w:ascii="Times New Roman"/>
                <w:sz w:val="21"/>
              </w:rPr>
            </w:pPr>
            <w:r>
              <w:rPr>
                <w:rFonts w:ascii="Times New Roman"/>
                <w:sz w:val="21"/>
              </w:rPr>
              <w:t>66</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5" w:right="108"/>
              <w:rPr>
                <w:sz w:val="21"/>
              </w:rPr>
            </w:pPr>
            <w:r>
              <w:rPr>
                <w:sz w:val="21"/>
              </w:rPr>
              <w:t>二氯甲烷</w:t>
            </w:r>
          </w:p>
        </w:tc>
        <w:tc>
          <w:tcPr>
            <w:tcW w:w="2162" w:type="dxa"/>
            <w:gridSpan w:val="2"/>
          </w:tcPr>
          <w:p>
            <w:pPr>
              <w:pStyle w:val="TableParagraph"/>
              <w:spacing w:line="238" w:lineRule="exact" w:before="13"/>
              <w:ind w:left="744" w:right="737"/>
              <w:rPr>
                <w:rFonts w:ascii="Times New Roman"/>
                <w:sz w:val="21"/>
              </w:rPr>
            </w:pPr>
            <w:r>
              <w:rPr>
                <w:rFonts w:ascii="Times New Roman"/>
                <w:sz w:val="21"/>
              </w:rPr>
              <w:t>mg/kg</w:t>
            </w:r>
          </w:p>
        </w:tc>
        <w:tc>
          <w:tcPr>
            <w:tcW w:w="1002" w:type="dxa"/>
          </w:tcPr>
          <w:p>
            <w:pPr>
              <w:pStyle w:val="TableParagraph"/>
              <w:spacing w:line="238" w:lineRule="exact" w:before="13"/>
              <w:ind w:left="190" w:right="182"/>
              <w:rPr>
                <w:rFonts w:ascii="Times New Roman"/>
                <w:sz w:val="21"/>
              </w:rPr>
            </w:pPr>
            <w:r>
              <w:rPr>
                <w:rFonts w:ascii="Times New Roman"/>
                <w:sz w:val="21"/>
              </w:rPr>
              <w:t>616</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3"/>
              <w:ind w:left="117" w:right="108"/>
              <w:rPr>
                <w:sz w:val="21"/>
              </w:rPr>
            </w:pPr>
            <w:r>
              <w:rPr>
                <w:sz w:val="21"/>
              </w:rPr>
              <w:t>反</w:t>
            </w:r>
            <w:r>
              <w:rPr>
                <w:rFonts w:ascii="Times New Roman" w:eastAsia="Times New Roman"/>
                <w:sz w:val="21"/>
              </w:rPr>
              <w:t>-1,2-</w:t>
            </w:r>
            <w:r>
              <w:rPr>
                <w:sz w:val="21"/>
              </w:rPr>
              <w:t>二氯乙烯</w:t>
            </w:r>
          </w:p>
        </w:tc>
        <w:tc>
          <w:tcPr>
            <w:tcW w:w="2162" w:type="dxa"/>
            <w:gridSpan w:val="2"/>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54</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5" w:right="108"/>
              <w:rPr>
                <w:sz w:val="21"/>
              </w:rPr>
            </w:pPr>
            <w:r>
              <w:rPr>
                <w:rFonts w:ascii="Times New Roman" w:eastAsia="Times New Roman"/>
                <w:sz w:val="21"/>
              </w:rPr>
              <w:t>1,1-</w:t>
            </w:r>
            <w:r>
              <w:rPr>
                <w:sz w:val="21"/>
              </w:rPr>
              <w:t>二氯乙烷</w:t>
            </w:r>
          </w:p>
        </w:tc>
        <w:tc>
          <w:tcPr>
            <w:tcW w:w="2162" w:type="dxa"/>
            <w:gridSpan w:val="2"/>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8"/>
              <w:rPr>
                <w:rFonts w:ascii="Times New Roman"/>
                <w:sz w:val="21"/>
              </w:rPr>
            </w:pPr>
            <w:r>
              <w:rPr>
                <w:rFonts w:ascii="Times New Roman"/>
                <w:w w:val="99"/>
                <w:sz w:val="21"/>
              </w:rPr>
              <w:t>9</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117" w:right="108"/>
              <w:rPr>
                <w:sz w:val="21"/>
              </w:rPr>
            </w:pPr>
            <w:r>
              <w:rPr>
                <w:sz w:val="21"/>
              </w:rPr>
              <w:t>顺</w:t>
            </w:r>
            <w:r>
              <w:rPr>
                <w:rFonts w:ascii="Times New Roman" w:eastAsia="Times New Roman"/>
                <w:sz w:val="21"/>
              </w:rPr>
              <w:t>-1,2-</w:t>
            </w:r>
            <w:r>
              <w:rPr>
                <w:sz w:val="21"/>
              </w:rPr>
              <w:t>二氯乙烯</w:t>
            </w:r>
          </w:p>
        </w:tc>
        <w:tc>
          <w:tcPr>
            <w:tcW w:w="2162" w:type="dxa"/>
            <w:gridSpan w:val="2"/>
          </w:tcPr>
          <w:p>
            <w:pPr>
              <w:pStyle w:val="TableParagraph"/>
              <w:spacing w:line="236" w:lineRule="exact" w:before="16"/>
              <w:ind w:left="744" w:right="737"/>
              <w:rPr>
                <w:rFonts w:ascii="Times New Roman"/>
                <w:sz w:val="21"/>
              </w:rPr>
            </w:pPr>
            <w:r>
              <w:rPr>
                <w:rFonts w:ascii="Times New Roman"/>
                <w:sz w:val="21"/>
              </w:rPr>
              <w:t>mg/kg</w:t>
            </w:r>
          </w:p>
        </w:tc>
        <w:tc>
          <w:tcPr>
            <w:tcW w:w="1002" w:type="dxa"/>
          </w:tcPr>
          <w:p>
            <w:pPr>
              <w:pStyle w:val="TableParagraph"/>
              <w:spacing w:line="236" w:lineRule="exact" w:before="16"/>
              <w:ind w:left="190" w:right="182"/>
              <w:rPr>
                <w:rFonts w:ascii="Times New Roman"/>
                <w:sz w:val="21"/>
              </w:rPr>
            </w:pPr>
            <w:r>
              <w:rPr>
                <w:rFonts w:ascii="Times New Roman"/>
                <w:sz w:val="21"/>
              </w:rPr>
              <w:t>596</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112" w:right="108"/>
              <w:rPr>
                <w:sz w:val="21"/>
              </w:rPr>
            </w:pPr>
            <w:r>
              <w:rPr>
                <w:sz w:val="21"/>
              </w:rPr>
              <w:t>氯仿</w:t>
            </w:r>
          </w:p>
        </w:tc>
        <w:tc>
          <w:tcPr>
            <w:tcW w:w="2162" w:type="dxa"/>
            <w:gridSpan w:val="2"/>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190" w:right="182"/>
              <w:rPr>
                <w:rFonts w:ascii="Times New Roman"/>
                <w:sz w:val="21"/>
              </w:rPr>
            </w:pPr>
            <w:r>
              <w:rPr>
                <w:rFonts w:ascii="Times New Roman"/>
                <w:sz w:val="21"/>
              </w:rPr>
              <w:t>0.9</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5" w:right="108"/>
              <w:rPr>
                <w:sz w:val="21"/>
              </w:rPr>
            </w:pPr>
            <w:r>
              <w:rPr>
                <w:rFonts w:ascii="Times New Roman" w:eastAsia="Times New Roman"/>
                <w:sz w:val="21"/>
              </w:rPr>
              <w:t>1,1,1-</w:t>
            </w:r>
            <w:r>
              <w:rPr>
                <w:sz w:val="21"/>
              </w:rPr>
              <w:t>三氯乙烷</w:t>
            </w:r>
          </w:p>
        </w:tc>
        <w:tc>
          <w:tcPr>
            <w:tcW w:w="2162" w:type="dxa"/>
            <w:gridSpan w:val="2"/>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190" w:right="182"/>
              <w:rPr>
                <w:rFonts w:ascii="Times New Roman"/>
                <w:sz w:val="21"/>
              </w:rPr>
            </w:pPr>
            <w:r>
              <w:rPr>
                <w:rFonts w:ascii="Times New Roman"/>
                <w:sz w:val="21"/>
              </w:rPr>
              <w:t>840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5" w:right="108"/>
              <w:rPr>
                <w:sz w:val="21"/>
              </w:rPr>
            </w:pPr>
            <w:r>
              <w:rPr>
                <w:sz w:val="21"/>
              </w:rPr>
              <w:t>四氯化碳</w:t>
            </w:r>
          </w:p>
        </w:tc>
        <w:tc>
          <w:tcPr>
            <w:tcW w:w="2162" w:type="dxa"/>
            <w:gridSpan w:val="2"/>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2.8</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7"/>
              <w:rPr>
                <w:sz w:val="21"/>
              </w:rPr>
            </w:pPr>
            <w:r>
              <w:rPr>
                <w:w w:val="99"/>
                <w:sz w:val="21"/>
              </w:rPr>
              <w:t>苯</w:t>
            </w:r>
          </w:p>
        </w:tc>
        <w:tc>
          <w:tcPr>
            <w:tcW w:w="2162" w:type="dxa"/>
            <w:gridSpan w:val="2"/>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8"/>
              <w:rPr>
                <w:rFonts w:ascii="Times New Roman"/>
                <w:sz w:val="21"/>
              </w:rPr>
            </w:pPr>
            <w:r>
              <w:rPr>
                <w:rFonts w:ascii="Times New Roman"/>
                <w:w w:val="99"/>
                <w:sz w:val="21"/>
              </w:rPr>
              <w:t>4</w:t>
            </w:r>
          </w:p>
        </w:tc>
      </w:tr>
      <w:tr>
        <w:trPr>
          <w:trHeight w:val="270"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9" w:lineRule="exact" w:before="1"/>
              <w:ind w:left="115" w:right="108"/>
              <w:rPr>
                <w:sz w:val="21"/>
              </w:rPr>
            </w:pPr>
            <w:r>
              <w:rPr>
                <w:rFonts w:ascii="Times New Roman" w:eastAsia="Times New Roman"/>
                <w:sz w:val="21"/>
              </w:rPr>
              <w:t>1,2-</w:t>
            </w:r>
            <w:r>
              <w:rPr>
                <w:sz w:val="21"/>
              </w:rPr>
              <w:t>二氯乙烷</w:t>
            </w:r>
          </w:p>
        </w:tc>
        <w:tc>
          <w:tcPr>
            <w:tcW w:w="2162" w:type="dxa"/>
            <w:gridSpan w:val="2"/>
          </w:tcPr>
          <w:p>
            <w:pPr>
              <w:pStyle w:val="TableParagraph"/>
              <w:spacing w:line="237" w:lineRule="exact" w:before="13"/>
              <w:ind w:left="744" w:right="737"/>
              <w:rPr>
                <w:rFonts w:ascii="Times New Roman"/>
                <w:sz w:val="21"/>
              </w:rPr>
            </w:pPr>
            <w:r>
              <w:rPr>
                <w:rFonts w:ascii="Times New Roman"/>
                <w:sz w:val="21"/>
              </w:rPr>
              <w:t>mg/kg</w:t>
            </w:r>
          </w:p>
        </w:tc>
        <w:tc>
          <w:tcPr>
            <w:tcW w:w="1002" w:type="dxa"/>
          </w:tcPr>
          <w:p>
            <w:pPr>
              <w:pStyle w:val="TableParagraph"/>
              <w:spacing w:line="237" w:lineRule="exact" w:before="13"/>
              <w:ind w:left="8"/>
              <w:rPr>
                <w:rFonts w:ascii="Times New Roman"/>
                <w:sz w:val="21"/>
              </w:rPr>
            </w:pPr>
            <w:r>
              <w:rPr>
                <w:rFonts w:ascii="Times New Roman"/>
                <w:w w:val="99"/>
                <w:sz w:val="21"/>
              </w:rPr>
              <w:t>5</w:t>
            </w:r>
          </w:p>
        </w:tc>
      </w:tr>
    </w:tbl>
    <w:p>
      <w:pPr>
        <w:spacing w:after="0" w:line="237" w:lineRule="exact"/>
        <w:rPr>
          <w:rFonts w:ascii="Times New Roman"/>
          <w:sz w:val="21"/>
        </w:rPr>
        <w:sectPr>
          <w:footerReference w:type="default" r:id="rId8"/>
          <w:pgSz w:w="11910" w:h="16840"/>
          <w:pgMar w:footer="913" w:header="0" w:top="1400" w:bottom="1100" w:left="940" w:right="940"/>
          <w:pgNumType w:start="1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2920"/>
        <w:gridCol w:w="1763"/>
        <w:gridCol w:w="2162"/>
        <w:gridCol w:w="1002"/>
      </w:tblGrid>
      <w:tr>
        <w:trPr>
          <w:trHeight w:val="272" w:hRule="atLeast"/>
        </w:trPr>
        <w:tc>
          <w:tcPr>
            <w:tcW w:w="675" w:type="dxa"/>
            <w:vMerge w:val="restart"/>
          </w:tcPr>
          <w:p>
            <w:pPr>
              <w:pStyle w:val="TableParagraph"/>
              <w:jc w:val="left"/>
              <w:rPr>
                <w:rFonts w:ascii="Times New Roman"/>
                <w:sz w:val="20"/>
              </w:rPr>
            </w:pPr>
          </w:p>
        </w:tc>
        <w:tc>
          <w:tcPr>
            <w:tcW w:w="2920" w:type="dxa"/>
            <w:vMerge w:val="restart"/>
          </w:tcPr>
          <w:p>
            <w:pPr>
              <w:pStyle w:val="TableParagraph"/>
              <w:jc w:val="left"/>
              <w:rPr>
                <w:rFonts w:ascii="Times New Roman"/>
                <w:sz w:val="20"/>
              </w:rPr>
            </w:pPr>
          </w:p>
        </w:tc>
        <w:tc>
          <w:tcPr>
            <w:tcW w:w="1763" w:type="dxa"/>
          </w:tcPr>
          <w:p>
            <w:pPr>
              <w:pStyle w:val="TableParagraph"/>
              <w:spacing w:line="252" w:lineRule="exact"/>
              <w:ind w:left="115" w:right="108"/>
              <w:rPr>
                <w:sz w:val="21"/>
              </w:rPr>
            </w:pPr>
            <w:r>
              <w:rPr>
                <w:sz w:val="21"/>
              </w:rPr>
              <w:t>三氯乙烯</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2.8</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115" w:right="108"/>
              <w:rPr>
                <w:sz w:val="21"/>
              </w:rPr>
            </w:pPr>
            <w:r>
              <w:rPr>
                <w:rFonts w:ascii="Times New Roman" w:eastAsia="Times New Roman"/>
                <w:sz w:val="21"/>
              </w:rPr>
              <w:t>1,2-</w:t>
            </w:r>
            <w:r>
              <w:rPr>
                <w:sz w:val="21"/>
              </w:rPr>
              <w:t>二氯丙烷</w:t>
            </w:r>
          </w:p>
        </w:tc>
        <w:tc>
          <w:tcPr>
            <w:tcW w:w="2162" w:type="dxa"/>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8"/>
              <w:rPr>
                <w:rFonts w:ascii="Times New Roman"/>
                <w:sz w:val="21"/>
              </w:rPr>
            </w:pPr>
            <w:r>
              <w:rPr>
                <w:rFonts w:ascii="Times New Roman"/>
                <w:w w:val="99"/>
                <w:sz w:val="21"/>
              </w:rPr>
              <w:t>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2" w:right="108"/>
              <w:rPr>
                <w:sz w:val="21"/>
              </w:rPr>
            </w:pPr>
            <w:r>
              <w:rPr>
                <w:sz w:val="21"/>
              </w:rPr>
              <w:t>甲苯</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1200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9" w:lineRule="exact" w:before="2"/>
              <w:ind w:left="115" w:right="108"/>
              <w:rPr>
                <w:sz w:val="21"/>
              </w:rPr>
            </w:pPr>
            <w:r>
              <w:rPr>
                <w:rFonts w:ascii="Times New Roman" w:eastAsia="Times New Roman"/>
                <w:sz w:val="21"/>
              </w:rPr>
              <w:t>1,1,2-</w:t>
            </w:r>
            <w:r>
              <w:rPr>
                <w:sz w:val="21"/>
              </w:rPr>
              <w:t>三氯乙烷</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2.8</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115" w:right="108"/>
              <w:rPr>
                <w:sz w:val="21"/>
              </w:rPr>
            </w:pPr>
            <w:r>
              <w:rPr>
                <w:sz w:val="21"/>
              </w:rPr>
              <w:t>四氯乙烯</w:t>
            </w:r>
          </w:p>
        </w:tc>
        <w:tc>
          <w:tcPr>
            <w:tcW w:w="2162" w:type="dxa"/>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190" w:right="182"/>
              <w:rPr>
                <w:rFonts w:ascii="Times New Roman"/>
                <w:sz w:val="21"/>
              </w:rPr>
            </w:pPr>
            <w:r>
              <w:rPr>
                <w:rFonts w:ascii="Times New Roman"/>
                <w:sz w:val="21"/>
              </w:rPr>
              <w:t>53</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2" w:right="108"/>
              <w:rPr>
                <w:sz w:val="21"/>
              </w:rPr>
            </w:pPr>
            <w:r>
              <w:rPr>
                <w:sz w:val="21"/>
              </w:rPr>
              <w:t>氯苯</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270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9" w:lineRule="exact" w:before="3"/>
              <w:ind w:left="117" w:right="108"/>
              <w:rPr>
                <w:sz w:val="21"/>
              </w:rPr>
            </w:pPr>
            <w:r>
              <w:rPr>
                <w:rFonts w:ascii="Times New Roman" w:eastAsia="Times New Roman"/>
                <w:sz w:val="21"/>
              </w:rPr>
              <w:t>1,1,1,2-</w:t>
            </w:r>
            <w:r>
              <w:rPr>
                <w:sz w:val="21"/>
              </w:rPr>
              <w:t>四氯乙烷</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10</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2" w:right="108"/>
              <w:rPr>
                <w:sz w:val="21"/>
              </w:rPr>
            </w:pPr>
            <w:r>
              <w:rPr>
                <w:sz w:val="21"/>
              </w:rPr>
              <w:t>乙苯</w:t>
            </w:r>
          </w:p>
        </w:tc>
        <w:tc>
          <w:tcPr>
            <w:tcW w:w="2162" w:type="dxa"/>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190" w:right="182"/>
              <w:rPr>
                <w:rFonts w:ascii="Times New Roman"/>
                <w:sz w:val="21"/>
              </w:rPr>
            </w:pPr>
            <w:r>
              <w:rPr>
                <w:rFonts w:ascii="Times New Roman"/>
                <w:sz w:val="21"/>
              </w:rPr>
              <w:t>28</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117" w:right="108"/>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570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9" w:lineRule="exact" w:before="3"/>
              <w:ind w:left="117" w:right="108"/>
              <w:rPr>
                <w:sz w:val="21"/>
              </w:rPr>
            </w:pPr>
            <w:r>
              <w:rPr>
                <w:sz w:val="21"/>
              </w:rPr>
              <w:t>邻</w:t>
            </w:r>
            <w:r>
              <w:rPr>
                <w:rFonts w:ascii="Times New Roman" w:eastAsia="Times New Roman"/>
                <w:sz w:val="21"/>
              </w:rPr>
              <w:t>-</w:t>
            </w:r>
            <w:r>
              <w:rPr>
                <w:sz w:val="21"/>
              </w:rPr>
              <w:t>二甲苯</w:t>
            </w:r>
          </w:p>
        </w:tc>
        <w:tc>
          <w:tcPr>
            <w:tcW w:w="2162" w:type="dxa"/>
          </w:tcPr>
          <w:p>
            <w:pPr>
              <w:pStyle w:val="TableParagraph"/>
              <w:spacing w:line="237" w:lineRule="exact" w:before="14"/>
              <w:ind w:left="744" w:right="737"/>
              <w:rPr>
                <w:rFonts w:ascii="Times New Roman"/>
                <w:sz w:val="21"/>
              </w:rPr>
            </w:pPr>
            <w:r>
              <w:rPr>
                <w:rFonts w:ascii="Times New Roman"/>
                <w:sz w:val="21"/>
              </w:rPr>
              <w:t>mg/kg</w:t>
            </w:r>
          </w:p>
        </w:tc>
        <w:tc>
          <w:tcPr>
            <w:tcW w:w="1002" w:type="dxa"/>
          </w:tcPr>
          <w:p>
            <w:pPr>
              <w:pStyle w:val="TableParagraph"/>
              <w:spacing w:line="237" w:lineRule="exact" w:before="14"/>
              <w:ind w:left="190" w:right="182"/>
              <w:rPr>
                <w:rFonts w:ascii="Times New Roman"/>
                <w:sz w:val="21"/>
              </w:rPr>
            </w:pPr>
            <w:r>
              <w:rPr>
                <w:rFonts w:ascii="Times New Roman"/>
                <w:sz w:val="21"/>
              </w:rPr>
              <w:t>640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7" w:right="108"/>
              <w:rPr>
                <w:sz w:val="21"/>
              </w:rPr>
            </w:pPr>
            <w:r>
              <w:rPr>
                <w:sz w:val="21"/>
              </w:rPr>
              <w:t>苯乙烯</w:t>
            </w:r>
          </w:p>
        </w:tc>
        <w:tc>
          <w:tcPr>
            <w:tcW w:w="2162" w:type="dxa"/>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190" w:right="182"/>
              <w:rPr>
                <w:rFonts w:ascii="Times New Roman"/>
                <w:sz w:val="21"/>
              </w:rPr>
            </w:pPr>
            <w:r>
              <w:rPr>
                <w:rFonts w:ascii="Times New Roman"/>
                <w:sz w:val="21"/>
              </w:rPr>
              <w:t>1290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117" w:right="108"/>
              <w:rPr>
                <w:sz w:val="21"/>
              </w:rPr>
            </w:pPr>
            <w:r>
              <w:rPr>
                <w:rFonts w:ascii="Times New Roman" w:eastAsia="Times New Roman"/>
                <w:sz w:val="21"/>
              </w:rPr>
              <w:t>1,1,2,2-</w:t>
            </w:r>
            <w:r>
              <w:rPr>
                <w:sz w:val="21"/>
              </w:rPr>
              <w:t>四氯乙烷</w:t>
            </w:r>
          </w:p>
        </w:tc>
        <w:tc>
          <w:tcPr>
            <w:tcW w:w="2162" w:type="dxa"/>
          </w:tcPr>
          <w:p>
            <w:pPr>
              <w:pStyle w:val="TableParagraph"/>
              <w:spacing w:line="238" w:lineRule="exact" w:before="13"/>
              <w:ind w:left="744" w:right="737"/>
              <w:rPr>
                <w:rFonts w:ascii="Times New Roman"/>
                <w:sz w:val="21"/>
              </w:rPr>
            </w:pPr>
            <w:r>
              <w:rPr>
                <w:rFonts w:ascii="Times New Roman"/>
                <w:sz w:val="21"/>
              </w:rPr>
              <w:t>mg/kg</w:t>
            </w:r>
          </w:p>
        </w:tc>
        <w:tc>
          <w:tcPr>
            <w:tcW w:w="1002" w:type="dxa"/>
          </w:tcPr>
          <w:p>
            <w:pPr>
              <w:pStyle w:val="TableParagraph"/>
              <w:spacing w:line="238" w:lineRule="exact" w:before="13"/>
              <w:ind w:left="190" w:right="182"/>
              <w:rPr>
                <w:rFonts w:ascii="Times New Roman"/>
                <w:sz w:val="21"/>
              </w:rPr>
            </w:pPr>
            <w:r>
              <w:rPr>
                <w:rFonts w:ascii="Times New Roman"/>
                <w:sz w:val="21"/>
              </w:rPr>
              <w:t>6.8</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49" w:lineRule="exact" w:before="3"/>
              <w:ind w:left="115" w:right="108"/>
              <w:rPr>
                <w:sz w:val="21"/>
              </w:rPr>
            </w:pPr>
            <w:r>
              <w:rPr>
                <w:rFonts w:ascii="Times New Roman" w:eastAsia="Times New Roman"/>
                <w:sz w:val="21"/>
              </w:rPr>
              <w:t>1,2,3-</w:t>
            </w:r>
            <w:r>
              <w:rPr>
                <w:sz w:val="21"/>
              </w:rPr>
              <w:t>三氯丙烷</w:t>
            </w:r>
          </w:p>
        </w:tc>
        <w:tc>
          <w:tcPr>
            <w:tcW w:w="2162" w:type="dxa"/>
          </w:tcPr>
          <w:p>
            <w:pPr>
              <w:pStyle w:val="TableParagraph"/>
              <w:spacing w:line="237" w:lineRule="exact" w:before="14"/>
              <w:ind w:left="744" w:right="737"/>
              <w:rPr>
                <w:rFonts w:ascii="Times New Roman"/>
                <w:sz w:val="21"/>
              </w:rPr>
            </w:pPr>
            <w:r>
              <w:rPr>
                <w:rFonts w:ascii="Times New Roman"/>
                <w:sz w:val="21"/>
              </w:rPr>
              <w:t>mg/kg</w:t>
            </w:r>
          </w:p>
        </w:tc>
        <w:tc>
          <w:tcPr>
            <w:tcW w:w="1002" w:type="dxa"/>
          </w:tcPr>
          <w:p>
            <w:pPr>
              <w:pStyle w:val="TableParagraph"/>
              <w:spacing w:line="237" w:lineRule="exact" w:before="14"/>
              <w:ind w:left="190" w:right="182"/>
              <w:rPr>
                <w:rFonts w:ascii="Times New Roman"/>
                <w:sz w:val="21"/>
              </w:rPr>
            </w:pPr>
            <w:r>
              <w:rPr>
                <w:rFonts w:ascii="Times New Roman"/>
                <w:sz w:val="21"/>
              </w:rPr>
              <w:t>0.5</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2"/>
              <w:ind w:left="117" w:right="108"/>
              <w:rPr>
                <w:sz w:val="21"/>
              </w:rPr>
            </w:pPr>
            <w:r>
              <w:rPr>
                <w:rFonts w:ascii="Times New Roman" w:eastAsia="Times New Roman"/>
                <w:sz w:val="21"/>
              </w:rPr>
              <w:t>1,2-</w:t>
            </w:r>
            <w:r>
              <w:rPr>
                <w:sz w:val="21"/>
              </w:rPr>
              <w:t>二氯苯</w:t>
            </w:r>
          </w:p>
        </w:tc>
        <w:tc>
          <w:tcPr>
            <w:tcW w:w="2162" w:type="dxa"/>
          </w:tcPr>
          <w:p>
            <w:pPr>
              <w:pStyle w:val="TableParagraph"/>
              <w:spacing w:line="237" w:lineRule="exact" w:before="16"/>
              <w:ind w:left="744" w:right="737"/>
              <w:rPr>
                <w:rFonts w:ascii="Times New Roman"/>
                <w:sz w:val="21"/>
              </w:rPr>
            </w:pPr>
            <w:r>
              <w:rPr>
                <w:rFonts w:ascii="Times New Roman"/>
                <w:sz w:val="21"/>
              </w:rPr>
              <w:t>mg/kg</w:t>
            </w:r>
          </w:p>
        </w:tc>
        <w:tc>
          <w:tcPr>
            <w:tcW w:w="1002" w:type="dxa"/>
          </w:tcPr>
          <w:p>
            <w:pPr>
              <w:pStyle w:val="TableParagraph"/>
              <w:spacing w:line="237" w:lineRule="exact" w:before="16"/>
              <w:ind w:left="190" w:right="182"/>
              <w:rPr>
                <w:rFonts w:ascii="Times New Roman"/>
                <w:sz w:val="21"/>
              </w:rPr>
            </w:pPr>
            <w:r>
              <w:rPr>
                <w:rFonts w:ascii="Times New Roman"/>
                <w:sz w:val="21"/>
              </w:rPr>
              <w:t>20</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117" w:right="108"/>
              <w:rPr>
                <w:sz w:val="21"/>
              </w:rPr>
            </w:pPr>
            <w:r>
              <w:rPr>
                <w:rFonts w:ascii="Times New Roman" w:eastAsia="Times New Roman"/>
                <w:sz w:val="21"/>
              </w:rPr>
              <w:t>1,4-</w:t>
            </w:r>
            <w:r>
              <w:rPr>
                <w:sz w:val="21"/>
              </w:rPr>
              <w:t>二氯苯</w:t>
            </w:r>
          </w:p>
        </w:tc>
        <w:tc>
          <w:tcPr>
            <w:tcW w:w="2162" w:type="dxa"/>
          </w:tcPr>
          <w:p>
            <w:pPr>
              <w:pStyle w:val="TableParagraph"/>
              <w:spacing w:line="238" w:lineRule="exact" w:before="13"/>
              <w:ind w:left="744" w:right="737"/>
              <w:rPr>
                <w:rFonts w:ascii="Times New Roman"/>
                <w:sz w:val="21"/>
              </w:rPr>
            </w:pPr>
            <w:r>
              <w:rPr>
                <w:rFonts w:ascii="Times New Roman"/>
                <w:sz w:val="21"/>
              </w:rPr>
              <w:t>mg/kg</w:t>
            </w:r>
          </w:p>
        </w:tc>
        <w:tc>
          <w:tcPr>
            <w:tcW w:w="1002" w:type="dxa"/>
          </w:tcPr>
          <w:p>
            <w:pPr>
              <w:pStyle w:val="TableParagraph"/>
              <w:spacing w:line="238" w:lineRule="exact" w:before="13"/>
              <w:ind w:left="190" w:right="182"/>
              <w:rPr>
                <w:rFonts w:ascii="Times New Roman"/>
                <w:sz w:val="21"/>
              </w:rPr>
            </w:pPr>
            <w:r>
              <w:rPr>
                <w:rFonts w:ascii="Times New Roman"/>
                <w:sz w:val="21"/>
              </w:rPr>
              <w:t>560</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117" w:right="108"/>
              <w:rPr>
                <w:sz w:val="21"/>
              </w:rPr>
            </w:pPr>
            <w:r>
              <w:rPr>
                <w:sz w:val="21"/>
              </w:rPr>
              <w:t>氯甲烷</w:t>
            </w:r>
          </w:p>
        </w:tc>
        <w:tc>
          <w:tcPr>
            <w:tcW w:w="2162" w:type="dxa"/>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190" w:right="182"/>
              <w:rPr>
                <w:rFonts w:ascii="Times New Roman"/>
                <w:sz w:val="21"/>
              </w:rPr>
            </w:pPr>
            <w:r>
              <w:rPr>
                <w:rFonts w:ascii="Times New Roman"/>
                <w:sz w:val="21"/>
              </w:rPr>
              <w:t>37</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7"/>
              <w:rPr>
                <w:sz w:val="21"/>
              </w:rPr>
            </w:pPr>
            <w:r>
              <w:rPr>
                <w:w w:val="99"/>
                <w:sz w:val="21"/>
              </w:rPr>
              <w:t>萘</w:t>
            </w:r>
          </w:p>
        </w:tc>
        <w:tc>
          <w:tcPr>
            <w:tcW w:w="2162" w:type="dxa"/>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190" w:right="182"/>
              <w:rPr>
                <w:rFonts w:ascii="Times New Roman"/>
                <w:sz w:val="21"/>
              </w:rPr>
            </w:pPr>
            <w:r>
              <w:rPr>
                <w:rFonts w:ascii="Times New Roman"/>
                <w:sz w:val="21"/>
              </w:rPr>
              <w:t>70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5"/>
              <w:rPr>
                <w:sz w:val="21"/>
              </w:rPr>
            </w:pPr>
            <w:r>
              <w:rPr>
                <w:sz w:val="21"/>
              </w:rPr>
              <w:t>苯并</w:t>
            </w:r>
            <w:r>
              <w:rPr>
                <w:rFonts w:ascii="Times New Roman" w:eastAsia="Times New Roman"/>
                <w:sz w:val="21"/>
              </w:rPr>
              <w:t>[a]</w:t>
            </w:r>
            <w:r>
              <w:rPr>
                <w:sz w:val="21"/>
              </w:rPr>
              <w:t>蒽</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15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7"/>
              <w:rPr>
                <w:sz w:val="21"/>
              </w:rPr>
            </w:pPr>
            <w:r>
              <w:rPr>
                <w:w w:val="99"/>
                <w:sz w:val="21"/>
              </w:rPr>
              <w:t>䓛</w:t>
            </w:r>
          </w:p>
        </w:tc>
        <w:tc>
          <w:tcPr>
            <w:tcW w:w="2162" w:type="dxa"/>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190" w:right="182"/>
              <w:rPr>
                <w:rFonts w:ascii="Times New Roman"/>
                <w:sz w:val="21"/>
              </w:rPr>
            </w:pPr>
            <w:r>
              <w:rPr>
                <w:rFonts w:ascii="Times New Roman"/>
                <w:sz w:val="21"/>
              </w:rPr>
              <w:t>1293</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5" w:right="108"/>
              <w:rPr>
                <w:sz w:val="21"/>
              </w:rPr>
            </w:pPr>
            <w:r>
              <w:rPr>
                <w:sz w:val="21"/>
              </w:rPr>
              <w:t>苯并</w:t>
            </w:r>
            <w:r>
              <w:rPr>
                <w:rFonts w:ascii="Times New Roman" w:eastAsia="Times New Roman"/>
                <w:sz w:val="21"/>
              </w:rPr>
              <w:t>[b]</w:t>
            </w:r>
            <w:r>
              <w:rPr>
                <w:sz w:val="21"/>
              </w:rPr>
              <w:t>荧蒽</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15</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5" w:right="108"/>
              <w:rPr>
                <w:sz w:val="21"/>
              </w:rPr>
            </w:pPr>
            <w:r>
              <w:rPr>
                <w:sz w:val="21"/>
              </w:rPr>
              <w:t>苯并</w:t>
            </w:r>
            <w:r>
              <w:rPr>
                <w:rFonts w:ascii="Times New Roman" w:eastAsia="Times New Roman"/>
                <w:sz w:val="21"/>
              </w:rPr>
              <w:t>[k]</w:t>
            </w:r>
            <w:r>
              <w:rPr>
                <w:sz w:val="21"/>
              </w:rPr>
              <w:t>荧蒽</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151</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before="1"/>
              <w:ind w:left="117" w:right="105"/>
              <w:rPr>
                <w:sz w:val="21"/>
              </w:rPr>
            </w:pPr>
            <w:r>
              <w:rPr>
                <w:sz w:val="21"/>
              </w:rPr>
              <w:t>苯并</w:t>
            </w:r>
            <w:r>
              <w:rPr>
                <w:rFonts w:ascii="Times New Roman" w:eastAsia="Times New Roman"/>
                <w:sz w:val="21"/>
              </w:rPr>
              <w:t>[a]</w:t>
            </w:r>
            <w:r>
              <w:rPr>
                <w:sz w:val="21"/>
              </w:rPr>
              <w:t>芘</w:t>
            </w:r>
          </w:p>
        </w:tc>
        <w:tc>
          <w:tcPr>
            <w:tcW w:w="2162" w:type="dxa"/>
          </w:tcPr>
          <w:p>
            <w:pPr>
              <w:pStyle w:val="TableParagraph"/>
              <w:spacing w:line="238" w:lineRule="exact" w:before="15"/>
              <w:ind w:left="744" w:right="737"/>
              <w:rPr>
                <w:rFonts w:ascii="Times New Roman"/>
                <w:sz w:val="21"/>
              </w:rPr>
            </w:pPr>
            <w:r>
              <w:rPr>
                <w:rFonts w:ascii="Times New Roman"/>
                <w:sz w:val="21"/>
              </w:rPr>
              <w:t>mg/kg</w:t>
            </w:r>
          </w:p>
        </w:tc>
        <w:tc>
          <w:tcPr>
            <w:tcW w:w="1002" w:type="dxa"/>
          </w:tcPr>
          <w:p>
            <w:pPr>
              <w:pStyle w:val="TableParagraph"/>
              <w:spacing w:line="238" w:lineRule="exact" w:before="15"/>
              <w:ind w:left="190" w:right="182"/>
              <w:rPr>
                <w:rFonts w:ascii="Times New Roman"/>
                <w:sz w:val="21"/>
              </w:rPr>
            </w:pPr>
            <w:r>
              <w:rPr>
                <w:rFonts w:ascii="Times New Roman"/>
                <w:sz w:val="21"/>
              </w:rPr>
              <w:t>1.5</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1"/>
              <w:ind w:left="117" w:right="106"/>
              <w:rPr>
                <w:sz w:val="21"/>
              </w:rPr>
            </w:pPr>
            <w:r>
              <w:rPr>
                <w:sz w:val="21"/>
              </w:rPr>
              <w:t>茚并</w:t>
            </w:r>
            <w:r>
              <w:rPr>
                <w:rFonts w:ascii="Times New Roman" w:eastAsia="Times New Roman"/>
                <w:sz w:val="21"/>
              </w:rPr>
              <w:t>[1,2,3-cd]</w:t>
            </w:r>
            <w:r>
              <w:rPr>
                <w:sz w:val="21"/>
              </w:rPr>
              <w:t>芘</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82"/>
              <w:rPr>
                <w:rFonts w:ascii="Times New Roman"/>
                <w:sz w:val="21"/>
              </w:rPr>
            </w:pPr>
            <w:r>
              <w:rPr>
                <w:rFonts w:ascii="Times New Roman"/>
                <w:sz w:val="21"/>
              </w:rPr>
              <w:t>15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二苯并</w:t>
            </w:r>
            <w:r>
              <w:rPr>
                <w:rFonts w:ascii="Times New Roman" w:eastAsia="Times New Roman"/>
                <w:sz w:val="21"/>
              </w:rPr>
              <w:t>[a,h]</w:t>
            </w:r>
            <w:r>
              <w:rPr>
                <w:sz w:val="21"/>
              </w:rPr>
              <w:t>蒽</w:t>
            </w:r>
          </w:p>
        </w:tc>
        <w:tc>
          <w:tcPr>
            <w:tcW w:w="2162" w:type="dxa"/>
          </w:tcPr>
          <w:p>
            <w:pPr>
              <w:pStyle w:val="TableParagraph"/>
              <w:spacing w:line="238" w:lineRule="exact" w:before="14"/>
              <w:ind w:left="744" w:right="737"/>
              <w:rPr>
                <w:rFonts w:ascii="Times New Roman"/>
                <w:sz w:val="21"/>
              </w:rPr>
            </w:pPr>
            <w:r>
              <w:rPr>
                <w:rFonts w:ascii="Times New Roman"/>
                <w:sz w:val="21"/>
              </w:rPr>
              <w:t>mg/kg</w:t>
            </w:r>
          </w:p>
        </w:tc>
        <w:tc>
          <w:tcPr>
            <w:tcW w:w="1002" w:type="dxa"/>
          </w:tcPr>
          <w:p>
            <w:pPr>
              <w:pStyle w:val="TableParagraph"/>
              <w:spacing w:line="238" w:lineRule="exact" w:before="14"/>
              <w:ind w:left="190" w:right="182"/>
              <w:rPr>
                <w:rFonts w:ascii="Times New Roman"/>
                <w:sz w:val="21"/>
              </w:rPr>
            </w:pPr>
            <w:r>
              <w:rPr>
                <w:rFonts w:ascii="Times New Roman"/>
                <w:sz w:val="21"/>
              </w:rPr>
              <w:t>1.5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5" w:right="108"/>
              <w:rPr>
                <w:sz w:val="21"/>
              </w:rPr>
            </w:pPr>
            <w:r>
              <w:rPr>
                <w:rFonts w:ascii="Times New Roman" w:eastAsia="Times New Roman"/>
                <w:sz w:val="21"/>
              </w:rPr>
              <w:t>2-</w:t>
            </w:r>
            <w:r>
              <w:rPr>
                <w:sz w:val="21"/>
              </w:rPr>
              <w:t>氯酚</w:t>
            </w:r>
          </w:p>
        </w:tc>
        <w:tc>
          <w:tcPr>
            <w:tcW w:w="2162" w:type="dxa"/>
          </w:tcPr>
          <w:p>
            <w:pPr>
              <w:pStyle w:val="TableParagraph"/>
              <w:spacing w:line="237" w:lineRule="exact" w:before="15"/>
              <w:ind w:left="744" w:right="737"/>
              <w:rPr>
                <w:rFonts w:ascii="Times New Roman"/>
                <w:sz w:val="21"/>
              </w:rPr>
            </w:pPr>
            <w:r>
              <w:rPr>
                <w:rFonts w:ascii="Times New Roman"/>
                <w:sz w:val="21"/>
              </w:rPr>
              <w:t>mg/kg</w:t>
            </w:r>
          </w:p>
        </w:tc>
        <w:tc>
          <w:tcPr>
            <w:tcW w:w="1002" w:type="dxa"/>
          </w:tcPr>
          <w:p>
            <w:pPr>
              <w:pStyle w:val="TableParagraph"/>
              <w:spacing w:line="237" w:lineRule="exact" w:before="15"/>
              <w:ind w:left="190" w:right="182"/>
              <w:rPr>
                <w:rFonts w:ascii="Times New Roman"/>
                <w:sz w:val="21"/>
              </w:rPr>
            </w:pPr>
            <w:r>
              <w:rPr>
                <w:rFonts w:ascii="Times New Roman"/>
                <w:sz w:val="21"/>
              </w:rPr>
              <w:t>2256</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硝基苯</w:t>
            </w:r>
          </w:p>
        </w:tc>
        <w:tc>
          <w:tcPr>
            <w:tcW w:w="2162" w:type="dxa"/>
          </w:tcPr>
          <w:p>
            <w:pPr>
              <w:pStyle w:val="TableParagraph"/>
              <w:spacing w:line="239" w:lineRule="exact" w:before="13"/>
              <w:ind w:left="744" w:right="737"/>
              <w:rPr>
                <w:rFonts w:ascii="Times New Roman"/>
                <w:sz w:val="21"/>
              </w:rPr>
            </w:pPr>
            <w:r>
              <w:rPr>
                <w:rFonts w:ascii="Times New Roman"/>
                <w:sz w:val="21"/>
              </w:rPr>
              <w:t>mg/kg</w:t>
            </w:r>
          </w:p>
        </w:tc>
        <w:tc>
          <w:tcPr>
            <w:tcW w:w="1002" w:type="dxa"/>
          </w:tcPr>
          <w:p>
            <w:pPr>
              <w:pStyle w:val="TableParagraph"/>
              <w:spacing w:line="239" w:lineRule="exact" w:before="13"/>
              <w:ind w:left="190" w:right="179"/>
              <w:rPr>
                <w:rFonts w:ascii="Times New Roman"/>
                <w:sz w:val="21"/>
              </w:rPr>
            </w:pPr>
            <w:r>
              <w:rPr>
                <w:rFonts w:ascii="Times New Roman"/>
                <w:sz w:val="21"/>
              </w:rPr>
              <w:t>0.076</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112" w:right="108"/>
              <w:rPr>
                <w:sz w:val="21"/>
              </w:rPr>
            </w:pPr>
            <w:r>
              <w:rPr>
                <w:sz w:val="21"/>
              </w:rPr>
              <w:t>苯胺</w:t>
            </w:r>
          </w:p>
        </w:tc>
        <w:tc>
          <w:tcPr>
            <w:tcW w:w="2162" w:type="dxa"/>
          </w:tcPr>
          <w:p>
            <w:pPr>
              <w:pStyle w:val="TableParagraph"/>
              <w:spacing w:line="237" w:lineRule="exact" w:before="14"/>
              <w:ind w:left="744" w:right="737"/>
              <w:rPr>
                <w:rFonts w:ascii="Times New Roman"/>
                <w:sz w:val="21"/>
              </w:rPr>
            </w:pPr>
            <w:r>
              <w:rPr>
                <w:rFonts w:ascii="Times New Roman"/>
                <w:sz w:val="21"/>
              </w:rPr>
              <w:t>mg/kg</w:t>
            </w:r>
          </w:p>
        </w:tc>
        <w:tc>
          <w:tcPr>
            <w:tcW w:w="1002" w:type="dxa"/>
          </w:tcPr>
          <w:p>
            <w:pPr>
              <w:pStyle w:val="TableParagraph"/>
              <w:spacing w:line="237" w:lineRule="exact" w:before="14"/>
              <w:ind w:left="190" w:right="182"/>
              <w:rPr>
                <w:rFonts w:ascii="Times New Roman"/>
                <w:sz w:val="21"/>
              </w:rPr>
            </w:pPr>
            <w:r>
              <w:rPr>
                <w:rFonts w:ascii="Times New Roman"/>
                <w:sz w:val="21"/>
              </w:rPr>
              <w:t>0.26</w:t>
            </w:r>
          </w:p>
        </w:tc>
      </w:tr>
      <w:tr>
        <w:trPr>
          <w:trHeight w:val="545"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before="2"/>
              <w:ind w:left="115" w:right="108"/>
              <w:rPr>
                <w:sz w:val="21"/>
              </w:rPr>
            </w:pPr>
            <w:r>
              <w:rPr>
                <w:sz w:val="21"/>
              </w:rPr>
              <w:t>石油烃（</w:t>
            </w:r>
            <w:r>
              <w:rPr>
                <w:rFonts w:ascii="Times New Roman" w:eastAsia="Times New Roman"/>
                <w:sz w:val="21"/>
              </w:rPr>
              <w:t>C10</w:t>
            </w:r>
            <w:r>
              <w:rPr>
                <w:sz w:val="21"/>
              </w:rPr>
              <w:t>～</w:t>
            </w:r>
          </w:p>
          <w:p>
            <w:pPr>
              <w:pStyle w:val="TableParagraph"/>
              <w:spacing w:line="252" w:lineRule="exact" w:before="2"/>
              <w:ind w:left="115" w:right="108"/>
              <w:rPr>
                <w:sz w:val="21"/>
              </w:rPr>
            </w:pPr>
            <w:r>
              <w:rPr>
                <w:rFonts w:ascii="Times New Roman" w:eastAsia="Times New Roman"/>
                <w:sz w:val="21"/>
              </w:rPr>
              <w:t>C40</w:t>
            </w:r>
            <w:r>
              <w:rPr>
                <w:sz w:val="21"/>
              </w:rPr>
              <w:t>）</w:t>
            </w:r>
          </w:p>
        </w:tc>
        <w:tc>
          <w:tcPr>
            <w:tcW w:w="2162" w:type="dxa"/>
          </w:tcPr>
          <w:p>
            <w:pPr>
              <w:pStyle w:val="TableParagraph"/>
              <w:spacing w:before="150"/>
              <w:ind w:left="744" w:right="737"/>
              <w:rPr>
                <w:rFonts w:ascii="Times New Roman"/>
                <w:sz w:val="21"/>
              </w:rPr>
            </w:pPr>
            <w:r>
              <w:rPr>
                <w:rFonts w:ascii="Times New Roman"/>
                <w:sz w:val="21"/>
              </w:rPr>
              <w:t>mg/kg</w:t>
            </w:r>
          </w:p>
        </w:tc>
        <w:tc>
          <w:tcPr>
            <w:tcW w:w="1002" w:type="dxa"/>
          </w:tcPr>
          <w:p>
            <w:pPr>
              <w:pStyle w:val="TableParagraph"/>
              <w:spacing w:before="150"/>
              <w:ind w:left="190" w:right="182"/>
              <w:rPr>
                <w:rFonts w:ascii="Times New Roman"/>
                <w:sz w:val="21"/>
              </w:rPr>
            </w:pPr>
            <w:r>
              <w:rPr>
                <w:rFonts w:ascii="Times New Roman"/>
                <w:sz w:val="21"/>
              </w:rPr>
              <w:t>4500</w:t>
            </w:r>
          </w:p>
        </w:tc>
      </w:tr>
      <w:tr>
        <w:trPr>
          <w:trHeight w:val="271" w:hRule="atLeast"/>
        </w:trPr>
        <w:tc>
          <w:tcPr>
            <w:tcW w:w="67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42" w:lineRule="auto" w:before="165"/>
              <w:ind w:left="127" w:right="117"/>
              <w:jc w:val="both"/>
              <w:rPr>
                <w:sz w:val="21"/>
              </w:rPr>
            </w:pPr>
            <w:r>
              <w:rPr>
                <w:sz w:val="21"/>
              </w:rPr>
              <w:t>矸石山淋溶液</w:t>
            </w:r>
          </w:p>
        </w:tc>
        <w:tc>
          <w:tcPr>
            <w:tcW w:w="2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23"/>
              </w:rPr>
            </w:pPr>
          </w:p>
          <w:p>
            <w:pPr>
              <w:pStyle w:val="TableParagraph"/>
              <w:ind w:left="87" w:right="53"/>
              <w:rPr>
                <w:sz w:val="21"/>
              </w:rPr>
            </w:pPr>
            <w:r>
              <w:rPr>
                <w:sz w:val="21"/>
              </w:rPr>
              <w:t>《煤炭工业污染物排放标准》</w:t>
            </w:r>
          </w:p>
          <w:p>
            <w:pPr>
              <w:pStyle w:val="TableParagraph"/>
              <w:spacing w:before="5"/>
              <w:ind w:left="119" w:right="112"/>
              <w:rPr>
                <w:sz w:val="21"/>
              </w:rPr>
            </w:pPr>
            <w:r>
              <w:rPr>
                <w:sz w:val="21"/>
              </w:rPr>
              <w:t>（</w:t>
            </w:r>
            <w:r>
              <w:rPr>
                <w:rFonts w:ascii="Times New Roman" w:eastAsia="Times New Roman"/>
                <w:sz w:val="21"/>
              </w:rPr>
              <w:t>GB20426-2006</w:t>
            </w:r>
            <w:r>
              <w:rPr>
                <w:sz w:val="21"/>
              </w:rPr>
              <w:t>）</w:t>
            </w:r>
          </w:p>
        </w:tc>
        <w:tc>
          <w:tcPr>
            <w:tcW w:w="1763" w:type="dxa"/>
          </w:tcPr>
          <w:p>
            <w:pPr>
              <w:pStyle w:val="TableParagraph"/>
              <w:spacing w:line="237" w:lineRule="exact" w:before="15"/>
              <w:ind w:left="114" w:right="108"/>
              <w:rPr>
                <w:rFonts w:ascii="Times New Roman"/>
                <w:sz w:val="21"/>
              </w:rPr>
            </w:pPr>
            <w:r>
              <w:rPr>
                <w:rFonts w:ascii="Times New Roman"/>
                <w:sz w:val="21"/>
              </w:rPr>
              <w:t>pH</w:t>
            </w:r>
          </w:p>
        </w:tc>
        <w:tc>
          <w:tcPr>
            <w:tcW w:w="2162" w:type="dxa"/>
          </w:tcPr>
          <w:p>
            <w:pPr>
              <w:pStyle w:val="TableParagraph"/>
              <w:spacing w:line="251" w:lineRule="exact" w:before="1"/>
              <w:ind w:left="744" w:right="738"/>
              <w:rPr>
                <w:sz w:val="21"/>
              </w:rPr>
            </w:pPr>
            <w:r>
              <w:rPr>
                <w:sz w:val="21"/>
              </w:rPr>
              <w:t>无量纲</w:t>
            </w:r>
          </w:p>
        </w:tc>
        <w:tc>
          <w:tcPr>
            <w:tcW w:w="1002" w:type="dxa"/>
          </w:tcPr>
          <w:p>
            <w:pPr>
              <w:pStyle w:val="TableParagraph"/>
              <w:spacing w:line="237" w:lineRule="exact" w:before="15"/>
              <w:ind w:left="190" w:right="184"/>
              <w:rPr>
                <w:rFonts w:ascii="Times New Roman"/>
                <w:sz w:val="21"/>
              </w:rPr>
            </w:pPr>
            <w:r>
              <w:rPr>
                <w:rFonts w:ascii="Times New Roman"/>
                <w:sz w:val="21"/>
              </w:rPr>
              <w:t>6~9</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112" w:right="108"/>
              <w:rPr>
                <w:sz w:val="21"/>
              </w:rPr>
            </w:pPr>
            <w:r>
              <w:rPr>
                <w:sz w:val="21"/>
              </w:rPr>
              <w:t>总汞</w:t>
            </w:r>
          </w:p>
        </w:tc>
        <w:tc>
          <w:tcPr>
            <w:tcW w:w="2162" w:type="dxa"/>
          </w:tcPr>
          <w:p>
            <w:pPr>
              <w:pStyle w:val="TableParagraph"/>
              <w:spacing w:before="11"/>
              <w:ind w:left="744" w:right="736"/>
              <w:rPr>
                <w:rFonts w:ascii="Times New Roman"/>
                <w:sz w:val="21"/>
              </w:rPr>
            </w:pPr>
            <w:r>
              <w:rPr>
                <w:rFonts w:ascii="Times New Roman"/>
                <w:sz w:val="21"/>
              </w:rPr>
              <w:t>mg/L</w:t>
            </w:r>
          </w:p>
        </w:tc>
        <w:tc>
          <w:tcPr>
            <w:tcW w:w="1002" w:type="dxa"/>
          </w:tcPr>
          <w:p>
            <w:pPr>
              <w:pStyle w:val="TableParagraph"/>
              <w:spacing w:line="239" w:lineRule="exact" w:before="14"/>
              <w:ind w:left="190" w:right="182"/>
              <w:rPr>
                <w:rFonts w:ascii="Times New Roman"/>
                <w:sz w:val="21"/>
              </w:rPr>
            </w:pPr>
            <w:r>
              <w:rPr>
                <w:rFonts w:ascii="Times New Roman"/>
                <w:sz w:val="21"/>
              </w:rPr>
              <w:t>0.05</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2" w:right="108"/>
              <w:rPr>
                <w:sz w:val="21"/>
              </w:rPr>
            </w:pPr>
            <w:r>
              <w:rPr>
                <w:sz w:val="21"/>
              </w:rPr>
              <w:t>总镉</w:t>
            </w:r>
          </w:p>
        </w:tc>
        <w:tc>
          <w:tcPr>
            <w:tcW w:w="2162" w:type="dxa"/>
          </w:tcPr>
          <w:p>
            <w:pPr>
              <w:pStyle w:val="TableParagraph"/>
              <w:spacing w:line="240" w:lineRule="exact" w:before="11"/>
              <w:ind w:left="744" w:right="736"/>
              <w:rPr>
                <w:rFonts w:ascii="Times New Roman"/>
                <w:sz w:val="21"/>
              </w:rPr>
            </w:pPr>
            <w:r>
              <w:rPr>
                <w:rFonts w:ascii="Times New Roman"/>
                <w:sz w:val="21"/>
              </w:rPr>
              <w:t>mg/L</w:t>
            </w:r>
          </w:p>
        </w:tc>
        <w:tc>
          <w:tcPr>
            <w:tcW w:w="1002" w:type="dxa"/>
          </w:tcPr>
          <w:p>
            <w:pPr>
              <w:pStyle w:val="TableParagraph"/>
              <w:spacing w:line="238" w:lineRule="exact" w:before="14"/>
              <w:ind w:left="190" w:right="182"/>
              <w:rPr>
                <w:rFonts w:ascii="Times New Roman"/>
                <w:sz w:val="21"/>
              </w:rPr>
            </w:pPr>
            <w:r>
              <w:rPr>
                <w:rFonts w:ascii="Times New Roman"/>
                <w:sz w:val="21"/>
              </w:rPr>
              <w:t>0.1</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2" w:right="108"/>
              <w:rPr>
                <w:sz w:val="21"/>
              </w:rPr>
            </w:pPr>
            <w:r>
              <w:rPr>
                <w:sz w:val="21"/>
              </w:rPr>
              <w:t>总铬</w:t>
            </w:r>
          </w:p>
        </w:tc>
        <w:tc>
          <w:tcPr>
            <w:tcW w:w="2162" w:type="dxa"/>
          </w:tcPr>
          <w:p>
            <w:pPr>
              <w:pStyle w:val="TableParagraph"/>
              <w:spacing w:line="239" w:lineRule="exact" w:before="13"/>
              <w:ind w:left="744" w:right="736"/>
              <w:rPr>
                <w:rFonts w:ascii="Times New Roman"/>
                <w:sz w:val="21"/>
              </w:rPr>
            </w:pPr>
            <w:r>
              <w:rPr>
                <w:rFonts w:ascii="Times New Roman"/>
                <w:sz w:val="21"/>
              </w:rPr>
              <w:t>mg/L</w:t>
            </w:r>
          </w:p>
        </w:tc>
        <w:tc>
          <w:tcPr>
            <w:tcW w:w="1002" w:type="dxa"/>
          </w:tcPr>
          <w:p>
            <w:pPr>
              <w:pStyle w:val="TableParagraph"/>
              <w:spacing w:line="237" w:lineRule="exact" w:before="15"/>
              <w:ind w:left="190" w:right="182"/>
              <w:rPr>
                <w:rFonts w:ascii="Times New Roman"/>
                <w:sz w:val="21"/>
              </w:rPr>
            </w:pPr>
            <w:r>
              <w:rPr>
                <w:rFonts w:ascii="Times New Roman"/>
                <w:sz w:val="21"/>
              </w:rPr>
              <w:t>1.5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117" w:right="108"/>
              <w:rPr>
                <w:sz w:val="21"/>
              </w:rPr>
            </w:pPr>
            <w:r>
              <w:rPr>
                <w:sz w:val="21"/>
              </w:rPr>
              <w:t>六价铬</w:t>
            </w:r>
          </w:p>
        </w:tc>
        <w:tc>
          <w:tcPr>
            <w:tcW w:w="2162" w:type="dxa"/>
          </w:tcPr>
          <w:p>
            <w:pPr>
              <w:pStyle w:val="TableParagraph"/>
              <w:spacing w:line="241" w:lineRule="exact" w:before="11"/>
              <w:ind w:left="744" w:right="736"/>
              <w:rPr>
                <w:rFonts w:ascii="Times New Roman"/>
                <w:sz w:val="21"/>
              </w:rPr>
            </w:pPr>
            <w:r>
              <w:rPr>
                <w:rFonts w:ascii="Times New Roman"/>
                <w:sz w:val="21"/>
              </w:rPr>
              <w:t>mg/L</w:t>
            </w:r>
          </w:p>
        </w:tc>
        <w:tc>
          <w:tcPr>
            <w:tcW w:w="1002" w:type="dxa"/>
          </w:tcPr>
          <w:p>
            <w:pPr>
              <w:pStyle w:val="TableParagraph"/>
              <w:spacing w:line="239" w:lineRule="exact" w:before="14"/>
              <w:ind w:left="190" w:right="182"/>
              <w:rPr>
                <w:rFonts w:ascii="Times New Roman"/>
                <w:sz w:val="21"/>
              </w:rPr>
            </w:pPr>
            <w:r>
              <w:rPr>
                <w:rFonts w:ascii="Times New Roman"/>
                <w:sz w:val="21"/>
              </w:rPr>
              <w:t>0.5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5" w:right="108"/>
              <w:rPr>
                <w:sz w:val="21"/>
              </w:rPr>
            </w:pPr>
            <w:r>
              <w:rPr>
                <w:sz w:val="21"/>
              </w:rPr>
              <w:t>总铅</w:t>
            </w:r>
          </w:p>
        </w:tc>
        <w:tc>
          <w:tcPr>
            <w:tcW w:w="2162" w:type="dxa"/>
          </w:tcPr>
          <w:p>
            <w:pPr>
              <w:pStyle w:val="TableParagraph"/>
              <w:spacing w:line="240" w:lineRule="exact" w:before="12"/>
              <w:ind w:left="744" w:right="736"/>
              <w:rPr>
                <w:rFonts w:ascii="Times New Roman"/>
                <w:sz w:val="21"/>
              </w:rPr>
            </w:pPr>
            <w:r>
              <w:rPr>
                <w:rFonts w:ascii="Times New Roman"/>
                <w:sz w:val="21"/>
              </w:rPr>
              <w:t>mg/L</w:t>
            </w:r>
          </w:p>
        </w:tc>
        <w:tc>
          <w:tcPr>
            <w:tcW w:w="1002" w:type="dxa"/>
          </w:tcPr>
          <w:p>
            <w:pPr>
              <w:pStyle w:val="TableParagraph"/>
              <w:spacing w:line="238" w:lineRule="exact" w:before="14"/>
              <w:ind w:left="190" w:right="182"/>
              <w:rPr>
                <w:rFonts w:ascii="Times New Roman"/>
                <w:sz w:val="21"/>
              </w:rPr>
            </w:pPr>
            <w:r>
              <w:rPr>
                <w:rFonts w:ascii="Times New Roman"/>
                <w:sz w:val="21"/>
              </w:rPr>
              <w:t>0.5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1"/>
              <w:ind w:left="112" w:right="108"/>
              <w:rPr>
                <w:sz w:val="21"/>
              </w:rPr>
            </w:pPr>
            <w:r>
              <w:rPr>
                <w:sz w:val="21"/>
              </w:rPr>
              <w:t>总砷</w:t>
            </w:r>
          </w:p>
        </w:tc>
        <w:tc>
          <w:tcPr>
            <w:tcW w:w="2162" w:type="dxa"/>
          </w:tcPr>
          <w:p>
            <w:pPr>
              <w:pStyle w:val="TableParagraph"/>
              <w:spacing w:line="239" w:lineRule="exact" w:before="13"/>
              <w:ind w:left="744" w:right="736"/>
              <w:rPr>
                <w:rFonts w:ascii="Times New Roman"/>
                <w:sz w:val="21"/>
              </w:rPr>
            </w:pPr>
            <w:r>
              <w:rPr>
                <w:rFonts w:ascii="Times New Roman"/>
                <w:sz w:val="21"/>
              </w:rPr>
              <w:t>mg/L</w:t>
            </w:r>
          </w:p>
        </w:tc>
        <w:tc>
          <w:tcPr>
            <w:tcW w:w="1002" w:type="dxa"/>
          </w:tcPr>
          <w:p>
            <w:pPr>
              <w:pStyle w:val="TableParagraph"/>
              <w:spacing w:line="236" w:lineRule="exact" w:before="15"/>
              <w:ind w:left="190" w:right="182"/>
              <w:rPr>
                <w:rFonts w:ascii="Times New Roman"/>
                <w:sz w:val="21"/>
              </w:rPr>
            </w:pPr>
            <w:r>
              <w:rPr>
                <w:rFonts w:ascii="Times New Roman"/>
                <w:sz w:val="21"/>
              </w:rPr>
              <w:t>0.5</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3" w:lineRule="exact"/>
              <w:ind w:left="112" w:right="108"/>
              <w:rPr>
                <w:sz w:val="21"/>
              </w:rPr>
            </w:pPr>
            <w:r>
              <w:rPr>
                <w:sz w:val="21"/>
              </w:rPr>
              <w:t>总锌</w:t>
            </w:r>
          </w:p>
        </w:tc>
        <w:tc>
          <w:tcPr>
            <w:tcW w:w="2162" w:type="dxa"/>
          </w:tcPr>
          <w:p>
            <w:pPr>
              <w:pStyle w:val="TableParagraph"/>
              <w:spacing w:line="241" w:lineRule="exact" w:before="12"/>
              <w:ind w:left="744" w:right="736"/>
              <w:rPr>
                <w:rFonts w:ascii="Times New Roman"/>
                <w:sz w:val="21"/>
              </w:rPr>
            </w:pPr>
            <w:r>
              <w:rPr>
                <w:rFonts w:ascii="Times New Roman"/>
                <w:sz w:val="21"/>
              </w:rPr>
              <w:t>mg/L</w:t>
            </w:r>
          </w:p>
        </w:tc>
        <w:tc>
          <w:tcPr>
            <w:tcW w:w="1002" w:type="dxa"/>
          </w:tcPr>
          <w:p>
            <w:pPr>
              <w:pStyle w:val="TableParagraph"/>
              <w:spacing w:line="239" w:lineRule="exact" w:before="14"/>
              <w:ind w:left="190" w:right="182"/>
              <w:rPr>
                <w:rFonts w:ascii="Times New Roman"/>
                <w:sz w:val="21"/>
              </w:rPr>
            </w:pPr>
            <w:r>
              <w:rPr>
                <w:rFonts w:ascii="Times New Roman"/>
                <w:sz w:val="21"/>
              </w:rPr>
              <w:t>2.0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117" w:right="108"/>
              <w:rPr>
                <w:sz w:val="21"/>
              </w:rPr>
            </w:pPr>
            <w:r>
              <w:rPr>
                <w:sz w:val="21"/>
              </w:rPr>
              <w:t>氟化物</w:t>
            </w:r>
          </w:p>
        </w:tc>
        <w:tc>
          <w:tcPr>
            <w:tcW w:w="2162" w:type="dxa"/>
          </w:tcPr>
          <w:p>
            <w:pPr>
              <w:pStyle w:val="TableParagraph"/>
              <w:spacing w:line="240" w:lineRule="exact" w:before="12"/>
              <w:ind w:left="744" w:right="736"/>
              <w:rPr>
                <w:rFonts w:ascii="Times New Roman"/>
                <w:sz w:val="21"/>
              </w:rPr>
            </w:pPr>
            <w:r>
              <w:rPr>
                <w:rFonts w:ascii="Times New Roman"/>
                <w:sz w:val="21"/>
              </w:rPr>
              <w:t>mg/L</w:t>
            </w:r>
          </w:p>
        </w:tc>
        <w:tc>
          <w:tcPr>
            <w:tcW w:w="1002" w:type="dxa"/>
          </w:tcPr>
          <w:p>
            <w:pPr>
              <w:pStyle w:val="TableParagraph"/>
              <w:spacing w:line="237" w:lineRule="exact" w:before="14"/>
              <w:ind w:left="190" w:right="182"/>
              <w:rPr>
                <w:rFonts w:ascii="Times New Roman"/>
                <w:sz w:val="21"/>
              </w:rPr>
            </w:pPr>
            <w:r>
              <w:rPr>
                <w:rFonts w:ascii="Times New Roman"/>
                <w:sz w:val="21"/>
              </w:rPr>
              <w:t>10</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1"/>
              <w:ind w:left="115" w:right="108"/>
              <w:rPr>
                <w:sz w:val="21"/>
              </w:rPr>
            </w:pPr>
            <w:r>
              <w:rPr>
                <w:sz w:val="21"/>
              </w:rPr>
              <w:t>总铜</w:t>
            </w:r>
          </w:p>
        </w:tc>
        <w:tc>
          <w:tcPr>
            <w:tcW w:w="2162" w:type="dxa"/>
          </w:tcPr>
          <w:p>
            <w:pPr>
              <w:pStyle w:val="TableParagraph"/>
              <w:spacing w:line="241" w:lineRule="exact" w:before="11"/>
              <w:ind w:left="744" w:right="736"/>
              <w:rPr>
                <w:rFonts w:ascii="Times New Roman"/>
                <w:sz w:val="21"/>
              </w:rPr>
            </w:pPr>
            <w:r>
              <w:rPr>
                <w:rFonts w:ascii="Times New Roman"/>
                <w:sz w:val="21"/>
              </w:rPr>
              <w:t>mg/L</w:t>
            </w:r>
          </w:p>
        </w:tc>
        <w:tc>
          <w:tcPr>
            <w:tcW w:w="1002" w:type="dxa"/>
          </w:tcPr>
          <w:p>
            <w:pPr>
              <w:pStyle w:val="TableParagraph"/>
              <w:spacing w:line="241" w:lineRule="exact" w:before="11"/>
              <w:ind w:left="10"/>
              <w:rPr>
                <w:rFonts w:ascii="Times New Roman"/>
                <w:sz w:val="21"/>
              </w:rPr>
            </w:pPr>
            <w:r>
              <w:rPr>
                <w:rFonts w:ascii="Times New Roman"/>
                <w:w w:val="99"/>
                <w:sz w:val="21"/>
              </w:rPr>
              <w:t>/</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7" w:right="108"/>
              <w:rPr>
                <w:sz w:val="21"/>
              </w:rPr>
            </w:pPr>
            <w:r>
              <w:rPr>
                <w:sz w:val="21"/>
              </w:rPr>
              <w:t>烷基汞</w:t>
            </w:r>
          </w:p>
        </w:tc>
        <w:tc>
          <w:tcPr>
            <w:tcW w:w="2162" w:type="dxa"/>
          </w:tcPr>
          <w:p>
            <w:pPr>
              <w:pStyle w:val="TableParagraph"/>
              <w:spacing w:line="241" w:lineRule="exact" w:before="12"/>
              <w:ind w:left="744" w:right="736"/>
              <w:rPr>
                <w:rFonts w:ascii="Times New Roman"/>
                <w:sz w:val="21"/>
              </w:rPr>
            </w:pPr>
            <w:r>
              <w:rPr>
                <w:rFonts w:ascii="Times New Roman"/>
                <w:sz w:val="21"/>
              </w:rPr>
              <w:t>mg/L</w:t>
            </w:r>
          </w:p>
        </w:tc>
        <w:tc>
          <w:tcPr>
            <w:tcW w:w="1002" w:type="dxa"/>
          </w:tcPr>
          <w:p>
            <w:pPr>
              <w:pStyle w:val="TableParagraph"/>
              <w:spacing w:line="241" w:lineRule="exact" w:before="12"/>
              <w:ind w:left="10"/>
              <w:rPr>
                <w:rFonts w:ascii="Times New Roman"/>
                <w:sz w:val="21"/>
              </w:rPr>
            </w:pPr>
            <w:r>
              <w:rPr>
                <w:rFonts w:ascii="Times New Roman"/>
                <w:w w:val="99"/>
                <w:sz w:val="21"/>
              </w:rPr>
              <w:t>/</w:t>
            </w:r>
          </w:p>
        </w:tc>
      </w:tr>
      <w:tr>
        <w:trPr>
          <w:trHeight w:val="272"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ind w:left="115" w:right="108"/>
              <w:rPr>
                <w:sz w:val="21"/>
              </w:rPr>
            </w:pPr>
            <w:r>
              <w:rPr>
                <w:sz w:val="21"/>
              </w:rPr>
              <w:t>总铍</w:t>
            </w:r>
          </w:p>
        </w:tc>
        <w:tc>
          <w:tcPr>
            <w:tcW w:w="2162" w:type="dxa"/>
          </w:tcPr>
          <w:p>
            <w:pPr>
              <w:pStyle w:val="TableParagraph"/>
              <w:spacing w:before="10"/>
              <w:ind w:left="744" w:right="736"/>
              <w:rPr>
                <w:rFonts w:ascii="Times New Roman"/>
                <w:sz w:val="21"/>
              </w:rPr>
            </w:pPr>
            <w:r>
              <w:rPr>
                <w:rFonts w:ascii="Times New Roman"/>
                <w:sz w:val="21"/>
              </w:rPr>
              <w:t>mg/L</w:t>
            </w:r>
          </w:p>
        </w:tc>
        <w:tc>
          <w:tcPr>
            <w:tcW w:w="1002" w:type="dxa"/>
          </w:tcPr>
          <w:p>
            <w:pPr>
              <w:pStyle w:val="TableParagraph"/>
              <w:spacing w:before="10"/>
              <w:ind w:left="10"/>
              <w:rPr>
                <w:rFonts w:ascii="Times New Roman"/>
                <w:sz w:val="21"/>
              </w:rPr>
            </w:pPr>
            <w:r>
              <w:rPr>
                <w:rFonts w:ascii="Times New Roman"/>
                <w:w w:val="99"/>
                <w:sz w:val="21"/>
              </w:rPr>
              <w:t>/</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0" w:lineRule="exact" w:before="2"/>
              <w:ind w:left="112" w:right="108"/>
              <w:rPr>
                <w:sz w:val="21"/>
              </w:rPr>
            </w:pPr>
            <w:r>
              <w:rPr>
                <w:sz w:val="21"/>
              </w:rPr>
              <w:t>总镍</w:t>
            </w:r>
          </w:p>
        </w:tc>
        <w:tc>
          <w:tcPr>
            <w:tcW w:w="2162" w:type="dxa"/>
          </w:tcPr>
          <w:p>
            <w:pPr>
              <w:pStyle w:val="TableParagraph"/>
              <w:spacing w:line="241" w:lineRule="exact" w:before="11"/>
              <w:ind w:left="744" w:right="736"/>
              <w:rPr>
                <w:rFonts w:ascii="Times New Roman"/>
                <w:sz w:val="21"/>
              </w:rPr>
            </w:pPr>
            <w:r>
              <w:rPr>
                <w:rFonts w:ascii="Times New Roman"/>
                <w:sz w:val="21"/>
              </w:rPr>
              <w:t>mg/L</w:t>
            </w:r>
          </w:p>
        </w:tc>
        <w:tc>
          <w:tcPr>
            <w:tcW w:w="1002" w:type="dxa"/>
          </w:tcPr>
          <w:p>
            <w:pPr>
              <w:pStyle w:val="TableParagraph"/>
              <w:spacing w:line="241" w:lineRule="exact" w:before="11"/>
              <w:ind w:left="10"/>
              <w:rPr>
                <w:rFonts w:ascii="Times New Roman"/>
                <w:sz w:val="21"/>
              </w:rPr>
            </w:pPr>
            <w:r>
              <w:rPr>
                <w:rFonts w:ascii="Times New Roman"/>
                <w:w w:val="99"/>
                <w:sz w:val="21"/>
              </w:rPr>
              <w:t>/</w:t>
            </w:r>
          </w:p>
        </w:tc>
      </w:tr>
      <w:tr>
        <w:trPr>
          <w:trHeight w:val="273"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2" w:lineRule="exact"/>
              <w:ind w:left="112" w:right="108"/>
              <w:rPr>
                <w:sz w:val="21"/>
              </w:rPr>
            </w:pPr>
            <w:r>
              <w:rPr>
                <w:sz w:val="21"/>
              </w:rPr>
              <w:t>总银</w:t>
            </w:r>
          </w:p>
        </w:tc>
        <w:tc>
          <w:tcPr>
            <w:tcW w:w="2162" w:type="dxa"/>
          </w:tcPr>
          <w:p>
            <w:pPr>
              <w:pStyle w:val="TableParagraph"/>
              <w:spacing w:line="241" w:lineRule="exact" w:before="12"/>
              <w:ind w:left="744" w:right="736"/>
              <w:rPr>
                <w:rFonts w:ascii="Times New Roman"/>
                <w:sz w:val="21"/>
              </w:rPr>
            </w:pPr>
            <w:r>
              <w:rPr>
                <w:rFonts w:ascii="Times New Roman"/>
                <w:sz w:val="21"/>
              </w:rPr>
              <w:t>mg/L</w:t>
            </w:r>
          </w:p>
        </w:tc>
        <w:tc>
          <w:tcPr>
            <w:tcW w:w="1002" w:type="dxa"/>
          </w:tcPr>
          <w:p>
            <w:pPr>
              <w:pStyle w:val="TableParagraph"/>
              <w:spacing w:line="241" w:lineRule="exact" w:before="12"/>
              <w:ind w:left="10"/>
              <w:rPr>
                <w:rFonts w:ascii="Times New Roman"/>
                <w:sz w:val="21"/>
              </w:rPr>
            </w:pPr>
            <w:r>
              <w:rPr>
                <w:rFonts w:ascii="Times New Roman"/>
                <w:w w:val="99"/>
                <w:sz w:val="21"/>
              </w:rPr>
              <w:t>/</w:t>
            </w:r>
          </w:p>
        </w:tc>
      </w:tr>
      <w:tr>
        <w:trPr>
          <w:trHeight w:val="271" w:hRule="atLeast"/>
        </w:trPr>
        <w:tc>
          <w:tcPr>
            <w:tcW w:w="675" w:type="dxa"/>
            <w:vMerge/>
            <w:tcBorders>
              <w:top w:val="nil"/>
            </w:tcBorders>
          </w:tcPr>
          <w:p>
            <w:pPr>
              <w:rPr>
                <w:sz w:val="2"/>
                <w:szCs w:val="2"/>
              </w:rPr>
            </w:pPr>
          </w:p>
        </w:tc>
        <w:tc>
          <w:tcPr>
            <w:tcW w:w="2920" w:type="dxa"/>
            <w:vMerge/>
            <w:tcBorders>
              <w:top w:val="nil"/>
            </w:tcBorders>
          </w:tcPr>
          <w:p>
            <w:pPr>
              <w:rPr>
                <w:sz w:val="2"/>
                <w:szCs w:val="2"/>
              </w:rPr>
            </w:pPr>
          </w:p>
        </w:tc>
        <w:tc>
          <w:tcPr>
            <w:tcW w:w="1763" w:type="dxa"/>
          </w:tcPr>
          <w:p>
            <w:pPr>
              <w:pStyle w:val="TableParagraph"/>
              <w:spacing w:line="251" w:lineRule="exact" w:before="1"/>
              <w:ind w:left="112" w:right="108"/>
              <w:rPr>
                <w:sz w:val="21"/>
              </w:rPr>
            </w:pPr>
            <w:r>
              <w:rPr>
                <w:sz w:val="21"/>
              </w:rPr>
              <w:t>总硒</w:t>
            </w:r>
          </w:p>
        </w:tc>
        <w:tc>
          <w:tcPr>
            <w:tcW w:w="2162" w:type="dxa"/>
          </w:tcPr>
          <w:p>
            <w:pPr>
              <w:pStyle w:val="TableParagraph"/>
              <w:spacing w:before="10"/>
              <w:ind w:left="744" w:right="736"/>
              <w:rPr>
                <w:rFonts w:ascii="Times New Roman"/>
                <w:sz w:val="21"/>
              </w:rPr>
            </w:pPr>
            <w:r>
              <w:rPr>
                <w:rFonts w:ascii="Times New Roman"/>
                <w:sz w:val="21"/>
              </w:rPr>
              <w:t>mg/L</w:t>
            </w:r>
          </w:p>
        </w:tc>
        <w:tc>
          <w:tcPr>
            <w:tcW w:w="1002" w:type="dxa"/>
          </w:tcPr>
          <w:p>
            <w:pPr>
              <w:pStyle w:val="TableParagraph"/>
              <w:spacing w:before="10"/>
              <w:ind w:left="10"/>
              <w:rPr>
                <w:rFonts w:ascii="Times New Roman"/>
                <w:sz w:val="21"/>
              </w:rPr>
            </w:pPr>
            <w:r>
              <w:rPr>
                <w:rFonts w:ascii="Times New Roman"/>
                <w:w w:val="99"/>
                <w:sz w:val="21"/>
              </w:rPr>
              <w:t>/</w:t>
            </w:r>
          </w:p>
        </w:tc>
      </w:tr>
    </w:tbl>
    <w:p>
      <w:pPr>
        <w:pStyle w:val="BodyText"/>
        <w:spacing w:before="8"/>
        <w:rPr>
          <w:b/>
          <w:sz w:val="6"/>
        </w:rPr>
      </w:pPr>
    </w:p>
    <w:p>
      <w:pPr>
        <w:tabs>
          <w:tab w:pos="1056" w:val="left" w:leader="none"/>
        </w:tabs>
        <w:spacing w:before="77" w:after="31"/>
        <w:ind w:left="17" w:right="0" w:firstLine="0"/>
        <w:jc w:val="center"/>
        <w:rPr>
          <w:b/>
          <w:sz w:val="24"/>
        </w:rPr>
      </w:pPr>
      <w:r>
        <w:rPr>
          <w:b/>
          <w:sz w:val="24"/>
        </w:rPr>
        <w:t>表</w:t>
      </w:r>
      <w:r>
        <w:rPr>
          <w:b/>
          <w:spacing w:val="-62"/>
          <w:sz w:val="24"/>
        </w:rPr>
        <w:t> </w:t>
      </w:r>
      <w:r>
        <w:rPr>
          <w:rFonts w:ascii="Times New Roman" w:eastAsia="Times New Roman"/>
          <w:b/>
          <w:sz w:val="24"/>
        </w:rPr>
        <w:t>2.3-2</w:t>
        <w:tab/>
      </w:r>
      <w:r>
        <w:rPr>
          <w:b/>
          <w:sz w:val="24"/>
        </w:rPr>
        <w:t>农用地土壤环境质量标准（单位：</w:t>
      </w:r>
      <w:r>
        <w:rPr>
          <w:rFonts w:ascii="Times New Roman" w:eastAsia="Times New Roman"/>
          <w:b/>
          <w:sz w:val="24"/>
        </w:rPr>
        <w:t>mg/kg</w:t>
      </w:r>
      <w:r>
        <w:rPr>
          <w:b/>
          <w:sz w:val="24"/>
        </w:rPr>
        <w:t>）</w:t>
      </w: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1530"/>
        <w:gridCol w:w="1381"/>
        <w:gridCol w:w="1381"/>
        <w:gridCol w:w="1381"/>
        <w:gridCol w:w="1383"/>
      </w:tblGrid>
      <w:tr>
        <w:trPr>
          <w:trHeight w:val="320" w:hRule="atLeast"/>
        </w:trPr>
        <w:tc>
          <w:tcPr>
            <w:tcW w:w="744" w:type="dxa"/>
            <w:vMerge w:val="restart"/>
          </w:tcPr>
          <w:p>
            <w:pPr>
              <w:pStyle w:val="TableParagraph"/>
              <w:spacing w:before="11"/>
              <w:jc w:val="left"/>
              <w:rPr>
                <w:b/>
                <w:sz w:val="28"/>
              </w:rPr>
            </w:pPr>
          </w:p>
          <w:p>
            <w:pPr>
              <w:pStyle w:val="TableParagraph"/>
              <w:spacing w:before="1"/>
              <w:ind w:left="161"/>
              <w:jc w:val="left"/>
              <w:rPr>
                <w:sz w:val="21"/>
              </w:rPr>
            </w:pPr>
            <w:r>
              <w:rPr>
                <w:sz w:val="21"/>
              </w:rPr>
              <w:t>序号</w:t>
            </w:r>
          </w:p>
        </w:tc>
        <w:tc>
          <w:tcPr>
            <w:tcW w:w="1530" w:type="dxa"/>
            <w:vMerge w:val="restart"/>
          </w:tcPr>
          <w:p>
            <w:pPr>
              <w:pStyle w:val="TableParagraph"/>
              <w:spacing w:before="11"/>
              <w:jc w:val="left"/>
              <w:rPr>
                <w:b/>
                <w:sz w:val="28"/>
              </w:rPr>
            </w:pPr>
          </w:p>
          <w:p>
            <w:pPr>
              <w:pStyle w:val="TableParagraph"/>
              <w:spacing w:before="1"/>
              <w:ind w:left="238"/>
              <w:jc w:val="left"/>
              <w:rPr>
                <w:sz w:val="21"/>
              </w:rPr>
            </w:pPr>
            <w:r>
              <w:rPr>
                <w:sz w:val="21"/>
              </w:rPr>
              <w:t>污染物项目</w:t>
            </w:r>
          </w:p>
        </w:tc>
        <w:tc>
          <w:tcPr>
            <w:tcW w:w="5526" w:type="dxa"/>
            <w:gridSpan w:val="4"/>
          </w:tcPr>
          <w:p>
            <w:pPr>
              <w:pStyle w:val="TableParagraph"/>
              <w:spacing w:line="253" w:lineRule="exact" w:before="46"/>
              <w:ind w:left="2216" w:right="2210"/>
              <w:rPr>
                <w:sz w:val="21"/>
              </w:rPr>
            </w:pPr>
            <w:r>
              <w:rPr>
                <w:sz w:val="21"/>
              </w:rPr>
              <w:t>风险筛选值</w:t>
            </w:r>
          </w:p>
        </w:tc>
      </w:tr>
      <w:tr>
        <w:trPr>
          <w:trHeight w:val="638" w:hRule="atLeast"/>
        </w:trPr>
        <w:tc>
          <w:tcPr>
            <w:tcW w:w="744" w:type="dxa"/>
            <w:vMerge/>
            <w:tcBorders>
              <w:top w:val="nil"/>
            </w:tcBorders>
          </w:tcPr>
          <w:p>
            <w:pPr>
              <w:rPr>
                <w:sz w:val="2"/>
                <w:szCs w:val="2"/>
              </w:rPr>
            </w:pPr>
          </w:p>
        </w:tc>
        <w:tc>
          <w:tcPr>
            <w:tcW w:w="1530" w:type="dxa"/>
            <w:vMerge/>
            <w:tcBorders>
              <w:top w:val="nil"/>
            </w:tcBorders>
          </w:tcPr>
          <w:p>
            <w:pPr>
              <w:rPr>
                <w:sz w:val="2"/>
                <w:szCs w:val="2"/>
              </w:rPr>
            </w:pPr>
          </w:p>
        </w:tc>
        <w:tc>
          <w:tcPr>
            <w:tcW w:w="1381" w:type="dxa"/>
          </w:tcPr>
          <w:p>
            <w:pPr>
              <w:pStyle w:val="TableParagraph"/>
              <w:spacing w:before="1"/>
              <w:jc w:val="left"/>
              <w:rPr>
                <w:b/>
                <w:sz w:val="16"/>
              </w:rPr>
            </w:pPr>
          </w:p>
          <w:p>
            <w:pPr>
              <w:pStyle w:val="TableParagraph"/>
              <w:ind w:left="326"/>
              <w:jc w:val="left"/>
              <w:rPr>
                <w:rFonts w:ascii="Times New Roman" w:hAnsi="Times New Roman"/>
                <w:sz w:val="21"/>
              </w:rPr>
            </w:pPr>
            <w:r>
              <w:rPr>
                <w:rFonts w:ascii="Times New Roman" w:hAnsi="Times New Roman"/>
                <w:sz w:val="21"/>
              </w:rPr>
              <w:t>pH</w:t>
            </w:r>
            <w:r>
              <w:rPr>
                <w:sz w:val="21"/>
              </w:rPr>
              <w:t>≤</w:t>
            </w:r>
            <w:r>
              <w:rPr>
                <w:rFonts w:ascii="Times New Roman" w:hAnsi="Times New Roman"/>
                <w:sz w:val="21"/>
              </w:rPr>
              <w:t>5.5</w:t>
            </w:r>
          </w:p>
        </w:tc>
        <w:tc>
          <w:tcPr>
            <w:tcW w:w="1381" w:type="dxa"/>
          </w:tcPr>
          <w:p>
            <w:pPr>
              <w:pStyle w:val="TableParagraph"/>
              <w:spacing w:before="45"/>
              <w:ind w:left="197" w:right="190"/>
              <w:rPr>
                <w:sz w:val="21"/>
              </w:rPr>
            </w:pPr>
            <w:r>
              <w:rPr>
                <w:rFonts w:ascii="Times New Roman" w:hAnsi="Times New Roman" w:eastAsia="Times New Roman"/>
                <w:sz w:val="21"/>
              </w:rPr>
              <w:t>5.5</w:t>
            </w:r>
            <w:r>
              <w:rPr>
                <w:sz w:val="21"/>
              </w:rPr>
              <w:t>＜</w:t>
            </w:r>
            <w:r>
              <w:rPr>
                <w:rFonts w:ascii="Times New Roman" w:hAnsi="Times New Roman" w:eastAsia="Times New Roman"/>
                <w:sz w:val="21"/>
              </w:rPr>
              <w:t>pH</w:t>
            </w:r>
            <w:r>
              <w:rPr>
                <w:sz w:val="21"/>
              </w:rPr>
              <w:t>≤</w:t>
            </w:r>
          </w:p>
          <w:p>
            <w:pPr>
              <w:pStyle w:val="TableParagraph"/>
              <w:spacing w:line="237" w:lineRule="exact" w:before="67"/>
              <w:ind w:left="198" w:right="190"/>
              <w:rPr>
                <w:rFonts w:ascii="Times New Roman"/>
                <w:sz w:val="21"/>
              </w:rPr>
            </w:pPr>
            <w:r>
              <w:rPr>
                <w:rFonts w:ascii="Times New Roman"/>
                <w:sz w:val="21"/>
              </w:rPr>
              <w:t>6.5</w:t>
            </w:r>
          </w:p>
        </w:tc>
        <w:tc>
          <w:tcPr>
            <w:tcW w:w="1381" w:type="dxa"/>
          </w:tcPr>
          <w:p>
            <w:pPr>
              <w:pStyle w:val="TableParagraph"/>
              <w:spacing w:before="45"/>
              <w:ind w:left="199" w:right="189"/>
              <w:rPr>
                <w:sz w:val="21"/>
              </w:rPr>
            </w:pPr>
            <w:r>
              <w:rPr>
                <w:rFonts w:ascii="Times New Roman" w:hAnsi="Times New Roman" w:eastAsia="Times New Roman"/>
                <w:sz w:val="21"/>
              </w:rPr>
              <w:t>6.5</w:t>
            </w:r>
            <w:r>
              <w:rPr>
                <w:sz w:val="21"/>
              </w:rPr>
              <w:t>＜</w:t>
            </w:r>
            <w:r>
              <w:rPr>
                <w:rFonts w:ascii="Times New Roman" w:hAnsi="Times New Roman" w:eastAsia="Times New Roman"/>
                <w:sz w:val="21"/>
              </w:rPr>
              <w:t>pH</w:t>
            </w:r>
            <w:r>
              <w:rPr>
                <w:sz w:val="21"/>
              </w:rPr>
              <w:t>≤</w:t>
            </w:r>
          </w:p>
          <w:p>
            <w:pPr>
              <w:pStyle w:val="TableParagraph"/>
              <w:spacing w:line="237" w:lineRule="exact" w:before="67"/>
              <w:ind w:left="199" w:right="188"/>
              <w:rPr>
                <w:rFonts w:ascii="Times New Roman"/>
                <w:sz w:val="21"/>
              </w:rPr>
            </w:pPr>
            <w:r>
              <w:rPr>
                <w:rFonts w:ascii="Times New Roman"/>
                <w:sz w:val="21"/>
              </w:rPr>
              <w:t>7.5</w:t>
            </w:r>
          </w:p>
        </w:tc>
        <w:tc>
          <w:tcPr>
            <w:tcW w:w="1383" w:type="dxa"/>
          </w:tcPr>
          <w:p>
            <w:pPr>
              <w:pStyle w:val="TableParagraph"/>
              <w:spacing w:before="1"/>
              <w:jc w:val="left"/>
              <w:rPr>
                <w:b/>
                <w:sz w:val="16"/>
              </w:rPr>
            </w:pPr>
          </w:p>
          <w:p>
            <w:pPr>
              <w:pStyle w:val="TableParagraph"/>
              <w:ind w:left="325"/>
              <w:jc w:val="left"/>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bl>
    <w:p>
      <w:pPr>
        <w:spacing w:after="0"/>
        <w:jc w:val="left"/>
        <w:rPr>
          <w:rFonts w:ascii="Times New Roman" w:eastAsia="Times New Roman"/>
          <w:sz w:val="21"/>
        </w:rPr>
        <w:sectPr>
          <w:pgSz w:w="11910" w:h="16840"/>
          <w:pgMar w:header="0" w:footer="913" w:top="1400" w:bottom="1100" w:left="940" w:right="94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720"/>
        <w:gridCol w:w="810"/>
        <w:gridCol w:w="1381"/>
        <w:gridCol w:w="1381"/>
        <w:gridCol w:w="1381"/>
        <w:gridCol w:w="1383"/>
      </w:tblGrid>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1</w:t>
            </w:r>
          </w:p>
        </w:tc>
        <w:tc>
          <w:tcPr>
            <w:tcW w:w="720" w:type="dxa"/>
            <w:vMerge w:val="restart"/>
          </w:tcPr>
          <w:p>
            <w:pPr>
              <w:pStyle w:val="TableParagraph"/>
              <w:spacing w:before="6"/>
              <w:jc w:val="left"/>
              <w:rPr>
                <w:b/>
                <w:sz w:val="16"/>
              </w:rPr>
            </w:pPr>
          </w:p>
          <w:p>
            <w:pPr>
              <w:pStyle w:val="TableParagraph"/>
              <w:ind w:left="10"/>
              <w:rPr>
                <w:sz w:val="21"/>
              </w:rPr>
            </w:pPr>
            <w:r>
              <w:rPr>
                <w:w w:val="99"/>
                <w:sz w:val="21"/>
              </w:rPr>
              <w:t>镉</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0.3</w:t>
            </w:r>
          </w:p>
        </w:tc>
        <w:tc>
          <w:tcPr>
            <w:tcW w:w="1381" w:type="dxa"/>
          </w:tcPr>
          <w:p>
            <w:pPr>
              <w:pStyle w:val="TableParagraph"/>
              <w:spacing w:line="240" w:lineRule="exact" w:before="59"/>
              <w:ind w:left="558"/>
              <w:jc w:val="left"/>
              <w:rPr>
                <w:rFonts w:ascii="Times New Roman"/>
                <w:sz w:val="21"/>
              </w:rPr>
            </w:pPr>
            <w:r>
              <w:rPr>
                <w:rFonts w:ascii="Times New Roman"/>
                <w:sz w:val="21"/>
              </w:rPr>
              <w:t>0.4</w:t>
            </w:r>
          </w:p>
        </w:tc>
        <w:tc>
          <w:tcPr>
            <w:tcW w:w="1381" w:type="dxa"/>
          </w:tcPr>
          <w:p>
            <w:pPr>
              <w:pStyle w:val="TableParagraph"/>
              <w:spacing w:line="240" w:lineRule="exact" w:before="59"/>
              <w:ind w:left="559"/>
              <w:jc w:val="left"/>
              <w:rPr>
                <w:rFonts w:ascii="Times New Roman"/>
                <w:sz w:val="21"/>
              </w:rPr>
            </w:pPr>
            <w:r>
              <w:rPr>
                <w:rFonts w:ascii="Times New Roman"/>
                <w:sz w:val="21"/>
              </w:rPr>
              <w:t>0.6</w:t>
            </w:r>
          </w:p>
        </w:tc>
        <w:tc>
          <w:tcPr>
            <w:tcW w:w="1383" w:type="dxa"/>
          </w:tcPr>
          <w:p>
            <w:pPr>
              <w:pStyle w:val="TableParagraph"/>
              <w:spacing w:line="240" w:lineRule="exact" w:before="59"/>
              <w:ind w:left="510" w:right="503"/>
              <w:rPr>
                <w:rFonts w:ascii="Times New Roman"/>
                <w:sz w:val="21"/>
              </w:rPr>
            </w:pPr>
            <w:r>
              <w:rPr>
                <w:rFonts w:ascii="Times New Roman"/>
                <w:sz w:val="21"/>
              </w:rPr>
              <w:t>0.8</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0.3</w:t>
            </w:r>
          </w:p>
        </w:tc>
        <w:tc>
          <w:tcPr>
            <w:tcW w:w="1381" w:type="dxa"/>
          </w:tcPr>
          <w:p>
            <w:pPr>
              <w:pStyle w:val="TableParagraph"/>
              <w:spacing w:line="239" w:lineRule="exact" w:before="60"/>
              <w:ind w:left="558"/>
              <w:jc w:val="left"/>
              <w:rPr>
                <w:rFonts w:ascii="Times New Roman"/>
                <w:sz w:val="21"/>
              </w:rPr>
            </w:pPr>
            <w:r>
              <w:rPr>
                <w:rFonts w:ascii="Times New Roman"/>
                <w:sz w:val="21"/>
              </w:rPr>
              <w:t>0.3</w:t>
            </w:r>
          </w:p>
        </w:tc>
        <w:tc>
          <w:tcPr>
            <w:tcW w:w="1381" w:type="dxa"/>
          </w:tcPr>
          <w:p>
            <w:pPr>
              <w:pStyle w:val="TableParagraph"/>
              <w:spacing w:line="239" w:lineRule="exact" w:before="60"/>
              <w:ind w:left="559"/>
              <w:jc w:val="left"/>
              <w:rPr>
                <w:rFonts w:ascii="Times New Roman"/>
                <w:sz w:val="21"/>
              </w:rPr>
            </w:pPr>
            <w:r>
              <w:rPr>
                <w:rFonts w:ascii="Times New Roman"/>
                <w:sz w:val="21"/>
              </w:rPr>
              <w:t>0.3</w:t>
            </w:r>
          </w:p>
        </w:tc>
        <w:tc>
          <w:tcPr>
            <w:tcW w:w="1383" w:type="dxa"/>
          </w:tcPr>
          <w:p>
            <w:pPr>
              <w:pStyle w:val="TableParagraph"/>
              <w:spacing w:line="239" w:lineRule="exact" w:before="60"/>
              <w:ind w:left="510" w:right="503"/>
              <w:rPr>
                <w:rFonts w:ascii="Times New Roman"/>
                <w:sz w:val="21"/>
              </w:rPr>
            </w:pPr>
            <w:r>
              <w:rPr>
                <w:rFonts w:ascii="Times New Roman"/>
                <w:sz w:val="21"/>
              </w:rPr>
              <w:t>0.6</w:t>
            </w:r>
          </w:p>
        </w:tc>
      </w:tr>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2</w:t>
            </w:r>
          </w:p>
        </w:tc>
        <w:tc>
          <w:tcPr>
            <w:tcW w:w="720" w:type="dxa"/>
            <w:vMerge w:val="restart"/>
          </w:tcPr>
          <w:p>
            <w:pPr>
              <w:pStyle w:val="TableParagraph"/>
              <w:spacing w:before="6"/>
              <w:jc w:val="left"/>
              <w:rPr>
                <w:b/>
                <w:sz w:val="16"/>
              </w:rPr>
            </w:pPr>
          </w:p>
          <w:p>
            <w:pPr>
              <w:pStyle w:val="TableParagraph"/>
              <w:ind w:left="10"/>
              <w:rPr>
                <w:sz w:val="21"/>
              </w:rPr>
            </w:pPr>
            <w:r>
              <w:rPr>
                <w:w w:val="99"/>
                <w:sz w:val="21"/>
              </w:rPr>
              <w:t>汞</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0.5</w:t>
            </w:r>
          </w:p>
        </w:tc>
        <w:tc>
          <w:tcPr>
            <w:tcW w:w="1381" w:type="dxa"/>
          </w:tcPr>
          <w:p>
            <w:pPr>
              <w:pStyle w:val="TableParagraph"/>
              <w:spacing w:line="240" w:lineRule="exact" w:before="59"/>
              <w:ind w:left="558"/>
              <w:jc w:val="left"/>
              <w:rPr>
                <w:rFonts w:ascii="Times New Roman"/>
                <w:sz w:val="21"/>
              </w:rPr>
            </w:pPr>
            <w:r>
              <w:rPr>
                <w:rFonts w:ascii="Times New Roman"/>
                <w:sz w:val="21"/>
              </w:rPr>
              <w:t>0.5</w:t>
            </w:r>
          </w:p>
        </w:tc>
        <w:tc>
          <w:tcPr>
            <w:tcW w:w="1381" w:type="dxa"/>
          </w:tcPr>
          <w:p>
            <w:pPr>
              <w:pStyle w:val="TableParagraph"/>
              <w:spacing w:line="240" w:lineRule="exact" w:before="59"/>
              <w:ind w:left="559"/>
              <w:jc w:val="left"/>
              <w:rPr>
                <w:rFonts w:ascii="Times New Roman"/>
                <w:sz w:val="21"/>
              </w:rPr>
            </w:pPr>
            <w:r>
              <w:rPr>
                <w:rFonts w:ascii="Times New Roman"/>
                <w:sz w:val="21"/>
              </w:rPr>
              <w:t>0.6</w:t>
            </w:r>
          </w:p>
        </w:tc>
        <w:tc>
          <w:tcPr>
            <w:tcW w:w="1383" w:type="dxa"/>
          </w:tcPr>
          <w:p>
            <w:pPr>
              <w:pStyle w:val="TableParagraph"/>
              <w:spacing w:line="240" w:lineRule="exact" w:before="59"/>
              <w:ind w:left="510" w:right="503"/>
              <w:rPr>
                <w:rFonts w:ascii="Times New Roman"/>
                <w:sz w:val="21"/>
              </w:rPr>
            </w:pPr>
            <w:r>
              <w:rPr>
                <w:rFonts w:ascii="Times New Roman"/>
                <w:sz w:val="21"/>
              </w:rPr>
              <w:t>1.0</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1.3</w:t>
            </w:r>
          </w:p>
        </w:tc>
        <w:tc>
          <w:tcPr>
            <w:tcW w:w="1381" w:type="dxa"/>
          </w:tcPr>
          <w:p>
            <w:pPr>
              <w:pStyle w:val="TableParagraph"/>
              <w:spacing w:line="239" w:lineRule="exact" w:before="60"/>
              <w:ind w:left="558"/>
              <w:jc w:val="left"/>
              <w:rPr>
                <w:rFonts w:ascii="Times New Roman"/>
                <w:sz w:val="21"/>
              </w:rPr>
            </w:pPr>
            <w:r>
              <w:rPr>
                <w:rFonts w:ascii="Times New Roman"/>
                <w:sz w:val="21"/>
              </w:rPr>
              <w:t>1.8</w:t>
            </w:r>
          </w:p>
        </w:tc>
        <w:tc>
          <w:tcPr>
            <w:tcW w:w="1381" w:type="dxa"/>
          </w:tcPr>
          <w:p>
            <w:pPr>
              <w:pStyle w:val="TableParagraph"/>
              <w:spacing w:line="239" w:lineRule="exact" w:before="60"/>
              <w:ind w:left="559"/>
              <w:jc w:val="left"/>
              <w:rPr>
                <w:rFonts w:ascii="Times New Roman"/>
                <w:sz w:val="21"/>
              </w:rPr>
            </w:pPr>
            <w:r>
              <w:rPr>
                <w:rFonts w:ascii="Times New Roman"/>
                <w:sz w:val="21"/>
              </w:rPr>
              <w:t>2.4</w:t>
            </w:r>
          </w:p>
        </w:tc>
        <w:tc>
          <w:tcPr>
            <w:tcW w:w="1383" w:type="dxa"/>
          </w:tcPr>
          <w:p>
            <w:pPr>
              <w:pStyle w:val="TableParagraph"/>
              <w:spacing w:line="239" w:lineRule="exact" w:before="60"/>
              <w:ind w:left="510" w:right="503"/>
              <w:rPr>
                <w:rFonts w:ascii="Times New Roman"/>
                <w:sz w:val="21"/>
              </w:rPr>
            </w:pPr>
            <w:r>
              <w:rPr>
                <w:rFonts w:ascii="Times New Roman"/>
                <w:sz w:val="21"/>
              </w:rPr>
              <w:t>3.4</w:t>
            </w:r>
          </w:p>
        </w:tc>
      </w:tr>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3</w:t>
            </w:r>
          </w:p>
        </w:tc>
        <w:tc>
          <w:tcPr>
            <w:tcW w:w="720" w:type="dxa"/>
            <w:vMerge w:val="restart"/>
          </w:tcPr>
          <w:p>
            <w:pPr>
              <w:pStyle w:val="TableParagraph"/>
              <w:spacing w:before="6"/>
              <w:jc w:val="left"/>
              <w:rPr>
                <w:b/>
                <w:sz w:val="16"/>
              </w:rPr>
            </w:pPr>
          </w:p>
          <w:p>
            <w:pPr>
              <w:pStyle w:val="TableParagraph"/>
              <w:ind w:left="10"/>
              <w:rPr>
                <w:sz w:val="21"/>
              </w:rPr>
            </w:pPr>
            <w:r>
              <w:rPr>
                <w:w w:val="99"/>
                <w:sz w:val="21"/>
              </w:rPr>
              <w:t>砷</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30</w:t>
            </w:r>
          </w:p>
        </w:tc>
        <w:tc>
          <w:tcPr>
            <w:tcW w:w="1381" w:type="dxa"/>
          </w:tcPr>
          <w:p>
            <w:pPr>
              <w:pStyle w:val="TableParagraph"/>
              <w:spacing w:line="240" w:lineRule="exact" w:before="59"/>
              <w:ind w:left="584"/>
              <w:jc w:val="left"/>
              <w:rPr>
                <w:rFonts w:ascii="Times New Roman"/>
                <w:sz w:val="21"/>
              </w:rPr>
            </w:pPr>
            <w:r>
              <w:rPr>
                <w:rFonts w:ascii="Times New Roman"/>
                <w:sz w:val="21"/>
              </w:rPr>
              <w:t>30</w:t>
            </w:r>
          </w:p>
        </w:tc>
        <w:tc>
          <w:tcPr>
            <w:tcW w:w="1381" w:type="dxa"/>
          </w:tcPr>
          <w:p>
            <w:pPr>
              <w:pStyle w:val="TableParagraph"/>
              <w:spacing w:line="240" w:lineRule="exact" w:before="59"/>
              <w:ind w:left="583"/>
              <w:jc w:val="left"/>
              <w:rPr>
                <w:rFonts w:ascii="Times New Roman"/>
                <w:sz w:val="21"/>
              </w:rPr>
            </w:pPr>
            <w:r>
              <w:rPr>
                <w:rFonts w:ascii="Times New Roman"/>
                <w:sz w:val="21"/>
              </w:rPr>
              <w:t>25</w:t>
            </w:r>
          </w:p>
        </w:tc>
        <w:tc>
          <w:tcPr>
            <w:tcW w:w="1383" w:type="dxa"/>
          </w:tcPr>
          <w:p>
            <w:pPr>
              <w:pStyle w:val="TableParagraph"/>
              <w:spacing w:line="240" w:lineRule="exact" w:before="59"/>
              <w:ind w:left="510" w:right="503"/>
              <w:rPr>
                <w:rFonts w:ascii="Times New Roman"/>
                <w:sz w:val="21"/>
              </w:rPr>
            </w:pPr>
            <w:r>
              <w:rPr>
                <w:rFonts w:ascii="Times New Roman"/>
                <w:sz w:val="21"/>
              </w:rPr>
              <w:t>20</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40</w:t>
            </w:r>
          </w:p>
        </w:tc>
        <w:tc>
          <w:tcPr>
            <w:tcW w:w="1381" w:type="dxa"/>
          </w:tcPr>
          <w:p>
            <w:pPr>
              <w:pStyle w:val="TableParagraph"/>
              <w:spacing w:line="239" w:lineRule="exact" w:before="60"/>
              <w:ind w:left="584"/>
              <w:jc w:val="left"/>
              <w:rPr>
                <w:rFonts w:ascii="Times New Roman"/>
                <w:sz w:val="21"/>
              </w:rPr>
            </w:pPr>
            <w:r>
              <w:rPr>
                <w:rFonts w:ascii="Times New Roman"/>
                <w:sz w:val="21"/>
              </w:rPr>
              <w:t>40</w:t>
            </w:r>
          </w:p>
        </w:tc>
        <w:tc>
          <w:tcPr>
            <w:tcW w:w="1381" w:type="dxa"/>
          </w:tcPr>
          <w:p>
            <w:pPr>
              <w:pStyle w:val="TableParagraph"/>
              <w:spacing w:line="239" w:lineRule="exact" w:before="60"/>
              <w:ind w:left="583"/>
              <w:jc w:val="left"/>
              <w:rPr>
                <w:rFonts w:ascii="Times New Roman"/>
                <w:sz w:val="21"/>
              </w:rPr>
            </w:pPr>
            <w:r>
              <w:rPr>
                <w:rFonts w:ascii="Times New Roman"/>
                <w:sz w:val="21"/>
              </w:rPr>
              <w:t>30</w:t>
            </w:r>
          </w:p>
        </w:tc>
        <w:tc>
          <w:tcPr>
            <w:tcW w:w="1383" w:type="dxa"/>
          </w:tcPr>
          <w:p>
            <w:pPr>
              <w:pStyle w:val="TableParagraph"/>
              <w:spacing w:line="239" w:lineRule="exact" w:before="60"/>
              <w:ind w:left="510" w:right="503"/>
              <w:rPr>
                <w:rFonts w:ascii="Times New Roman"/>
                <w:sz w:val="21"/>
              </w:rPr>
            </w:pPr>
            <w:r>
              <w:rPr>
                <w:rFonts w:ascii="Times New Roman"/>
                <w:sz w:val="21"/>
              </w:rPr>
              <w:t>25</w:t>
            </w:r>
          </w:p>
        </w:tc>
      </w:tr>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4</w:t>
            </w:r>
          </w:p>
        </w:tc>
        <w:tc>
          <w:tcPr>
            <w:tcW w:w="720" w:type="dxa"/>
            <w:vMerge w:val="restart"/>
          </w:tcPr>
          <w:p>
            <w:pPr>
              <w:pStyle w:val="TableParagraph"/>
              <w:spacing w:before="6"/>
              <w:jc w:val="left"/>
              <w:rPr>
                <w:b/>
                <w:sz w:val="16"/>
              </w:rPr>
            </w:pPr>
          </w:p>
          <w:p>
            <w:pPr>
              <w:pStyle w:val="TableParagraph"/>
              <w:ind w:left="10"/>
              <w:rPr>
                <w:sz w:val="21"/>
              </w:rPr>
            </w:pPr>
            <w:r>
              <w:rPr>
                <w:w w:val="99"/>
                <w:sz w:val="21"/>
              </w:rPr>
              <w:t>铅</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80</w:t>
            </w:r>
          </w:p>
        </w:tc>
        <w:tc>
          <w:tcPr>
            <w:tcW w:w="1381" w:type="dxa"/>
          </w:tcPr>
          <w:p>
            <w:pPr>
              <w:pStyle w:val="TableParagraph"/>
              <w:spacing w:line="240" w:lineRule="exact" w:before="59"/>
              <w:ind w:left="531"/>
              <w:jc w:val="left"/>
              <w:rPr>
                <w:rFonts w:ascii="Times New Roman"/>
                <w:sz w:val="21"/>
              </w:rPr>
            </w:pPr>
            <w:r>
              <w:rPr>
                <w:rFonts w:ascii="Times New Roman"/>
                <w:sz w:val="21"/>
              </w:rPr>
              <w:t>100</w:t>
            </w:r>
          </w:p>
        </w:tc>
        <w:tc>
          <w:tcPr>
            <w:tcW w:w="1381" w:type="dxa"/>
          </w:tcPr>
          <w:p>
            <w:pPr>
              <w:pStyle w:val="TableParagraph"/>
              <w:spacing w:line="240" w:lineRule="exact" w:before="59"/>
              <w:ind w:left="533"/>
              <w:jc w:val="left"/>
              <w:rPr>
                <w:rFonts w:ascii="Times New Roman"/>
                <w:sz w:val="21"/>
              </w:rPr>
            </w:pPr>
            <w:r>
              <w:rPr>
                <w:rFonts w:ascii="Times New Roman"/>
                <w:sz w:val="21"/>
              </w:rPr>
              <w:t>140</w:t>
            </w:r>
          </w:p>
        </w:tc>
        <w:tc>
          <w:tcPr>
            <w:tcW w:w="1383" w:type="dxa"/>
          </w:tcPr>
          <w:p>
            <w:pPr>
              <w:pStyle w:val="TableParagraph"/>
              <w:spacing w:line="240" w:lineRule="exact" w:before="59"/>
              <w:ind w:left="514" w:right="503"/>
              <w:rPr>
                <w:rFonts w:ascii="Times New Roman"/>
                <w:sz w:val="21"/>
              </w:rPr>
            </w:pPr>
            <w:r>
              <w:rPr>
                <w:rFonts w:ascii="Times New Roman"/>
                <w:sz w:val="21"/>
              </w:rPr>
              <w:t>240</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70</w:t>
            </w:r>
          </w:p>
        </w:tc>
        <w:tc>
          <w:tcPr>
            <w:tcW w:w="1381" w:type="dxa"/>
          </w:tcPr>
          <w:p>
            <w:pPr>
              <w:pStyle w:val="TableParagraph"/>
              <w:spacing w:line="239" w:lineRule="exact" w:before="60"/>
              <w:ind w:left="584"/>
              <w:jc w:val="left"/>
              <w:rPr>
                <w:rFonts w:ascii="Times New Roman"/>
                <w:sz w:val="21"/>
              </w:rPr>
            </w:pPr>
            <w:r>
              <w:rPr>
                <w:rFonts w:ascii="Times New Roman"/>
                <w:sz w:val="21"/>
              </w:rPr>
              <w:t>90</w:t>
            </w:r>
          </w:p>
        </w:tc>
        <w:tc>
          <w:tcPr>
            <w:tcW w:w="1381" w:type="dxa"/>
          </w:tcPr>
          <w:p>
            <w:pPr>
              <w:pStyle w:val="TableParagraph"/>
              <w:spacing w:line="239" w:lineRule="exact" w:before="60"/>
              <w:ind w:left="533"/>
              <w:jc w:val="left"/>
              <w:rPr>
                <w:rFonts w:ascii="Times New Roman"/>
                <w:sz w:val="21"/>
              </w:rPr>
            </w:pPr>
            <w:r>
              <w:rPr>
                <w:rFonts w:ascii="Times New Roman"/>
                <w:sz w:val="21"/>
              </w:rPr>
              <w:t>120</w:t>
            </w:r>
          </w:p>
        </w:tc>
        <w:tc>
          <w:tcPr>
            <w:tcW w:w="1383" w:type="dxa"/>
          </w:tcPr>
          <w:p>
            <w:pPr>
              <w:pStyle w:val="TableParagraph"/>
              <w:spacing w:line="239" w:lineRule="exact" w:before="60"/>
              <w:ind w:left="514" w:right="503"/>
              <w:rPr>
                <w:rFonts w:ascii="Times New Roman"/>
                <w:sz w:val="21"/>
              </w:rPr>
            </w:pPr>
            <w:r>
              <w:rPr>
                <w:rFonts w:ascii="Times New Roman"/>
                <w:sz w:val="21"/>
              </w:rPr>
              <w:t>170</w:t>
            </w:r>
          </w:p>
        </w:tc>
      </w:tr>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5</w:t>
            </w:r>
          </w:p>
        </w:tc>
        <w:tc>
          <w:tcPr>
            <w:tcW w:w="720" w:type="dxa"/>
            <w:vMerge w:val="restart"/>
          </w:tcPr>
          <w:p>
            <w:pPr>
              <w:pStyle w:val="TableParagraph"/>
              <w:spacing w:before="6"/>
              <w:jc w:val="left"/>
              <w:rPr>
                <w:b/>
                <w:sz w:val="16"/>
              </w:rPr>
            </w:pPr>
          </w:p>
          <w:p>
            <w:pPr>
              <w:pStyle w:val="TableParagraph"/>
              <w:ind w:left="10"/>
              <w:rPr>
                <w:sz w:val="21"/>
              </w:rPr>
            </w:pPr>
            <w:r>
              <w:rPr>
                <w:w w:val="99"/>
                <w:sz w:val="21"/>
              </w:rPr>
              <w:t>铬</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250</w:t>
            </w:r>
          </w:p>
        </w:tc>
        <w:tc>
          <w:tcPr>
            <w:tcW w:w="1381" w:type="dxa"/>
          </w:tcPr>
          <w:p>
            <w:pPr>
              <w:pStyle w:val="TableParagraph"/>
              <w:spacing w:line="240" w:lineRule="exact" w:before="59"/>
              <w:ind w:left="531"/>
              <w:jc w:val="left"/>
              <w:rPr>
                <w:rFonts w:ascii="Times New Roman"/>
                <w:sz w:val="21"/>
              </w:rPr>
            </w:pPr>
            <w:r>
              <w:rPr>
                <w:rFonts w:ascii="Times New Roman"/>
                <w:sz w:val="21"/>
              </w:rPr>
              <w:t>250</w:t>
            </w:r>
          </w:p>
        </w:tc>
        <w:tc>
          <w:tcPr>
            <w:tcW w:w="1381" w:type="dxa"/>
          </w:tcPr>
          <w:p>
            <w:pPr>
              <w:pStyle w:val="TableParagraph"/>
              <w:spacing w:line="240" w:lineRule="exact" w:before="59"/>
              <w:ind w:left="533"/>
              <w:jc w:val="left"/>
              <w:rPr>
                <w:rFonts w:ascii="Times New Roman"/>
                <w:sz w:val="21"/>
              </w:rPr>
            </w:pPr>
            <w:r>
              <w:rPr>
                <w:rFonts w:ascii="Times New Roman"/>
                <w:sz w:val="21"/>
              </w:rPr>
              <w:t>300</w:t>
            </w:r>
          </w:p>
        </w:tc>
        <w:tc>
          <w:tcPr>
            <w:tcW w:w="1383" w:type="dxa"/>
          </w:tcPr>
          <w:p>
            <w:pPr>
              <w:pStyle w:val="TableParagraph"/>
              <w:spacing w:line="240" w:lineRule="exact" w:before="59"/>
              <w:ind w:left="514" w:right="503"/>
              <w:rPr>
                <w:rFonts w:ascii="Times New Roman"/>
                <w:sz w:val="21"/>
              </w:rPr>
            </w:pPr>
            <w:r>
              <w:rPr>
                <w:rFonts w:ascii="Times New Roman"/>
                <w:sz w:val="21"/>
              </w:rPr>
              <w:t>350</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150</w:t>
            </w:r>
          </w:p>
        </w:tc>
        <w:tc>
          <w:tcPr>
            <w:tcW w:w="1381" w:type="dxa"/>
          </w:tcPr>
          <w:p>
            <w:pPr>
              <w:pStyle w:val="TableParagraph"/>
              <w:spacing w:line="239" w:lineRule="exact" w:before="60"/>
              <w:ind w:left="531"/>
              <w:jc w:val="left"/>
              <w:rPr>
                <w:rFonts w:ascii="Times New Roman"/>
                <w:sz w:val="21"/>
              </w:rPr>
            </w:pPr>
            <w:r>
              <w:rPr>
                <w:rFonts w:ascii="Times New Roman"/>
                <w:sz w:val="21"/>
              </w:rPr>
              <w:t>150</w:t>
            </w:r>
          </w:p>
        </w:tc>
        <w:tc>
          <w:tcPr>
            <w:tcW w:w="1381" w:type="dxa"/>
          </w:tcPr>
          <w:p>
            <w:pPr>
              <w:pStyle w:val="TableParagraph"/>
              <w:spacing w:line="239" w:lineRule="exact" w:before="60"/>
              <w:ind w:left="533"/>
              <w:jc w:val="left"/>
              <w:rPr>
                <w:rFonts w:ascii="Times New Roman"/>
                <w:sz w:val="21"/>
              </w:rPr>
            </w:pPr>
            <w:r>
              <w:rPr>
                <w:rFonts w:ascii="Times New Roman"/>
                <w:sz w:val="21"/>
              </w:rPr>
              <w:t>200</w:t>
            </w:r>
          </w:p>
        </w:tc>
        <w:tc>
          <w:tcPr>
            <w:tcW w:w="1383" w:type="dxa"/>
          </w:tcPr>
          <w:p>
            <w:pPr>
              <w:pStyle w:val="TableParagraph"/>
              <w:spacing w:line="239" w:lineRule="exact" w:before="60"/>
              <w:ind w:left="514" w:right="503"/>
              <w:rPr>
                <w:rFonts w:ascii="Times New Roman"/>
                <w:sz w:val="21"/>
              </w:rPr>
            </w:pPr>
            <w:r>
              <w:rPr>
                <w:rFonts w:ascii="Times New Roman"/>
                <w:sz w:val="21"/>
              </w:rPr>
              <w:t>250</w:t>
            </w:r>
          </w:p>
        </w:tc>
      </w:tr>
      <w:tr>
        <w:trPr>
          <w:trHeight w:val="320" w:hRule="atLeast"/>
        </w:trPr>
        <w:tc>
          <w:tcPr>
            <w:tcW w:w="744" w:type="dxa"/>
            <w:vMerge w:val="restart"/>
          </w:tcPr>
          <w:p>
            <w:pPr>
              <w:pStyle w:val="TableParagraph"/>
              <w:spacing w:before="7"/>
              <w:jc w:val="left"/>
              <w:rPr>
                <w:b/>
                <w:sz w:val="17"/>
              </w:rPr>
            </w:pPr>
          </w:p>
          <w:p>
            <w:pPr>
              <w:pStyle w:val="TableParagraph"/>
              <w:ind w:left="6"/>
              <w:rPr>
                <w:rFonts w:ascii="Times New Roman"/>
                <w:sz w:val="21"/>
              </w:rPr>
            </w:pPr>
            <w:r>
              <w:rPr>
                <w:rFonts w:ascii="Times New Roman"/>
                <w:w w:val="99"/>
                <w:sz w:val="21"/>
              </w:rPr>
              <w:t>6</w:t>
            </w:r>
          </w:p>
        </w:tc>
        <w:tc>
          <w:tcPr>
            <w:tcW w:w="720" w:type="dxa"/>
            <w:vMerge w:val="restart"/>
          </w:tcPr>
          <w:p>
            <w:pPr>
              <w:pStyle w:val="TableParagraph"/>
              <w:spacing w:before="6"/>
              <w:jc w:val="left"/>
              <w:rPr>
                <w:b/>
                <w:sz w:val="16"/>
              </w:rPr>
            </w:pPr>
          </w:p>
          <w:p>
            <w:pPr>
              <w:pStyle w:val="TableParagraph"/>
              <w:ind w:left="10"/>
              <w:rPr>
                <w:sz w:val="21"/>
              </w:rPr>
            </w:pPr>
            <w:r>
              <w:rPr>
                <w:w w:val="99"/>
                <w:sz w:val="21"/>
              </w:rPr>
              <w:t>铜</w:t>
            </w:r>
          </w:p>
        </w:tc>
        <w:tc>
          <w:tcPr>
            <w:tcW w:w="810" w:type="dxa"/>
          </w:tcPr>
          <w:p>
            <w:pPr>
              <w:pStyle w:val="TableParagraph"/>
              <w:spacing w:line="254" w:lineRule="exact" w:before="45"/>
              <w:ind w:left="174" w:right="166"/>
              <w:rPr>
                <w:sz w:val="21"/>
              </w:rPr>
            </w:pPr>
            <w:r>
              <w:rPr>
                <w:sz w:val="21"/>
              </w:rPr>
              <w:t>水田</w:t>
            </w:r>
          </w:p>
        </w:tc>
        <w:tc>
          <w:tcPr>
            <w:tcW w:w="1381" w:type="dxa"/>
          </w:tcPr>
          <w:p>
            <w:pPr>
              <w:pStyle w:val="TableParagraph"/>
              <w:spacing w:line="240" w:lineRule="exact" w:before="59"/>
              <w:ind w:left="199" w:right="189"/>
              <w:rPr>
                <w:rFonts w:ascii="Times New Roman"/>
                <w:sz w:val="21"/>
              </w:rPr>
            </w:pPr>
            <w:r>
              <w:rPr>
                <w:rFonts w:ascii="Times New Roman"/>
                <w:sz w:val="21"/>
              </w:rPr>
              <w:t>150</w:t>
            </w:r>
          </w:p>
        </w:tc>
        <w:tc>
          <w:tcPr>
            <w:tcW w:w="1381" w:type="dxa"/>
          </w:tcPr>
          <w:p>
            <w:pPr>
              <w:pStyle w:val="TableParagraph"/>
              <w:spacing w:line="240" w:lineRule="exact" w:before="59"/>
              <w:ind w:left="531"/>
              <w:jc w:val="left"/>
              <w:rPr>
                <w:rFonts w:ascii="Times New Roman"/>
                <w:sz w:val="21"/>
              </w:rPr>
            </w:pPr>
            <w:r>
              <w:rPr>
                <w:rFonts w:ascii="Times New Roman"/>
                <w:sz w:val="21"/>
              </w:rPr>
              <w:t>150</w:t>
            </w:r>
          </w:p>
        </w:tc>
        <w:tc>
          <w:tcPr>
            <w:tcW w:w="1381" w:type="dxa"/>
          </w:tcPr>
          <w:p>
            <w:pPr>
              <w:pStyle w:val="TableParagraph"/>
              <w:spacing w:line="240" w:lineRule="exact" w:before="59"/>
              <w:ind w:left="533"/>
              <w:jc w:val="left"/>
              <w:rPr>
                <w:rFonts w:ascii="Times New Roman"/>
                <w:sz w:val="21"/>
              </w:rPr>
            </w:pPr>
            <w:r>
              <w:rPr>
                <w:rFonts w:ascii="Times New Roman"/>
                <w:sz w:val="21"/>
              </w:rPr>
              <w:t>200</w:t>
            </w:r>
          </w:p>
        </w:tc>
        <w:tc>
          <w:tcPr>
            <w:tcW w:w="1383" w:type="dxa"/>
          </w:tcPr>
          <w:p>
            <w:pPr>
              <w:pStyle w:val="TableParagraph"/>
              <w:spacing w:line="240" w:lineRule="exact" w:before="59"/>
              <w:ind w:left="514" w:right="503"/>
              <w:rPr>
                <w:rFonts w:ascii="Times New Roman"/>
                <w:sz w:val="21"/>
              </w:rPr>
            </w:pPr>
            <w:r>
              <w:rPr>
                <w:rFonts w:ascii="Times New Roman"/>
                <w:sz w:val="21"/>
              </w:rPr>
              <w:t>200</w:t>
            </w:r>
          </w:p>
        </w:tc>
      </w:tr>
      <w:tr>
        <w:trPr>
          <w:trHeight w:val="320" w:hRule="atLeast"/>
        </w:trPr>
        <w:tc>
          <w:tcPr>
            <w:tcW w:w="744" w:type="dxa"/>
            <w:vMerge/>
            <w:tcBorders>
              <w:top w:val="nil"/>
            </w:tcBorders>
          </w:tcPr>
          <w:p>
            <w:pPr>
              <w:rPr>
                <w:sz w:val="2"/>
                <w:szCs w:val="2"/>
              </w:rPr>
            </w:pPr>
          </w:p>
        </w:tc>
        <w:tc>
          <w:tcPr>
            <w:tcW w:w="720" w:type="dxa"/>
            <w:vMerge/>
            <w:tcBorders>
              <w:top w:val="nil"/>
            </w:tcBorders>
          </w:tcPr>
          <w:p>
            <w:pPr>
              <w:rPr>
                <w:sz w:val="2"/>
                <w:szCs w:val="2"/>
              </w:rPr>
            </w:pPr>
          </w:p>
        </w:tc>
        <w:tc>
          <w:tcPr>
            <w:tcW w:w="810" w:type="dxa"/>
          </w:tcPr>
          <w:p>
            <w:pPr>
              <w:pStyle w:val="TableParagraph"/>
              <w:spacing w:line="253" w:lineRule="exact" w:before="47"/>
              <w:ind w:left="174" w:right="166"/>
              <w:rPr>
                <w:sz w:val="21"/>
              </w:rPr>
            </w:pPr>
            <w:r>
              <w:rPr>
                <w:sz w:val="21"/>
              </w:rPr>
              <w:t>其他</w:t>
            </w:r>
          </w:p>
        </w:tc>
        <w:tc>
          <w:tcPr>
            <w:tcW w:w="1381" w:type="dxa"/>
          </w:tcPr>
          <w:p>
            <w:pPr>
              <w:pStyle w:val="TableParagraph"/>
              <w:spacing w:line="239" w:lineRule="exact" w:before="60"/>
              <w:ind w:left="199" w:right="189"/>
              <w:rPr>
                <w:rFonts w:ascii="Times New Roman"/>
                <w:sz w:val="21"/>
              </w:rPr>
            </w:pPr>
            <w:r>
              <w:rPr>
                <w:rFonts w:ascii="Times New Roman"/>
                <w:sz w:val="21"/>
              </w:rPr>
              <w:t>50</w:t>
            </w:r>
          </w:p>
        </w:tc>
        <w:tc>
          <w:tcPr>
            <w:tcW w:w="1381" w:type="dxa"/>
          </w:tcPr>
          <w:p>
            <w:pPr>
              <w:pStyle w:val="TableParagraph"/>
              <w:spacing w:line="239" w:lineRule="exact" w:before="60"/>
              <w:ind w:left="584"/>
              <w:jc w:val="left"/>
              <w:rPr>
                <w:rFonts w:ascii="Times New Roman"/>
                <w:sz w:val="21"/>
              </w:rPr>
            </w:pPr>
            <w:r>
              <w:rPr>
                <w:rFonts w:ascii="Times New Roman"/>
                <w:sz w:val="21"/>
              </w:rPr>
              <w:t>50</w:t>
            </w:r>
          </w:p>
        </w:tc>
        <w:tc>
          <w:tcPr>
            <w:tcW w:w="1381" w:type="dxa"/>
          </w:tcPr>
          <w:p>
            <w:pPr>
              <w:pStyle w:val="TableParagraph"/>
              <w:spacing w:line="239" w:lineRule="exact" w:before="60"/>
              <w:ind w:left="533"/>
              <w:jc w:val="left"/>
              <w:rPr>
                <w:rFonts w:ascii="Times New Roman"/>
                <w:sz w:val="21"/>
              </w:rPr>
            </w:pPr>
            <w:r>
              <w:rPr>
                <w:rFonts w:ascii="Times New Roman"/>
                <w:sz w:val="21"/>
              </w:rPr>
              <w:t>100</w:t>
            </w:r>
          </w:p>
        </w:tc>
        <w:tc>
          <w:tcPr>
            <w:tcW w:w="1383" w:type="dxa"/>
          </w:tcPr>
          <w:p>
            <w:pPr>
              <w:pStyle w:val="TableParagraph"/>
              <w:spacing w:line="239" w:lineRule="exact" w:before="60"/>
              <w:ind w:left="514" w:right="503"/>
              <w:rPr>
                <w:rFonts w:ascii="Times New Roman"/>
                <w:sz w:val="21"/>
              </w:rPr>
            </w:pPr>
            <w:r>
              <w:rPr>
                <w:rFonts w:ascii="Times New Roman"/>
                <w:sz w:val="21"/>
              </w:rPr>
              <w:t>100</w:t>
            </w:r>
          </w:p>
        </w:tc>
      </w:tr>
      <w:tr>
        <w:trPr>
          <w:trHeight w:val="320" w:hRule="atLeast"/>
        </w:trPr>
        <w:tc>
          <w:tcPr>
            <w:tcW w:w="744" w:type="dxa"/>
          </w:tcPr>
          <w:p>
            <w:pPr>
              <w:pStyle w:val="TableParagraph"/>
              <w:spacing w:line="240" w:lineRule="exact" w:before="59"/>
              <w:ind w:left="6"/>
              <w:rPr>
                <w:rFonts w:ascii="Times New Roman"/>
                <w:sz w:val="21"/>
              </w:rPr>
            </w:pPr>
            <w:r>
              <w:rPr>
                <w:rFonts w:ascii="Times New Roman"/>
                <w:w w:val="99"/>
                <w:sz w:val="21"/>
              </w:rPr>
              <w:t>7</w:t>
            </w:r>
          </w:p>
        </w:tc>
        <w:tc>
          <w:tcPr>
            <w:tcW w:w="1530" w:type="dxa"/>
            <w:gridSpan w:val="2"/>
          </w:tcPr>
          <w:p>
            <w:pPr>
              <w:pStyle w:val="TableParagraph"/>
              <w:spacing w:line="254" w:lineRule="exact" w:before="45"/>
              <w:ind w:left="6"/>
              <w:rPr>
                <w:sz w:val="21"/>
              </w:rPr>
            </w:pPr>
            <w:r>
              <w:rPr>
                <w:w w:val="99"/>
                <w:sz w:val="21"/>
              </w:rPr>
              <w:t>镍</w:t>
            </w:r>
          </w:p>
        </w:tc>
        <w:tc>
          <w:tcPr>
            <w:tcW w:w="1381" w:type="dxa"/>
          </w:tcPr>
          <w:p>
            <w:pPr>
              <w:pStyle w:val="TableParagraph"/>
              <w:spacing w:line="240" w:lineRule="exact" w:before="59"/>
              <w:ind w:left="199" w:right="189"/>
              <w:rPr>
                <w:rFonts w:ascii="Times New Roman"/>
                <w:sz w:val="21"/>
              </w:rPr>
            </w:pPr>
            <w:r>
              <w:rPr>
                <w:rFonts w:ascii="Times New Roman"/>
                <w:sz w:val="21"/>
              </w:rPr>
              <w:t>60</w:t>
            </w:r>
          </w:p>
        </w:tc>
        <w:tc>
          <w:tcPr>
            <w:tcW w:w="1381" w:type="dxa"/>
          </w:tcPr>
          <w:p>
            <w:pPr>
              <w:pStyle w:val="TableParagraph"/>
              <w:spacing w:line="240" w:lineRule="exact" w:before="59"/>
              <w:ind w:left="584"/>
              <w:jc w:val="left"/>
              <w:rPr>
                <w:rFonts w:ascii="Times New Roman"/>
                <w:sz w:val="21"/>
              </w:rPr>
            </w:pPr>
            <w:r>
              <w:rPr>
                <w:rFonts w:ascii="Times New Roman"/>
                <w:sz w:val="21"/>
              </w:rPr>
              <w:t>70</w:t>
            </w:r>
          </w:p>
        </w:tc>
        <w:tc>
          <w:tcPr>
            <w:tcW w:w="1381" w:type="dxa"/>
          </w:tcPr>
          <w:p>
            <w:pPr>
              <w:pStyle w:val="TableParagraph"/>
              <w:spacing w:line="240" w:lineRule="exact" w:before="59"/>
              <w:ind w:left="533"/>
              <w:jc w:val="left"/>
              <w:rPr>
                <w:rFonts w:ascii="Times New Roman"/>
                <w:sz w:val="21"/>
              </w:rPr>
            </w:pPr>
            <w:r>
              <w:rPr>
                <w:rFonts w:ascii="Times New Roman"/>
                <w:sz w:val="21"/>
              </w:rPr>
              <w:t>100</w:t>
            </w:r>
          </w:p>
        </w:tc>
        <w:tc>
          <w:tcPr>
            <w:tcW w:w="1383" w:type="dxa"/>
          </w:tcPr>
          <w:p>
            <w:pPr>
              <w:pStyle w:val="TableParagraph"/>
              <w:spacing w:line="240" w:lineRule="exact" w:before="59"/>
              <w:ind w:left="514" w:right="503"/>
              <w:rPr>
                <w:rFonts w:ascii="Times New Roman"/>
                <w:sz w:val="21"/>
              </w:rPr>
            </w:pPr>
            <w:r>
              <w:rPr>
                <w:rFonts w:ascii="Times New Roman"/>
                <w:sz w:val="21"/>
              </w:rPr>
              <w:t>190</w:t>
            </w:r>
          </w:p>
        </w:tc>
      </w:tr>
      <w:tr>
        <w:trPr>
          <w:trHeight w:val="320" w:hRule="atLeast"/>
        </w:trPr>
        <w:tc>
          <w:tcPr>
            <w:tcW w:w="744" w:type="dxa"/>
          </w:tcPr>
          <w:p>
            <w:pPr>
              <w:pStyle w:val="TableParagraph"/>
              <w:spacing w:line="239" w:lineRule="exact" w:before="60"/>
              <w:ind w:left="6"/>
              <w:rPr>
                <w:rFonts w:ascii="Times New Roman"/>
                <w:sz w:val="21"/>
              </w:rPr>
            </w:pPr>
            <w:r>
              <w:rPr>
                <w:rFonts w:ascii="Times New Roman"/>
                <w:w w:val="99"/>
                <w:sz w:val="21"/>
              </w:rPr>
              <w:t>8</w:t>
            </w:r>
          </w:p>
        </w:tc>
        <w:tc>
          <w:tcPr>
            <w:tcW w:w="1530" w:type="dxa"/>
            <w:gridSpan w:val="2"/>
          </w:tcPr>
          <w:p>
            <w:pPr>
              <w:pStyle w:val="TableParagraph"/>
              <w:spacing w:line="253" w:lineRule="exact" w:before="47"/>
              <w:ind w:left="6"/>
              <w:rPr>
                <w:sz w:val="21"/>
              </w:rPr>
            </w:pPr>
            <w:r>
              <w:rPr>
                <w:w w:val="99"/>
                <w:sz w:val="21"/>
              </w:rPr>
              <w:t>锌</w:t>
            </w:r>
          </w:p>
        </w:tc>
        <w:tc>
          <w:tcPr>
            <w:tcW w:w="1381" w:type="dxa"/>
          </w:tcPr>
          <w:p>
            <w:pPr>
              <w:pStyle w:val="TableParagraph"/>
              <w:spacing w:line="239" w:lineRule="exact" w:before="60"/>
              <w:ind w:left="199" w:right="189"/>
              <w:rPr>
                <w:rFonts w:ascii="Times New Roman"/>
                <w:sz w:val="21"/>
              </w:rPr>
            </w:pPr>
            <w:r>
              <w:rPr>
                <w:rFonts w:ascii="Times New Roman"/>
                <w:sz w:val="21"/>
              </w:rPr>
              <w:t>200</w:t>
            </w:r>
          </w:p>
        </w:tc>
        <w:tc>
          <w:tcPr>
            <w:tcW w:w="1381" w:type="dxa"/>
          </w:tcPr>
          <w:p>
            <w:pPr>
              <w:pStyle w:val="TableParagraph"/>
              <w:spacing w:line="239" w:lineRule="exact" w:before="60"/>
              <w:ind w:left="531"/>
              <w:jc w:val="left"/>
              <w:rPr>
                <w:rFonts w:ascii="Times New Roman"/>
                <w:sz w:val="21"/>
              </w:rPr>
            </w:pPr>
            <w:r>
              <w:rPr>
                <w:rFonts w:ascii="Times New Roman"/>
                <w:sz w:val="21"/>
              </w:rPr>
              <w:t>200</w:t>
            </w:r>
          </w:p>
        </w:tc>
        <w:tc>
          <w:tcPr>
            <w:tcW w:w="1381" w:type="dxa"/>
          </w:tcPr>
          <w:p>
            <w:pPr>
              <w:pStyle w:val="TableParagraph"/>
              <w:spacing w:line="239" w:lineRule="exact" w:before="60"/>
              <w:ind w:left="533"/>
              <w:jc w:val="left"/>
              <w:rPr>
                <w:rFonts w:ascii="Times New Roman"/>
                <w:sz w:val="21"/>
              </w:rPr>
            </w:pPr>
            <w:r>
              <w:rPr>
                <w:rFonts w:ascii="Times New Roman"/>
                <w:sz w:val="21"/>
              </w:rPr>
              <w:t>250</w:t>
            </w:r>
          </w:p>
        </w:tc>
        <w:tc>
          <w:tcPr>
            <w:tcW w:w="1383" w:type="dxa"/>
          </w:tcPr>
          <w:p>
            <w:pPr>
              <w:pStyle w:val="TableParagraph"/>
              <w:spacing w:line="239" w:lineRule="exact" w:before="60"/>
              <w:ind w:left="514" w:right="503"/>
              <w:rPr>
                <w:rFonts w:ascii="Times New Roman"/>
                <w:sz w:val="21"/>
              </w:rPr>
            </w:pPr>
            <w:r>
              <w:rPr>
                <w:rFonts w:ascii="Times New Roman"/>
                <w:sz w:val="21"/>
              </w:rPr>
              <w:t>300</w:t>
            </w:r>
          </w:p>
        </w:tc>
      </w:tr>
      <w:tr>
        <w:trPr>
          <w:trHeight w:val="640" w:hRule="atLeast"/>
        </w:trPr>
        <w:tc>
          <w:tcPr>
            <w:tcW w:w="7800" w:type="dxa"/>
            <w:gridSpan w:val="7"/>
          </w:tcPr>
          <w:p>
            <w:pPr>
              <w:pStyle w:val="TableParagraph"/>
              <w:spacing w:before="45"/>
              <w:ind w:left="106"/>
              <w:jc w:val="left"/>
              <w:rPr>
                <w:sz w:val="21"/>
              </w:rPr>
            </w:pPr>
            <w:r>
              <w:rPr>
                <w:sz w:val="21"/>
              </w:rPr>
              <w:t>注：①重金属和类金属砷均按元素总量计。</w:t>
            </w:r>
          </w:p>
          <w:p>
            <w:pPr>
              <w:pStyle w:val="TableParagraph"/>
              <w:spacing w:line="253" w:lineRule="exact" w:before="53"/>
              <w:ind w:left="526"/>
              <w:jc w:val="left"/>
              <w:rPr>
                <w:sz w:val="21"/>
              </w:rPr>
            </w:pPr>
            <w:r>
              <w:rPr>
                <w:sz w:val="21"/>
              </w:rPr>
              <w:t>②对于水旱轮作地，采用其中较严格的风险筛选值。</w:t>
            </w:r>
          </w:p>
        </w:tc>
      </w:tr>
    </w:tbl>
    <w:p>
      <w:pPr>
        <w:pStyle w:val="BodyText"/>
        <w:rPr>
          <w:b/>
          <w:sz w:val="20"/>
        </w:rPr>
      </w:pPr>
    </w:p>
    <w:p>
      <w:pPr>
        <w:pStyle w:val="BodyText"/>
        <w:spacing w:before="5"/>
        <w:rPr>
          <w:b/>
          <w:sz w:val="14"/>
        </w:rPr>
      </w:pPr>
    </w:p>
    <w:p>
      <w:pPr>
        <w:tabs>
          <w:tab w:pos="1524" w:val="left" w:leader="none"/>
        </w:tabs>
        <w:spacing w:before="77" w:after="2"/>
        <w:ind w:left="485" w:right="0" w:firstLine="0"/>
        <w:jc w:val="center"/>
        <w:rPr>
          <w:b/>
          <w:sz w:val="24"/>
        </w:rPr>
      </w:pPr>
      <w:r>
        <w:rPr>
          <w:b/>
          <w:sz w:val="24"/>
        </w:rPr>
        <w:t>表</w:t>
      </w:r>
      <w:r>
        <w:rPr>
          <w:b/>
          <w:spacing w:val="-62"/>
          <w:sz w:val="24"/>
        </w:rPr>
        <w:t> </w:t>
      </w:r>
      <w:r>
        <w:rPr>
          <w:rFonts w:ascii="Times New Roman" w:eastAsia="Times New Roman"/>
          <w:b/>
          <w:sz w:val="24"/>
        </w:rPr>
        <w:t>2.3-3</w:t>
        <w:tab/>
      </w:r>
      <w:r>
        <w:rPr>
          <w:b/>
          <w:sz w:val="24"/>
        </w:rPr>
        <w:t>污染物排放标准</w:t>
      </w: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
        <w:gridCol w:w="4238"/>
        <w:gridCol w:w="1209"/>
        <w:gridCol w:w="979"/>
        <w:gridCol w:w="521"/>
        <w:gridCol w:w="909"/>
      </w:tblGrid>
      <w:tr>
        <w:trPr>
          <w:trHeight w:val="272" w:hRule="atLeast"/>
        </w:trPr>
        <w:tc>
          <w:tcPr>
            <w:tcW w:w="666" w:type="dxa"/>
            <w:vMerge w:val="restart"/>
          </w:tcPr>
          <w:p>
            <w:pPr>
              <w:pStyle w:val="TableParagraph"/>
              <w:spacing w:before="140"/>
              <w:ind w:left="122"/>
              <w:jc w:val="left"/>
              <w:rPr>
                <w:sz w:val="21"/>
              </w:rPr>
            </w:pPr>
            <w:r>
              <w:rPr>
                <w:sz w:val="21"/>
              </w:rPr>
              <w:t>类别</w:t>
            </w:r>
          </w:p>
        </w:tc>
        <w:tc>
          <w:tcPr>
            <w:tcW w:w="4238" w:type="dxa"/>
            <w:vMerge w:val="restart"/>
          </w:tcPr>
          <w:p>
            <w:pPr>
              <w:pStyle w:val="TableParagraph"/>
              <w:spacing w:before="140"/>
              <w:ind w:left="1068"/>
              <w:jc w:val="left"/>
              <w:rPr>
                <w:sz w:val="21"/>
              </w:rPr>
            </w:pPr>
            <w:r>
              <w:rPr>
                <w:sz w:val="21"/>
              </w:rPr>
              <w:t>标准名称及级（类）别</w:t>
            </w:r>
          </w:p>
        </w:tc>
        <w:tc>
          <w:tcPr>
            <w:tcW w:w="1209" w:type="dxa"/>
            <w:vMerge w:val="restart"/>
          </w:tcPr>
          <w:p>
            <w:pPr>
              <w:pStyle w:val="TableParagraph"/>
              <w:spacing w:before="140"/>
              <w:ind w:left="183"/>
              <w:jc w:val="left"/>
              <w:rPr>
                <w:sz w:val="21"/>
              </w:rPr>
            </w:pPr>
            <w:r>
              <w:rPr>
                <w:sz w:val="21"/>
              </w:rPr>
              <w:t>污染因子</w:t>
            </w:r>
          </w:p>
        </w:tc>
        <w:tc>
          <w:tcPr>
            <w:tcW w:w="2409" w:type="dxa"/>
            <w:gridSpan w:val="3"/>
          </w:tcPr>
          <w:p>
            <w:pPr>
              <w:pStyle w:val="TableParagraph"/>
              <w:spacing w:line="252" w:lineRule="exact" w:before="1"/>
              <w:ind w:left="867" w:right="862"/>
              <w:rPr>
                <w:sz w:val="21"/>
              </w:rPr>
            </w:pPr>
            <w:r>
              <w:rPr>
                <w:sz w:val="21"/>
              </w:rPr>
              <w:t>标准值</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vMerge/>
            <w:tcBorders>
              <w:top w:val="nil"/>
            </w:tcBorders>
          </w:tcPr>
          <w:p>
            <w:pPr>
              <w:rPr>
                <w:sz w:val="2"/>
                <w:szCs w:val="2"/>
              </w:rPr>
            </w:pPr>
          </w:p>
        </w:tc>
        <w:tc>
          <w:tcPr>
            <w:tcW w:w="979" w:type="dxa"/>
          </w:tcPr>
          <w:p>
            <w:pPr>
              <w:pStyle w:val="TableParagraph"/>
              <w:spacing w:line="251" w:lineRule="exact" w:before="1"/>
              <w:ind w:left="154" w:right="145"/>
              <w:rPr>
                <w:sz w:val="21"/>
              </w:rPr>
            </w:pPr>
            <w:r>
              <w:rPr>
                <w:sz w:val="21"/>
              </w:rPr>
              <w:t>单 位</w:t>
            </w:r>
          </w:p>
        </w:tc>
        <w:tc>
          <w:tcPr>
            <w:tcW w:w="1430" w:type="dxa"/>
            <w:gridSpan w:val="2"/>
          </w:tcPr>
          <w:p>
            <w:pPr>
              <w:pStyle w:val="TableParagraph"/>
              <w:spacing w:line="251" w:lineRule="exact" w:before="1"/>
              <w:ind w:left="481" w:right="476"/>
              <w:rPr>
                <w:sz w:val="21"/>
              </w:rPr>
            </w:pPr>
            <w:r>
              <w:rPr>
                <w:sz w:val="21"/>
              </w:rPr>
              <w:t>数值</w:t>
            </w:r>
          </w:p>
        </w:tc>
      </w:tr>
      <w:tr>
        <w:trPr>
          <w:trHeight w:val="333" w:hRule="atLeast"/>
        </w:trPr>
        <w:tc>
          <w:tcPr>
            <w:tcW w:w="666"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15"/>
              </w:rPr>
            </w:pPr>
          </w:p>
          <w:p>
            <w:pPr>
              <w:pStyle w:val="TableParagraph"/>
              <w:ind w:left="122"/>
              <w:jc w:val="left"/>
              <w:rPr>
                <w:sz w:val="21"/>
              </w:rPr>
            </w:pPr>
            <w:r>
              <w:rPr>
                <w:sz w:val="21"/>
              </w:rPr>
              <w:t>废气</w:t>
            </w:r>
          </w:p>
        </w:tc>
        <w:tc>
          <w:tcPr>
            <w:tcW w:w="4238" w:type="dxa"/>
            <w:vMerge w:val="restart"/>
          </w:tcPr>
          <w:p>
            <w:pPr>
              <w:pStyle w:val="TableParagraph"/>
              <w:jc w:val="left"/>
              <w:rPr>
                <w:b/>
                <w:sz w:val="20"/>
              </w:rPr>
            </w:pPr>
          </w:p>
          <w:p>
            <w:pPr>
              <w:pStyle w:val="TableParagraph"/>
              <w:ind w:left="102" w:right="95"/>
              <w:rPr>
                <w:sz w:val="21"/>
              </w:rPr>
            </w:pPr>
            <w:r>
              <w:rPr>
                <w:sz w:val="21"/>
              </w:rPr>
              <w:t>锅炉参照执行《锅炉大气污染物排放标准》</w:t>
            </w:r>
          </w:p>
          <w:p>
            <w:pPr>
              <w:pStyle w:val="TableParagraph"/>
              <w:spacing w:before="2"/>
              <w:ind w:left="102" w:right="95"/>
              <w:rPr>
                <w:sz w:val="21"/>
              </w:rPr>
            </w:pPr>
            <w:r>
              <w:rPr>
                <w:sz w:val="21"/>
              </w:rPr>
              <w:t>（</w:t>
            </w:r>
            <w:r>
              <w:rPr>
                <w:rFonts w:ascii="Times New Roman" w:eastAsia="Times New Roman"/>
                <w:sz w:val="21"/>
              </w:rPr>
              <w:t>GB13271-2014</w:t>
            </w:r>
            <w:r>
              <w:rPr>
                <w:sz w:val="21"/>
              </w:rPr>
              <w:t>）表 </w:t>
            </w:r>
            <w:r>
              <w:rPr>
                <w:rFonts w:ascii="Times New Roman" w:eastAsia="Times New Roman"/>
                <w:sz w:val="21"/>
              </w:rPr>
              <w:t>2 </w:t>
            </w:r>
            <w:r>
              <w:rPr>
                <w:sz w:val="21"/>
              </w:rPr>
              <w:t>燃煤锅炉标准</w:t>
            </w:r>
          </w:p>
        </w:tc>
        <w:tc>
          <w:tcPr>
            <w:tcW w:w="1209" w:type="dxa"/>
          </w:tcPr>
          <w:p>
            <w:pPr>
              <w:pStyle w:val="TableParagraph"/>
              <w:spacing w:before="31"/>
              <w:ind w:left="53" w:right="50"/>
              <w:rPr>
                <w:sz w:val="21"/>
              </w:rPr>
            </w:pPr>
            <w:r>
              <w:rPr>
                <w:sz w:val="21"/>
              </w:rPr>
              <w:t>烟尘</w:t>
            </w:r>
          </w:p>
        </w:tc>
        <w:tc>
          <w:tcPr>
            <w:tcW w:w="979" w:type="dxa"/>
            <w:vMerge w:val="restart"/>
          </w:tcPr>
          <w:p>
            <w:pPr>
              <w:pStyle w:val="TableParagraph"/>
              <w:spacing w:before="10"/>
              <w:jc w:val="left"/>
              <w:rPr>
                <w:b/>
                <w:sz w:val="31"/>
              </w:rPr>
            </w:pPr>
          </w:p>
          <w:p>
            <w:pPr>
              <w:pStyle w:val="TableParagraph"/>
              <w:ind w:left="210"/>
              <w:jc w:val="left"/>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before="45"/>
              <w:ind w:left="482" w:right="474"/>
              <w:rPr>
                <w:rFonts w:ascii="Times New Roman"/>
                <w:sz w:val="21"/>
              </w:rPr>
            </w:pPr>
            <w:r>
              <w:rPr>
                <w:rFonts w:ascii="Times New Roman"/>
                <w:sz w:val="21"/>
              </w:rPr>
              <w:t>50</w:t>
            </w:r>
          </w:p>
        </w:tc>
      </w:tr>
      <w:tr>
        <w:trPr>
          <w:trHeight w:val="35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tcPr>
          <w:p>
            <w:pPr>
              <w:pStyle w:val="TableParagraph"/>
              <w:spacing w:before="50"/>
              <w:ind w:left="58" w:right="49"/>
              <w:rPr>
                <w:rFonts w:ascii="Times New Roman"/>
                <w:sz w:val="21"/>
              </w:rPr>
            </w:pPr>
            <w:r>
              <w:rPr>
                <w:rFonts w:ascii="Times New Roman"/>
                <w:position w:val="2"/>
                <w:sz w:val="21"/>
              </w:rPr>
              <w:t>SO</w:t>
            </w:r>
            <w:r>
              <w:rPr>
                <w:rFonts w:ascii="Times New Roman"/>
                <w:position w:val="2"/>
                <w:sz w:val="21"/>
                <w:vertAlign w:val="subscript"/>
              </w:rPr>
              <w:t>2</w:t>
            </w:r>
          </w:p>
        </w:tc>
        <w:tc>
          <w:tcPr>
            <w:tcW w:w="979" w:type="dxa"/>
            <w:vMerge/>
            <w:tcBorders>
              <w:top w:val="nil"/>
            </w:tcBorders>
          </w:tcPr>
          <w:p>
            <w:pPr>
              <w:rPr>
                <w:sz w:val="2"/>
                <w:szCs w:val="2"/>
              </w:rPr>
            </w:pPr>
          </w:p>
        </w:tc>
        <w:tc>
          <w:tcPr>
            <w:tcW w:w="1430" w:type="dxa"/>
            <w:gridSpan w:val="2"/>
          </w:tcPr>
          <w:p>
            <w:pPr>
              <w:pStyle w:val="TableParagraph"/>
              <w:spacing w:before="54"/>
              <w:ind w:left="482" w:right="474"/>
              <w:rPr>
                <w:rFonts w:ascii="Times New Roman"/>
                <w:sz w:val="21"/>
              </w:rPr>
            </w:pPr>
            <w:r>
              <w:rPr>
                <w:rFonts w:ascii="Times New Roman"/>
                <w:sz w:val="21"/>
              </w:rPr>
              <w:t>300</w:t>
            </w:r>
          </w:p>
        </w:tc>
      </w:tr>
      <w:tr>
        <w:trPr>
          <w:trHeight w:val="353"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tcPr>
          <w:p>
            <w:pPr>
              <w:pStyle w:val="TableParagraph"/>
              <w:spacing w:before="53"/>
              <w:ind w:left="57" w:right="50"/>
              <w:rPr>
                <w:rFonts w:ascii="Times New Roman"/>
                <w:sz w:val="21"/>
              </w:rPr>
            </w:pPr>
            <w:r>
              <w:rPr>
                <w:rFonts w:ascii="Times New Roman"/>
                <w:sz w:val="21"/>
              </w:rPr>
              <w:t>NOx</w:t>
            </w:r>
          </w:p>
        </w:tc>
        <w:tc>
          <w:tcPr>
            <w:tcW w:w="979" w:type="dxa"/>
            <w:vMerge/>
            <w:tcBorders>
              <w:top w:val="nil"/>
            </w:tcBorders>
          </w:tcPr>
          <w:p>
            <w:pPr>
              <w:rPr>
                <w:sz w:val="2"/>
                <w:szCs w:val="2"/>
              </w:rPr>
            </w:pPr>
          </w:p>
        </w:tc>
        <w:tc>
          <w:tcPr>
            <w:tcW w:w="1430" w:type="dxa"/>
            <w:gridSpan w:val="2"/>
          </w:tcPr>
          <w:p>
            <w:pPr>
              <w:pStyle w:val="TableParagraph"/>
              <w:spacing w:before="53"/>
              <w:ind w:left="482" w:right="474"/>
              <w:rPr>
                <w:rFonts w:ascii="Times New Roman"/>
                <w:sz w:val="21"/>
              </w:rPr>
            </w:pPr>
            <w:r>
              <w:rPr>
                <w:rFonts w:ascii="Times New Roman"/>
                <w:sz w:val="21"/>
              </w:rPr>
              <w:t>300</w:t>
            </w:r>
          </w:p>
        </w:tc>
      </w:tr>
      <w:tr>
        <w:trPr>
          <w:trHeight w:val="545" w:hRule="atLeast"/>
        </w:trPr>
        <w:tc>
          <w:tcPr>
            <w:tcW w:w="666" w:type="dxa"/>
            <w:vMerge/>
            <w:tcBorders>
              <w:top w:val="nil"/>
            </w:tcBorders>
          </w:tcPr>
          <w:p>
            <w:pPr>
              <w:rPr>
                <w:sz w:val="2"/>
                <w:szCs w:val="2"/>
              </w:rPr>
            </w:pPr>
          </w:p>
        </w:tc>
        <w:tc>
          <w:tcPr>
            <w:tcW w:w="4238" w:type="dxa"/>
          </w:tcPr>
          <w:p>
            <w:pPr>
              <w:pStyle w:val="TableParagraph"/>
              <w:ind w:left="102" w:right="92"/>
              <w:rPr>
                <w:sz w:val="21"/>
              </w:rPr>
            </w:pPr>
            <w:r>
              <w:rPr>
                <w:sz w:val="21"/>
              </w:rPr>
              <w:t>《煤炭工业污染物排放标准》</w:t>
            </w:r>
          </w:p>
          <w:p>
            <w:pPr>
              <w:pStyle w:val="TableParagraph"/>
              <w:spacing w:line="253" w:lineRule="exact" w:before="2"/>
              <w:ind w:left="102" w:right="92"/>
              <w:rPr>
                <w:sz w:val="21"/>
              </w:rPr>
            </w:pPr>
            <w:r>
              <w:rPr>
                <w:sz w:val="21"/>
              </w:rPr>
              <w:t>（</w:t>
            </w:r>
            <w:r>
              <w:rPr>
                <w:rFonts w:ascii="Times New Roman" w:eastAsia="Times New Roman"/>
                <w:sz w:val="21"/>
              </w:rPr>
              <w:t>GB20426-2006</w:t>
            </w:r>
            <w:r>
              <w:rPr>
                <w:sz w:val="21"/>
              </w:rPr>
              <w:t>）表 </w:t>
            </w:r>
            <w:r>
              <w:rPr>
                <w:rFonts w:ascii="Times New Roman" w:eastAsia="Times New Roman"/>
                <w:sz w:val="21"/>
              </w:rPr>
              <w:t>4 </w:t>
            </w:r>
            <w:r>
              <w:rPr>
                <w:sz w:val="21"/>
              </w:rPr>
              <w:t>标准限值</w:t>
            </w:r>
          </w:p>
        </w:tc>
        <w:tc>
          <w:tcPr>
            <w:tcW w:w="1209" w:type="dxa"/>
          </w:tcPr>
          <w:p>
            <w:pPr>
              <w:pStyle w:val="TableParagraph"/>
              <w:spacing w:before="134"/>
              <w:ind w:left="58" w:right="50"/>
              <w:rPr>
                <w:sz w:val="21"/>
              </w:rPr>
            </w:pPr>
            <w:r>
              <w:rPr>
                <w:sz w:val="21"/>
              </w:rPr>
              <w:t>颗粒物</w:t>
            </w:r>
          </w:p>
        </w:tc>
        <w:tc>
          <w:tcPr>
            <w:tcW w:w="979" w:type="dxa"/>
          </w:tcPr>
          <w:p>
            <w:pPr>
              <w:pStyle w:val="TableParagraph"/>
              <w:spacing w:before="151"/>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before="151"/>
              <w:ind w:left="482" w:right="474"/>
              <w:rPr>
                <w:rFonts w:ascii="Times New Roman"/>
                <w:sz w:val="21"/>
              </w:rPr>
            </w:pPr>
            <w:r>
              <w:rPr>
                <w:rFonts w:ascii="Times New Roman"/>
                <w:sz w:val="21"/>
              </w:rPr>
              <w:t>80</w:t>
            </w:r>
          </w:p>
        </w:tc>
      </w:tr>
      <w:tr>
        <w:trPr>
          <w:trHeight w:val="1330" w:hRule="atLeast"/>
        </w:trPr>
        <w:tc>
          <w:tcPr>
            <w:tcW w:w="666" w:type="dxa"/>
            <w:vMerge/>
            <w:tcBorders>
              <w:top w:val="nil"/>
            </w:tcBorders>
          </w:tcPr>
          <w:p>
            <w:pPr>
              <w:rPr>
                <w:sz w:val="2"/>
                <w:szCs w:val="2"/>
              </w:rPr>
            </w:pPr>
          </w:p>
        </w:tc>
        <w:tc>
          <w:tcPr>
            <w:tcW w:w="4238" w:type="dxa"/>
          </w:tcPr>
          <w:p>
            <w:pPr>
              <w:pStyle w:val="TableParagraph"/>
              <w:jc w:val="left"/>
              <w:rPr>
                <w:b/>
                <w:sz w:val="20"/>
              </w:rPr>
            </w:pPr>
          </w:p>
          <w:p>
            <w:pPr>
              <w:pStyle w:val="TableParagraph"/>
              <w:spacing w:before="134"/>
              <w:ind w:left="102" w:right="92"/>
              <w:rPr>
                <w:sz w:val="21"/>
              </w:rPr>
            </w:pPr>
            <w:r>
              <w:rPr>
                <w:sz w:val="21"/>
              </w:rPr>
              <w:t>《煤炭工业污染物排放标准》</w:t>
            </w:r>
          </w:p>
          <w:p>
            <w:pPr>
              <w:pStyle w:val="TableParagraph"/>
              <w:spacing w:before="5"/>
              <w:ind w:left="102" w:right="92"/>
              <w:rPr>
                <w:sz w:val="21"/>
              </w:rPr>
            </w:pPr>
            <w:r>
              <w:rPr>
                <w:sz w:val="21"/>
              </w:rPr>
              <w:t>（</w:t>
            </w:r>
            <w:r>
              <w:rPr>
                <w:rFonts w:ascii="Times New Roman" w:eastAsia="Times New Roman"/>
                <w:sz w:val="21"/>
              </w:rPr>
              <w:t>GB20426-2006</w:t>
            </w:r>
            <w:r>
              <w:rPr>
                <w:sz w:val="21"/>
              </w:rPr>
              <w:t>）表 </w:t>
            </w:r>
            <w:r>
              <w:rPr>
                <w:rFonts w:ascii="Times New Roman" w:eastAsia="Times New Roman"/>
                <w:sz w:val="21"/>
              </w:rPr>
              <w:t>5 </w:t>
            </w:r>
            <w:r>
              <w:rPr>
                <w:sz w:val="21"/>
              </w:rPr>
              <w:t>标准限值</w:t>
            </w:r>
          </w:p>
        </w:tc>
        <w:tc>
          <w:tcPr>
            <w:tcW w:w="1209" w:type="dxa"/>
          </w:tcPr>
          <w:p>
            <w:pPr>
              <w:pStyle w:val="TableParagraph"/>
              <w:jc w:val="left"/>
              <w:rPr>
                <w:b/>
                <w:sz w:val="20"/>
              </w:rPr>
            </w:pPr>
          </w:p>
          <w:p>
            <w:pPr>
              <w:pStyle w:val="TableParagraph"/>
              <w:spacing w:before="2"/>
              <w:jc w:val="left"/>
              <w:rPr>
                <w:b/>
                <w:sz w:val="21"/>
              </w:rPr>
            </w:pPr>
          </w:p>
          <w:p>
            <w:pPr>
              <w:pStyle w:val="TableParagraph"/>
              <w:ind w:left="58" w:right="50"/>
              <w:rPr>
                <w:sz w:val="21"/>
              </w:rPr>
            </w:pPr>
            <w:r>
              <w:rPr>
                <w:sz w:val="21"/>
              </w:rPr>
              <w:t>颗粒物</w:t>
            </w:r>
          </w:p>
        </w:tc>
        <w:tc>
          <w:tcPr>
            <w:tcW w:w="979" w:type="dxa"/>
          </w:tcPr>
          <w:p>
            <w:pPr>
              <w:pStyle w:val="TableParagraph"/>
              <w:jc w:val="left"/>
              <w:rPr>
                <w:b/>
                <w:sz w:val="24"/>
              </w:rPr>
            </w:pPr>
          </w:p>
          <w:p>
            <w:pPr>
              <w:pStyle w:val="TableParagraph"/>
              <w:spacing w:before="6"/>
              <w:jc w:val="left"/>
              <w:rPr>
                <w:b/>
                <w:sz w:val="18"/>
              </w:rPr>
            </w:pPr>
          </w:p>
          <w:p>
            <w:pPr>
              <w:pStyle w:val="TableParagraph"/>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line="242" w:lineRule="auto"/>
              <w:ind w:left="107" w:right="98"/>
              <w:jc w:val="both"/>
              <w:rPr>
                <w:sz w:val="21"/>
              </w:rPr>
            </w:pPr>
            <w:r>
              <w:rPr>
                <w:spacing w:val="28"/>
                <w:sz w:val="21"/>
              </w:rPr>
              <w:t>煤炭储存场</w:t>
            </w:r>
            <w:r>
              <w:rPr>
                <w:spacing w:val="-11"/>
                <w:sz w:val="21"/>
              </w:rPr>
              <w:t>所、煤矸石堆</w:t>
            </w:r>
            <w:r>
              <w:rPr>
                <w:spacing w:val="28"/>
                <w:sz w:val="21"/>
              </w:rPr>
              <w:t>置场周界外浓度最高点</w:t>
            </w:r>
          </w:p>
          <w:p>
            <w:pPr>
              <w:pStyle w:val="TableParagraph"/>
              <w:spacing w:line="221" w:lineRule="exact" w:before="2"/>
              <w:ind w:left="107"/>
              <w:jc w:val="left"/>
              <w:rPr>
                <w:rFonts w:ascii="Times New Roman"/>
                <w:sz w:val="21"/>
              </w:rPr>
            </w:pPr>
            <w:r>
              <w:rPr>
                <w:rFonts w:ascii="Times New Roman"/>
                <w:sz w:val="21"/>
              </w:rPr>
              <w:t>1.0</w:t>
            </w:r>
          </w:p>
        </w:tc>
      </w:tr>
      <w:tr>
        <w:trPr>
          <w:trHeight w:val="327" w:hRule="atLeast"/>
        </w:trPr>
        <w:tc>
          <w:tcPr>
            <w:tcW w:w="666" w:type="dxa"/>
            <w:vMerge/>
            <w:tcBorders>
              <w:top w:val="nil"/>
            </w:tcBorders>
          </w:tcPr>
          <w:p>
            <w:pPr>
              <w:rPr>
                <w:sz w:val="2"/>
                <w:szCs w:val="2"/>
              </w:rPr>
            </w:pPr>
          </w:p>
        </w:tc>
        <w:tc>
          <w:tcPr>
            <w:tcW w:w="4238" w:type="dxa"/>
            <w:vMerge w:val="restart"/>
          </w:tcPr>
          <w:p>
            <w:pPr>
              <w:pStyle w:val="TableParagraph"/>
              <w:spacing w:before="6"/>
              <w:ind w:left="102" w:right="95"/>
              <w:rPr>
                <w:sz w:val="21"/>
              </w:rPr>
            </w:pPr>
            <w:r>
              <w:rPr>
                <w:sz w:val="21"/>
              </w:rPr>
              <w:t>《工业炉窑大气污染物排放标准》</w:t>
            </w:r>
          </w:p>
          <w:p>
            <w:pPr>
              <w:pStyle w:val="TableParagraph"/>
              <w:spacing w:before="55"/>
              <w:ind w:left="102" w:right="89"/>
              <w:rPr>
                <w:rFonts w:ascii="Times New Roman" w:eastAsia="Times New Roman"/>
                <w:sz w:val="21"/>
              </w:rPr>
            </w:pPr>
            <w:r>
              <w:rPr>
                <w:sz w:val="21"/>
              </w:rPr>
              <w:t>（</w:t>
            </w:r>
            <w:r>
              <w:rPr>
                <w:rFonts w:ascii="Times New Roman" w:eastAsia="Times New Roman"/>
                <w:sz w:val="21"/>
              </w:rPr>
              <w:t>GB9078-1996</w:t>
            </w:r>
            <w:r>
              <w:rPr>
                <w:sz w:val="21"/>
              </w:rPr>
              <w:t>）中表 </w:t>
            </w:r>
            <w:r>
              <w:rPr>
                <w:rFonts w:ascii="Times New Roman" w:eastAsia="Times New Roman"/>
                <w:sz w:val="21"/>
              </w:rPr>
              <w:t>2 </w:t>
            </w:r>
            <w:r>
              <w:rPr>
                <w:sz w:val="21"/>
              </w:rPr>
              <w:t>及表 </w:t>
            </w:r>
            <w:r>
              <w:rPr>
                <w:rFonts w:ascii="Times New Roman" w:eastAsia="Times New Roman"/>
                <w:sz w:val="21"/>
              </w:rPr>
              <w:t>4</w:t>
            </w:r>
          </w:p>
        </w:tc>
        <w:tc>
          <w:tcPr>
            <w:tcW w:w="1209" w:type="dxa"/>
          </w:tcPr>
          <w:p>
            <w:pPr>
              <w:pStyle w:val="TableParagraph"/>
              <w:spacing w:before="1"/>
              <w:ind w:left="58" w:right="50"/>
              <w:rPr>
                <w:sz w:val="21"/>
              </w:rPr>
            </w:pPr>
            <w:r>
              <w:rPr>
                <w:sz w:val="21"/>
              </w:rPr>
              <w:t>烟（粉）尘</w:t>
            </w:r>
          </w:p>
        </w:tc>
        <w:tc>
          <w:tcPr>
            <w:tcW w:w="979" w:type="dxa"/>
          </w:tcPr>
          <w:p>
            <w:pPr>
              <w:pStyle w:val="TableParagraph"/>
              <w:spacing w:before="17"/>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before="17"/>
              <w:ind w:left="482" w:right="474"/>
              <w:rPr>
                <w:rFonts w:ascii="Times New Roman"/>
                <w:sz w:val="21"/>
              </w:rPr>
            </w:pPr>
            <w:r>
              <w:rPr>
                <w:rFonts w:ascii="Times New Roman"/>
                <w:sz w:val="21"/>
              </w:rPr>
              <w:t>200</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tcPr>
          <w:p>
            <w:pPr>
              <w:pStyle w:val="TableParagraph"/>
              <w:ind w:left="56" w:right="50"/>
              <w:rPr>
                <w:sz w:val="21"/>
              </w:rPr>
            </w:pPr>
            <w:r>
              <w:rPr>
                <w:sz w:val="21"/>
              </w:rPr>
              <w:t>二氧化硫</w:t>
            </w:r>
          </w:p>
        </w:tc>
        <w:tc>
          <w:tcPr>
            <w:tcW w:w="979" w:type="dxa"/>
          </w:tcPr>
          <w:p>
            <w:pPr>
              <w:pStyle w:val="TableParagraph"/>
              <w:spacing w:before="19"/>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before="19"/>
              <w:ind w:left="482" w:right="474"/>
              <w:rPr>
                <w:rFonts w:ascii="Times New Roman"/>
                <w:sz w:val="21"/>
              </w:rPr>
            </w:pPr>
            <w:r>
              <w:rPr>
                <w:rFonts w:ascii="Times New Roman"/>
                <w:sz w:val="21"/>
              </w:rPr>
              <w:t>850</w:t>
            </w:r>
          </w:p>
        </w:tc>
      </w:tr>
      <w:tr>
        <w:trPr>
          <w:trHeight w:val="545" w:hRule="atLeast"/>
        </w:trPr>
        <w:tc>
          <w:tcPr>
            <w:tcW w:w="666" w:type="dxa"/>
            <w:vMerge/>
            <w:tcBorders>
              <w:top w:val="nil"/>
            </w:tcBorders>
          </w:tcPr>
          <w:p>
            <w:pPr>
              <w:rPr>
                <w:sz w:val="2"/>
                <w:szCs w:val="2"/>
              </w:rPr>
            </w:pPr>
          </w:p>
        </w:tc>
        <w:tc>
          <w:tcPr>
            <w:tcW w:w="4238" w:type="dxa"/>
          </w:tcPr>
          <w:p>
            <w:pPr>
              <w:pStyle w:val="TableParagraph"/>
              <w:spacing w:before="2"/>
              <w:ind w:left="102" w:right="95"/>
              <w:rPr>
                <w:sz w:val="21"/>
              </w:rPr>
            </w:pPr>
            <w:r>
              <w:rPr>
                <w:sz w:val="21"/>
              </w:rPr>
              <w:t>建设期执行《大气污染物综合排放标准》</w:t>
            </w:r>
          </w:p>
          <w:p>
            <w:pPr>
              <w:pStyle w:val="TableParagraph"/>
              <w:spacing w:line="252" w:lineRule="exact" w:before="2"/>
              <w:ind w:left="102" w:right="95"/>
              <w:rPr>
                <w:sz w:val="21"/>
              </w:rPr>
            </w:pPr>
            <w:r>
              <w:rPr>
                <w:sz w:val="21"/>
              </w:rPr>
              <w:t>（</w:t>
            </w:r>
            <w:r>
              <w:rPr>
                <w:rFonts w:ascii="Times New Roman" w:eastAsia="Times New Roman"/>
                <w:sz w:val="21"/>
              </w:rPr>
              <w:t>GB16297-1996</w:t>
            </w:r>
            <w:r>
              <w:rPr>
                <w:sz w:val="21"/>
              </w:rPr>
              <w:t>）标准限值</w:t>
            </w:r>
          </w:p>
        </w:tc>
        <w:tc>
          <w:tcPr>
            <w:tcW w:w="1209" w:type="dxa"/>
          </w:tcPr>
          <w:p>
            <w:pPr>
              <w:pStyle w:val="TableParagraph"/>
              <w:spacing w:before="136"/>
              <w:ind w:left="58" w:right="50"/>
              <w:rPr>
                <w:sz w:val="21"/>
              </w:rPr>
            </w:pPr>
            <w:r>
              <w:rPr>
                <w:sz w:val="21"/>
              </w:rPr>
              <w:t>颗粒物</w:t>
            </w:r>
          </w:p>
        </w:tc>
        <w:tc>
          <w:tcPr>
            <w:tcW w:w="979" w:type="dxa"/>
          </w:tcPr>
          <w:p>
            <w:pPr>
              <w:pStyle w:val="TableParagraph"/>
              <w:spacing w:before="150"/>
              <w:ind w:left="154" w:right="144"/>
              <w:rPr>
                <w:rFonts w:ascii="Times New Roman"/>
                <w:sz w:val="13"/>
              </w:rPr>
            </w:pPr>
            <w:r>
              <w:rPr>
                <w:rFonts w:ascii="Times New Roman"/>
                <w:sz w:val="21"/>
              </w:rPr>
              <w:t>mg/m</w:t>
            </w:r>
            <w:r>
              <w:rPr>
                <w:rFonts w:ascii="Times New Roman"/>
                <w:position w:val="7"/>
                <w:sz w:val="13"/>
              </w:rPr>
              <w:t>3</w:t>
            </w:r>
          </w:p>
        </w:tc>
        <w:tc>
          <w:tcPr>
            <w:tcW w:w="1430" w:type="dxa"/>
            <w:gridSpan w:val="2"/>
          </w:tcPr>
          <w:p>
            <w:pPr>
              <w:pStyle w:val="TableParagraph"/>
              <w:spacing w:before="2"/>
              <w:ind w:left="189"/>
              <w:jc w:val="left"/>
              <w:rPr>
                <w:sz w:val="21"/>
              </w:rPr>
            </w:pPr>
            <w:r>
              <w:rPr>
                <w:sz w:val="21"/>
              </w:rPr>
              <w:t>周界外浓度</w:t>
            </w:r>
          </w:p>
          <w:p>
            <w:pPr>
              <w:pStyle w:val="TableParagraph"/>
              <w:spacing w:line="252" w:lineRule="exact" w:before="2"/>
              <w:ind w:left="242"/>
              <w:jc w:val="left"/>
              <w:rPr>
                <w:rFonts w:ascii="Times New Roman" w:eastAsia="Times New Roman"/>
                <w:sz w:val="21"/>
              </w:rPr>
            </w:pPr>
            <w:r>
              <w:rPr>
                <w:sz w:val="21"/>
              </w:rPr>
              <w:t>最高点 </w:t>
            </w:r>
            <w:r>
              <w:rPr>
                <w:rFonts w:ascii="Times New Roman" w:eastAsia="Times New Roman"/>
                <w:sz w:val="21"/>
              </w:rPr>
              <w:t>1.0</w:t>
            </w:r>
          </w:p>
        </w:tc>
      </w:tr>
      <w:tr>
        <w:trPr>
          <w:trHeight w:val="1306" w:hRule="atLeast"/>
        </w:trPr>
        <w:tc>
          <w:tcPr>
            <w:tcW w:w="666" w:type="dxa"/>
            <w:vMerge/>
            <w:tcBorders>
              <w:top w:val="nil"/>
            </w:tcBorders>
          </w:tcPr>
          <w:p>
            <w:pPr>
              <w:rPr>
                <w:sz w:val="2"/>
                <w:szCs w:val="2"/>
              </w:rPr>
            </w:pPr>
          </w:p>
        </w:tc>
        <w:tc>
          <w:tcPr>
            <w:tcW w:w="4238" w:type="dxa"/>
            <w:vMerge w:val="restart"/>
          </w:tcPr>
          <w:p>
            <w:pPr>
              <w:pStyle w:val="TableParagraph"/>
              <w:jc w:val="left"/>
              <w:rPr>
                <w:b/>
                <w:sz w:val="20"/>
              </w:rPr>
            </w:pPr>
          </w:p>
          <w:p>
            <w:pPr>
              <w:pStyle w:val="TableParagraph"/>
              <w:spacing w:before="7"/>
              <w:jc w:val="left"/>
              <w:rPr>
                <w:b/>
                <w:sz w:val="22"/>
              </w:rPr>
            </w:pPr>
          </w:p>
          <w:p>
            <w:pPr>
              <w:pStyle w:val="TableParagraph"/>
              <w:spacing w:before="1"/>
              <w:ind w:left="102" w:right="95"/>
              <w:rPr>
                <w:sz w:val="21"/>
              </w:rPr>
            </w:pPr>
            <w:r>
              <w:rPr>
                <w:sz w:val="21"/>
              </w:rPr>
              <w:t>《煤层气（煤矿瓦斯）排放标准（暂行）》</w:t>
            </w:r>
          </w:p>
          <w:p>
            <w:pPr>
              <w:pStyle w:val="TableParagraph"/>
              <w:spacing w:before="55"/>
              <w:ind w:left="102" w:right="95"/>
              <w:rPr>
                <w:sz w:val="21"/>
              </w:rPr>
            </w:pPr>
            <w:r>
              <w:rPr>
                <w:sz w:val="21"/>
              </w:rPr>
              <w:t>（</w:t>
            </w:r>
            <w:r>
              <w:rPr>
                <w:rFonts w:ascii="Times New Roman" w:eastAsia="Times New Roman"/>
                <w:sz w:val="21"/>
              </w:rPr>
              <w:t>GB21522-2008</w:t>
            </w:r>
            <w:r>
              <w:rPr>
                <w:sz w:val="21"/>
              </w:rPr>
              <w:t>）</w:t>
            </w:r>
          </w:p>
        </w:tc>
        <w:tc>
          <w:tcPr>
            <w:tcW w:w="1209" w:type="dxa"/>
          </w:tcPr>
          <w:p>
            <w:pPr>
              <w:pStyle w:val="TableParagraph"/>
              <w:spacing w:line="288" w:lineRule="auto" w:before="1"/>
              <w:ind w:left="183" w:right="175"/>
              <w:rPr>
                <w:sz w:val="21"/>
              </w:rPr>
            </w:pPr>
            <w:r>
              <w:rPr>
                <w:sz w:val="21"/>
              </w:rPr>
              <w:t>低浓度瓦斯</w:t>
            </w:r>
          </w:p>
          <w:p>
            <w:pPr>
              <w:pStyle w:val="TableParagraph"/>
              <w:spacing w:before="7"/>
              <w:ind w:left="58" w:right="50"/>
              <w:rPr>
                <w:sz w:val="21"/>
              </w:rPr>
            </w:pPr>
            <w:r>
              <w:rPr>
                <w:rFonts w:ascii="Times New Roman" w:eastAsia="Times New Roman"/>
                <w:sz w:val="21"/>
              </w:rPr>
              <w:t>(</w:t>
            </w:r>
            <w:r>
              <w:rPr>
                <w:sz w:val="21"/>
              </w:rPr>
              <w:t>甲烷浓度</w:t>
            </w:r>
          </w:p>
          <w:p>
            <w:pPr>
              <w:pStyle w:val="TableParagraph"/>
              <w:spacing w:before="57"/>
              <w:ind w:left="58" w:right="48"/>
              <w:rPr>
                <w:rFonts w:ascii="Times New Roman" w:eastAsia="Times New Roman"/>
                <w:sz w:val="21"/>
              </w:rPr>
            </w:pPr>
            <w:r>
              <w:rPr>
                <w:sz w:val="21"/>
              </w:rPr>
              <w:t>＜</w:t>
            </w:r>
            <w:r>
              <w:rPr>
                <w:rFonts w:ascii="Times New Roman" w:eastAsia="Times New Roman"/>
                <w:sz w:val="21"/>
              </w:rPr>
              <w:t>30%)</w:t>
            </w:r>
          </w:p>
        </w:tc>
        <w:tc>
          <w:tcPr>
            <w:tcW w:w="979" w:type="dxa"/>
          </w:tcPr>
          <w:p>
            <w:pPr>
              <w:pStyle w:val="TableParagraph"/>
              <w:jc w:val="left"/>
              <w:rPr>
                <w:b/>
                <w:sz w:val="22"/>
              </w:rPr>
            </w:pPr>
          </w:p>
          <w:p>
            <w:pPr>
              <w:pStyle w:val="TableParagraph"/>
              <w:spacing w:before="7"/>
              <w:jc w:val="left"/>
              <w:rPr>
                <w:b/>
                <w:sz w:val="17"/>
              </w:rPr>
            </w:pPr>
          </w:p>
          <w:p>
            <w:pPr>
              <w:pStyle w:val="TableParagraph"/>
              <w:ind w:left="9"/>
              <w:rPr>
                <w:rFonts w:ascii="Times New Roman"/>
                <w:sz w:val="21"/>
              </w:rPr>
            </w:pPr>
            <w:r>
              <w:rPr>
                <w:rFonts w:ascii="Times New Roman"/>
                <w:w w:val="99"/>
                <w:sz w:val="21"/>
              </w:rPr>
              <w:t>/</w:t>
            </w:r>
          </w:p>
        </w:tc>
        <w:tc>
          <w:tcPr>
            <w:tcW w:w="1430" w:type="dxa"/>
            <w:gridSpan w:val="2"/>
            <w:vMerge w:val="restart"/>
          </w:tcPr>
          <w:p>
            <w:pPr>
              <w:pStyle w:val="TableParagraph"/>
              <w:jc w:val="left"/>
              <w:rPr>
                <w:b/>
                <w:sz w:val="20"/>
              </w:rPr>
            </w:pPr>
          </w:p>
          <w:p>
            <w:pPr>
              <w:pStyle w:val="TableParagraph"/>
              <w:jc w:val="left"/>
              <w:rPr>
                <w:b/>
                <w:sz w:val="20"/>
              </w:rPr>
            </w:pPr>
          </w:p>
          <w:p>
            <w:pPr>
              <w:pStyle w:val="TableParagraph"/>
              <w:spacing w:before="5"/>
              <w:jc w:val="left"/>
              <w:rPr>
                <w:b/>
                <w:sz w:val="17"/>
              </w:rPr>
            </w:pPr>
          </w:p>
          <w:p>
            <w:pPr>
              <w:pStyle w:val="TableParagraph"/>
              <w:ind w:left="189"/>
              <w:jc w:val="left"/>
              <w:rPr>
                <w:sz w:val="21"/>
              </w:rPr>
            </w:pPr>
            <w:r>
              <w:rPr>
                <w:sz w:val="21"/>
              </w:rPr>
              <w:t>煤矿回风井</w:t>
            </w:r>
          </w:p>
        </w:tc>
      </w:tr>
      <w:tr>
        <w:trPr>
          <w:trHeight w:val="4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tcPr>
          <w:p>
            <w:pPr>
              <w:pStyle w:val="TableParagraph"/>
              <w:spacing w:before="52"/>
              <w:ind w:left="56" w:right="50"/>
              <w:rPr>
                <w:sz w:val="21"/>
              </w:rPr>
            </w:pPr>
            <w:r>
              <w:rPr>
                <w:sz w:val="21"/>
              </w:rPr>
              <w:t>风排瓦斯</w:t>
            </w:r>
          </w:p>
        </w:tc>
        <w:tc>
          <w:tcPr>
            <w:tcW w:w="979" w:type="dxa"/>
          </w:tcPr>
          <w:p>
            <w:pPr>
              <w:pStyle w:val="TableParagraph"/>
              <w:spacing w:before="68"/>
              <w:ind w:left="9"/>
              <w:rPr>
                <w:rFonts w:ascii="Times New Roman"/>
                <w:sz w:val="21"/>
              </w:rPr>
            </w:pPr>
            <w:r>
              <w:rPr>
                <w:rFonts w:ascii="Times New Roman"/>
                <w:w w:val="99"/>
                <w:sz w:val="21"/>
              </w:rPr>
              <w:t>/</w:t>
            </w:r>
          </w:p>
        </w:tc>
        <w:tc>
          <w:tcPr>
            <w:tcW w:w="1430" w:type="dxa"/>
            <w:gridSpan w:val="2"/>
            <w:vMerge/>
            <w:tcBorders>
              <w:top w:val="nil"/>
            </w:tcBorders>
          </w:tcPr>
          <w:p>
            <w:pPr>
              <w:rPr>
                <w:sz w:val="2"/>
                <w:szCs w:val="2"/>
              </w:rPr>
            </w:pPr>
          </w:p>
        </w:tc>
      </w:tr>
      <w:tr>
        <w:trPr>
          <w:trHeight w:val="427" w:hRule="atLeast"/>
        </w:trPr>
        <w:tc>
          <w:tcPr>
            <w:tcW w:w="666" w:type="dxa"/>
            <w:vMerge/>
            <w:tcBorders>
              <w:top w:val="nil"/>
            </w:tcBorders>
          </w:tcPr>
          <w:p>
            <w:pPr>
              <w:rPr>
                <w:sz w:val="2"/>
                <w:szCs w:val="2"/>
              </w:rPr>
            </w:pPr>
          </w:p>
        </w:tc>
        <w:tc>
          <w:tcPr>
            <w:tcW w:w="4238" w:type="dxa"/>
            <w:vMerge w:val="restart"/>
          </w:tcPr>
          <w:p>
            <w:pPr>
              <w:pStyle w:val="TableParagraph"/>
              <w:spacing w:before="160"/>
              <w:ind w:left="102" w:right="95"/>
              <w:rPr>
                <w:sz w:val="21"/>
              </w:rPr>
            </w:pPr>
            <w:r>
              <w:rPr>
                <w:sz w:val="21"/>
              </w:rPr>
              <w:t>《饮食业油烟排放标准（试行）》</w:t>
            </w:r>
          </w:p>
          <w:p>
            <w:pPr>
              <w:pStyle w:val="TableParagraph"/>
              <w:spacing w:before="2"/>
              <w:ind w:left="102" w:right="95"/>
              <w:rPr>
                <w:sz w:val="21"/>
              </w:rPr>
            </w:pPr>
            <w:r>
              <w:rPr>
                <w:sz w:val="21"/>
              </w:rPr>
              <w:t>（</w:t>
            </w:r>
            <w:r>
              <w:rPr>
                <w:rFonts w:ascii="Times New Roman" w:eastAsia="Times New Roman"/>
                <w:sz w:val="21"/>
              </w:rPr>
              <w:t>GB18483-2001</w:t>
            </w:r>
            <w:r>
              <w:rPr>
                <w:sz w:val="21"/>
              </w:rPr>
              <w:t>）中型</w:t>
            </w:r>
          </w:p>
        </w:tc>
        <w:tc>
          <w:tcPr>
            <w:tcW w:w="2709" w:type="dxa"/>
            <w:gridSpan w:val="3"/>
          </w:tcPr>
          <w:p>
            <w:pPr>
              <w:pStyle w:val="TableParagraph"/>
              <w:spacing w:before="78"/>
              <w:ind w:left="109" w:right="-15"/>
              <w:jc w:val="left"/>
              <w:rPr>
                <w:sz w:val="21"/>
              </w:rPr>
            </w:pPr>
            <w:r>
              <w:rPr>
                <w:spacing w:val="-8"/>
                <w:sz w:val="21"/>
              </w:rPr>
              <w:t>最高允许排放浓度</w:t>
            </w: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909" w:type="dxa"/>
          </w:tcPr>
          <w:p>
            <w:pPr>
              <w:pStyle w:val="TableParagraph"/>
              <w:spacing w:before="92"/>
              <w:ind w:left="11"/>
              <w:rPr>
                <w:rFonts w:ascii="Times New Roman"/>
                <w:sz w:val="21"/>
              </w:rPr>
            </w:pPr>
            <w:r>
              <w:rPr>
                <w:rFonts w:ascii="Times New Roman"/>
                <w:w w:val="99"/>
                <w:sz w:val="21"/>
              </w:rPr>
              <w:t>2</w:t>
            </w:r>
          </w:p>
        </w:tc>
      </w:tr>
      <w:tr>
        <w:trPr>
          <w:trHeight w:val="4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2709" w:type="dxa"/>
            <w:gridSpan w:val="3"/>
          </w:tcPr>
          <w:p>
            <w:pPr>
              <w:pStyle w:val="TableParagraph"/>
              <w:spacing w:before="78"/>
              <w:ind w:left="106" w:right="-15"/>
              <w:jc w:val="left"/>
              <w:rPr>
                <w:sz w:val="21"/>
              </w:rPr>
            </w:pPr>
            <w:r>
              <w:rPr>
                <w:spacing w:val="-10"/>
                <w:sz w:val="21"/>
              </w:rPr>
              <w:t>净化设施最低去除效率</w:t>
            </w:r>
            <w:r>
              <w:rPr>
                <w:sz w:val="21"/>
              </w:rPr>
              <w:t>（</w:t>
            </w:r>
            <w:r>
              <w:rPr>
                <w:rFonts w:ascii="Times New Roman" w:eastAsia="Times New Roman"/>
                <w:sz w:val="21"/>
              </w:rPr>
              <w:t>%</w:t>
            </w:r>
            <w:r>
              <w:rPr>
                <w:sz w:val="21"/>
              </w:rPr>
              <w:t>）</w:t>
            </w:r>
          </w:p>
        </w:tc>
        <w:tc>
          <w:tcPr>
            <w:tcW w:w="909" w:type="dxa"/>
          </w:tcPr>
          <w:p>
            <w:pPr>
              <w:pStyle w:val="TableParagraph"/>
              <w:spacing w:before="92"/>
              <w:ind w:left="327" w:right="321"/>
              <w:rPr>
                <w:rFonts w:ascii="Times New Roman"/>
                <w:sz w:val="21"/>
              </w:rPr>
            </w:pPr>
            <w:r>
              <w:rPr>
                <w:rFonts w:ascii="Times New Roman"/>
                <w:sz w:val="21"/>
              </w:rPr>
              <w:t>75</w:t>
            </w:r>
          </w:p>
        </w:tc>
      </w:tr>
      <w:tr>
        <w:trPr>
          <w:trHeight w:val="327" w:hRule="atLeast"/>
        </w:trPr>
        <w:tc>
          <w:tcPr>
            <w:tcW w:w="666" w:type="dxa"/>
          </w:tcPr>
          <w:p>
            <w:pPr>
              <w:pStyle w:val="TableParagraph"/>
              <w:spacing w:before="30"/>
              <w:ind w:left="122"/>
              <w:jc w:val="left"/>
              <w:rPr>
                <w:sz w:val="21"/>
              </w:rPr>
            </w:pPr>
            <w:r>
              <w:rPr>
                <w:sz w:val="21"/>
              </w:rPr>
              <w:t>废水</w:t>
            </w:r>
          </w:p>
        </w:tc>
        <w:tc>
          <w:tcPr>
            <w:tcW w:w="4238" w:type="dxa"/>
          </w:tcPr>
          <w:p>
            <w:pPr>
              <w:pStyle w:val="TableParagraph"/>
              <w:spacing w:before="30"/>
              <w:ind w:left="754"/>
              <w:jc w:val="left"/>
              <w:rPr>
                <w:sz w:val="21"/>
              </w:rPr>
            </w:pPr>
            <w:r>
              <w:rPr>
                <w:sz w:val="21"/>
              </w:rPr>
              <w:t>《煤炭工业污染物排放标准》</w:t>
            </w:r>
          </w:p>
        </w:tc>
        <w:tc>
          <w:tcPr>
            <w:tcW w:w="1209" w:type="dxa"/>
          </w:tcPr>
          <w:p>
            <w:pPr>
              <w:pStyle w:val="TableParagraph"/>
              <w:spacing w:before="44"/>
              <w:ind w:left="58" w:right="48"/>
              <w:rPr>
                <w:rFonts w:ascii="Times New Roman"/>
                <w:sz w:val="21"/>
              </w:rPr>
            </w:pPr>
            <w:r>
              <w:rPr>
                <w:rFonts w:ascii="Times New Roman"/>
                <w:sz w:val="21"/>
              </w:rPr>
              <w:t>pH</w:t>
            </w:r>
          </w:p>
        </w:tc>
        <w:tc>
          <w:tcPr>
            <w:tcW w:w="979" w:type="dxa"/>
          </w:tcPr>
          <w:p>
            <w:pPr>
              <w:pStyle w:val="TableParagraph"/>
              <w:spacing w:before="44"/>
              <w:ind w:left="152" w:right="145"/>
              <w:rPr>
                <w:rFonts w:ascii="Times New Roman"/>
                <w:sz w:val="21"/>
              </w:rPr>
            </w:pPr>
            <w:r>
              <w:rPr>
                <w:rFonts w:ascii="Times New Roman"/>
                <w:sz w:val="21"/>
              </w:rPr>
              <w:t>mg/L</w:t>
            </w:r>
          </w:p>
        </w:tc>
        <w:tc>
          <w:tcPr>
            <w:tcW w:w="1430" w:type="dxa"/>
            <w:gridSpan w:val="2"/>
          </w:tcPr>
          <w:p>
            <w:pPr>
              <w:pStyle w:val="TableParagraph"/>
              <w:spacing w:before="44"/>
              <w:ind w:left="482" w:right="474"/>
              <w:rPr>
                <w:rFonts w:ascii="Times New Roman"/>
                <w:sz w:val="21"/>
              </w:rPr>
            </w:pPr>
            <w:r>
              <w:rPr>
                <w:rFonts w:ascii="Times New Roman"/>
                <w:sz w:val="21"/>
              </w:rPr>
              <w:t>6-9</w:t>
            </w:r>
          </w:p>
        </w:tc>
      </w:tr>
    </w:tbl>
    <w:p>
      <w:pPr>
        <w:spacing w:after="0"/>
        <w:rPr>
          <w:rFonts w:ascii="Times New Roman"/>
          <w:sz w:val="21"/>
        </w:rPr>
        <w:sectPr>
          <w:pgSz w:w="11910" w:h="16840"/>
          <w:pgMar w:header="0" w:footer="913" w:top="1400" w:bottom="1180" w:left="940" w:right="940"/>
        </w:sectPr>
      </w:pP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
        <w:gridCol w:w="4238"/>
        <w:gridCol w:w="673"/>
        <w:gridCol w:w="536"/>
        <w:gridCol w:w="979"/>
        <w:gridCol w:w="842"/>
        <w:gridCol w:w="588"/>
      </w:tblGrid>
      <w:tr>
        <w:trPr>
          <w:trHeight w:val="240" w:hRule="atLeast"/>
        </w:trPr>
        <w:tc>
          <w:tcPr>
            <w:tcW w:w="666" w:type="dxa"/>
            <w:vMerge w:val="restart"/>
          </w:tcPr>
          <w:p>
            <w:pPr>
              <w:pStyle w:val="TableParagraph"/>
              <w:jc w:val="left"/>
              <w:rPr>
                <w:rFonts w:ascii="Times New Roman"/>
                <w:sz w:val="20"/>
              </w:rPr>
            </w:pPr>
          </w:p>
        </w:tc>
        <w:tc>
          <w:tcPr>
            <w:tcW w:w="4238" w:type="dxa"/>
            <w:vMerge w:val="restart"/>
          </w:tcPr>
          <w:p>
            <w:pPr>
              <w:pStyle w:val="TableParagraph"/>
              <w:ind w:left="468"/>
              <w:jc w:val="left"/>
              <w:rPr>
                <w:sz w:val="21"/>
              </w:rPr>
            </w:pPr>
            <w:r>
              <w:rPr>
                <w:sz w:val="21"/>
              </w:rPr>
              <w:t>（</w:t>
            </w:r>
            <w:r>
              <w:rPr>
                <w:rFonts w:ascii="Times New Roman" w:eastAsia="Times New Roman"/>
                <w:sz w:val="21"/>
              </w:rPr>
              <w:t>GB20426-2006</w:t>
            </w:r>
            <w:r>
              <w:rPr>
                <w:sz w:val="21"/>
              </w:rPr>
              <w:t>）表 </w:t>
            </w:r>
            <w:r>
              <w:rPr>
                <w:rFonts w:ascii="Times New Roman" w:eastAsia="Times New Roman"/>
                <w:sz w:val="21"/>
              </w:rPr>
              <w:t>1</w:t>
            </w:r>
            <w:r>
              <w:rPr>
                <w:sz w:val="21"/>
              </w:rPr>
              <w:t>、</w:t>
            </w:r>
            <w:r>
              <w:rPr>
                <w:rFonts w:ascii="Times New Roman" w:eastAsia="Times New Roman"/>
                <w:sz w:val="21"/>
              </w:rPr>
              <w:t>2 </w:t>
            </w:r>
            <w:r>
              <w:rPr>
                <w:sz w:val="21"/>
              </w:rPr>
              <w:t>标准限值</w:t>
            </w:r>
          </w:p>
        </w:tc>
        <w:tc>
          <w:tcPr>
            <w:tcW w:w="1209" w:type="dxa"/>
            <w:gridSpan w:val="2"/>
          </w:tcPr>
          <w:p>
            <w:pPr>
              <w:pStyle w:val="TableParagraph"/>
              <w:spacing w:line="221" w:lineRule="exact"/>
              <w:ind w:left="58" w:right="49"/>
              <w:rPr>
                <w:rFonts w:ascii="Times New Roman"/>
                <w:sz w:val="21"/>
              </w:rPr>
            </w:pPr>
            <w:r>
              <w:rPr>
                <w:rFonts w:ascii="Times New Roman"/>
                <w:sz w:val="21"/>
              </w:rPr>
              <w:t>SS</w:t>
            </w:r>
          </w:p>
        </w:tc>
        <w:tc>
          <w:tcPr>
            <w:tcW w:w="979" w:type="dxa"/>
            <w:vMerge w:val="restart"/>
          </w:tcPr>
          <w:p>
            <w:pPr>
              <w:pStyle w:val="TableParagraph"/>
              <w:jc w:val="left"/>
              <w:rPr>
                <w:rFonts w:ascii="Times New Roman"/>
                <w:sz w:val="20"/>
              </w:rPr>
            </w:pPr>
          </w:p>
        </w:tc>
        <w:tc>
          <w:tcPr>
            <w:tcW w:w="1430" w:type="dxa"/>
            <w:gridSpan w:val="2"/>
          </w:tcPr>
          <w:p>
            <w:pPr>
              <w:pStyle w:val="TableParagraph"/>
              <w:spacing w:line="221" w:lineRule="exact"/>
              <w:ind w:left="482" w:right="474"/>
              <w:rPr>
                <w:rFonts w:ascii="Times New Roman"/>
                <w:sz w:val="21"/>
              </w:rPr>
            </w:pPr>
            <w:r>
              <w:rPr>
                <w:rFonts w:ascii="Times New Roman"/>
                <w:sz w:val="21"/>
              </w:rPr>
              <w:t>50</w:t>
            </w:r>
          </w:p>
        </w:tc>
      </w:tr>
      <w:tr>
        <w:trPr>
          <w:trHeight w:val="24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21" w:lineRule="exact"/>
              <w:ind w:left="382"/>
              <w:jc w:val="left"/>
              <w:rPr>
                <w:rFonts w:ascii="Times New Roman"/>
                <w:sz w:val="21"/>
              </w:rPr>
            </w:pPr>
            <w:r>
              <w:rPr>
                <w:rFonts w:ascii="Times New Roman"/>
                <w:sz w:val="21"/>
              </w:rPr>
              <w:t>COD</w:t>
            </w:r>
          </w:p>
        </w:tc>
        <w:tc>
          <w:tcPr>
            <w:tcW w:w="979" w:type="dxa"/>
            <w:vMerge/>
            <w:tcBorders>
              <w:top w:val="nil"/>
            </w:tcBorders>
          </w:tcPr>
          <w:p>
            <w:pPr>
              <w:rPr>
                <w:sz w:val="2"/>
                <w:szCs w:val="2"/>
              </w:rPr>
            </w:pPr>
          </w:p>
        </w:tc>
        <w:tc>
          <w:tcPr>
            <w:tcW w:w="1430" w:type="dxa"/>
            <w:gridSpan w:val="2"/>
          </w:tcPr>
          <w:p>
            <w:pPr>
              <w:pStyle w:val="TableParagraph"/>
              <w:spacing w:line="221" w:lineRule="exact"/>
              <w:ind w:left="482" w:right="474"/>
              <w:rPr>
                <w:rFonts w:ascii="Times New Roman"/>
                <w:sz w:val="21"/>
              </w:rPr>
            </w:pPr>
            <w:r>
              <w:rPr>
                <w:rFonts w:ascii="Times New Roman"/>
                <w:sz w:val="21"/>
              </w:rPr>
              <w:t>50</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1" w:lineRule="exact" w:before="1"/>
              <w:ind w:left="289"/>
              <w:jc w:val="left"/>
              <w:rPr>
                <w:sz w:val="21"/>
              </w:rPr>
            </w:pPr>
            <w:r>
              <w:rPr>
                <w:sz w:val="21"/>
              </w:rPr>
              <w:t>石油类</w:t>
            </w:r>
          </w:p>
        </w:tc>
        <w:tc>
          <w:tcPr>
            <w:tcW w:w="979" w:type="dxa"/>
            <w:vMerge/>
            <w:tcBorders>
              <w:top w:val="nil"/>
            </w:tcBorders>
          </w:tcPr>
          <w:p>
            <w:pPr>
              <w:rPr>
                <w:sz w:val="2"/>
                <w:szCs w:val="2"/>
              </w:rPr>
            </w:pPr>
          </w:p>
        </w:tc>
        <w:tc>
          <w:tcPr>
            <w:tcW w:w="1430" w:type="dxa"/>
            <w:gridSpan w:val="2"/>
          </w:tcPr>
          <w:p>
            <w:pPr>
              <w:pStyle w:val="TableParagraph"/>
              <w:spacing w:line="237" w:lineRule="exact" w:before="15"/>
              <w:ind w:left="8"/>
              <w:rPr>
                <w:rFonts w:ascii="Times New Roman"/>
                <w:sz w:val="21"/>
              </w:rPr>
            </w:pPr>
            <w:r>
              <w:rPr>
                <w:rFonts w:ascii="Times New Roman"/>
                <w:w w:val="99"/>
                <w:sz w:val="21"/>
              </w:rPr>
              <w:t>5</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1" w:lineRule="exact" w:before="2"/>
              <w:ind w:left="392"/>
              <w:jc w:val="left"/>
              <w:rPr>
                <w:sz w:val="21"/>
              </w:rPr>
            </w:pPr>
            <w:r>
              <w:rPr>
                <w:sz w:val="21"/>
              </w:rPr>
              <w:t>总铁</w:t>
            </w:r>
          </w:p>
        </w:tc>
        <w:tc>
          <w:tcPr>
            <w:tcW w:w="979" w:type="dxa"/>
            <w:vMerge/>
            <w:tcBorders>
              <w:top w:val="nil"/>
            </w:tcBorders>
          </w:tcPr>
          <w:p>
            <w:pPr>
              <w:rPr>
                <w:sz w:val="2"/>
                <w:szCs w:val="2"/>
              </w:rPr>
            </w:pPr>
          </w:p>
        </w:tc>
        <w:tc>
          <w:tcPr>
            <w:tcW w:w="1430" w:type="dxa"/>
            <w:gridSpan w:val="2"/>
          </w:tcPr>
          <w:p>
            <w:pPr>
              <w:pStyle w:val="TableParagraph"/>
              <w:spacing w:line="237" w:lineRule="exact" w:before="16"/>
              <w:ind w:left="8"/>
              <w:rPr>
                <w:rFonts w:ascii="Times New Roman"/>
                <w:sz w:val="21"/>
              </w:rPr>
            </w:pPr>
            <w:r>
              <w:rPr>
                <w:rFonts w:ascii="Times New Roman"/>
                <w:w w:val="99"/>
                <w:sz w:val="21"/>
              </w:rPr>
              <w:t>6</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2" w:lineRule="exact"/>
              <w:ind w:left="392"/>
              <w:jc w:val="left"/>
              <w:rPr>
                <w:sz w:val="21"/>
              </w:rPr>
            </w:pPr>
            <w:r>
              <w:rPr>
                <w:sz w:val="21"/>
              </w:rPr>
              <w:t>总锰</w:t>
            </w:r>
          </w:p>
        </w:tc>
        <w:tc>
          <w:tcPr>
            <w:tcW w:w="979" w:type="dxa"/>
            <w:vMerge/>
            <w:tcBorders>
              <w:top w:val="nil"/>
            </w:tcBorders>
          </w:tcPr>
          <w:p>
            <w:pPr>
              <w:rPr>
                <w:sz w:val="2"/>
                <w:szCs w:val="2"/>
              </w:rPr>
            </w:pPr>
          </w:p>
        </w:tc>
        <w:tc>
          <w:tcPr>
            <w:tcW w:w="1430" w:type="dxa"/>
            <w:gridSpan w:val="2"/>
          </w:tcPr>
          <w:p>
            <w:pPr>
              <w:pStyle w:val="TableParagraph"/>
              <w:spacing w:line="238" w:lineRule="exact" w:before="14"/>
              <w:ind w:left="8"/>
              <w:rPr>
                <w:rFonts w:ascii="Times New Roman"/>
                <w:sz w:val="21"/>
              </w:rPr>
            </w:pPr>
            <w:r>
              <w:rPr>
                <w:rFonts w:ascii="Times New Roman"/>
                <w:w w:val="99"/>
                <w:sz w:val="21"/>
              </w:rPr>
              <w:t>4</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1" w:lineRule="exact" w:before="1"/>
              <w:ind w:left="289"/>
              <w:jc w:val="left"/>
              <w:rPr>
                <w:sz w:val="21"/>
              </w:rPr>
            </w:pPr>
            <w:r>
              <w:rPr>
                <w:sz w:val="21"/>
              </w:rPr>
              <w:t>氟化物</w:t>
            </w:r>
          </w:p>
        </w:tc>
        <w:tc>
          <w:tcPr>
            <w:tcW w:w="979" w:type="dxa"/>
            <w:vMerge/>
            <w:tcBorders>
              <w:top w:val="nil"/>
            </w:tcBorders>
          </w:tcPr>
          <w:p>
            <w:pPr>
              <w:rPr>
                <w:sz w:val="2"/>
                <w:szCs w:val="2"/>
              </w:rPr>
            </w:pPr>
          </w:p>
        </w:tc>
        <w:tc>
          <w:tcPr>
            <w:tcW w:w="1430" w:type="dxa"/>
            <w:gridSpan w:val="2"/>
          </w:tcPr>
          <w:p>
            <w:pPr>
              <w:pStyle w:val="TableParagraph"/>
              <w:spacing w:line="237" w:lineRule="exact" w:before="15"/>
              <w:ind w:left="482" w:right="474"/>
              <w:rPr>
                <w:rFonts w:ascii="Times New Roman"/>
                <w:sz w:val="21"/>
              </w:rPr>
            </w:pPr>
            <w:r>
              <w:rPr>
                <w:rFonts w:ascii="Times New Roman"/>
                <w:sz w:val="21"/>
              </w:rPr>
              <w:t>10</w:t>
            </w:r>
          </w:p>
        </w:tc>
      </w:tr>
      <w:tr>
        <w:trPr>
          <w:trHeight w:val="272" w:hRule="atLeast"/>
        </w:trPr>
        <w:tc>
          <w:tcPr>
            <w:tcW w:w="666" w:type="dxa"/>
            <w:vMerge/>
            <w:tcBorders>
              <w:top w:val="nil"/>
            </w:tcBorders>
          </w:tcPr>
          <w:p>
            <w:pPr>
              <w:rPr>
                <w:sz w:val="2"/>
                <w:szCs w:val="2"/>
              </w:rPr>
            </w:pPr>
          </w:p>
        </w:tc>
        <w:tc>
          <w:tcPr>
            <w:tcW w:w="4238" w:type="dxa"/>
            <w:vMerge w:val="restart"/>
          </w:tcPr>
          <w:p>
            <w:pPr>
              <w:pStyle w:val="TableParagraph"/>
              <w:spacing w:before="163"/>
              <w:ind w:left="102" w:right="95"/>
              <w:rPr>
                <w:sz w:val="21"/>
              </w:rPr>
            </w:pPr>
            <w:r>
              <w:rPr>
                <w:sz w:val="21"/>
              </w:rPr>
              <w:t>《煤矿井下消防、洒水设计规范》</w:t>
            </w:r>
          </w:p>
          <w:p>
            <w:pPr>
              <w:pStyle w:val="TableParagraph"/>
              <w:spacing w:before="2"/>
              <w:ind w:left="102" w:right="88"/>
              <w:rPr>
                <w:rFonts w:ascii="Times New Roman"/>
                <w:sz w:val="21"/>
              </w:rPr>
            </w:pPr>
            <w:r>
              <w:rPr>
                <w:rFonts w:ascii="Times New Roman"/>
                <w:sz w:val="21"/>
              </w:rPr>
              <w:t>(GB50383-2006)</w:t>
            </w:r>
          </w:p>
        </w:tc>
        <w:tc>
          <w:tcPr>
            <w:tcW w:w="1209" w:type="dxa"/>
            <w:gridSpan w:val="2"/>
          </w:tcPr>
          <w:p>
            <w:pPr>
              <w:pStyle w:val="TableParagraph"/>
              <w:spacing w:line="239" w:lineRule="exact" w:before="14"/>
              <w:ind w:left="58" w:right="48"/>
              <w:rPr>
                <w:rFonts w:ascii="Times New Roman"/>
                <w:sz w:val="21"/>
              </w:rPr>
            </w:pPr>
            <w:r>
              <w:rPr>
                <w:rFonts w:ascii="Times New Roman"/>
                <w:sz w:val="21"/>
              </w:rPr>
              <w:t>pH</w:t>
            </w:r>
          </w:p>
        </w:tc>
        <w:tc>
          <w:tcPr>
            <w:tcW w:w="979" w:type="dxa"/>
          </w:tcPr>
          <w:p>
            <w:pPr>
              <w:pStyle w:val="TableParagraph"/>
              <w:spacing w:line="253" w:lineRule="exact"/>
              <w:ind w:left="154" w:right="145"/>
              <w:rPr>
                <w:sz w:val="21"/>
              </w:rPr>
            </w:pPr>
            <w:r>
              <w:rPr>
                <w:sz w:val="21"/>
              </w:rPr>
              <w:t>无量纲</w:t>
            </w:r>
          </w:p>
        </w:tc>
        <w:tc>
          <w:tcPr>
            <w:tcW w:w="1430" w:type="dxa"/>
            <w:gridSpan w:val="2"/>
          </w:tcPr>
          <w:p>
            <w:pPr>
              <w:pStyle w:val="TableParagraph"/>
              <w:spacing w:line="253" w:lineRule="exact"/>
              <w:ind w:left="482" w:right="474"/>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2" w:lineRule="exact"/>
              <w:ind w:left="289"/>
              <w:jc w:val="left"/>
              <w:rPr>
                <w:sz w:val="21"/>
              </w:rPr>
            </w:pPr>
            <w:r>
              <w:rPr>
                <w:sz w:val="21"/>
              </w:rPr>
              <w:t>悬浮物</w:t>
            </w:r>
          </w:p>
        </w:tc>
        <w:tc>
          <w:tcPr>
            <w:tcW w:w="979" w:type="dxa"/>
            <w:vMerge w:val="restart"/>
          </w:tcPr>
          <w:p>
            <w:pPr>
              <w:pStyle w:val="TableParagraph"/>
              <w:spacing w:before="155"/>
              <w:ind w:left="261"/>
              <w:jc w:val="left"/>
              <w:rPr>
                <w:rFonts w:ascii="Times New Roman"/>
                <w:sz w:val="21"/>
              </w:rPr>
            </w:pPr>
            <w:r>
              <w:rPr>
                <w:rFonts w:ascii="Times New Roman"/>
                <w:sz w:val="21"/>
              </w:rPr>
              <w:t>mg/L</w:t>
            </w:r>
          </w:p>
        </w:tc>
        <w:tc>
          <w:tcPr>
            <w:tcW w:w="1430" w:type="dxa"/>
            <w:gridSpan w:val="2"/>
          </w:tcPr>
          <w:p>
            <w:pPr>
              <w:pStyle w:val="TableParagraph"/>
              <w:spacing w:line="238" w:lineRule="exact" w:before="14"/>
              <w:ind w:left="482" w:right="474"/>
              <w:rPr>
                <w:rFonts w:ascii="Times New Roman"/>
                <w:sz w:val="21"/>
              </w:rPr>
            </w:pPr>
            <w:r>
              <w:rPr>
                <w:rFonts w:ascii="Times New Roman"/>
                <w:sz w:val="21"/>
              </w:rPr>
              <w:t>30</w:t>
            </w:r>
          </w:p>
        </w:tc>
      </w:tr>
      <w:tr>
        <w:trPr>
          <w:trHeight w:val="27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51" w:lineRule="exact" w:before="1"/>
              <w:ind w:left="183"/>
              <w:jc w:val="left"/>
              <w:rPr>
                <w:sz w:val="21"/>
              </w:rPr>
            </w:pPr>
            <w:r>
              <w:rPr>
                <w:sz w:val="21"/>
              </w:rPr>
              <w:t>大肠菌群</w:t>
            </w:r>
          </w:p>
        </w:tc>
        <w:tc>
          <w:tcPr>
            <w:tcW w:w="979" w:type="dxa"/>
            <w:vMerge/>
            <w:tcBorders>
              <w:top w:val="nil"/>
            </w:tcBorders>
          </w:tcPr>
          <w:p>
            <w:pPr>
              <w:rPr>
                <w:sz w:val="2"/>
                <w:szCs w:val="2"/>
              </w:rPr>
            </w:pPr>
          </w:p>
        </w:tc>
        <w:tc>
          <w:tcPr>
            <w:tcW w:w="1430" w:type="dxa"/>
            <w:gridSpan w:val="2"/>
          </w:tcPr>
          <w:p>
            <w:pPr>
              <w:pStyle w:val="TableParagraph"/>
              <w:spacing w:line="251" w:lineRule="exact" w:before="1"/>
              <w:ind w:left="381"/>
              <w:jc w:val="left"/>
              <w:rPr>
                <w:rFonts w:ascii="Times New Roman" w:hAnsi="Times New Roman" w:eastAsia="Times New Roman"/>
                <w:sz w:val="21"/>
              </w:rPr>
            </w:pPr>
            <w:r>
              <w:rPr>
                <w:rFonts w:ascii="Times New Roman" w:hAnsi="Times New Roman" w:eastAsia="Times New Roman"/>
                <w:sz w:val="21"/>
              </w:rPr>
              <w:t>≤3 </w:t>
            </w:r>
            <w:r>
              <w:rPr>
                <w:sz w:val="21"/>
              </w:rPr>
              <w:t>个</w:t>
            </w:r>
            <w:r>
              <w:rPr>
                <w:rFonts w:ascii="Times New Roman" w:hAnsi="Times New Roman" w:eastAsia="Times New Roman"/>
                <w:sz w:val="21"/>
              </w:rPr>
              <w:t>/L</w:t>
            </w:r>
          </w:p>
        </w:tc>
      </w:tr>
      <w:tr>
        <w:trPr>
          <w:trHeight w:val="326" w:hRule="atLeast"/>
        </w:trPr>
        <w:tc>
          <w:tcPr>
            <w:tcW w:w="666" w:type="dxa"/>
            <w:vMerge/>
            <w:tcBorders>
              <w:top w:val="nil"/>
            </w:tcBorders>
          </w:tcPr>
          <w:p>
            <w:pPr>
              <w:rPr>
                <w:sz w:val="2"/>
                <w:szCs w:val="2"/>
              </w:rPr>
            </w:pPr>
          </w:p>
        </w:tc>
        <w:tc>
          <w:tcPr>
            <w:tcW w:w="423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26"/>
              </w:rPr>
            </w:pPr>
          </w:p>
          <w:p>
            <w:pPr>
              <w:pStyle w:val="TableParagraph"/>
              <w:ind w:left="102" w:right="95"/>
              <w:rPr>
                <w:sz w:val="21"/>
              </w:rPr>
            </w:pPr>
            <w:r>
              <w:rPr>
                <w:sz w:val="21"/>
              </w:rPr>
              <w:t>《城市污水再生利用 城市杂用水水质》</w:t>
            </w:r>
          </w:p>
          <w:p>
            <w:pPr>
              <w:pStyle w:val="TableParagraph"/>
              <w:spacing w:before="2"/>
              <w:ind w:left="102" w:right="92"/>
              <w:rPr>
                <w:sz w:val="21"/>
              </w:rPr>
            </w:pPr>
            <w:r>
              <w:rPr>
                <w:sz w:val="21"/>
              </w:rPr>
              <w:t>（</w:t>
            </w:r>
            <w:r>
              <w:rPr>
                <w:rFonts w:ascii="Times New Roman" w:eastAsia="Times New Roman"/>
                <w:sz w:val="21"/>
              </w:rPr>
              <w:t>GB/T18920-2002</w:t>
            </w:r>
            <w:r>
              <w:rPr>
                <w:sz w:val="21"/>
              </w:rPr>
              <w:t>）城市绿化</w:t>
            </w:r>
          </w:p>
        </w:tc>
        <w:tc>
          <w:tcPr>
            <w:tcW w:w="1209" w:type="dxa"/>
            <w:gridSpan w:val="2"/>
          </w:tcPr>
          <w:p>
            <w:pPr>
              <w:pStyle w:val="TableParagraph"/>
              <w:spacing w:before="19"/>
              <w:ind w:left="58" w:right="48"/>
              <w:rPr>
                <w:rFonts w:ascii="Times New Roman"/>
                <w:sz w:val="21"/>
              </w:rPr>
            </w:pPr>
            <w:r>
              <w:rPr>
                <w:rFonts w:ascii="Times New Roman"/>
                <w:sz w:val="21"/>
              </w:rPr>
              <w:t>pH</w:t>
            </w:r>
          </w:p>
        </w:tc>
        <w:tc>
          <w:tcPr>
            <w:tcW w:w="979" w:type="dxa"/>
          </w:tcPr>
          <w:p>
            <w:pPr>
              <w:pStyle w:val="TableParagraph"/>
              <w:ind w:left="154" w:right="145"/>
              <w:rPr>
                <w:sz w:val="21"/>
              </w:rPr>
            </w:pPr>
            <w:r>
              <w:rPr>
                <w:sz w:val="21"/>
              </w:rPr>
              <w:t>无量纲</w:t>
            </w:r>
          </w:p>
        </w:tc>
        <w:tc>
          <w:tcPr>
            <w:tcW w:w="1430" w:type="dxa"/>
            <w:gridSpan w:val="2"/>
          </w:tcPr>
          <w:p>
            <w:pPr>
              <w:pStyle w:val="TableParagraph"/>
              <w:ind w:left="482" w:right="474"/>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392"/>
              <w:jc w:val="left"/>
              <w:rPr>
                <w:sz w:val="21"/>
              </w:rPr>
            </w:pPr>
            <w:r>
              <w:rPr>
                <w:sz w:val="21"/>
              </w:rPr>
              <w:t>色度</w:t>
            </w:r>
          </w:p>
        </w:tc>
        <w:tc>
          <w:tcPr>
            <w:tcW w:w="979" w:type="dxa"/>
          </w:tcPr>
          <w:p>
            <w:pPr>
              <w:pStyle w:val="TableParagraph"/>
              <w:spacing w:before="1"/>
              <w:ind w:left="7"/>
              <w:rPr>
                <w:sz w:val="21"/>
              </w:rPr>
            </w:pPr>
            <w:r>
              <w:rPr>
                <w:w w:val="99"/>
                <w:sz w:val="21"/>
              </w:rPr>
              <w:t>度</w:t>
            </w:r>
          </w:p>
        </w:tc>
        <w:tc>
          <w:tcPr>
            <w:tcW w:w="1430" w:type="dxa"/>
            <w:gridSpan w:val="2"/>
          </w:tcPr>
          <w:p>
            <w:pPr>
              <w:pStyle w:val="TableParagraph"/>
              <w:spacing w:before="18"/>
              <w:ind w:left="482" w:right="474"/>
              <w:rPr>
                <w:rFonts w:ascii="Times New Roman"/>
                <w:sz w:val="21"/>
              </w:rPr>
            </w:pPr>
            <w:r>
              <w:rPr>
                <w:rFonts w:ascii="Times New Roman"/>
                <w:sz w:val="21"/>
              </w:rPr>
              <w:t>30</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392"/>
              <w:jc w:val="left"/>
              <w:rPr>
                <w:sz w:val="21"/>
              </w:rPr>
            </w:pPr>
            <w:r>
              <w:rPr>
                <w:sz w:val="21"/>
              </w:rPr>
              <w:t>浊度</w:t>
            </w:r>
          </w:p>
        </w:tc>
        <w:tc>
          <w:tcPr>
            <w:tcW w:w="979" w:type="dxa"/>
          </w:tcPr>
          <w:p>
            <w:pPr>
              <w:pStyle w:val="TableParagraph"/>
              <w:spacing w:before="17"/>
              <w:ind w:left="151" w:right="145"/>
              <w:rPr>
                <w:rFonts w:ascii="Times New Roman"/>
                <w:sz w:val="21"/>
              </w:rPr>
            </w:pPr>
            <w:r>
              <w:rPr>
                <w:rFonts w:ascii="Times New Roman"/>
                <w:sz w:val="21"/>
              </w:rPr>
              <w:t>NTU</w:t>
            </w:r>
          </w:p>
        </w:tc>
        <w:tc>
          <w:tcPr>
            <w:tcW w:w="1430" w:type="dxa"/>
            <w:gridSpan w:val="2"/>
          </w:tcPr>
          <w:p>
            <w:pPr>
              <w:pStyle w:val="TableParagraph"/>
              <w:spacing w:before="17"/>
              <w:ind w:left="482" w:right="474"/>
              <w:rPr>
                <w:rFonts w:ascii="Times New Roman"/>
                <w:sz w:val="21"/>
              </w:rPr>
            </w:pPr>
            <w:r>
              <w:rPr>
                <w:rFonts w:ascii="Times New Roman"/>
                <w:sz w:val="21"/>
              </w:rPr>
              <w:t>10</w:t>
            </w:r>
          </w:p>
        </w:tc>
      </w:tr>
      <w:tr>
        <w:trPr>
          <w:trHeight w:val="653"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69" w:lineRule="exact"/>
              <w:ind w:left="56" w:right="50"/>
              <w:rPr>
                <w:sz w:val="21"/>
              </w:rPr>
            </w:pPr>
            <w:r>
              <w:rPr>
                <w:sz w:val="21"/>
              </w:rPr>
              <w:t>溶解性总</w:t>
            </w:r>
          </w:p>
          <w:p>
            <w:pPr>
              <w:pStyle w:val="TableParagraph"/>
              <w:spacing w:before="57"/>
              <w:ind w:left="53" w:right="50"/>
              <w:rPr>
                <w:sz w:val="21"/>
              </w:rPr>
            </w:pPr>
            <w:r>
              <w:rPr>
                <w:sz w:val="21"/>
              </w:rPr>
              <w:t>固体</w:t>
            </w:r>
          </w:p>
        </w:tc>
        <w:tc>
          <w:tcPr>
            <w:tcW w:w="979"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9"/>
              <w:jc w:val="left"/>
              <w:rPr>
                <w:b/>
                <w:sz w:val="22"/>
              </w:rPr>
            </w:pPr>
          </w:p>
          <w:p>
            <w:pPr>
              <w:pStyle w:val="TableParagraph"/>
              <w:ind w:left="261"/>
              <w:jc w:val="left"/>
              <w:rPr>
                <w:rFonts w:ascii="Times New Roman"/>
                <w:sz w:val="21"/>
              </w:rPr>
            </w:pPr>
            <w:r>
              <w:rPr>
                <w:rFonts w:ascii="Times New Roman"/>
                <w:sz w:val="21"/>
              </w:rPr>
              <w:t>mg/L</w:t>
            </w:r>
          </w:p>
        </w:tc>
        <w:tc>
          <w:tcPr>
            <w:tcW w:w="1430" w:type="dxa"/>
            <w:gridSpan w:val="2"/>
          </w:tcPr>
          <w:p>
            <w:pPr>
              <w:pStyle w:val="TableParagraph"/>
              <w:spacing w:before="179"/>
              <w:ind w:left="482" w:right="474"/>
              <w:rPr>
                <w:rFonts w:ascii="Times New Roman"/>
                <w:sz w:val="21"/>
              </w:rPr>
            </w:pPr>
            <w:r>
              <w:rPr>
                <w:rFonts w:ascii="Times New Roman"/>
                <w:sz w:val="21"/>
              </w:rPr>
              <w:t>100</w:t>
            </w:r>
          </w:p>
        </w:tc>
      </w:tr>
      <w:tr>
        <w:trPr>
          <w:trHeight w:val="653"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56" w:right="50"/>
              <w:rPr>
                <w:sz w:val="21"/>
              </w:rPr>
            </w:pPr>
            <w:r>
              <w:rPr>
                <w:sz w:val="21"/>
              </w:rPr>
              <w:t>五日生化</w:t>
            </w:r>
          </w:p>
          <w:p>
            <w:pPr>
              <w:pStyle w:val="TableParagraph"/>
              <w:spacing w:before="57"/>
              <w:ind w:left="58" w:right="50"/>
              <w:rPr>
                <w:sz w:val="21"/>
              </w:rPr>
            </w:pPr>
            <w:r>
              <w:rPr>
                <w:sz w:val="21"/>
              </w:rPr>
              <w:t>需氧量</w:t>
            </w:r>
          </w:p>
        </w:tc>
        <w:tc>
          <w:tcPr>
            <w:tcW w:w="979" w:type="dxa"/>
            <w:vMerge/>
            <w:tcBorders>
              <w:top w:val="nil"/>
            </w:tcBorders>
          </w:tcPr>
          <w:p>
            <w:pPr>
              <w:rPr>
                <w:sz w:val="2"/>
                <w:szCs w:val="2"/>
              </w:rPr>
            </w:pPr>
          </w:p>
        </w:tc>
        <w:tc>
          <w:tcPr>
            <w:tcW w:w="1430" w:type="dxa"/>
            <w:gridSpan w:val="2"/>
          </w:tcPr>
          <w:p>
            <w:pPr>
              <w:pStyle w:val="TableParagraph"/>
              <w:spacing w:before="181"/>
              <w:ind w:left="482" w:right="474"/>
              <w:rPr>
                <w:rFonts w:ascii="Times New Roman"/>
                <w:sz w:val="21"/>
              </w:rPr>
            </w:pPr>
            <w:r>
              <w:rPr>
                <w:rFonts w:ascii="Times New Roman"/>
                <w:sz w:val="21"/>
              </w:rPr>
              <w:t>20</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2"/>
              <w:ind w:left="392"/>
              <w:jc w:val="left"/>
              <w:rPr>
                <w:sz w:val="21"/>
              </w:rPr>
            </w:pPr>
            <w:r>
              <w:rPr>
                <w:sz w:val="21"/>
              </w:rPr>
              <w:t>氨氮</w:t>
            </w:r>
          </w:p>
        </w:tc>
        <w:tc>
          <w:tcPr>
            <w:tcW w:w="979" w:type="dxa"/>
            <w:vMerge/>
            <w:tcBorders>
              <w:top w:val="nil"/>
            </w:tcBorders>
          </w:tcPr>
          <w:p>
            <w:pPr>
              <w:rPr>
                <w:sz w:val="2"/>
                <w:szCs w:val="2"/>
              </w:rPr>
            </w:pPr>
          </w:p>
        </w:tc>
        <w:tc>
          <w:tcPr>
            <w:tcW w:w="1430" w:type="dxa"/>
            <w:gridSpan w:val="2"/>
          </w:tcPr>
          <w:p>
            <w:pPr>
              <w:pStyle w:val="TableParagraph"/>
              <w:spacing w:before="18"/>
              <w:ind w:left="482" w:right="474"/>
              <w:rPr>
                <w:rFonts w:ascii="Times New Roman"/>
                <w:sz w:val="21"/>
              </w:rPr>
            </w:pPr>
            <w:r>
              <w:rPr>
                <w:rFonts w:ascii="Times New Roman"/>
                <w:sz w:val="21"/>
              </w:rPr>
              <w:t>20</w:t>
            </w:r>
          </w:p>
        </w:tc>
      </w:tr>
      <w:tr>
        <w:trPr>
          <w:trHeight w:val="65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183"/>
              <w:jc w:val="left"/>
              <w:rPr>
                <w:sz w:val="21"/>
              </w:rPr>
            </w:pPr>
            <w:r>
              <w:rPr>
                <w:w w:val="95"/>
                <w:sz w:val="21"/>
              </w:rPr>
              <w:t>阴离子表</w:t>
            </w:r>
          </w:p>
          <w:p>
            <w:pPr>
              <w:pStyle w:val="TableParagraph"/>
              <w:spacing w:before="55"/>
              <w:ind w:left="183"/>
              <w:jc w:val="left"/>
              <w:rPr>
                <w:sz w:val="21"/>
              </w:rPr>
            </w:pPr>
            <w:r>
              <w:rPr>
                <w:w w:val="95"/>
                <w:sz w:val="21"/>
              </w:rPr>
              <w:t>面活性剂</w:t>
            </w:r>
          </w:p>
        </w:tc>
        <w:tc>
          <w:tcPr>
            <w:tcW w:w="979" w:type="dxa"/>
            <w:vMerge/>
            <w:tcBorders>
              <w:top w:val="nil"/>
            </w:tcBorders>
          </w:tcPr>
          <w:p>
            <w:pPr>
              <w:rPr>
                <w:sz w:val="2"/>
                <w:szCs w:val="2"/>
              </w:rPr>
            </w:pPr>
          </w:p>
        </w:tc>
        <w:tc>
          <w:tcPr>
            <w:tcW w:w="1430" w:type="dxa"/>
            <w:gridSpan w:val="2"/>
          </w:tcPr>
          <w:p>
            <w:pPr>
              <w:pStyle w:val="TableParagraph"/>
              <w:spacing w:before="180"/>
              <w:ind w:left="482" w:right="474"/>
              <w:rPr>
                <w:rFonts w:ascii="Times New Roman"/>
                <w:sz w:val="21"/>
              </w:rPr>
            </w:pPr>
            <w:r>
              <w:rPr>
                <w:rFonts w:ascii="Times New Roman"/>
                <w:sz w:val="21"/>
              </w:rPr>
              <w:t>1.0</w:t>
            </w:r>
          </w:p>
        </w:tc>
      </w:tr>
      <w:tr>
        <w:trPr>
          <w:trHeight w:val="326"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289"/>
              <w:jc w:val="left"/>
              <w:rPr>
                <w:sz w:val="21"/>
              </w:rPr>
            </w:pPr>
            <w:r>
              <w:rPr>
                <w:sz w:val="21"/>
              </w:rPr>
              <w:t>溶解氧</w:t>
            </w:r>
          </w:p>
        </w:tc>
        <w:tc>
          <w:tcPr>
            <w:tcW w:w="979" w:type="dxa"/>
            <w:vMerge/>
            <w:tcBorders>
              <w:top w:val="nil"/>
            </w:tcBorders>
          </w:tcPr>
          <w:p>
            <w:pPr>
              <w:rPr>
                <w:sz w:val="2"/>
                <w:szCs w:val="2"/>
              </w:rPr>
            </w:pPr>
          </w:p>
        </w:tc>
        <w:tc>
          <w:tcPr>
            <w:tcW w:w="1430" w:type="dxa"/>
            <w:gridSpan w:val="2"/>
          </w:tcPr>
          <w:p>
            <w:pPr>
              <w:pStyle w:val="TableParagraph"/>
              <w:spacing w:before="17"/>
              <w:ind w:left="482" w:right="474"/>
              <w:rPr>
                <w:rFonts w:ascii="Times New Roman"/>
                <w:sz w:val="21"/>
              </w:rPr>
            </w:pPr>
            <w:r>
              <w:rPr>
                <w:rFonts w:ascii="Times New Roman"/>
                <w:sz w:val="21"/>
              </w:rPr>
              <w:t>1.0</w:t>
            </w:r>
          </w:p>
        </w:tc>
      </w:tr>
      <w:tr>
        <w:trPr>
          <w:trHeight w:val="981"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5"/>
              <w:jc w:val="left"/>
              <w:rPr>
                <w:b/>
                <w:sz w:val="25"/>
              </w:rPr>
            </w:pPr>
          </w:p>
          <w:p>
            <w:pPr>
              <w:pStyle w:val="TableParagraph"/>
              <w:ind w:left="289"/>
              <w:jc w:val="left"/>
              <w:rPr>
                <w:sz w:val="21"/>
              </w:rPr>
            </w:pPr>
            <w:r>
              <w:rPr>
                <w:sz w:val="21"/>
              </w:rPr>
              <w:t>总余氯</w:t>
            </w:r>
          </w:p>
        </w:tc>
        <w:tc>
          <w:tcPr>
            <w:tcW w:w="979" w:type="dxa"/>
            <w:vMerge/>
            <w:tcBorders>
              <w:top w:val="nil"/>
            </w:tcBorders>
          </w:tcPr>
          <w:p>
            <w:pPr>
              <w:rPr>
                <w:sz w:val="2"/>
                <w:szCs w:val="2"/>
              </w:rPr>
            </w:pPr>
          </w:p>
        </w:tc>
        <w:tc>
          <w:tcPr>
            <w:tcW w:w="1430" w:type="dxa"/>
            <w:gridSpan w:val="2"/>
          </w:tcPr>
          <w:p>
            <w:pPr>
              <w:pStyle w:val="TableParagraph"/>
              <w:spacing w:before="2"/>
              <w:ind w:left="210"/>
              <w:jc w:val="left"/>
              <w:rPr>
                <w:rFonts w:ascii="Times New Roman" w:eastAsia="Times New Roman"/>
                <w:sz w:val="21"/>
              </w:rPr>
            </w:pPr>
            <w:r>
              <w:rPr>
                <w:sz w:val="21"/>
              </w:rPr>
              <w:t>接触 </w:t>
            </w:r>
            <w:r>
              <w:rPr>
                <w:rFonts w:ascii="Times New Roman" w:eastAsia="Times New Roman"/>
                <w:sz w:val="21"/>
              </w:rPr>
              <w:t>30min</w:t>
            </w:r>
          </w:p>
          <w:p>
            <w:pPr>
              <w:pStyle w:val="TableParagraph"/>
              <w:spacing w:line="328" w:lineRule="exact" w:before="2"/>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r>
        <w:trPr>
          <w:trHeight w:val="653"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56" w:right="50"/>
              <w:rPr>
                <w:sz w:val="21"/>
              </w:rPr>
            </w:pPr>
            <w:r>
              <w:rPr>
                <w:sz w:val="21"/>
              </w:rPr>
              <w:t>总大肠菌</w:t>
            </w:r>
          </w:p>
          <w:p>
            <w:pPr>
              <w:pStyle w:val="TableParagraph"/>
              <w:spacing w:before="57"/>
              <w:ind w:left="6"/>
              <w:rPr>
                <w:sz w:val="21"/>
              </w:rPr>
            </w:pPr>
            <w:r>
              <w:rPr>
                <w:w w:val="99"/>
                <w:sz w:val="21"/>
              </w:rPr>
              <w:t>群</w:t>
            </w:r>
          </w:p>
        </w:tc>
        <w:tc>
          <w:tcPr>
            <w:tcW w:w="979" w:type="dxa"/>
          </w:tcPr>
          <w:p>
            <w:pPr>
              <w:pStyle w:val="TableParagraph"/>
              <w:spacing w:before="189"/>
              <w:ind w:left="152" w:right="145"/>
              <w:rPr>
                <w:rFonts w:ascii="Times New Roman" w:eastAsia="Times New Roman"/>
                <w:sz w:val="21"/>
              </w:rPr>
            </w:pPr>
            <w:r>
              <w:rPr>
                <w:sz w:val="21"/>
              </w:rPr>
              <w:t>个</w:t>
            </w:r>
            <w:r>
              <w:rPr>
                <w:rFonts w:ascii="Times New Roman" w:eastAsia="Times New Roman"/>
                <w:sz w:val="21"/>
              </w:rPr>
              <w:t>/L</w:t>
            </w:r>
          </w:p>
        </w:tc>
        <w:tc>
          <w:tcPr>
            <w:tcW w:w="1430" w:type="dxa"/>
            <w:gridSpan w:val="2"/>
          </w:tcPr>
          <w:p>
            <w:pPr>
              <w:pStyle w:val="TableParagraph"/>
              <w:spacing w:before="179"/>
              <w:ind w:left="8"/>
              <w:rPr>
                <w:rFonts w:ascii="Times New Roman"/>
                <w:sz w:val="21"/>
              </w:rPr>
            </w:pPr>
            <w:r>
              <w:rPr>
                <w:rFonts w:ascii="Times New Roman"/>
                <w:w w:val="99"/>
                <w:sz w:val="21"/>
              </w:rPr>
              <w:t>3</w:t>
            </w:r>
          </w:p>
        </w:tc>
      </w:tr>
      <w:tr>
        <w:trPr>
          <w:trHeight w:val="326" w:hRule="atLeast"/>
        </w:trPr>
        <w:tc>
          <w:tcPr>
            <w:tcW w:w="666" w:type="dxa"/>
            <w:vMerge/>
            <w:tcBorders>
              <w:top w:val="nil"/>
            </w:tcBorders>
          </w:tcPr>
          <w:p>
            <w:pPr>
              <w:rPr>
                <w:sz w:val="2"/>
                <w:szCs w:val="2"/>
              </w:rPr>
            </w:pPr>
          </w:p>
        </w:tc>
        <w:tc>
          <w:tcPr>
            <w:tcW w:w="423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6"/>
              </w:rPr>
            </w:pPr>
          </w:p>
          <w:p>
            <w:pPr>
              <w:pStyle w:val="TableParagraph"/>
              <w:ind w:left="102" w:right="95"/>
              <w:rPr>
                <w:sz w:val="21"/>
              </w:rPr>
            </w:pPr>
            <w:r>
              <w:rPr>
                <w:sz w:val="21"/>
              </w:rPr>
              <w:t>《城市污水再生利用 城市杂用水水质》</w:t>
            </w:r>
          </w:p>
          <w:p>
            <w:pPr>
              <w:pStyle w:val="TableParagraph"/>
              <w:spacing w:before="4"/>
              <w:ind w:left="102" w:right="92"/>
              <w:rPr>
                <w:sz w:val="21"/>
              </w:rPr>
            </w:pPr>
            <w:r>
              <w:rPr>
                <w:sz w:val="21"/>
              </w:rPr>
              <w:t>（</w:t>
            </w:r>
            <w:r>
              <w:rPr>
                <w:rFonts w:ascii="Times New Roman" w:eastAsia="Times New Roman"/>
                <w:sz w:val="21"/>
              </w:rPr>
              <w:t>GB/T18920-2002</w:t>
            </w:r>
            <w:r>
              <w:rPr>
                <w:sz w:val="21"/>
              </w:rPr>
              <w:t>）道路清扫</w:t>
            </w:r>
          </w:p>
        </w:tc>
        <w:tc>
          <w:tcPr>
            <w:tcW w:w="1209" w:type="dxa"/>
            <w:gridSpan w:val="2"/>
          </w:tcPr>
          <w:p>
            <w:pPr>
              <w:pStyle w:val="TableParagraph"/>
              <w:spacing w:before="18"/>
              <w:ind w:left="58" w:right="48"/>
              <w:rPr>
                <w:rFonts w:ascii="Times New Roman"/>
                <w:sz w:val="21"/>
              </w:rPr>
            </w:pPr>
            <w:r>
              <w:rPr>
                <w:rFonts w:ascii="Times New Roman"/>
                <w:sz w:val="21"/>
              </w:rPr>
              <w:t>pH</w:t>
            </w:r>
          </w:p>
        </w:tc>
        <w:tc>
          <w:tcPr>
            <w:tcW w:w="979" w:type="dxa"/>
          </w:tcPr>
          <w:p>
            <w:pPr>
              <w:pStyle w:val="TableParagraph"/>
              <w:spacing w:before="1"/>
              <w:ind w:left="154" w:right="145"/>
              <w:rPr>
                <w:sz w:val="21"/>
              </w:rPr>
            </w:pPr>
            <w:r>
              <w:rPr>
                <w:sz w:val="21"/>
              </w:rPr>
              <w:t>无量纲</w:t>
            </w:r>
          </w:p>
        </w:tc>
        <w:tc>
          <w:tcPr>
            <w:tcW w:w="1430" w:type="dxa"/>
            <w:gridSpan w:val="2"/>
          </w:tcPr>
          <w:p>
            <w:pPr>
              <w:pStyle w:val="TableParagraph"/>
              <w:spacing w:before="1"/>
              <w:ind w:left="482" w:right="474"/>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392"/>
              <w:jc w:val="left"/>
              <w:rPr>
                <w:sz w:val="21"/>
              </w:rPr>
            </w:pPr>
            <w:r>
              <w:rPr>
                <w:sz w:val="21"/>
              </w:rPr>
              <w:t>色度</w:t>
            </w:r>
          </w:p>
        </w:tc>
        <w:tc>
          <w:tcPr>
            <w:tcW w:w="979" w:type="dxa"/>
          </w:tcPr>
          <w:p>
            <w:pPr>
              <w:pStyle w:val="TableParagraph"/>
              <w:ind w:left="7"/>
              <w:rPr>
                <w:sz w:val="21"/>
              </w:rPr>
            </w:pPr>
            <w:r>
              <w:rPr>
                <w:w w:val="99"/>
                <w:sz w:val="21"/>
              </w:rPr>
              <w:t>度</w:t>
            </w:r>
          </w:p>
        </w:tc>
        <w:tc>
          <w:tcPr>
            <w:tcW w:w="1430" w:type="dxa"/>
            <w:gridSpan w:val="2"/>
          </w:tcPr>
          <w:p>
            <w:pPr>
              <w:pStyle w:val="TableParagraph"/>
              <w:spacing w:before="17"/>
              <w:ind w:left="482" w:right="474"/>
              <w:rPr>
                <w:rFonts w:ascii="Times New Roman"/>
                <w:sz w:val="21"/>
              </w:rPr>
            </w:pPr>
            <w:r>
              <w:rPr>
                <w:rFonts w:ascii="Times New Roman"/>
                <w:sz w:val="21"/>
              </w:rPr>
              <w:t>30</w:t>
            </w:r>
          </w:p>
        </w:tc>
      </w:tr>
      <w:tr>
        <w:trPr>
          <w:trHeight w:val="327"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line="269" w:lineRule="exact"/>
              <w:ind w:left="392"/>
              <w:jc w:val="left"/>
              <w:rPr>
                <w:sz w:val="21"/>
              </w:rPr>
            </w:pPr>
            <w:r>
              <w:rPr>
                <w:sz w:val="21"/>
              </w:rPr>
              <w:t>浊度</w:t>
            </w:r>
          </w:p>
        </w:tc>
        <w:tc>
          <w:tcPr>
            <w:tcW w:w="979" w:type="dxa"/>
          </w:tcPr>
          <w:p>
            <w:pPr>
              <w:pStyle w:val="TableParagraph"/>
              <w:spacing w:before="16"/>
              <w:ind w:left="151" w:right="145"/>
              <w:rPr>
                <w:rFonts w:ascii="Times New Roman"/>
                <w:sz w:val="21"/>
              </w:rPr>
            </w:pPr>
            <w:r>
              <w:rPr>
                <w:rFonts w:ascii="Times New Roman"/>
                <w:sz w:val="21"/>
              </w:rPr>
              <w:t>NTU</w:t>
            </w:r>
          </w:p>
        </w:tc>
        <w:tc>
          <w:tcPr>
            <w:tcW w:w="1430" w:type="dxa"/>
            <w:gridSpan w:val="2"/>
          </w:tcPr>
          <w:p>
            <w:pPr>
              <w:pStyle w:val="TableParagraph"/>
              <w:spacing w:before="16"/>
              <w:ind w:left="482" w:right="474"/>
              <w:rPr>
                <w:rFonts w:ascii="Times New Roman"/>
                <w:sz w:val="21"/>
              </w:rPr>
            </w:pPr>
            <w:r>
              <w:rPr>
                <w:rFonts w:ascii="Times New Roman"/>
                <w:sz w:val="21"/>
              </w:rPr>
              <w:t>10</w:t>
            </w:r>
          </w:p>
        </w:tc>
      </w:tr>
      <w:tr>
        <w:trPr>
          <w:trHeight w:val="65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56" w:right="50"/>
              <w:rPr>
                <w:sz w:val="21"/>
              </w:rPr>
            </w:pPr>
            <w:r>
              <w:rPr>
                <w:sz w:val="21"/>
              </w:rPr>
              <w:t>溶解性总</w:t>
            </w:r>
          </w:p>
          <w:p>
            <w:pPr>
              <w:pStyle w:val="TableParagraph"/>
              <w:spacing w:before="55"/>
              <w:ind w:left="53" w:right="50"/>
              <w:rPr>
                <w:sz w:val="21"/>
              </w:rPr>
            </w:pPr>
            <w:r>
              <w:rPr>
                <w:sz w:val="21"/>
              </w:rPr>
              <w:t>固体</w:t>
            </w:r>
          </w:p>
        </w:tc>
        <w:tc>
          <w:tcPr>
            <w:tcW w:w="979"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8"/>
              <w:jc w:val="left"/>
              <w:rPr>
                <w:b/>
                <w:sz w:val="22"/>
              </w:rPr>
            </w:pPr>
          </w:p>
          <w:p>
            <w:pPr>
              <w:pStyle w:val="TableParagraph"/>
              <w:ind w:left="261"/>
              <w:jc w:val="left"/>
              <w:rPr>
                <w:rFonts w:ascii="Times New Roman"/>
                <w:sz w:val="21"/>
              </w:rPr>
            </w:pPr>
            <w:r>
              <w:rPr>
                <w:rFonts w:ascii="Times New Roman"/>
                <w:sz w:val="21"/>
              </w:rPr>
              <w:t>mg/L</w:t>
            </w:r>
          </w:p>
        </w:tc>
        <w:tc>
          <w:tcPr>
            <w:tcW w:w="1430" w:type="dxa"/>
            <w:gridSpan w:val="2"/>
          </w:tcPr>
          <w:p>
            <w:pPr>
              <w:pStyle w:val="TableParagraph"/>
              <w:spacing w:before="180"/>
              <w:ind w:left="482" w:right="474"/>
              <w:rPr>
                <w:rFonts w:ascii="Times New Roman"/>
                <w:sz w:val="21"/>
              </w:rPr>
            </w:pPr>
            <w:r>
              <w:rPr>
                <w:rFonts w:ascii="Times New Roman"/>
                <w:sz w:val="21"/>
              </w:rPr>
              <w:t>1500</w:t>
            </w:r>
          </w:p>
        </w:tc>
      </w:tr>
      <w:tr>
        <w:trPr>
          <w:trHeight w:val="654"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56" w:right="50"/>
              <w:rPr>
                <w:sz w:val="21"/>
              </w:rPr>
            </w:pPr>
            <w:r>
              <w:rPr>
                <w:sz w:val="21"/>
              </w:rPr>
              <w:t>五日生化</w:t>
            </w:r>
          </w:p>
          <w:p>
            <w:pPr>
              <w:pStyle w:val="TableParagraph"/>
              <w:spacing w:before="57"/>
              <w:ind w:left="58" w:right="50"/>
              <w:rPr>
                <w:sz w:val="21"/>
              </w:rPr>
            </w:pPr>
            <w:r>
              <w:rPr>
                <w:sz w:val="21"/>
              </w:rPr>
              <w:t>需氧量</w:t>
            </w:r>
          </w:p>
        </w:tc>
        <w:tc>
          <w:tcPr>
            <w:tcW w:w="979" w:type="dxa"/>
            <w:vMerge/>
            <w:tcBorders>
              <w:top w:val="nil"/>
            </w:tcBorders>
          </w:tcPr>
          <w:p>
            <w:pPr>
              <w:rPr>
                <w:sz w:val="2"/>
                <w:szCs w:val="2"/>
              </w:rPr>
            </w:pPr>
          </w:p>
        </w:tc>
        <w:tc>
          <w:tcPr>
            <w:tcW w:w="1430" w:type="dxa"/>
            <w:gridSpan w:val="2"/>
          </w:tcPr>
          <w:p>
            <w:pPr>
              <w:pStyle w:val="TableParagraph"/>
              <w:spacing w:before="180"/>
              <w:ind w:left="482" w:right="474"/>
              <w:rPr>
                <w:rFonts w:ascii="Times New Roman"/>
                <w:sz w:val="21"/>
              </w:rPr>
            </w:pPr>
            <w:r>
              <w:rPr>
                <w:rFonts w:ascii="Times New Roman"/>
                <w:sz w:val="21"/>
              </w:rPr>
              <w:t>15</w:t>
            </w:r>
          </w:p>
        </w:tc>
      </w:tr>
      <w:tr>
        <w:trPr>
          <w:trHeight w:val="326"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392"/>
              <w:jc w:val="left"/>
              <w:rPr>
                <w:sz w:val="21"/>
              </w:rPr>
            </w:pPr>
            <w:r>
              <w:rPr>
                <w:sz w:val="21"/>
              </w:rPr>
              <w:t>氨氮</w:t>
            </w:r>
          </w:p>
        </w:tc>
        <w:tc>
          <w:tcPr>
            <w:tcW w:w="979" w:type="dxa"/>
            <w:vMerge/>
            <w:tcBorders>
              <w:top w:val="nil"/>
            </w:tcBorders>
          </w:tcPr>
          <w:p>
            <w:pPr>
              <w:rPr>
                <w:sz w:val="2"/>
                <w:szCs w:val="2"/>
              </w:rPr>
            </w:pPr>
          </w:p>
        </w:tc>
        <w:tc>
          <w:tcPr>
            <w:tcW w:w="1430" w:type="dxa"/>
            <w:gridSpan w:val="2"/>
          </w:tcPr>
          <w:p>
            <w:pPr>
              <w:pStyle w:val="TableParagraph"/>
              <w:spacing w:before="17"/>
              <w:ind w:left="482" w:right="474"/>
              <w:rPr>
                <w:rFonts w:ascii="Times New Roman"/>
                <w:sz w:val="21"/>
              </w:rPr>
            </w:pPr>
            <w:r>
              <w:rPr>
                <w:rFonts w:ascii="Times New Roman"/>
                <w:sz w:val="21"/>
              </w:rPr>
              <w:t>10</w:t>
            </w:r>
          </w:p>
        </w:tc>
      </w:tr>
      <w:tr>
        <w:trPr>
          <w:trHeight w:val="653"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ind w:left="183"/>
              <w:jc w:val="left"/>
              <w:rPr>
                <w:sz w:val="21"/>
              </w:rPr>
            </w:pPr>
            <w:r>
              <w:rPr>
                <w:w w:val="95"/>
                <w:sz w:val="21"/>
              </w:rPr>
              <w:t>阴离子表</w:t>
            </w:r>
          </w:p>
          <w:p>
            <w:pPr>
              <w:pStyle w:val="TableParagraph"/>
              <w:spacing w:before="57"/>
              <w:ind w:left="183"/>
              <w:jc w:val="left"/>
              <w:rPr>
                <w:sz w:val="21"/>
              </w:rPr>
            </w:pPr>
            <w:r>
              <w:rPr>
                <w:w w:val="95"/>
                <w:sz w:val="21"/>
              </w:rPr>
              <w:t>面活性剂</w:t>
            </w:r>
          </w:p>
        </w:tc>
        <w:tc>
          <w:tcPr>
            <w:tcW w:w="979" w:type="dxa"/>
            <w:vMerge/>
            <w:tcBorders>
              <w:top w:val="nil"/>
            </w:tcBorders>
          </w:tcPr>
          <w:p>
            <w:pPr>
              <w:rPr>
                <w:sz w:val="2"/>
                <w:szCs w:val="2"/>
              </w:rPr>
            </w:pPr>
          </w:p>
        </w:tc>
        <w:tc>
          <w:tcPr>
            <w:tcW w:w="1430" w:type="dxa"/>
            <w:gridSpan w:val="2"/>
          </w:tcPr>
          <w:p>
            <w:pPr>
              <w:pStyle w:val="TableParagraph"/>
              <w:spacing w:before="179"/>
              <w:ind w:left="482" w:right="474"/>
              <w:rPr>
                <w:rFonts w:ascii="Times New Roman"/>
                <w:sz w:val="21"/>
              </w:rPr>
            </w:pPr>
            <w:r>
              <w:rPr>
                <w:rFonts w:ascii="Times New Roman"/>
                <w:sz w:val="21"/>
              </w:rPr>
              <w:t>1.0</w:t>
            </w:r>
          </w:p>
        </w:tc>
      </w:tr>
      <w:tr>
        <w:trPr>
          <w:trHeight w:val="326"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2"/>
              <w:ind w:left="289"/>
              <w:jc w:val="left"/>
              <w:rPr>
                <w:sz w:val="21"/>
              </w:rPr>
            </w:pPr>
            <w:r>
              <w:rPr>
                <w:sz w:val="21"/>
              </w:rPr>
              <w:t>溶解氧</w:t>
            </w:r>
          </w:p>
        </w:tc>
        <w:tc>
          <w:tcPr>
            <w:tcW w:w="979" w:type="dxa"/>
            <w:vMerge/>
            <w:tcBorders>
              <w:top w:val="nil"/>
            </w:tcBorders>
          </w:tcPr>
          <w:p>
            <w:pPr>
              <w:rPr>
                <w:sz w:val="2"/>
                <w:szCs w:val="2"/>
              </w:rPr>
            </w:pPr>
          </w:p>
        </w:tc>
        <w:tc>
          <w:tcPr>
            <w:tcW w:w="1430" w:type="dxa"/>
            <w:gridSpan w:val="2"/>
          </w:tcPr>
          <w:p>
            <w:pPr>
              <w:pStyle w:val="TableParagraph"/>
              <w:spacing w:before="18"/>
              <w:ind w:left="482" w:right="474"/>
              <w:rPr>
                <w:rFonts w:ascii="Times New Roman"/>
                <w:sz w:val="21"/>
              </w:rPr>
            </w:pPr>
            <w:r>
              <w:rPr>
                <w:rFonts w:ascii="Times New Roman"/>
                <w:sz w:val="21"/>
              </w:rPr>
              <w:t>1.0</w:t>
            </w:r>
          </w:p>
        </w:tc>
      </w:tr>
      <w:tr>
        <w:trPr>
          <w:trHeight w:val="981"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7"/>
              <w:jc w:val="left"/>
              <w:rPr>
                <w:b/>
                <w:sz w:val="25"/>
              </w:rPr>
            </w:pPr>
          </w:p>
          <w:p>
            <w:pPr>
              <w:pStyle w:val="TableParagraph"/>
              <w:ind w:left="289"/>
              <w:jc w:val="left"/>
              <w:rPr>
                <w:sz w:val="21"/>
              </w:rPr>
            </w:pPr>
            <w:r>
              <w:rPr>
                <w:sz w:val="21"/>
              </w:rPr>
              <w:t>总余氯</w:t>
            </w:r>
          </w:p>
        </w:tc>
        <w:tc>
          <w:tcPr>
            <w:tcW w:w="979" w:type="dxa"/>
            <w:vMerge/>
            <w:tcBorders>
              <w:top w:val="nil"/>
            </w:tcBorders>
          </w:tcPr>
          <w:p>
            <w:pPr>
              <w:rPr>
                <w:sz w:val="2"/>
                <w:szCs w:val="2"/>
              </w:rPr>
            </w:pPr>
          </w:p>
        </w:tc>
        <w:tc>
          <w:tcPr>
            <w:tcW w:w="1430" w:type="dxa"/>
            <w:gridSpan w:val="2"/>
          </w:tcPr>
          <w:p>
            <w:pPr>
              <w:pStyle w:val="TableParagraph"/>
              <w:spacing w:before="1"/>
              <w:ind w:left="210"/>
              <w:jc w:val="left"/>
              <w:rPr>
                <w:rFonts w:ascii="Times New Roman" w:eastAsia="Times New Roman"/>
                <w:sz w:val="21"/>
              </w:rPr>
            </w:pPr>
            <w:r>
              <w:rPr>
                <w:sz w:val="21"/>
              </w:rPr>
              <w:t>接触 </w:t>
            </w:r>
            <w:r>
              <w:rPr>
                <w:rFonts w:ascii="Times New Roman" w:eastAsia="Times New Roman"/>
                <w:sz w:val="21"/>
              </w:rPr>
              <w:t>30min</w:t>
            </w:r>
          </w:p>
          <w:p>
            <w:pPr>
              <w:pStyle w:val="TableParagraph"/>
              <w:spacing w:line="320" w:lineRule="atLeast" w:before="6"/>
              <w:ind w:left="316" w:right="56" w:hanging="209"/>
              <w:jc w:val="left"/>
              <w:rPr>
                <w:rFonts w:ascii="Times New Roman" w:hAnsi="Times New Roman" w:eastAsia="Times New Roman"/>
                <w:sz w:val="21"/>
              </w:rPr>
            </w:pPr>
            <w:r>
              <w:rPr>
                <w:sz w:val="21"/>
              </w:rPr>
              <w:t>后</w:t>
            </w:r>
            <w:r>
              <w:rPr>
                <w:rFonts w:ascii="Times New Roman" w:hAnsi="Times New Roman" w:eastAsia="Times New Roman"/>
                <w:sz w:val="21"/>
              </w:rPr>
              <w:t>≥1.0</w:t>
            </w:r>
            <w:r>
              <w:rPr>
                <w:sz w:val="21"/>
              </w:rPr>
              <w:t>，管网末端</w:t>
            </w:r>
            <w:r>
              <w:rPr>
                <w:rFonts w:ascii="Times New Roman" w:hAnsi="Times New Roman" w:eastAsia="Times New Roman"/>
                <w:sz w:val="21"/>
              </w:rPr>
              <w:t>≥0.2</w:t>
            </w:r>
          </w:p>
        </w:tc>
      </w:tr>
      <w:tr>
        <w:trPr>
          <w:trHeight w:val="652"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1209" w:type="dxa"/>
            <w:gridSpan w:val="2"/>
          </w:tcPr>
          <w:p>
            <w:pPr>
              <w:pStyle w:val="TableParagraph"/>
              <w:spacing w:before="1"/>
              <w:ind w:left="56" w:right="50"/>
              <w:rPr>
                <w:sz w:val="21"/>
              </w:rPr>
            </w:pPr>
            <w:r>
              <w:rPr>
                <w:sz w:val="21"/>
              </w:rPr>
              <w:t>总大肠菌</w:t>
            </w:r>
          </w:p>
          <w:p>
            <w:pPr>
              <w:pStyle w:val="TableParagraph"/>
              <w:spacing w:before="55"/>
              <w:ind w:left="6"/>
              <w:rPr>
                <w:sz w:val="21"/>
              </w:rPr>
            </w:pPr>
            <w:r>
              <w:rPr>
                <w:w w:val="99"/>
                <w:sz w:val="21"/>
              </w:rPr>
              <w:t>群</w:t>
            </w:r>
          </w:p>
        </w:tc>
        <w:tc>
          <w:tcPr>
            <w:tcW w:w="979" w:type="dxa"/>
          </w:tcPr>
          <w:p>
            <w:pPr>
              <w:pStyle w:val="TableParagraph"/>
              <w:spacing w:before="191"/>
              <w:ind w:left="152" w:right="145"/>
              <w:rPr>
                <w:rFonts w:ascii="Times New Roman" w:eastAsia="Times New Roman"/>
                <w:sz w:val="21"/>
              </w:rPr>
            </w:pPr>
            <w:r>
              <w:rPr>
                <w:sz w:val="21"/>
              </w:rPr>
              <w:t>个</w:t>
            </w:r>
            <w:r>
              <w:rPr>
                <w:rFonts w:ascii="Times New Roman" w:eastAsia="Times New Roman"/>
                <w:sz w:val="21"/>
              </w:rPr>
              <w:t>/L</w:t>
            </w:r>
          </w:p>
        </w:tc>
        <w:tc>
          <w:tcPr>
            <w:tcW w:w="1430" w:type="dxa"/>
            <w:gridSpan w:val="2"/>
          </w:tcPr>
          <w:p>
            <w:pPr>
              <w:pStyle w:val="TableParagraph"/>
              <w:spacing w:before="180"/>
              <w:ind w:left="8"/>
              <w:rPr>
                <w:rFonts w:ascii="Times New Roman"/>
                <w:sz w:val="21"/>
              </w:rPr>
            </w:pPr>
            <w:r>
              <w:rPr>
                <w:rFonts w:ascii="Times New Roman"/>
                <w:w w:val="99"/>
                <w:sz w:val="21"/>
              </w:rPr>
              <w:t>3</w:t>
            </w:r>
          </w:p>
        </w:tc>
      </w:tr>
      <w:tr>
        <w:trPr>
          <w:trHeight w:val="447" w:hRule="atLeast"/>
        </w:trPr>
        <w:tc>
          <w:tcPr>
            <w:tcW w:w="666" w:type="dxa"/>
          </w:tcPr>
          <w:p>
            <w:pPr>
              <w:pStyle w:val="TableParagraph"/>
              <w:spacing w:before="89"/>
              <w:ind w:left="122"/>
              <w:jc w:val="left"/>
              <w:rPr>
                <w:sz w:val="21"/>
              </w:rPr>
            </w:pPr>
            <w:r>
              <w:rPr>
                <w:sz w:val="21"/>
              </w:rPr>
              <w:t>噪声</w:t>
            </w:r>
          </w:p>
        </w:tc>
        <w:tc>
          <w:tcPr>
            <w:tcW w:w="4238" w:type="dxa"/>
          </w:tcPr>
          <w:p>
            <w:pPr>
              <w:pStyle w:val="TableParagraph"/>
              <w:spacing w:before="89"/>
              <w:ind w:left="437"/>
              <w:jc w:val="left"/>
              <w:rPr>
                <w:sz w:val="21"/>
              </w:rPr>
            </w:pPr>
            <w:r>
              <w:rPr>
                <w:sz w:val="21"/>
              </w:rPr>
              <w:t>《工业企业厂界环境噪声排放标准》</w:t>
            </w:r>
          </w:p>
        </w:tc>
        <w:tc>
          <w:tcPr>
            <w:tcW w:w="673" w:type="dxa"/>
          </w:tcPr>
          <w:p>
            <w:pPr>
              <w:pStyle w:val="TableParagraph"/>
              <w:spacing w:before="89"/>
              <w:ind w:left="126"/>
              <w:jc w:val="left"/>
              <w:rPr>
                <w:sz w:val="21"/>
              </w:rPr>
            </w:pPr>
            <w:r>
              <w:rPr>
                <w:sz w:val="21"/>
              </w:rPr>
              <w:t>厂界</w:t>
            </w:r>
          </w:p>
        </w:tc>
        <w:tc>
          <w:tcPr>
            <w:tcW w:w="536" w:type="dxa"/>
          </w:tcPr>
          <w:p>
            <w:pPr>
              <w:pStyle w:val="TableParagraph"/>
              <w:spacing w:before="103"/>
              <w:ind w:left="64"/>
              <w:rPr>
                <w:rFonts w:ascii="Times New Roman"/>
                <w:sz w:val="21"/>
              </w:rPr>
            </w:pPr>
            <w:r>
              <w:rPr>
                <w:rFonts w:ascii="Times New Roman"/>
                <w:w w:val="99"/>
                <w:sz w:val="21"/>
              </w:rPr>
              <w:t>2</w:t>
            </w:r>
          </w:p>
        </w:tc>
        <w:tc>
          <w:tcPr>
            <w:tcW w:w="979" w:type="dxa"/>
          </w:tcPr>
          <w:p>
            <w:pPr>
              <w:pStyle w:val="TableParagraph"/>
              <w:spacing w:before="103"/>
              <w:ind w:left="154" w:right="143"/>
              <w:rPr>
                <w:rFonts w:ascii="Times New Roman"/>
                <w:sz w:val="21"/>
              </w:rPr>
            </w:pPr>
            <w:r>
              <w:rPr>
                <w:rFonts w:ascii="Times New Roman"/>
                <w:sz w:val="21"/>
              </w:rPr>
              <w:t>dB(A)</w:t>
            </w:r>
          </w:p>
        </w:tc>
        <w:tc>
          <w:tcPr>
            <w:tcW w:w="842" w:type="dxa"/>
          </w:tcPr>
          <w:p>
            <w:pPr>
              <w:pStyle w:val="TableParagraph"/>
              <w:spacing w:before="89"/>
              <w:ind w:left="210"/>
              <w:jc w:val="left"/>
              <w:rPr>
                <w:sz w:val="21"/>
              </w:rPr>
            </w:pPr>
            <w:r>
              <w:rPr>
                <w:sz w:val="21"/>
              </w:rPr>
              <w:t>昼间</w:t>
            </w:r>
          </w:p>
        </w:tc>
        <w:tc>
          <w:tcPr>
            <w:tcW w:w="588" w:type="dxa"/>
          </w:tcPr>
          <w:p>
            <w:pPr>
              <w:pStyle w:val="TableParagraph"/>
              <w:spacing w:before="103"/>
              <w:ind w:left="189"/>
              <w:jc w:val="left"/>
              <w:rPr>
                <w:rFonts w:ascii="Times New Roman"/>
                <w:sz w:val="21"/>
              </w:rPr>
            </w:pPr>
            <w:r>
              <w:rPr>
                <w:rFonts w:ascii="Times New Roman"/>
                <w:sz w:val="21"/>
              </w:rPr>
              <w:t>60</w:t>
            </w:r>
          </w:p>
        </w:tc>
      </w:tr>
    </w:tbl>
    <w:p>
      <w:pPr>
        <w:spacing w:after="0"/>
        <w:jc w:val="left"/>
        <w:rPr>
          <w:rFonts w:ascii="Times New Roman"/>
          <w:sz w:val="21"/>
        </w:rPr>
        <w:sectPr>
          <w:pgSz w:w="11910" w:h="16840"/>
          <w:pgMar w:header="0" w:footer="913" w:top="1400" w:bottom="1100" w:left="940" w:right="940"/>
        </w:sectPr>
      </w:pP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
        <w:gridCol w:w="4238"/>
        <w:gridCol w:w="673"/>
        <w:gridCol w:w="536"/>
        <w:gridCol w:w="979"/>
        <w:gridCol w:w="842"/>
        <w:gridCol w:w="588"/>
      </w:tblGrid>
      <w:tr>
        <w:trPr>
          <w:trHeight w:val="474" w:hRule="atLeast"/>
        </w:trPr>
        <w:tc>
          <w:tcPr>
            <w:tcW w:w="666" w:type="dxa"/>
            <w:vMerge w:val="restart"/>
          </w:tcPr>
          <w:p>
            <w:pPr>
              <w:pStyle w:val="TableParagraph"/>
              <w:jc w:val="left"/>
              <w:rPr>
                <w:rFonts w:ascii="Times New Roman"/>
                <w:sz w:val="22"/>
              </w:rPr>
            </w:pPr>
          </w:p>
        </w:tc>
        <w:tc>
          <w:tcPr>
            <w:tcW w:w="4238" w:type="dxa"/>
          </w:tcPr>
          <w:p>
            <w:pPr>
              <w:pStyle w:val="TableParagraph"/>
              <w:ind w:left="862"/>
              <w:jc w:val="left"/>
              <w:rPr>
                <w:sz w:val="21"/>
              </w:rPr>
            </w:pPr>
            <w:r>
              <w:rPr>
                <w:sz w:val="21"/>
              </w:rPr>
              <w:t>（</w:t>
            </w:r>
            <w:r>
              <w:rPr>
                <w:rFonts w:ascii="Times New Roman" w:eastAsia="Times New Roman"/>
                <w:sz w:val="21"/>
              </w:rPr>
              <w:t>GB12348-2008</w:t>
            </w:r>
            <w:r>
              <w:rPr>
                <w:sz w:val="21"/>
              </w:rPr>
              <w:t>）</w:t>
            </w:r>
            <w:r>
              <w:rPr>
                <w:rFonts w:ascii="Times New Roman" w:eastAsia="Times New Roman"/>
                <w:sz w:val="21"/>
              </w:rPr>
              <w:t>2 </w:t>
            </w:r>
            <w:r>
              <w:rPr>
                <w:sz w:val="21"/>
              </w:rPr>
              <w:t>类标准</w:t>
            </w:r>
          </w:p>
        </w:tc>
        <w:tc>
          <w:tcPr>
            <w:tcW w:w="673" w:type="dxa"/>
          </w:tcPr>
          <w:p>
            <w:pPr>
              <w:pStyle w:val="TableParagraph"/>
              <w:ind w:left="126"/>
              <w:jc w:val="left"/>
              <w:rPr>
                <w:sz w:val="21"/>
              </w:rPr>
            </w:pPr>
            <w:r>
              <w:rPr>
                <w:sz w:val="21"/>
              </w:rPr>
              <w:t>噪声</w:t>
            </w:r>
          </w:p>
        </w:tc>
        <w:tc>
          <w:tcPr>
            <w:tcW w:w="536" w:type="dxa"/>
          </w:tcPr>
          <w:p>
            <w:pPr>
              <w:pStyle w:val="TableParagraph"/>
              <w:ind w:left="163"/>
              <w:jc w:val="left"/>
              <w:rPr>
                <w:sz w:val="21"/>
              </w:rPr>
            </w:pPr>
            <w:r>
              <w:rPr>
                <w:w w:val="99"/>
                <w:sz w:val="21"/>
              </w:rPr>
              <w:t>类</w:t>
            </w:r>
          </w:p>
        </w:tc>
        <w:tc>
          <w:tcPr>
            <w:tcW w:w="979" w:type="dxa"/>
          </w:tcPr>
          <w:p>
            <w:pPr>
              <w:pStyle w:val="TableParagraph"/>
              <w:jc w:val="left"/>
              <w:rPr>
                <w:rFonts w:ascii="Times New Roman"/>
                <w:sz w:val="22"/>
              </w:rPr>
            </w:pPr>
          </w:p>
        </w:tc>
        <w:tc>
          <w:tcPr>
            <w:tcW w:w="842" w:type="dxa"/>
          </w:tcPr>
          <w:p>
            <w:pPr>
              <w:pStyle w:val="TableParagraph"/>
              <w:spacing w:before="101"/>
              <w:ind w:left="189" w:right="182"/>
              <w:rPr>
                <w:sz w:val="21"/>
              </w:rPr>
            </w:pPr>
            <w:r>
              <w:rPr>
                <w:sz w:val="21"/>
              </w:rPr>
              <w:t>夜间</w:t>
            </w:r>
          </w:p>
        </w:tc>
        <w:tc>
          <w:tcPr>
            <w:tcW w:w="588" w:type="dxa"/>
          </w:tcPr>
          <w:p>
            <w:pPr>
              <w:pStyle w:val="TableParagraph"/>
              <w:spacing w:before="117"/>
              <w:ind w:left="167" w:right="158"/>
              <w:rPr>
                <w:rFonts w:ascii="Times New Roman"/>
                <w:sz w:val="21"/>
              </w:rPr>
            </w:pPr>
            <w:r>
              <w:rPr>
                <w:rFonts w:ascii="Times New Roman"/>
                <w:sz w:val="21"/>
              </w:rPr>
              <w:t>50</w:t>
            </w:r>
          </w:p>
        </w:tc>
      </w:tr>
      <w:tr>
        <w:trPr>
          <w:trHeight w:val="406" w:hRule="atLeast"/>
        </w:trPr>
        <w:tc>
          <w:tcPr>
            <w:tcW w:w="666" w:type="dxa"/>
            <w:vMerge/>
            <w:tcBorders>
              <w:top w:val="nil"/>
            </w:tcBorders>
          </w:tcPr>
          <w:p>
            <w:pPr>
              <w:rPr>
                <w:sz w:val="2"/>
                <w:szCs w:val="2"/>
              </w:rPr>
            </w:pPr>
          </w:p>
        </w:tc>
        <w:tc>
          <w:tcPr>
            <w:tcW w:w="4238" w:type="dxa"/>
            <w:vMerge w:val="restart"/>
          </w:tcPr>
          <w:p>
            <w:pPr>
              <w:pStyle w:val="TableParagraph"/>
              <w:spacing w:before="120"/>
              <w:ind w:left="100" w:right="95"/>
              <w:rPr>
                <w:sz w:val="21"/>
              </w:rPr>
            </w:pPr>
            <w:r>
              <w:rPr>
                <w:sz w:val="21"/>
              </w:rPr>
              <w:t>《建筑施工场界环境噪声排放标准》</w:t>
            </w:r>
          </w:p>
          <w:p>
            <w:pPr>
              <w:pStyle w:val="TableParagraph"/>
              <w:spacing w:before="3"/>
              <w:ind w:left="102" w:right="95"/>
              <w:rPr>
                <w:sz w:val="21"/>
              </w:rPr>
            </w:pPr>
            <w:r>
              <w:rPr>
                <w:sz w:val="21"/>
              </w:rPr>
              <w:t>（</w:t>
            </w:r>
            <w:r>
              <w:rPr>
                <w:rFonts w:ascii="Times New Roman" w:eastAsia="Times New Roman"/>
                <w:sz w:val="21"/>
              </w:rPr>
              <w:t>GB12523-2011</w:t>
            </w:r>
            <w:r>
              <w:rPr>
                <w:sz w:val="21"/>
              </w:rPr>
              <w:t>）</w:t>
            </w:r>
          </w:p>
        </w:tc>
        <w:tc>
          <w:tcPr>
            <w:tcW w:w="673" w:type="dxa"/>
            <w:vMerge w:val="restart"/>
          </w:tcPr>
          <w:p>
            <w:pPr>
              <w:pStyle w:val="TableParagraph"/>
              <w:spacing w:line="242" w:lineRule="auto" w:before="120"/>
              <w:ind w:left="126" w:right="117"/>
              <w:jc w:val="left"/>
              <w:rPr>
                <w:sz w:val="21"/>
              </w:rPr>
            </w:pPr>
            <w:r>
              <w:rPr>
                <w:sz w:val="21"/>
              </w:rPr>
              <w:t>厂界噪声</w:t>
            </w:r>
          </w:p>
        </w:tc>
        <w:tc>
          <w:tcPr>
            <w:tcW w:w="1515" w:type="dxa"/>
            <w:gridSpan w:val="2"/>
            <w:vMerge w:val="restart"/>
          </w:tcPr>
          <w:p>
            <w:pPr>
              <w:pStyle w:val="TableParagraph"/>
              <w:spacing w:before="2"/>
              <w:jc w:val="left"/>
              <w:rPr>
                <w:b/>
                <w:sz w:val="21"/>
              </w:rPr>
            </w:pPr>
          </w:p>
          <w:p>
            <w:pPr>
              <w:pStyle w:val="TableParagraph"/>
              <w:ind w:left="489"/>
              <w:jc w:val="left"/>
              <w:rPr>
                <w:rFonts w:ascii="Times New Roman"/>
                <w:sz w:val="21"/>
              </w:rPr>
            </w:pPr>
            <w:r>
              <w:rPr>
                <w:rFonts w:ascii="Times New Roman"/>
                <w:sz w:val="21"/>
              </w:rPr>
              <w:t>dB(A)</w:t>
            </w:r>
          </w:p>
        </w:tc>
        <w:tc>
          <w:tcPr>
            <w:tcW w:w="842" w:type="dxa"/>
          </w:tcPr>
          <w:p>
            <w:pPr>
              <w:pStyle w:val="TableParagraph"/>
              <w:spacing w:before="68"/>
              <w:ind w:left="189" w:right="182"/>
              <w:rPr>
                <w:sz w:val="21"/>
              </w:rPr>
            </w:pPr>
            <w:r>
              <w:rPr>
                <w:sz w:val="21"/>
              </w:rPr>
              <w:t>昼间</w:t>
            </w:r>
          </w:p>
        </w:tc>
        <w:tc>
          <w:tcPr>
            <w:tcW w:w="588" w:type="dxa"/>
          </w:tcPr>
          <w:p>
            <w:pPr>
              <w:pStyle w:val="TableParagraph"/>
              <w:spacing w:before="82"/>
              <w:ind w:left="168" w:right="157"/>
              <w:rPr>
                <w:rFonts w:ascii="Times New Roman"/>
                <w:sz w:val="21"/>
              </w:rPr>
            </w:pPr>
            <w:r>
              <w:rPr>
                <w:rFonts w:ascii="Times New Roman"/>
                <w:sz w:val="21"/>
              </w:rPr>
              <w:t>70</w:t>
            </w:r>
          </w:p>
        </w:tc>
      </w:tr>
      <w:tr>
        <w:trPr>
          <w:trHeight w:val="368" w:hRule="atLeast"/>
        </w:trPr>
        <w:tc>
          <w:tcPr>
            <w:tcW w:w="666" w:type="dxa"/>
            <w:vMerge/>
            <w:tcBorders>
              <w:top w:val="nil"/>
            </w:tcBorders>
          </w:tcPr>
          <w:p>
            <w:pPr>
              <w:rPr>
                <w:sz w:val="2"/>
                <w:szCs w:val="2"/>
              </w:rPr>
            </w:pPr>
          </w:p>
        </w:tc>
        <w:tc>
          <w:tcPr>
            <w:tcW w:w="4238" w:type="dxa"/>
            <w:vMerge/>
            <w:tcBorders>
              <w:top w:val="nil"/>
            </w:tcBorders>
          </w:tcPr>
          <w:p>
            <w:pPr>
              <w:rPr>
                <w:sz w:val="2"/>
                <w:szCs w:val="2"/>
              </w:rPr>
            </w:pPr>
          </w:p>
        </w:tc>
        <w:tc>
          <w:tcPr>
            <w:tcW w:w="673" w:type="dxa"/>
            <w:vMerge/>
            <w:tcBorders>
              <w:top w:val="nil"/>
            </w:tcBorders>
          </w:tcPr>
          <w:p>
            <w:pPr>
              <w:rPr>
                <w:sz w:val="2"/>
                <w:szCs w:val="2"/>
              </w:rPr>
            </w:pPr>
          </w:p>
        </w:tc>
        <w:tc>
          <w:tcPr>
            <w:tcW w:w="1515" w:type="dxa"/>
            <w:gridSpan w:val="2"/>
            <w:vMerge/>
            <w:tcBorders>
              <w:top w:val="nil"/>
            </w:tcBorders>
          </w:tcPr>
          <w:p>
            <w:pPr>
              <w:rPr>
                <w:sz w:val="2"/>
                <w:szCs w:val="2"/>
              </w:rPr>
            </w:pPr>
          </w:p>
        </w:tc>
        <w:tc>
          <w:tcPr>
            <w:tcW w:w="842" w:type="dxa"/>
          </w:tcPr>
          <w:p>
            <w:pPr>
              <w:pStyle w:val="TableParagraph"/>
              <w:spacing w:before="47"/>
              <w:ind w:left="189" w:right="182"/>
              <w:rPr>
                <w:sz w:val="21"/>
              </w:rPr>
            </w:pPr>
            <w:r>
              <w:rPr>
                <w:sz w:val="21"/>
              </w:rPr>
              <w:t>夜间</w:t>
            </w:r>
          </w:p>
        </w:tc>
        <w:tc>
          <w:tcPr>
            <w:tcW w:w="588" w:type="dxa"/>
          </w:tcPr>
          <w:p>
            <w:pPr>
              <w:pStyle w:val="TableParagraph"/>
              <w:spacing w:before="63"/>
              <w:ind w:left="168" w:right="157"/>
              <w:rPr>
                <w:rFonts w:ascii="Times New Roman"/>
                <w:sz w:val="21"/>
              </w:rPr>
            </w:pPr>
            <w:r>
              <w:rPr>
                <w:rFonts w:ascii="Times New Roman"/>
                <w:sz w:val="21"/>
              </w:rPr>
              <w:t>55</w:t>
            </w:r>
          </w:p>
        </w:tc>
      </w:tr>
      <w:tr>
        <w:trPr>
          <w:trHeight w:val="1088" w:hRule="atLeast"/>
        </w:trPr>
        <w:tc>
          <w:tcPr>
            <w:tcW w:w="666" w:type="dxa"/>
          </w:tcPr>
          <w:p>
            <w:pPr>
              <w:pStyle w:val="TableParagraph"/>
              <w:spacing w:before="4"/>
              <w:jc w:val="left"/>
              <w:rPr>
                <w:b/>
                <w:sz w:val="21"/>
              </w:rPr>
            </w:pPr>
          </w:p>
          <w:p>
            <w:pPr>
              <w:pStyle w:val="TableParagraph"/>
              <w:spacing w:line="242" w:lineRule="auto"/>
              <w:ind w:left="122" w:right="114"/>
              <w:jc w:val="left"/>
              <w:rPr>
                <w:sz w:val="21"/>
              </w:rPr>
            </w:pPr>
            <w:r>
              <w:rPr>
                <w:sz w:val="21"/>
              </w:rPr>
              <w:t>固体废物</w:t>
            </w:r>
          </w:p>
        </w:tc>
        <w:tc>
          <w:tcPr>
            <w:tcW w:w="7856" w:type="dxa"/>
            <w:gridSpan w:val="6"/>
          </w:tcPr>
          <w:p>
            <w:pPr>
              <w:pStyle w:val="TableParagraph"/>
              <w:ind w:left="101" w:right="95"/>
              <w:rPr>
                <w:sz w:val="21"/>
              </w:rPr>
            </w:pPr>
            <w:r>
              <w:rPr>
                <w:sz w:val="21"/>
              </w:rPr>
              <w:t>一般工业固体废物执行《一般工业固体废物贮存、处置场污染控制标准》</w:t>
            </w:r>
          </w:p>
          <w:p>
            <w:pPr>
              <w:pStyle w:val="TableParagraph"/>
              <w:spacing w:line="242" w:lineRule="auto" w:before="4"/>
              <w:ind w:left="108" w:right="95"/>
              <w:rPr>
                <w:sz w:val="21"/>
              </w:rPr>
            </w:pPr>
            <w:r>
              <w:rPr>
                <w:w w:val="95"/>
                <w:sz w:val="21"/>
              </w:rPr>
              <w:t>（</w:t>
            </w:r>
            <w:r>
              <w:rPr>
                <w:rFonts w:ascii="Times New Roman" w:eastAsia="Times New Roman"/>
                <w:w w:val="95"/>
                <w:sz w:val="21"/>
              </w:rPr>
              <w:t>GB18599-2001</w:t>
            </w:r>
            <w:r>
              <w:rPr>
                <w:w w:val="95"/>
                <w:sz w:val="21"/>
              </w:rPr>
              <w:t>）</w:t>
            </w:r>
            <w:r>
              <w:rPr>
                <w:spacing w:val="-1"/>
                <w:w w:val="95"/>
                <w:sz w:val="21"/>
              </w:rPr>
              <w:t>中有关规定及《煤炭工业污染物排放标准》</w:t>
            </w:r>
            <w:r>
              <w:rPr>
                <w:w w:val="95"/>
                <w:sz w:val="21"/>
              </w:rPr>
              <w:t>（</w:t>
            </w:r>
            <w:r>
              <w:rPr>
                <w:rFonts w:ascii="Times New Roman" w:eastAsia="Times New Roman"/>
                <w:w w:val="95"/>
                <w:sz w:val="21"/>
              </w:rPr>
              <w:t>GB20426-2006</w:t>
            </w:r>
            <w:r>
              <w:rPr>
                <w:w w:val="95"/>
                <w:sz w:val="21"/>
              </w:rPr>
              <w:t>）中  </w:t>
            </w:r>
            <w:r>
              <w:rPr>
                <w:spacing w:val="-2"/>
                <w:sz w:val="21"/>
              </w:rPr>
              <w:t>的有关标准；危险废物执行《危险废物贮存污染控制标准》</w:t>
            </w:r>
            <w:r>
              <w:rPr>
                <w:sz w:val="21"/>
              </w:rPr>
              <w:t>（</w:t>
            </w:r>
            <w:r>
              <w:rPr>
                <w:rFonts w:ascii="Times New Roman" w:eastAsia="Times New Roman"/>
                <w:sz w:val="21"/>
              </w:rPr>
              <w:t>GB</w:t>
            </w:r>
            <w:r>
              <w:rPr>
                <w:rFonts w:ascii="Times New Roman" w:eastAsia="Times New Roman"/>
                <w:spacing w:val="-27"/>
                <w:sz w:val="21"/>
              </w:rPr>
              <w:t> </w:t>
            </w:r>
            <w:r>
              <w:rPr>
                <w:rFonts w:ascii="Times New Roman" w:eastAsia="Times New Roman"/>
                <w:sz w:val="21"/>
              </w:rPr>
              <w:t>18597-2001</w:t>
            </w:r>
            <w:r>
              <w:rPr>
                <w:sz w:val="21"/>
              </w:rPr>
              <w:t>）中相</w:t>
            </w:r>
          </w:p>
          <w:p>
            <w:pPr>
              <w:pStyle w:val="TableParagraph"/>
              <w:spacing w:line="250" w:lineRule="exact" w:before="2"/>
              <w:ind w:left="103" w:right="95"/>
              <w:rPr>
                <w:sz w:val="21"/>
              </w:rPr>
            </w:pPr>
            <w:r>
              <w:rPr>
                <w:sz w:val="21"/>
              </w:rPr>
              <w:t>关标准</w:t>
            </w:r>
          </w:p>
        </w:tc>
      </w:tr>
    </w:tbl>
    <w:p>
      <w:pPr>
        <w:pStyle w:val="Heading2"/>
        <w:numPr>
          <w:ilvl w:val="1"/>
          <w:numId w:val="7"/>
        </w:numPr>
        <w:tabs>
          <w:tab w:pos="1004" w:val="left" w:leader="none"/>
        </w:tabs>
        <w:spacing w:line="240" w:lineRule="auto" w:before="4" w:after="0"/>
        <w:ind w:left="1004" w:right="0" w:hanging="526"/>
        <w:jc w:val="left"/>
      </w:pPr>
      <w:bookmarkStart w:name="2.4 评价工作等级" w:id="38"/>
      <w:bookmarkEnd w:id="38"/>
      <w:r>
        <w:rPr>
          <w:b w:val="0"/>
        </w:rPr>
      </w:r>
      <w:bookmarkStart w:name="_bookmark10" w:id="39"/>
      <w:bookmarkEnd w:id="39"/>
      <w:r>
        <w:rPr>
          <w:b w:val="0"/>
        </w:rPr>
      </w:r>
      <w:bookmarkStart w:name="_bookmark10" w:id="40"/>
      <w:bookmarkEnd w:id="40"/>
      <w:r>
        <w:rPr/>
        <w:t>评价工作等级</w:t>
      </w:r>
    </w:p>
    <w:p>
      <w:pPr>
        <w:pStyle w:val="ListParagraph"/>
        <w:numPr>
          <w:ilvl w:val="2"/>
          <w:numId w:val="7"/>
        </w:numPr>
        <w:tabs>
          <w:tab w:pos="1108" w:val="left" w:leader="none"/>
        </w:tabs>
        <w:spacing w:line="240" w:lineRule="auto" w:before="197" w:after="0"/>
        <w:ind w:left="1107" w:right="0" w:hanging="630"/>
        <w:jc w:val="left"/>
        <w:rPr>
          <w:b/>
          <w:sz w:val="28"/>
        </w:rPr>
      </w:pPr>
      <w:bookmarkStart w:name="2.4.1大气环境" w:id="41"/>
      <w:bookmarkEnd w:id="41"/>
      <w:r>
        <w:rPr/>
      </w:r>
      <w:bookmarkStart w:name="2.4.1大气环境" w:id="42"/>
      <w:bookmarkEnd w:id="42"/>
      <w:r>
        <w:rPr>
          <w:b/>
          <w:sz w:val="28"/>
        </w:rPr>
        <w:t>大气环境</w:t>
      </w:r>
    </w:p>
    <w:p>
      <w:pPr>
        <w:pStyle w:val="BodyText"/>
        <w:spacing w:line="364" w:lineRule="auto" w:before="185"/>
        <w:ind w:left="478" w:right="473" w:firstLine="480"/>
        <w:jc w:val="both"/>
      </w:pPr>
      <w:r>
        <w:rPr/>
        <w:t>《环境影响评价技术导则 大气环境》（</w:t>
      </w:r>
      <w:r>
        <w:rPr>
          <w:rFonts w:ascii="Times New Roman" w:eastAsia="Times New Roman"/>
        </w:rPr>
        <w:t>HJ2.2-2018</w:t>
      </w:r>
      <w:r>
        <w:rPr/>
        <w:t>）中评价工作等级的划分规定如下：</w:t>
      </w:r>
    </w:p>
    <w:p>
      <w:pPr>
        <w:pStyle w:val="BodyText"/>
        <w:spacing w:line="364" w:lineRule="auto"/>
        <w:ind w:left="478" w:right="468" w:firstLine="480"/>
        <w:jc w:val="both"/>
      </w:pPr>
      <w:r>
        <w:rPr>
          <w:spacing w:val="-4"/>
        </w:rPr>
        <w:t>根据项目污染源初步调查结果，分别计算项目排放主要污染物的最大地面质量浓度占标率</w:t>
      </w:r>
      <w:r>
        <w:rPr>
          <w:rFonts w:ascii="Times New Roman" w:hAnsi="Times New Roman" w:eastAsia="Times New Roman"/>
          <w:spacing w:val="-11"/>
        </w:rPr>
        <w:t>Pi</w:t>
      </w:r>
      <w:r>
        <w:rPr>
          <w:spacing w:val="-11"/>
        </w:rPr>
        <w:t>（</w:t>
      </w:r>
      <w:r>
        <w:rPr/>
        <w:t>第</w:t>
      </w:r>
      <w:r>
        <w:rPr>
          <w:rFonts w:ascii="Times New Roman" w:hAnsi="Times New Roman" w:eastAsia="Times New Roman"/>
        </w:rPr>
        <w:t>i</w:t>
      </w:r>
      <w:r>
        <w:rPr>
          <w:spacing w:val="-5"/>
        </w:rPr>
        <w:t>个污染物，简称</w:t>
      </w:r>
      <w:r>
        <w:rPr>
          <w:rFonts w:ascii="Times New Roman" w:hAnsi="Times New Roman" w:eastAsia="Times New Roman"/>
        </w:rPr>
        <w:t>“</w:t>
      </w:r>
      <w:r>
        <w:rPr/>
        <w:t>最大浓度占标率</w:t>
      </w:r>
      <w:r>
        <w:rPr>
          <w:rFonts w:ascii="Times New Roman" w:hAnsi="Times New Roman" w:eastAsia="Times New Roman"/>
          <w:spacing w:val="-19"/>
        </w:rPr>
        <w:t>”</w:t>
      </w:r>
      <w:r>
        <w:rPr>
          <w:spacing w:val="-19"/>
        </w:rPr>
        <w:t>），</w:t>
      </w:r>
      <w:r>
        <w:rPr/>
        <w:t>及第</w:t>
      </w:r>
      <w:r>
        <w:rPr>
          <w:rFonts w:ascii="Times New Roman" w:hAnsi="Times New Roman" w:eastAsia="Times New Roman"/>
        </w:rPr>
        <w:t>i</w:t>
      </w:r>
      <w:r>
        <w:rPr>
          <w:spacing w:val="-1"/>
        </w:rPr>
        <w:t>个污染物的地面质量浓度达到</w:t>
      </w:r>
      <w:r>
        <w:rPr>
          <w:position w:val="2"/>
        </w:rPr>
        <w:t>标准限值</w:t>
      </w:r>
      <w:r>
        <w:rPr>
          <w:rFonts w:ascii="Times New Roman" w:hAnsi="Times New Roman" w:eastAsia="Times New Roman"/>
          <w:position w:val="2"/>
        </w:rPr>
        <w:t>10%</w:t>
      </w:r>
      <w:r>
        <w:rPr>
          <w:position w:val="2"/>
        </w:rPr>
        <w:t>时所对应的最远距离</w:t>
      </w:r>
      <w:r>
        <w:rPr>
          <w:rFonts w:ascii="Times New Roman" w:hAnsi="Times New Roman" w:eastAsia="Times New Roman"/>
          <w:position w:val="2"/>
        </w:rPr>
        <w:t>D</w:t>
      </w:r>
      <w:r>
        <w:rPr>
          <w:rFonts w:ascii="Times New Roman" w:hAnsi="Times New Roman" w:eastAsia="Times New Roman"/>
          <w:position w:val="2"/>
          <w:vertAlign w:val="subscript"/>
        </w:rPr>
        <w:t>10%</w:t>
      </w:r>
      <w:r>
        <w:rPr>
          <w:position w:val="2"/>
          <w:vertAlign w:val="baseline"/>
        </w:rPr>
        <w:t>。其中</w:t>
      </w:r>
      <w:r>
        <w:rPr>
          <w:rFonts w:ascii="Times New Roman" w:hAnsi="Times New Roman" w:eastAsia="Times New Roman"/>
          <w:position w:val="2"/>
          <w:vertAlign w:val="baseline"/>
        </w:rPr>
        <w:t>Pi</w:t>
      </w:r>
      <w:r>
        <w:rPr>
          <w:position w:val="2"/>
          <w:vertAlign w:val="baseline"/>
        </w:rPr>
        <w:t>定义为：</w:t>
      </w:r>
    </w:p>
    <w:p>
      <w:pPr>
        <w:pStyle w:val="BodyText"/>
        <w:spacing w:line="304" w:lineRule="exact"/>
        <w:ind w:left="958"/>
        <w:rPr>
          <w:rFonts w:ascii="Times New Roman" w:hAnsi="Times New Roman" w:eastAsia="Times New Roman"/>
        </w:rPr>
      </w:pPr>
      <w:r>
        <w:rPr>
          <w:rFonts w:ascii="Times New Roman" w:hAnsi="Times New Roman" w:eastAsia="Times New Roman"/>
          <w:position w:val="2"/>
        </w:rPr>
        <w:t>Pi</w:t>
      </w:r>
      <w:r>
        <w:rPr>
          <w:position w:val="2"/>
        </w:rPr>
        <w:t>＝</w:t>
      </w:r>
      <w:r>
        <w:rPr>
          <w:rFonts w:ascii="Times New Roman" w:hAnsi="Times New Roman" w:eastAsia="Times New Roman"/>
          <w:position w:val="2"/>
        </w:rPr>
        <w:t>(Ci/C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)×100%</w:t>
      </w:r>
    </w:p>
    <w:p>
      <w:pPr>
        <w:pStyle w:val="BodyText"/>
        <w:spacing w:before="153"/>
        <w:ind w:left="95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 —</w:t>
      </w:r>
      <w:r>
        <w:rPr>
          <w:position w:val="2"/>
          <w:vertAlign w:val="baseline"/>
        </w:rPr>
        <w:t>第</w:t>
      </w:r>
      <w:r>
        <w:rPr>
          <w:rFonts w:ascii="Times New Roman" w:hAnsi="Times New Roman" w:eastAsia="Times New Roman"/>
          <w:position w:val="2"/>
          <w:vertAlign w:val="baseline"/>
        </w:rPr>
        <w:t>i</w:t>
      </w:r>
      <w:r>
        <w:rPr>
          <w:position w:val="2"/>
          <w:vertAlign w:val="baseline"/>
        </w:rPr>
        <w:t>个污染物的最大地面质量浓度占标率，</w:t>
      </w:r>
      <w:r>
        <w:rPr>
          <w:rFonts w:ascii="Times New Roman" w:hAnsi="Times New Roman" w:eastAsia="Times New Roman"/>
          <w:position w:val="2"/>
          <w:vertAlign w:val="baseline"/>
        </w:rPr>
        <w:t>%</w:t>
      </w:r>
      <w:r>
        <w:rPr>
          <w:position w:val="2"/>
          <w:vertAlign w:val="baseline"/>
        </w:rPr>
        <w:t>；</w:t>
      </w:r>
    </w:p>
    <w:p>
      <w:pPr>
        <w:pStyle w:val="BodyText"/>
        <w:spacing w:line="362" w:lineRule="auto" w:before="156"/>
        <w:ind w:left="958" w:right="95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采用估算模式计算出的第</w:t>
      </w:r>
      <w:r>
        <w:rPr>
          <w:rFonts w:ascii="Times New Roman" w:hAnsi="Times New Roman" w:eastAsia="Times New Roman"/>
          <w:position w:val="2"/>
          <w:vertAlign w:val="baseline"/>
        </w:rPr>
        <w:t>i</w:t>
      </w:r>
      <w:r>
        <w:rPr>
          <w:position w:val="2"/>
          <w:vertAlign w:val="baseline"/>
        </w:rPr>
        <w:t>个污染物的最大</w:t>
      </w:r>
      <w:r>
        <w:rPr>
          <w:rFonts w:ascii="Times New Roman" w:hAnsi="Times New Roman" w:eastAsia="Times New Roman"/>
          <w:position w:val="2"/>
          <w:vertAlign w:val="baseline"/>
        </w:rPr>
        <w:t>1h</w:t>
      </w:r>
      <w:r>
        <w:rPr>
          <w:position w:val="2"/>
          <w:vertAlign w:val="baseline"/>
        </w:rPr>
        <w:t>地面空气质量浓度，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w:t>
      </w:r>
      <w:r>
        <w:rPr>
          <w:position w:val="2"/>
          <w:vertAlign w:val="baseline"/>
        </w:rPr>
        <w:t>第</w:t>
      </w:r>
      <w:r>
        <w:rPr>
          <w:rFonts w:ascii="Times New Roman" w:hAnsi="Times New Roman" w:eastAsia="Times New Roman"/>
          <w:position w:val="2"/>
          <w:vertAlign w:val="baseline"/>
        </w:rPr>
        <w:t>i</w:t>
      </w:r>
      <w:r>
        <w:rPr>
          <w:position w:val="2"/>
          <w:vertAlign w:val="baseline"/>
        </w:rPr>
        <w:t>个污染物的环境空气质量浓度标准，</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BodyText"/>
        <w:tabs>
          <w:tab w:pos="2158" w:val="left" w:leader="none"/>
        </w:tabs>
        <w:spacing w:line="364" w:lineRule="auto"/>
        <w:ind w:left="478" w:right="351" w:firstLine="480"/>
      </w:pPr>
      <w:r>
        <w:rPr>
          <w:rFonts w:ascii="Times New Roman" w:eastAsia="Times New Roman"/>
          <w:position w:val="2"/>
        </w:rPr>
        <w:t>C</w:t>
      </w:r>
      <w:r>
        <w:rPr>
          <w:rFonts w:ascii="Times New Roman" w:eastAsia="Times New Roman"/>
          <w:position w:val="2"/>
          <w:vertAlign w:val="subscript"/>
        </w:rPr>
        <w:t>0i</w:t>
      </w:r>
      <w:r>
        <w:rPr>
          <w:position w:val="2"/>
          <w:vertAlign w:val="baseline"/>
        </w:rPr>
        <w:t>一般选用</w:t>
      </w:r>
      <w:r>
        <w:rPr>
          <w:rFonts w:ascii="Times New Roman" w:eastAsia="Times New Roman"/>
          <w:position w:val="2"/>
          <w:vertAlign w:val="baseline"/>
        </w:rPr>
        <w:t>GB3095</w:t>
      </w:r>
      <w:r>
        <w:rPr>
          <w:position w:val="2"/>
          <w:vertAlign w:val="baseline"/>
        </w:rPr>
        <w:t>中</w:t>
      </w:r>
      <w:r>
        <w:rPr>
          <w:rFonts w:ascii="Times New Roman" w:eastAsia="Times New Roman"/>
          <w:position w:val="2"/>
          <w:vertAlign w:val="baseline"/>
        </w:rPr>
        <w:t>1h</w:t>
      </w:r>
      <w:r>
        <w:rPr>
          <w:position w:val="2"/>
          <w:vertAlign w:val="baseline"/>
        </w:rPr>
        <w:t>平均质量浓度的二级标准限值；对于没有小时浓度限值的</w:t>
      </w:r>
      <w:r>
        <w:rPr>
          <w:vertAlign w:val="baseline"/>
        </w:rPr>
        <w:t>污染物</w:t>
      </w:r>
      <w:r>
        <w:rPr>
          <w:spacing w:val="-15"/>
          <w:vertAlign w:val="baseline"/>
        </w:rPr>
        <w:t>，</w:t>
      </w:r>
      <w:r>
        <w:rPr>
          <w:vertAlign w:val="baseline"/>
        </w:rPr>
        <w:t>可取日平均浓度限值的三倍值</w:t>
      </w:r>
      <w:r>
        <w:rPr>
          <w:spacing w:val="-15"/>
          <w:vertAlign w:val="baseline"/>
        </w:rPr>
        <w:t>；</w:t>
      </w:r>
      <w:r>
        <w:rPr>
          <w:vertAlign w:val="baseline"/>
        </w:rPr>
        <w:t>对该标准中未包含的污染物</w:t>
      </w:r>
      <w:r>
        <w:rPr>
          <w:spacing w:val="-12"/>
          <w:vertAlign w:val="baseline"/>
        </w:rPr>
        <w:t>，</w:t>
      </w:r>
      <w:r>
        <w:rPr>
          <w:vertAlign w:val="baseline"/>
        </w:rPr>
        <w:t>使</w:t>
      </w:r>
      <w:r>
        <w:rPr>
          <w:spacing w:val="-12"/>
          <w:vertAlign w:val="baseline"/>
        </w:rPr>
        <w:t>用</w:t>
      </w:r>
      <w:r>
        <w:rPr>
          <w:spacing w:val="-3"/>
          <w:vertAlign w:val="baseline"/>
        </w:rPr>
        <w:t>《</w:t>
      </w:r>
      <w:r>
        <w:rPr>
          <w:vertAlign w:val="baseline"/>
        </w:rPr>
        <w:t>环境影响评价技术导则</w:t>
        <w:tab/>
        <w:t>大气环境</w:t>
      </w:r>
      <w:r>
        <w:rPr>
          <w:spacing w:val="-104"/>
          <w:vertAlign w:val="baseline"/>
        </w:rPr>
        <w:t>》</w:t>
      </w:r>
      <w:r>
        <w:rPr>
          <w:spacing w:val="-5"/>
          <w:vertAlign w:val="baseline"/>
        </w:rPr>
        <w:t>（</w:t>
      </w:r>
      <w:r>
        <w:rPr>
          <w:rFonts w:ascii="Times New Roman" w:eastAsia="Times New Roman"/>
          <w:spacing w:val="-5"/>
          <w:vertAlign w:val="baseline"/>
        </w:rPr>
        <w:t>HJ2.2-2018</w:t>
      </w:r>
      <w:r>
        <w:rPr>
          <w:spacing w:val="-5"/>
          <w:vertAlign w:val="baseline"/>
        </w:rPr>
        <w:t>）</w:t>
      </w:r>
      <w:r>
        <w:rPr>
          <w:vertAlign w:val="baseline"/>
        </w:rPr>
        <w:t>中</w:t>
      </w:r>
      <w:r>
        <w:rPr>
          <w:rFonts w:ascii="Times New Roman" w:eastAsia="Times New Roman"/>
          <w:vertAlign w:val="baseline"/>
        </w:rPr>
        <w:t>5.2</w:t>
      </w:r>
      <w:r>
        <w:rPr>
          <w:vertAlign w:val="baseline"/>
        </w:rPr>
        <w:t>确定的各评价因子</w:t>
      </w:r>
      <w:r>
        <w:rPr>
          <w:rFonts w:ascii="Times New Roman" w:eastAsia="Times New Roman"/>
          <w:vertAlign w:val="baseline"/>
        </w:rPr>
        <w:t>1h</w:t>
      </w:r>
      <w:r>
        <w:rPr>
          <w:vertAlign w:val="baseline"/>
        </w:rPr>
        <w:t>平均质量浓度限值</w:t>
      </w:r>
      <w:r>
        <w:rPr>
          <w:spacing w:val="-14"/>
          <w:vertAlign w:val="baseline"/>
        </w:rPr>
        <w:t>。</w:t>
      </w:r>
      <w:r>
        <w:rPr>
          <w:vertAlign w:val="baseline"/>
        </w:rPr>
        <w:t>对仅有</w:t>
      </w:r>
      <w:r>
        <w:rPr>
          <w:rFonts w:ascii="Times New Roman" w:eastAsia="Times New Roman"/>
          <w:vertAlign w:val="baseline"/>
        </w:rPr>
        <w:t>8h</w:t>
      </w:r>
      <w:r>
        <w:rPr>
          <w:vertAlign w:val="baseline"/>
        </w:rPr>
        <w:t>平均质量浓度限值</w:t>
      </w:r>
      <w:r>
        <w:rPr>
          <w:spacing w:val="-27"/>
          <w:vertAlign w:val="baseline"/>
        </w:rPr>
        <w:t>、</w:t>
      </w:r>
      <w:r>
        <w:rPr>
          <w:vertAlign w:val="baseline"/>
        </w:rPr>
        <w:t>日平均质量浓度限值或年平均质量浓度限值的</w:t>
      </w:r>
      <w:r>
        <w:rPr>
          <w:spacing w:val="-24"/>
          <w:vertAlign w:val="baseline"/>
        </w:rPr>
        <w:t>，</w:t>
      </w:r>
      <w:r>
        <w:rPr>
          <w:vertAlign w:val="baseline"/>
        </w:rPr>
        <w:t>可分别按 </w:t>
      </w:r>
      <w:r>
        <w:rPr>
          <w:rFonts w:ascii="Times New Roman" w:eastAsia="Times New Roman"/>
          <w:vertAlign w:val="baseline"/>
        </w:rPr>
        <w:t>2</w:t>
      </w:r>
      <w:r>
        <w:rPr>
          <w:vertAlign w:val="baseline"/>
        </w:rPr>
        <w:t>倍、</w:t>
      </w:r>
      <w:r>
        <w:rPr>
          <w:rFonts w:ascii="Times New Roman" w:eastAsia="Times New Roman"/>
          <w:vertAlign w:val="baseline"/>
        </w:rPr>
        <w:t>3</w:t>
      </w:r>
      <w:r>
        <w:rPr>
          <w:vertAlign w:val="baseline"/>
        </w:rPr>
        <w:t>倍、</w:t>
      </w:r>
      <w:r>
        <w:rPr>
          <w:rFonts w:ascii="Times New Roman" w:eastAsia="Times New Roman"/>
          <w:vertAlign w:val="baseline"/>
        </w:rPr>
        <w:t>6</w:t>
      </w:r>
      <w:r>
        <w:rPr>
          <w:vertAlign w:val="baseline"/>
        </w:rPr>
        <w:t>倍折算为</w:t>
      </w:r>
      <w:r>
        <w:rPr>
          <w:rFonts w:ascii="Times New Roman" w:eastAsia="Times New Roman"/>
          <w:vertAlign w:val="baseline"/>
        </w:rPr>
        <w:t>1h</w:t>
      </w:r>
      <w:r>
        <w:rPr>
          <w:vertAlign w:val="baseline"/>
        </w:rPr>
        <w:t>平均质量浓度限值。</w:t>
      </w:r>
    </w:p>
    <w:p>
      <w:pPr>
        <w:pStyle w:val="BodyText"/>
        <w:spacing w:line="360" w:lineRule="auto"/>
        <w:ind w:left="478" w:right="436" w:firstLine="480"/>
      </w:pPr>
      <w:r>
        <w:rPr>
          <w:position w:val="2"/>
        </w:rPr>
        <w:t>评价工作等级按表</w:t>
      </w:r>
      <w:r>
        <w:rPr>
          <w:rFonts w:ascii="Times New Roman" w:eastAsia="Times New Roman"/>
          <w:position w:val="2"/>
        </w:rPr>
        <w:t>2.4-1</w:t>
      </w:r>
      <w:r>
        <w:rPr>
          <w:position w:val="2"/>
        </w:rPr>
        <w:t>的分级判据进行划分。最大地面质量浓度占标率</w:t>
      </w:r>
      <w:r>
        <w:rPr>
          <w:rFonts w:ascii="Times New Roman" w:eastAsia="Times New Roman"/>
          <w:position w:val="2"/>
        </w:rPr>
        <w:t>P</w:t>
      </w:r>
      <w:r>
        <w:rPr>
          <w:rFonts w:ascii="Times New Roman" w:eastAsia="Times New Roman"/>
          <w:position w:val="2"/>
          <w:vertAlign w:val="subscript"/>
        </w:rPr>
        <w:t>i</w:t>
      </w:r>
      <w:r>
        <w:rPr>
          <w:position w:val="2"/>
          <w:vertAlign w:val="baseline"/>
        </w:rPr>
        <w:t>按公式计算，如污染物数</w:t>
      </w:r>
      <w:r>
        <w:rPr>
          <w:rFonts w:ascii="Times New Roman" w:eastAsia="Times New Roman"/>
          <w:position w:val="2"/>
          <w:vertAlign w:val="baseline"/>
        </w:rPr>
        <w:t>i</w:t>
      </w:r>
      <w:r>
        <w:rPr>
          <w:position w:val="2"/>
          <w:vertAlign w:val="baseline"/>
        </w:rPr>
        <w:t>大于</w:t>
      </w:r>
      <w:r>
        <w:rPr>
          <w:rFonts w:ascii="Times New Roman" w:eastAsia="Times New Roman"/>
          <w:position w:val="2"/>
          <w:vertAlign w:val="baseline"/>
        </w:rPr>
        <w:t>1</w:t>
      </w:r>
      <w:r>
        <w:rPr>
          <w:position w:val="2"/>
          <w:vertAlign w:val="baseline"/>
        </w:rPr>
        <w:t>，取</w:t>
      </w:r>
      <w:r>
        <w:rPr>
          <w:rFonts w:ascii="Times New Roman" w:eastAsia="Times New Roman"/>
          <w:position w:val="2"/>
          <w:vertAlign w:val="baseline"/>
        </w:rPr>
        <w:t>P</w:t>
      </w:r>
      <w:r>
        <w:rPr>
          <w:position w:val="2"/>
          <w:vertAlign w:val="baseline"/>
        </w:rPr>
        <w:t>值中最大者</w:t>
      </w:r>
      <w:r>
        <w:rPr>
          <w:rFonts w:ascii="Times New Roman" w:eastAsia="Times New Roman"/>
          <w:position w:val="2"/>
          <w:vertAlign w:val="baseline"/>
        </w:rPr>
        <w:t>(P</w:t>
      </w:r>
      <w:r>
        <w:rPr>
          <w:rFonts w:ascii="Times New Roman" w:eastAsia="Times New Roman"/>
          <w:position w:val="2"/>
          <w:vertAlign w:val="subscript"/>
        </w:rPr>
        <w:t>max</w:t>
      </w:r>
      <w:r>
        <w:rPr>
          <w:rFonts w:ascii="Times New Roman" w:eastAsia="Times New Roman"/>
          <w:position w:val="2"/>
          <w:vertAlign w:val="baseline"/>
        </w:rPr>
        <w:t>)</w:t>
      </w:r>
      <w:r>
        <w:rPr>
          <w:position w:val="2"/>
          <w:vertAlign w:val="baseline"/>
        </w:rPr>
        <w:t>。</w:t>
      </w:r>
    </w:p>
    <w:p>
      <w:pPr>
        <w:pStyle w:val="Heading4"/>
        <w:tabs>
          <w:tab w:pos="4812" w:val="left" w:leader="none"/>
        </w:tabs>
        <w:ind w:left="3773"/>
      </w:pPr>
      <w:r>
        <w:rPr/>
        <w:t>表</w:t>
      </w:r>
      <w:r>
        <w:rPr>
          <w:spacing w:val="-62"/>
        </w:rPr>
        <w:t> </w:t>
      </w:r>
      <w:r>
        <w:rPr>
          <w:rFonts w:ascii="Times New Roman" w:eastAsia="Times New Roman"/>
        </w:rPr>
        <w:t>2.4-1</w:t>
        <w:tab/>
      </w:r>
      <w:r>
        <w:rPr/>
        <w:t>评价工作等级</w:t>
      </w: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8"/>
        <w:gridCol w:w="5174"/>
      </w:tblGrid>
      <w:tr>
        <w:trPr>
          <w:trHeight w:val="272" w:hRule="atLeast"/>
        </w:trPr>
        <w:tc>
          <w:tcPr>
            <w:tcW w:w="3348" w:type="dxa"/>
          </w:tcPr>
          <w:p>
            <w:pPr>
              <w:pStyle w:val="TableParagraph"/>
              <w:spacing w:line="252" w:lineRule="exact"/>
              <w:ind w:left="1471" w:right="567"/>
              <w:rPr>
                <w:sz w:val="21"/>
              </w:rPr>
            </w:pPr>
            <w:r>
              <w:rPr>
                <w:sz w:val="21"/>
              </w:rPr>
              <w:t>评价工作等级</w:t>
            </w:r>
          </w:p>
        </w:tc>
        <w:tc>
          <w:tcPr>
            <w:tcW w:w="5174" w:type="dxa"/>
          </w:tcPr>
          <w:p>
            <w:pPr>
              <w:pStyle w:val="TableParagraph"/>
              <w:spacing w:line="252" w:lineRule="exact"/>
              <w:ind w:left="2174" w:right="1269"/>
              <w:rPr>
                <w:sz w:val="21"/>
              </w:rPr>
            </w:pPr>
            <w:r>
              <w:rPr>
                <w:sz w:val="21"/>
              </w:rPr>
              <w:t>评价工作分级判据</w:t>
            </w:r>
          </w:p>
        </w:tc>
      </w:tr>
      <w:tr>
        <w:trPr>
          <w:trHeight w:val="272" w:hRule="atLeast"/>
        </w:trPr>
        <w:tc>
          <w:tcPr>
            <w:tcW w:w="3348" w:type="dxa"/>
          </w:tcPr>
          <w:p>
            <w:pPr>
              <w:pStyle w:val="TableParagraph"/>
              <w:spacing w:line="253" w:lineRule="exact"/>
              <w:ind w:left="1471" w:right="567"/>
              <w:rPr>
                <w:sz w:val="21"/>
              </w:rPr>
            </w:pPr>
            <w:r>
              <w:rPr>
                <w:sz w:val="21"/>
              </w:rPr>
              <w:t>一级</w:t>
            </w:r>
          </w:p>
        </w:tc>
        <w:tc>
          <w:tcPr>
            <w:tcW w:w="5174" w:type="dxa"/>
          </w:tcPr>
          <w:p>
            <w:pPr>
              <w:pStyle w:val="TableParagraph"/>
              <w:spacing w:line="242" w:lineRule="exact" w:before="10"/>
              <w:ind w:left="2174" w:right="1261"/>
              <w:rPr>
                <w:rFonts w:ascii="Times New Roman" w:hAnsi="Times New Roman"/>
                <w:sz w:val="21"/>
              </w:rPr>
            </w:pPr>
            <w:r>
              <w:rPr>
                <w:rFonts w:ascii="Times New Roman" w:hAnsi="Times New Roman"/>
                <w:position w:val="2"/>
                <w:sz w:val="21"/>
              </w:rPr>
              <w:t>P</w:t>
            </w:r>
            <w:r>
              <w:rPr>
                <w:rFonts w:ascii="Times New Roman" w:hAnsi="Times New Roman"/>
                <w:position w:val="2"/>
                <w:sz w:val="21"/>
                <w:vertAlign w:val="subscript"/>
              </w:rPr>
              <w:t>max</w:t>
            </w:r>
            <w:r>
              <w:rPr>
                <w:rFonts w:ascii="Times New Roman" w:hAnsi="Times New Roman"/>
                <w:position w:val="2"/>
                <w:sz w:val="21"/>
                <w:vertAlign w:val="baseline"/>
              </w:rPr>
              <w:t>≥10%</w:t>
            </w:r>
          </w:p>
        </w:tc>
      </w:tr>
      <w:tr>
        <w:trPr>
          <w:trHeight w:val="272" w:hRule="atLeast"/>
        </w:trPr>
        <w:tc>
          <w:tcPr>
            <w:tcW w:w="3348" w:type="dxa"/>
          </w:tcPr>
          <w:p>
            <w:pPr>
              <w:pStyle w:val="TableParagraph"/>
              <w:spacing w:line="252" w:lineRule="exact"/>
              <w:ind w:left="1471" w:right="567"/>
              <w:rPr>
                <w:sz w:val="21"/>
              </w:rPr>
            </w:pPr>
            <w:r>
              <w:rPr>
                <w:sz w:val="21"/>
              </w:rPr>
              <w:t>二级</w:t>
            </w:r>
          </w:p>
        </w:tc>
        <w:tc>
          <w:tcPr>
            <w:tcW w:w="5174" w:type="dxa"/>
          </w:tcPr>
          <w:p>
            <w:pPr>
              <w:pStyle w:val="TableParagraph"/>
              <w:spacing w:line="252" w:lineRule="exact"/>
              <w:ind w:left="2174" w:right="1261"/>
              <w:rPr>
                <w:rFonts w:ascii="Times New Roman" w:hAnsi="Times New Roman" w:eastAsia="Times New Roman"/>
                <w:sz w:val="21"/>
              </w:rPr>
            </w:pPr>
            <w:r>
              <w:rPr>
                <w:rFonts w:ascii="Times New Roman" w:hAnsi="Times New Roman" w:eastAsia="Times New Roman"/>
                <w:position w:val="2"/>
                <w:sz w:val="21"/>
              </w:rPr>
              <w:t>1%≤P</w:t>
            </w:r>
            <w:r>
              <w:rPr>
                <w:rFonts w:ascii="Times New Roman" w:hAnsi="Times New Roman" w:eastAsia="Times New Roman"/>
                <w:position w:val="2"/>
                <w:sz w:val="21"/>
                <w:vertAlign w:val="subscript"/>
              </w:rPr>
              <w:t>max</w:t>
            </w:r>
            <w:r>
              <w:rPr>
                <w:position w:val="2"/>
                <w:sz w:val="21"/>
                <w:vertAlign w:val="baseline"/>
              </w:rPr>
              <w:t>＜</w:t>
            </w:r>
            <w:r>
              <w:rPr>
                <w:rFonts w:ascii="Times New Roman" w:hAnsi="Times New Roman" w:eastAsia="Times New Roman"/>
                <w:position w:val="2"/>
                <w:sz w:val="21"/>
                <w:vertAlign w:val="baseline"/>
              </w:rPr>
              <w:t>10%</w:t>
            </w:r>
          </w:p>
        </w:tc>
      </w:tr>
      <w:tr>
        <w:trPr>
          <w:trHeight w:val="272" w:hRule="atLeast"/>
        </w:trPr>
        <w:tc>
          <w:tcPr>
            <w:tcW w:w="3348" w:type="dxa"/>
          </w:tcPr>
          <w:p>
            <w:pPr>
              <w:pStyle w:val="TableParagraph"/>
              <w:spacing w:line="252" w:lineRule="exact"/>
              <w:ind w:left="1471" w:right="567"/>
              <w:rPr>
                <w:sz w:val="21"/>
              </w:rPr>
            </w:pPr>
            <w:r>
              <w:rPr>
                <w:sz w:val="21"/>
              </w:rPr>
              <w:t>三级</w:t>
            </w:r>
          </w:p>
        </w:tc>
        <w:tc>
          <w:tcPr>
            <w:tcW w:w="5174" w:type="dxa"/>
          </w:tcPr>
          <w:p>
            <w:pPr>
              <w:pStyle w:val="TableParagraph"/>
              <w:spacing w:line="242" w:lineRule="exact" w:before="9"/>
              <w:ind w:left="2174" w:right="12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&lt;1%</w:t>
            </w:r>
          </w:p>
        </w:tc>
      </w:tr>
    </w:tbl>
    <w:p>
      <w:pPr>
        <w:pStyle w:val="BodyText"/>
        <w:spacing w:line="364" w:lineRule="auto"/>
        <w:ind w:left="478" w:right="471" w:firstLine="480"/>
        <w:jc w:val="both"/>
      </w:pPr>
      <w:r>
        <w:rPr/>
        <w:t>本项目评价因子和评价标准表见表</w:t>
      </w:r>
      <w:r>
        <w:rPr>
          <w:rFonts w:ascii="Times New Roman" w:eastAsia="Times New Roman"/>
          <w:spacing w:val="-12"/>
        </w:rPr>
        <w:t>2.4-2</w:t>
      </w:r>
      <w:r>
        <w:rPr>
          <w:spacing w:val="-4"/>
        </w:rPr>
        <w:t>，大气环境评价工作等级估算模式参数见表</w:t>
      </w:r>
      <w:r>
        <w:rPr>
          <w:rFonts w:ascii="Times New Roman" w:eastAsia="Times New Roman"/>
          <w:spacing w:val="-7"/>
        </w:rPr>
        <w:t>2.4-3</w:t>
      </w:r>
      <w:r>
        <w:rPr>
          <w:spacing w:val="-3"/>
        </w:rPr>
        <w:t>，点源参数参数见表</w:t>
      </w:r>
      <w:r>
        <w:rPr>
          <w:rFonts w:ascii="Times New Roman" w:eastAsia="Times New Roman"/>
          <w:spacing w:val="-7"/>
        </w:rPr>
        <w:t>2.4-4</w:t>
      </w:r>
      <w:r>
        <w:rPr>
          <w:spacing w:val="-3"/>
        </w:rPr>
        <w:t>，面源参数表见表</w:t>
      </w:r>
      <w:r>
        <w:rPr>
          <w:rFonts w:ascii="Times New Roman" w:eastAsia="Times New Roman"/>
          <w:spacing w:val="-6"/>
        </w:rPr>
        <w:t>2.4-5</w:t>
      </w:r>
      <w:r>
        <w:rPr>
          <w:spacing w:val="-3"/>
        </w:rPr>
        <w:t>，主要污染因子估算模式的计算结</w:t>
      </w:r>
      <w:r>
        <w:rPr/>
        <w:t>果见表</w:t>
      </w:r>
      <w:r>
        <w:rPr>
          <w:rFonts w:ascii="Times New Roman" w:eastAsia="Times New Roman"/>
        </w:rPr>
        <w:t>2.4-6</w:t>
      </w:r>
      <w:r>
        <w:rPr/>
        <w:t>。</w:t>
      </w:r>
    </w:p>
    <w:p>
      <w:pPr>
        <w:spacing w:after="0" w:line="364" w:lineRule="auto"/>
        <w:jc w:val="both"/>
        <w:sectPr>
          <w:pgSz w:w="11910" w:h="16840"/>
          <w:pgMar w:header="0" w:footer="913" w:top="1400" w:bottom="1100" w:left="940" w:right="940"/>
        </w:sectPr>
      </w:pPr>
    </w:p>
    <w:p>
      <w:pPr>
        <w:pStyle w:val="Heading4"/>
        <w:spacing w:before="61" w:after="3"/>
        <w:ind w:left="1373" w:right="1364"/>
        <w:jc w:val="center"/>
      </w:pPr>
      <w:r>
        <w:rPr/>
        <w:t>表 </w:t>
      </w:r>
      <w:r>
        <w:rPr>
          <w:rFonts w:ascii="Times New Roman" w:eastAsia="Times New Roman"/>
        </w:rPr>
        <w:t>2.4-2  </w:t>
      </w:r>
      <w:r>
        <w:rPr/>
        <w:t>评价因子和评价标准表</w:t>
      </w: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0"/>
        <w:gridCol w:w="2131"/>
        <w:gridCol w:w="2130"/>
        <w:gridCol w:w="2131"/>
      </w:tblGrid>
      <w:tr>
        <w:trPr>
          <w:trHeight w:val="437" w:hRule="atLeast"/>
        </w:trPr>
        <w:tc>
          <w:tcPr>
            <w:tcW w:w="2130" w:type="dxa"/>
          </w:tcPr>
          <w:p>
            <w:pPr>
              <w:pStyle w:val="TableParagraph"/>
              <w:spacing w:before="82"/>
              <w:ind w:left="237" w:right="229"/>
              <w:rPr>
                <w:sz w:val="21"/>
              </w:rPr>
            </w:pPr>
            <w:r>
              <w:rPr>
                <w:sz w:val="21"/>
              </w:rPr>
              <w:t>评价因子</w:t>
            </w:r>
          </w:p>
        </w:tc>
        <w:tc>
          <w:tcPr>
            <w:tcW w:w="2131" w:type="dxa"/>
          </w:tcPr>
          <w:p>
            <w:pPr>
              <w:pStyle w:val="TableParagraph"/>
              <w:spacing w:before="82"/>
              <w:ind w:left="623" w:right="618"/>
              <w:rPr>
                <w:sz w:val="21"/>
              </w:rPr>
            </w:pPr>
            <w:r>
              <w:rPr>
                <w:sz w:val="21"/>
              </w:rPr>
              <w:t>平均时段</w:t>
            </w:r>
          </w:p>
        </w:tc>
        <w:tc>
          <w:tcPr>
            <w:tcW w:w="2130" w:type="dxa"/>
          </w:tcPr>
          <w:p>
            <w:pPr>
              <w:pStyle w:val="TableParagraph"/>
              <w:spacing w:before="82"/>
              <w:ind w:left="237" w:right="229"/>
              <w:rPr>
                <w:sz w:val="21"/>
              </w:rPr>
            </w:pPr>
            <w:r>
              <w:rPr>
                <w:sz w:val="21"/>
              </w:rPr>
              <w:t>标准值</w:t>
            </w:r>
            <w:r>
              <w:rPr>
                <w:rFonts w:ascii="Times New Roman" w:hAnsi="Times New Roman" w:eastAsia="Times New Roman"/>
                <w:sz w:val="21"/>
              </w:rPr>
              <w:t>/</w:t>
            </w: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2131" w:type="dxa"/>
          </w:tcPr>
          <w:p>
            <w:pPr>
              <w:pStyle w:val="TableParagraph"/>
              <w:spacing w:before="82"/>
              <w:ind w:left="645"/>
              <w:jc w:val="left"/>
              <w:rPr>
                <w:sz w:val="21"/>
              </w:rPr>
            </w:pPr>
            <w:r>
              <w:rPr>
                <w:sz w:val="21"/>
              </w:rPr>
              <w:t>标准来源</w:t>
            </w:r>
          </w:p>
        </w:tc>
      </w:tr>
      <w:tr>
        <w:trPr>
          <w:trHeight w:val="402" w:hRule="atLeast"/>
        </w:trPr>
        <w:tc>
          <w:tcPr>
            <w:tcW w:w="2130" w:type="dxa"/>
          </w:tcPr>
          <w:p>
            <w:pPr>
              <w:pStyle w:val="TableParagraph"/>
              <w:spacing w:before="76"/>
              <w:ind w:left="237" w:right="228"/>
              <w:rPr>
                <w:rFonts w:ascii="Times New Roman"/>
                <w:sz w:val="21"/>
              </w:rPr>
            </w:pPr>
            <w:r>
              <w:rPr>
                <w:rFonts w:ascii="Times New Roman"/>
                <w:position w:val="2"/>
                <w:sz w:val="21"/>
              </w:rPr>
              <w:t>SO</w:t>
            </w:r>
            <w:r>
              <w:rPr>
                <w:rFonts w:ascii="Times New Roman"/>
                <w:position w:val="2"/>
                <w:sz w:val="21"/>
                <w:vertAlign w:val="subscript"/>
              </w:rPr>
              <w:t>2</w:t>
            </w:r>
          </w:p>
        </w:tc>
        <w:tc>
          <w:tcPr>
            <w:tcW w:w="2131" w:type="dxa"/>
          </w:tcPr>
          <w:p>
            <w:pPr>
              <w:pStyle w:val="TableParagraph"/>
              <w:spacing w:before="65"/>
              <w:ind w:left="623" w:right="618"/>
              <w:rPr>
                <w:sz w:val="21"/>
              </w:rPr>
            </w:pPr>
            <w:r>
              <w:rPr>
                <w:rFonts w:ascii="Times New Roman" w:eastAsia="Times New Roman"/>
                <w:sz w:val="21"/>
              </w:rPr>
              <w:t>1h </w:t>
            </w:r>
            <w:r>
              <w:rPr>
                <w:sz w:val="21"/>
              </w:rPr>
              <w:t>平均</w:t>
            </w:r>
          </w:p>
        </w:tc>
        <w:tc>
          <w:tcPr>
            <w:tcW w:w="2130" w:type="dxa"/>
          </w:tcPr>
          <w:p>
            <w:pPr>
              <w:pStyle w:val="TableParagraph"/>
              <w:spacing w:before="79"/>
              <w:ind w:left="236" w:right="229"/>
              <w:rPr>
                <w:rFonts w:ascii="Times New Roman"/>
                <w:sz w:val="21"/>
              </w:rPr>
            </w:pPr>
            <w:r>
              <w:rPr>
                <w:rFonts w:ascii="Times New Roman"/>
                <w:sz w:val="21"/>
              </w:rPr>
              <w:t>500</w:t>
            </w:r>
          </w:p>
        </w:tc>
        <w:tc>
          <w:tcPr>
            <w:tcW w:w="2131" w:type="dxa"/>
            <w:vMerge w:val="restart"/>
          </w:tcPr>
          <w:p>
            <w:pPr>
              <w:pStyle w:val="TableParagraph"/>
              <w:spacing w:before="1"/>
              <w:jc w:val="left"/>
              <w:rPr>
                <w:b/>
                <w:sz w:val="16"/>
              </w:rPr>
            </w:pPr>
          </w:p>
          <w:p>
            <w:pPr>
              <w:pStyle w:val="TableParagraph"/>
              <w:spacing w:line="242" w:lineRule="auto"/>
              <w:ind w:left="107" w:right="-15" w:firstLine="117"/>
              <w:jc w:val="left"/>
              <w:rPr>
                <w:sz w:val="21"/>
              </w:rPr>
            </w:pPr>
            <w:r>
              <w:rPr>
                <w:sz w:val="21"/>
              </w:rPr>
              <w:t>《环境空气质量标 </w:t>
            </w:r>
            <w:r>
              <w:rPr>
                <w:spacing w:val="-10"/>
                <w:sz w:val="21"/>
              </w:rPr>
              <w:t>准》</w:t>
            </w:r>
            <w:r>
              <w:rPr>
                <w:sz w:val="21"/>
              </w:rPr>
              <w:t>（</w:t>
            </w:r>
            <w:r>
              <w:rPr>
                <w:rFonts w:ascii="Times New Roman" w:eastAsia="Times New Roman"/>
                <w:sz w:val="21"/>
              </w:rPr>
              <w:t>GB3095-2012</w:t>
            </w:r>
            <w:r>
              <w:rPr>
                <w:sz w:val="21"/>
              </w:rPr>
              <w:t>）</w:t>
            </w:r>
          </w:p>
          <w:p>
            <w:pPr>
              <w:pStyle w:val="TableParagraph"/>
              <w:spacing w:before="2"/>
              <w:ind w:left="645"/>
              <w:jc w:val="left"/>
              <w:rPr>
                <w:sz w:val="21"/>
              </w:rPr>
            </w:pPr>
            <w:r>
              <w:rPr>
                <w:sz w:val="21"/>
              </w:rPr>
              <w:t>二级标准</w:t>
            </w:r>
          </w:p>
        </w:tc>
      </w:tr>
      <w:tr>
        <w:trPr>
          <w:trHeight w:val="404" w:hRule="atLeast"/>
        </w:trPr>
        <w:tc>
          <w:tcPr>
            <w:tcW w:w="2130" w:type="dxa"/>
          </w:tcPr>
          <w:p>
            <w:pPr>
              <w:pStyle w:val="TableParagraph"/>
              <w:spacing w:before="78"/>
              <w:ind w:left="237" w:right="225"/>
              <w:rPr>
                <w:rFonts w:ascii="Times New Roman"/>
                <w:sz w:val="21"/>
              </w:rPr>
            </w:pPr>
            <w:r>
              <w:rPr>
                <w:rFonts w:ascii="Times New Roman"/>
                <w:position w:val="2"/>
                <w:sz w:val="21"/>
              </w:rPr>
              <w:t>NO</w:t>
            </w:r>
            <w:r>
              <w:rPr>
                <w:rFonts w:ascii="Times New Roman"/>
                <w:position w:val="2"/>
                <w:sz w:val="21"/>
                <w:vertAlign w:val="subscript"/>
              </w:rPr>
              <w:t>2</w:t>
            </w:r>
          </w:p>
        </w:tc>
        <w:tc>
          <w:tcPr>
            <w:tcW w:w="2131" w:type="dxa"/>
          </w:tcPr>
          <w:p>
            <w:pPr>
              <w:pStyle w:val="TableParagraph"/>
              <w:spacing w:before="65"/>
              <w:ind w:left="623" w:right="618"/>
              <w:rPr>
                <w:sz w:val="21"/>
              </w:rPr>
            </w:pPr>
            <w:r>
              <w:rPr>
                <w:rFonts w:ascii="Times New Roman" w:eastAsia="Times New Roman"/>
                <w:sz w:val="21"/>
              </w:rPr>
              <w:t>1h </w:t>
            </w:r>
            <w:r>
              <w:rPr>
                <w:sz w:val="21"/>
              </w:rPr>
              <w:t>平均</w:t>
            </w:r>
          </w:p>
        </w:tc>
        <w:tc>
          <w:tcPr>
            <w:tcW w:w="2130" w:type="dxa"/>
          </w:tcPr>
          <w:p>
            <w:pPr>
              <w:pStyle w:val="TableParagraph"/>
              <w:spacing w:before="81"/>
              <w:ind w:left="236" w:right="229"/>
              <w:rPr>
                <w:rFonts w:ascii="Times New Roman"/>
                <w:sz w:val="21"/>
              </w:rPr>
            </w:pPr>
            <w:r>
              <w:rPr>
                <w:rFonts w:ascii="Times New Roman"/>
                <w:sz w:val="21"/>
              </w:rPr>
              <w:t>200</w:t>
            </w:r>
          </w:p>
        </w:tc>
        <w:tc>
          <w:tcPr>
            <w:tcW w:w="2131" w:type="dxa"/>
            <w:vMerge/>
            <w:tcBorders>
              <w:top w:val="nil"/>
            </w:tcBorders>
          </w:tcPr>
          <w:p>
            <w:pPr>
              <w:rPr>
                <w:sz w:val="2"/>
                <w:szCs w:val="2"/>
              </w:rPr>
            </w:pPr>
          </w:p>
        </w:tc>
      </w:tr>
      <w:tr>
        <w:trPr>
          <w:trHeight w:val="404" w:hRule="atLeast"/>
        </w:trPr>
        <w:tc>
          <w:tcPr>
            <w:tcW w:w="2130" w:type="dxa"/>
          </w:tcPr>
          <w:p>
            <w:pPr>
              <w:pStyle w:val="TableParagraph"/>
              <w:spacing w:before="77"/>
              <w:ind w:left="237" w:right="225"/>
              <w:rPr>
                <w:rFonts w:ascii="Times New Roman"/>
                <w:sz w:val="21"/>
              </w:rPr>
            </w:pPr>
            <w:r>
              <w:rPr>
                <w:rFonts w:ascii="Times New Roman"/>
                <w:position w:val="2"/>
                <w:sz w:val="21"/>
              </w:rPr>
              <w:t>PM</w:t>
            </w:r>
            <w:r>
              <w:rPr>
                <w:rFonts w:ascii="Times New Roman"/>
                <w:position w:val="2"/>
                <w:sz w:val="21"/>
                <w:vertAlign w:val="subscript"/>
              </w:rPr>
              <w:t>10</w:t>
            </w:r>
          </w:p>
        </w:tc>
        <w:tc>
          <w:tcPr>
            <w:tcW w:w="2131" w:type="dxa"/>
          </w:tcPr>
          <w:p>
            <w:pPr>
              <w:pStyle w:val="TableParagraph"/>
              <w:spacing w:before="66"/>
              <w:ind w:left="623" w:right="616"/>
              <w:rPr>
                <w:sz w:val="21"/>
              </w:rPr>
            </w:pPr>
            <w:r>
              <w:rPr>
                <w:sz w:val="21"/>
              </w:rPr>
              <w:t>日平均</w:t>
            </w:r>
          </w:p>
        </w:tc>
        <w:tc>
          <w:tcPr>
            <w:tcW w:w="2130" w:type="dxa"/>
          </w:tcPr>
          <w:p>
            <w:pPr>
              <w:pStyle w:val="TableParagraph"/>
              <w:spacing w:before="80"/>
              <w:ind w:left="236" w:right="229"/>
              <w:rPr>
                <w:rFonts w:ascii="Times New Roman"/>
                <w:sz w:val="21"/>
              </w:rPr>
            </w:pPr>
            <w:r>
              <w:rPr>
                <w:rFonts w:ascii="Times New Roman"/>
                <w:sz w:val="21"/>
              </w:rPr>
              <w:t>150</w:t>
            </w:r>
          </w:p>
        </w:tc>
        <w:tc>
          <w:tcPr>
            <w:tcW w:w="2131" w:type="dxa"/>
            <w:vMerge/>
            <w:tcBorders>
              <w:top w:val="nil"/>
            </w:tcBorders>
          </w:tcPr>
          <w:p>
            <w:pPr>
              <w:rPr>
                <w:sz w:val="2"/>
                <w:szCs w:val="2"/>
              </w:rPr>
            </w:pPr>
          </w:p>
        </w:tc>
      </w:tr>
    </w:tbl>
    <w:p>
      <w:pPr>
        <w:tabs>
          <w:tab w:pos="1046" w:val="left" w:leader="none"/>
        </w:tabs>
        <w:spacing w:before="1" w:after="4"/>
        <w:ind w:left="7" w:right="0" w:firstLine="0"/>
        <w:jc w:val="center"/>
        <w:rPr>
          <w:b/>
          <w:sz w:val="24"/>
        </w:rPr>
      </w:pPr>
      <w:r>
        <w:rPr>
          <w:b/>
          <w:sz w:val="24"/>
        </w:rPr>
        <w:t>表</w:t>
      </w:r>
      <w:r>
        <w:rPr>
          <w:b/>
          <w:spacing w:val="-62"/>
          <w:sz w:val="24"/>
        </w:rPr>
        <w:t> </w:t>
      </w:r>
      <w:r>
        <w:rPr>
          <w:rFonts w:ascii="Times New Roman" w:eastAsia="Times New Roman"/>
          <w:b/>
          <w:sz w:val="24"/>
        </w:rPr>
        <w:t>2.4-3</w:t>
        <w:tab/>
      </w:r>
      <w:r>
        <w:rPr>
          <w:b/>
          <w:sz w:val="24"/>
        </w:rPr>
        <w:t>估算模式参数选取</w:t>
      </w: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0"/>
        <w:gridCol w:w="2841"/>
        <w:gridCol w:w="2841"/>
      </w:tblGrid>
      <w:tr>
        <w:trPr>
          <w:trHeight w:val="272" w:hRule="atLeast"/>
        </w:trPr>
        <w:tc>
          <w:tcPr>
            <w:tcW w:w="5681" w:type="dxa"/>
            <w:gridSpan w:val="2"/>
          </w:tcPr>
          <w:p>
            <w:pPr>
              <w:pStyle w:val="TableParagraph"/>
              <w:spacing w:line="252" w:lineRule="exact"/>
              <w:ind w:left="2054" w:right="2047"/>
              <w:rPr>
                <w:sz w:val="21"/>
              </w:rPr>
            </w:pPr>
            <w:r>
              <w:rPr>
                <w:sz w:val="21"/>
              </w:rPr>
              <w:t>参数</w:t>
            </w:r>
          </w:p>
        </w:tc>
        <w:tc>
          <w:tcPr>
            <w:tcW w:w="2841" w:type="dxa"/>
          </w:tcPr>
          <w:p>
            <w:pPr>
              <w:pStyle w:val="TableParagraph"/>
              <w:spacing w:line="252" w:lineRule="exact"/>
              <w:ind w:left="347" w:right="342"/>
              <w:rPr>
                <w:sz w:val="21"/>
              </w:rPr>
            </w:pPr>
            <w:r>
              <w:rPr>
                <w:sz w:val="21"/>
              </w:rPr>
              <w:t>取值</w:t>
            </w:r>
          </w:p>
        </w:tc>
      </w:tr>
      <w:tr>
        <w:trPr>
          <w:trHeight w:val="272" w:hRule="atLeast"/>
        </w:trPr>
        <w:tc>
          <w:tcPr>
            <w:tcW w:w="2840" w:type="dxa"/>
            <w:vMerge w:val="restart"/>
          </w:tcPr>
          <w:p>
            <w:pPr>
              <w:pStyle w:val="TableParagraph"/>
              <w:spacing w:before="140"/>
              <w:ind w:left="760"/>
              <w:jc w:val="left"/>
              <w:rPr>
                <w:sz w:val="21"/>
              </w:rPr>
            </w:pPr>
            <w:r>
              <w:rPr>
                <w:sz w:val="21"/>
              </w:rPr>
              <w:t>城市</w:t>
            </w:r>
            <w:r>
              <w:rPr>
                <w:rFonts w:ascii="Times New Roman" w:eastAsia="Times New Roman"/>
                <w:sz w:val="21"/>
              </w:rPr>
              <w:t>/</w:t>
            </w:r>
            <w:r>
              <w:rPr>
                <w:sz w:val="21"/>
              </w:rPr>
              <w:t>农村选项</w:t>
            </w:r>
          </w:p>
        </w:tc>
        <w:tc>
          <w:tcPr>
            <w:tcW w:w="2841" w:type="dxa"/>
          </w:tcPr>
          <w:p>
            <w:pPr>
              <w:pStyle w:val="TableParagraph"/>
              <w:spacing w:line="251" w:lineRule="exact" w:before="1"/>
              <w:ind w:left="347" w:right="341"/>
              <w:rPr>
                <w:sz w:val="21"/>
              </w:rPr>
            </w:pPr>
            <w:r>
              <w:rPr>
                <w:sz w:val="21"/>
              </w:rPr>
              <w:t>城市</w:t>
            </w:r>
            <w:r>
              <w:rPr>
                <w:rFonts w:ascii="Times New Roman" w:eastAsia="Times New Roman"/>
                <w:sz w:val="21"/>
              </w:rPr>
              <w:t>/</w:t>
            </w:r>
            <w:r>
              <w:rPr>
                <w:sz w:val="21"/>
              </w:rPr>
              <w:t>农村</w:t>
            </w:r>
          </w:p>
        </w:tc>
        <w:tc>
          <w:tcPr>
            <w:tcW w:w="2841" w:type="dxa"/>
          </w:tcPr>
          <w:p>
            <w:pPr>
              <w:pStyle w:val="TableParagraph"/>
              <w:spacing w:line="251" w:lineRule="exact" w:before="1"/>
              <w:ind w:left="347" w:right="342"/>
              <w:rPr>
                <w:sz w:val="21"/>
              </w:rPr>
            </w:pPr>
            <w:r>
              <w:rPr>
                <w:sz w:val="21"/>
              </w:rPr>
              <w:t>农村</w:t>
            </w:r>
          </w:p>
        </w:tc>
      </w:tr>
      <w:tr>
        <w:trPr>
          <w:trHeight w:val="272" w:hRule="atLeast"/>
        </w:trPr>
        <w:tc>
          <w:tcPr>
            <w:tcW w:w="2840" w:type="dxa"/>
            <w:vMerge/>
            <w:tcBorders>
              <w:top w:val="nil"/>
            </w:tcBorders>
          </w:tcPr>
          <w:p>
            <w:pPr>
              <w:rPr>
                <w:sz w:val="2"/>
                <w:szCs w:val="2"/>
              </w:rPr>
            </w:pPr>
          </w:p>
        </w:tc>
        <w:tc>
          <w:tcPr>
            <w:tcW w:w="2841" w:type="dxa"/>
          </w:tcPr>
          <w:p>
            <w:pPr>
              <w:pStyle w:val="TableParagraph"/>
              <w:spacing w:line="251" w:lineRule="exact" w:before="2"/>
              <w:ind w:left="347" w:right="344"/>
              <w:rPr>
                <w:sz w:val="21"/>
              </w:rPr>
            </w:pPr>
            <w:r>
              <w:rPr>
                <w:sz w:val="21"/>
              </w:rPr>
              <w:t>人口数（城市选项时）</w:t>
            </w:r>
          </w:p>
        </w:tc>
        <w:tc>
          <w:tcPr>
            <w:tcW w:w="2841" w:type="dxa"/>
          </w:tcPr>
          <w:p>
            <w:pPr>
              <w:pStyle w:val="TableParagraph"/>
              <w:spacing w:line="237" w:lineRule="exact" w:before="16"/>
              <w:ind w:left="10"/>
              <w:rPr>
                <w:rFonts w:ascii="Times New Roman"/>
                <w:sz w:val="21"/>
              </w:rPr>
            </w:pPr>
            <w:r>
              <w:rPr>
                <w:rFonts w:ascii="Times New Roman"/>
                <w:w w:val="99"/>
                <w:sz w:val="21"/>
              </w:rPr>
              <w:t>/</w:t>
            </w:r>
          </w:p>
        </w:tc>
      </w:tr>
      <w:tr>
        <w:trPr>
          <w:trHeight w:val="272" w:hRule="atLeast"/>
        </w:trPr>
        <w:tc>
          <w:tcPr>
            <w:tcW w:w="5681" w:type="dxa"/>
            <w:gridSpan w:val="2"/>
          </w:tcPr>
          <w:p>
            <w:pPr>
              <w:pStyle w:val="TableParagraph"/>
              <w:spacing w:line="252" w:lineRule="exact"/>
              <w:ind w:left="2054" w:right="2047"/>
              <w:rPr>
                <w:sz w:val="21"/>
              </w:rPr>
            </w:pPr>
            <w:r>
              <w:rPr>
                <w:sz w:val="21"/>
              </w:rPr>
              <w:t>最高环境温度</w:t>
            </w:r>
            <w:r>
              <w:rPr>
                <w:rFonts w:ascii="Times New Roman" w:hAnsi="Times New Roman" w:eastAsia="Times New Roman"/>
                <w:sz w:val="21"/>
              </w:rPr>
              <w:t>/</w:t>
            </w:r>
            <w:r>
              <w:rPr>
                <w:sz w:val="21"/>
              </w:rPr>
              <w:t>℃</w:t>
            </w:r>
          </w:p>
        </w:tc>
        <w:tc>
          <w:tcPr>
            <w:tcW w:w="2841" w:type="dxa"/>
          </w:tcPr>
          <w:p>
            <w:pPr>
              <w:pStyle w:val="TableParagraph"/>
              <w:spacing w:line="238" w:lineRule="exact" w:before="14"/>
              <w:ind w:left="347" w:right="339"/>
              <w:rPr>
                <w:rFonts w:ascii="Times New Roman"/>
                <w:sz w:val="21"/>
              </w:rPr>
            </w:pPr>
            <w:r>
              <w:rPr>
                <w:rFonts w:ascii="Times New Roman"/>
                <w:sz w:val="21"/>
              </w:rPr>
              <w:t>35.4</w:t>
            </w:r>
          </w:p>
        </w:tc>
      </w:tr>
      <w:tr>
        <w:trPr>
          <w:trHeight w:val="272" w:hRule="atLeast"/>
        </w:trPr>
        <w:tc>
          <w:tcPr>
            <w:tcW w:w="5681" w:type="dxa"/>
            <w:gridSpan w:val="2"/>
          </w:tcPr>
          <w:p>
            <w:pPr>
              <w:pStyle w:val="TableParagraph"/>
              <w:spacing w:line="251" w:lineRule="exact" w:before="1"/>
              <w:ind w:left="2054" w:right="2047"/>
              <w:rPr>
                <w:sz w:val="21"/>
              </w:rPr>
            </w:pPr>
            <w:r>
              <w:rPr>
                <w:sz w:val="21"/>
              </w:rPr>
              <w:t>最低环境温度</w:t>
            </w:r>
            <w:r>
              <w:rPr>
                <w:rFonts w:ascii="Times New Roman" w:hAnsi="Times New Roman" w:eastAsia="Times New Roman"/>
                <w:sz w:val="21"/>
              </w:rPr>
              <w:t>/</w:t>
            </w:r>
            <w:r>
              <w:rPr>
                <w:sz w:val="21"/>
              </w:rPr>
              <w:t>℃</w:t>
            </w:r>
          </w:p>
        </w:tc>
        <w:tc>
          <w:tcPr>
            <w:tcW w:w="2841" w:type="dxa"/>
          </w:tcPr>
          <w:p>
            <w:pPr>
              <w:pStyle w:val="TableParagraph"/>
              <w:spacing w:line="237" w:lineRule="exact" w:before="15"/>
              <w:ind w:left="347" w:right="339"/>
              <w:rPr>
                <w:rFonts w:ascii="Times New Roman"/>
                <w:sz w:val="21"/>
              </w:rPr>
            </w:pPr>
            <w:r>
              <w:rPr>
                <w:rFonts w:ascii="Times New Roman"/>
                <w:sz w:val="21"/>
              </w:rPr>
              <w:t>-35.6</w:t>
            </w:r>
          </w:p>
        </w:tc>
      </w:tr>
      <w:tr>
        <w:trPr>
          <w:trHeight w:val="272" w:hRule="atLeast"/>
        </w:trPr>
        <w:tc>
          <w:tcPr>
            <w:tcW w:w="5681" w:type="dxa"/>
            <w:gridSpan w:val="2"/>
          </w:tcPr>
          <w:p>
            <w:pPr>
              <w:pStyle w:val="TableParagraph"/>
              <w:spacing w:line="253" w:lineRule="exact"/>
              <w:ind w:left="2054" w:right="2047"/>
              <w:rPr>
                <w:sz w:val="21"/>
              </w:rPr>
            </w:pPr>
            <w:r>
              <w:rPr>
                <w:sz w:val="21"/>
              </w:rPr>
              <w:t>土地利用类型</w:t>
            </w:r>
          </w:p>
        </w:tc>
        <w:tc>
          <w:tcPr>
            <w:tcW w:w="2841" w:type="dxa"/>
          </w:tcPr>
          <w:p>
            <w:pPr>
              <w:pStyle w:val="TableParagraph"/>
              <w:spacing w:line="253" w:lineRule="exact"/>
              <w:ind w:left="347" w:right="342"/>
              <w:rPr>
                <w:sz w:val="21"/>
              </w:rPr>
            </w:pPr>
            <w:r>
              <w:rPr>
                <w:sz w:val="21"/>
              </w:rPr>
              <w:t>落叶林</w:t>
            </w:r>
          </w:p>
        </w:tc>
      </w:tr>
      <w:tr>
        <w:trPr>
          <w:trHeight w:val="272" w:hRule="atLeast"/>
        </w:trPr>
        <w:tc>
          <w:tcPr>
            <w:tcW w:w="5681" w:type="dxa"/>
            <w:gridSpan w:val="2"/>
          </w:tcPr>
          <w:p>
            <w:pPr>
              <w:pStyle w:val="TableParagraph"/>
              <w:spacing w:line="252" w:lineRule="exact"/>
              <w:ind w:left="2054" w:right="2047"/>
              <w:rPr>
                <w:sz w:val="21"/>
              </w:rPr>
            </w:pPr>
            <w:r>
              <w:rPr>
                <w:sz w:val="21"/>
              </w:rPr>
              <w:t>区域湿度条件</w:t>
            </w:r>
          </w:p>
        </w:tc>
        <w:tc>
          <w:tcPr>
            <w:tcW w:w="2841" w:type="dxa"/>
          </w:tcPr>
          <w:p>
            <w:pPr>
              <w:pStyle w:val="TableParagraph"/>
              <w:spacing w:line="252" w:lineRule="exact"/>
              <w:ind w:left="347" w:right="342"/>
              <w:rPr>
                <w:sz w:val="21"/>
              </w:rPr>
            </w:pPr>
            <w:r>
              <w:rPr>
                <w:sz w:val="21"/>
              </w:rPr>
              <w:t>潮湿</w:t>
            </w:r>
          </w:p>
        </w:tc>
      </w:tr>
      <w:tr>
        <w:trPr>
          <w:trHeight w:val="272" w:hRule="atLeast"/>
        </w:trPr>
        <w:tc>
          <w:tcPr>
            <w:tcW w:w="2840" w:type="dxa"/>
            <w:vMerge w:val="restart"/>
          </w:tcPr>
          <w:p>
            <w:pPr>
              <w:pStyle w:val="TableParagraph"/>
              <w:spacing w:before="140"/>
              <w:ind w:left="789"/>
              <w:jc w:val="left"/>
              <w:rPr>
                <w:sz w:val="21"/>
              </w:rPr>
            </w:pPr>
            <w:r>
              <w:rPr>
                <w:sz w:val="21"/>
              </w:rPr>
              <w:t>是否考虑地形</w:t>
            </w:r>
          </w:p>
        </w:tc>
        <w:tc>
          <w:tcPr>
            <w:tcW w:w="2841" w:type="dxa"/>
          </w:tcPr>
          <w:p>
            <w:pPr>
              <w:pStyle w:val="TableParagraph"/>
              <w:spacing w:line="252" w:lineRule="exact"/>
              <w:ind w:left="347" w:right="341"/>
              <w:rPr>
                <w:sz w:val="21"/>
              </w:rPr>
            </w:pPr>
            <w:r>
              <w:rPr>
                <w:sz w:val="21"/>
              </w:rPr>
              <w:t>考虑地形</w:t>
            </w:r>
          </w:p>
        </w:tc>
        <w:tc>
          <w:tcPr>
            <w:tcW w:w="2841" w:type="dxa"/>
          </w:tcPr>
          <w:p>
            <w:pPr>
              <w:pStyle w:val="TableParagraph"/>
              <w:spacing w:line="252" w:lineRule="exact"/>
              <w:ind w:left="7"/>
              <w:rPr>
                <w:sz w:val="21"/>
              </w:rPr>
            </w:pPr>
            <w:r>
              <w:rPr>
                <w:w w:val="99"/>
                <w:sz w:val="21"/>
              </w:rPr>
              <w:t>是</w:t>
            </w:r>
          </w:p>
        </w:tc>
      </w:tr>
      <w:tr>
        <w:trPr>
          <w:trHeight w:val="272" w:hRule="atLeast"/>
        </w:trPr>
        <w:tc>
          <w:tcPr>
            <w:tcW w:w="2840" w:type="dxa"/>
            <w:vMerge/>
            <w:tcBorders>
              <w:top w:val="nil"/>
            </w:tcBorders>
          </w:tcPr>
          <w:p>
            <w:pPr>
              <w:rPr>
                <w:sz w:val="2"/>
                <w:szCs w:val="2"/>
              </w:rPr>
            </w:pPr>
          </w:p>
        </w:tc>
        <w:tc>
          <w:tcPr>
            <w:tcW w:w="2841" w:type="dxa"/>
          </w:tcPr>
          <w:p>
            <w:pPr>
              <w:pStyle w:val="TableParagraph"/>
              <w:spacing w:line="253" w:lineRule="exact"/>
              <w:ind w:left="347" w:right="340"/>
              <w:rPr>
                <w:rFonts w:ascii="Times New Roman" w:eastAsia="Times New Roman"/>
                <w:sz w:val="21"/>
              </w:rPr>
            </w:pPr>
            <w:r>
              <w:rPr>
                <w:sz w:val="21"/>
              </w:rPr>
              <w:t>地形数据分辨率</w:t>
            </w:r>
            <w:r>
              <w:rPr>
                <w:rFonts w:ascii="Times New Roman" w:eastAsia="Times New Roman"/>
                <w:sz w:val="21"/>
              </w:rPr>
              <w:t>/m</w:t>
            </w:r>
          </w:p>
        </w:tc>
        <w:tc>
          <w:tcPr>
            <w:tcW w:w="2841" w:type="dxa"/>
          </w:tcPr>
          <w:p>
            <w:pPr>
              <w:pStyle w:val="TableParagraph"/>
              <w:spacing w:line="239" w:lineRule="exact" w:before="14"/>
              <w:ind w:left="347" w:right="339"/>
              <w:rPr>
                <w:rFonts w:ascii="Times New Roman"/>
                <w:sz w:val="21"/>
              </w:rPr>
            </w:pPr>
            <w:r>
              <w:rPr>
                <w:rFonts w:ascii="Times New Roman"/>
                <w:sz w:val="21"/>
              </w:rPr>
              <w:t>90</w:t>
            </w:r>
          </w:p>
        </w:tc>
      </w:tr>
      <w:tr>
        <w:trPr>
          <w:trHeight w:val="272" w:hRule="atLeast"/>
        </w:trPr>
        <w:tc>
          <w:tcPr>
            <w:tcW w:w="2840" w:type="dxa"/>
            <w:vMerge w:val="restart"/>
          </w:tcPr>
          <w:p>
            <w:pPr>
              <w:pStyle w:val="TableParagraph"/>
              <w:spacing w:before="12"/>
              <w:jc w:val="left"/>
              <w:rPr>
                <w:b/>
                <w:sz w:val="21"/>
              </w:rPr>
            </w:pPr>
          </w:p>
          <w:p>
            <w:pPr>
              <w:pStyle w:val="TableParagraph"/>
              <w:ind w:left="580"/>
              <w:jc w:val="left"/>
              <w:rPr>
                <w:sz w:val="21"/>
              </w:rPr>
            </w:pPr>
            <w:r>
              <w:rPr>
                <w:sz w:val="21"/>
              </w:rPr>
              <w:t>是否考虑岸线熏烟</w:t>
            </w:r>
          </w:p>
        </w:tc>
        <w:tc>
          <w:tcPr>
            <w:tcW w:w="2841" w:type="dxa"/>
          </w:tcPr>
          <w:p>
            <w:pPr>
              <w:pStyle w:val="TableParagraph"/>
              <w:spacing w:line="252" w:lineRule="exact"/>
              <w:ind w:left="347" w:right="344"/>
              <w:rPr>
                <w:sz w:val="21"/>
              </w:rPr>
            </w:pPr>
            <w:r>
              <w:rPr>
                <w:sz w:val="21"/>
              </w:rPr>
              <w:t>考虑岸线熏烟</w:t>
            </w:r>
          </w:p>
        </w:tc>
        <w:tc>
          <w:tcPr>
            <w:tcW w:w="2841" w:type="dxa"/>
          </w:tcPr>
          <w:p>
            <w:pPr>
              <w:pStyle w:val="TableParagraph"/>
              <w:spacing w:line="252" w:lineRule="exact"/>
              <w:ind w:left="7"/>
              <w:rPr>
                <w:sz w:val="21"/>
              </w:rPr>
            </w:pPr>
            <w:r>
              <w:rPr>
                <w:w w:val="99"/>
                <w:sz w:val="21"/>
              </w:rPr>
              <w:t>否</w:t>
            </w:r>
          </w:p>
        </w:tc>
      </w:tr>
      <w:tr>
        <w:trPr>
          <w:trHeight w:val="271" w:hRule="atLeast"/>
        </w:trPr>
        <w:tc>
          <w:tcPr>
            <w:tcW w:w="2840" w:type="dxa"/>
            <w:vMerge/>
            <w:tcBorders>
              <w:top w:val="nil"/>
            </w:tcBorders>
          </w:tcPr>
          <w:p>
            <w:pPr>
              <w:rPr>
                <w:sz w:val="2"/>
                <w:szCs w:val="2"/>
              </w:rPr>
            </w:pPr>
          </w:p>
        </w:tc>
        <w:tc>
          <w:tcPr>
            <w:tcW w:w="2841" w:type="dxa"/>
          </w:tcPr>
          <w:p>
            <w:pPr>
              <w:pStyle w:val="TableParagraph"/>
              <w:spacing w:line="252" w:lineRule="exact"/>
              <w:ind w:left="347" w:right="340"/>
              <w:rPr>
                <w:rFonts w:ascii="Times New Roman" w:eastAsia="Times New Roman"/>
                <w:sz w:val="21"/>
              </w:rPr>
            </w:pPr>
            <w:r>
              <w:rPr>
                <w:sz w:val="21"/>
              </w:rPr>
              <w:t>岸线距离</w:t>
            </w:r>
            <w:r>
              <w:rPr>
                <w:rFonts w:ascii="Times New Roman" w:eastAsia="Times New Roman"/>
                <w:sz w:val="21"/>
              </w:rPr>
              <w:t>/km</w:t>
            </w:r>
          </w:p>
        </w:tc>
        <w:tc>
          <w:tcPr>
            <w:tcW w:w="2841" w:type="dxa"/>
          </w:tcPr>
          <w:p>
            <w:pPr>
              <w:pStyle w:val="TableParagraph"/>
              <w:spacing w:line="239" w:lineRule="exact" w:before="13"/>
              <w:ind w:left="10"/>
              <w:rPr>
                <w:rFonts w:ascii="Times New Roman"/>
                <w:sz w:val="21"/>
              </w:rPr>
            </w:pPr>
            <w:r>
              <w:rPr>
                <w:rFonts w:ascii="Times New Roman"/>
                <w:w w:val="99"/>
                <w:sz w:val="21"/>
              </w:rPr>
              <w:t>/</w:t>
            </w:r>
          </w:p>
        </w:tc>
      </w:tr>
      <w:tr>
        <w:trPr>
          <w:trHeight w:val="272" w:hRule="atLeast"/>
        </w:trPr>
        <w:tc>
          <w:tcPr>
            <w:tcW w:w="2840" w:type="dxa"/>
            <w:vMerge/>
            <w:tcBorders>
              <w:top w:val="nil"/>
            </w:tcBorders>
          </w:tcPr>
          <w:p>
            <w:pPr>
              <w:rPr>
                <w:sz w:val="2"/>
                <w:szCs w:val="2"/>
              </w:rPr>
            </w:pPr>
          </w:p>
        </w:tc>
        <w:tc>
          <w:tcPr>
            <w:tcW w:w="2841" w:type="dxa"/>
          </w:tcPr>
          <w:p>
            <w:pPr>
              <w:pStyle w:val="TableParagraph"/>
              <w:spacing w:line="253" w:lineRule="exact"/>
              <w:ind w:left="347" w:right="337"/>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2841" w:type="dxa"/>
          </w:tcPr>
          <w:p>
            <w:pPr>
              <w:pStyle w:val="TableParagraph"/>
              <w:spacing w:line="239" w:lineRule="exact" w:before="14"/>
              <w:ind w:left="10"/>
              <w:rPr>
                <w:rFonts w:ascii="Times New Roman"/>
                <w:sz w:val="21"/>
              </w:rPr>
            </w:pPr>
            <w:r>
              <w:rPr>
                <w:rFonts w:ascii="Times New Roman"/>
                <w:w w:val="99"/>
                <w:sz w:val="21"/>
              </w:rPr>
              <w:t>/</w:t>
            </w:r>
          </w:p>
        </w:tc>
      </w:tr>
    </w:tbl>
    <w:p>
      <w:pPr>
        <w:spacing w:before="2"/>
        <w:ind w:left="1373" w:right="1368" w:firstLine="0"/>
        <w:jc w:val="center"/>
        <w:rPr>
          <w:b/>
          <w:sz w:val="24"/>
        </w:rPr>
      </w:pPr>
      <w:r>
        <w:rPr>
          <w:b/>
          <w:sz w:val="24"/>
        </w:rPr>
        <w:t>表 </w:t>
      </w:r>
      <w:r>
        <w:rPr>
          <w:rFonts w:ascii="Times New Roman" w:eastAsia="Times New Roman"/>
          <w:b/>
          <w:sz w:val="24"/>
        </w:rPr>
        <w:t>2.4-4 </w:t>
      </w:r>
      <w:r>
        <w:rPr>
          <w:b/>
          <w:sz w:val="24"/>
        </w:rPr>
        <w:t>点源参数表</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5"/>
        <w:gridCol w:w="1243"/>
        <w:gridCol w:w="1029"/>
        <w:gridCol w:w="1007"/>
        <w:gridCol w:w="728"/>
        <w:gridCol w:w="697"/>
        <w:gridCol w:w="728"/>
        <w:gridCol w:w="600"/>
        <w:gridCol w:w="714"/>
        <w:gridCol w:w="697"/>
        <w:gridCol w:w="621"/>
        <w:gridCol w:w="643"/>
        <w:gridCol w:w="666"/>
      </w:tblGrid>
      <w:tr>
        <w:trPr>
          <w:trHeight w:val="272" w:hRule="atLeast"/>
        </w:trPr>
        <w:tc>
          <w:tcPr>
            <w:tcW w:w="405" w:type="dxa"/>
            <w:vMerge w:val="restart"/>
          </w:tcPr>
          <w:p>
            <w:pPr>
              <w:pStyle w:val="TableParagraph"/>
              <w:spacing w:line="244" w:lineRule="auto" w:before="135"/>
              <w:ind w:left="97" w:right="86"/>
              <w:jc w:val="left"/>
              <w:rPr>
                <w:sz w:val="21"/>
              </w:rPr>
            </w:pPr>
            <w:r>
              <w:rPr>
                <w:sz w:val="21"/>
              </w:rPr>
              <w:t>编号</w:t>
            </w:r>
          </w:p>
        </w:tc>
        <w:tc>
          <w:tcPr>
            <w:tcW w:w="1243" w:type="dxa"/>
            <w:vMerge w:val="restart"/>
          </w:tcPr>
          <w:p>
            <w:pPr>
              <w:pStyle w:val="TableParagraph"/>
              <w:spacing w:before="3"/>
              <w:jc w:val="left"/>
              <w:rPr>
                <w:b/>
                <w:sz w:val="21"/>
              </w:rPr>
            </w:pPr>
          </w:p>
          <w:p>
            <w:pPr>
              <w:pStyle w:val="TableParagraph"/>
              <w:ind w:left="201"/>
              <w:jc w:val="left"/>
              <w:rPr>
                <w:sz w:val="21"/>
              </w:rPr>
            </w:pPr>
            <w:r>
              <w:rPr>
                <w:sz w:val="21"/>
              </w:rPr>
              <w:t>点源名称</w:t>
            </w:r>
          </w:p>
        </w:tc>
        <w:tc>
          <w:tcPr>
            <w:tcW w:w="1029" w:type="dxa"/>
            <w:vMerge w:val="restart"/>
          </w:tcPr>
          <w:p>
            <w:pPr>
              <w:pStyle w:val="TableParagraph"/>
              <w:spacing w:line="244" w:lineRule="auto" w:before="135"/>
              <w:ind w:left="198" w:right="83" w:hanging="106"/>
              <w:jc w:val="left"/>
              <w:rPr>
                <w:sz w:val="21"/>
              </w:rPr>
            </w:pPr>
            <w:r>
              <w:rPr>
                <w:sz w:val="21"/>
              </w:rPr>
              <w:t>排气筒底部坐标</w:t>
            </w:r>
          </w:p>
        </w:tc>
        <w:tc>
          <w:tcPr>
            <w:tcW w:w="1007" w:type="dxa"/>
            <w:vMerge w:val="restart"/>
          </w:tcPr>
          <w:p>
            <w:pPr>
              <w:pStyle w:val="TableParagraph"/>
              <w:spacing w:line="242" w:lineRule="auto" w:before="1"/>
              <w:ind w:left="81" w:right="72"/>
              <w:rPr>
                <w:sz w:val="21"/>
              </w:rPr>
            </w:pPr>
            <w:r>
              <w:rPr>
                <w:sz w:val="21"/>
              </w:rPr>
              <w:t>排气筒底部海拔高</w:t>
            </w:r>
          </w:p>
          <w:p>
            <w:pPr>
              <w:pStyle w:val="TableParagraph"/>
              <w:spacing w:line="252" w:lineRule="exact"/>
              <w:ind w:left="80" w:right="72"/>
              <w:rPr>
                <w:rFonts w:ascii="Times New Roman" w:eastAsia="Times New Roman"/>
                <w:sz w:val="21"/>
              </w:rPr>
            </w:pPr>
            <w:r>
              <w:rPr>
                <w:sz w:val="21"/>
              </w:rPr>
              <w:t>度</w:t>
            </w:r>
            <w:r>
              <w:rPr>
                <w:rFonts w:ascii="Times New Roman" w:eastAsia="Times New Roman"/>
                <w:sz w:val="21"/>
              </w:rPr>
              <w:t>/m</w:t>
            </w:r>
          </w:p>
        </w:tc>
        <w:tc>
          <w:tcPr>
            <w:tcW w:w="728" w:type="dxa"/>
            <w:vMerge w:val="restart"/>
          </w:tcPr>
          <w:p>
            <w:pPr>
              <w:pStyle w:val="TableParagraph"/>
              <w:spacing w:line="242" w:lineRule="auto" w:before="1"/>
              <w:ind w:left="152" w:right="145"/>
              <w:jc w:val="left"/>
              <w:rPr>
                <w:sz w:val="21"/>
              </w:rPr>
            </w:pPr>
            <w:r>
              <w:rPr>
                <w:spacing w:val="-8"/>
                <w:sz w:val="21"/>
              </w:rPr>
              <w:t>排气</w:t>
            </w:r>
            <w:r>
              <w:rPr>
                <w:spacing w:val="-9"/>
                <w:w w:val="95"/>
                <w:sz w:val="21"/>
              </w:rPr>
              <w:t>筒高</w:t>
            </w:r>
          </w:p>
          <w:p>
            <w:pPr>
              <w:pStyle w:val="TableParagraph"/>
              <w:spacing w:line="252" w:lineRule="exact"/>
              <w:ind w:left="147"/>
              <w:jc w:val="left"/>
              <w:rPr>
                <w:rFonts w:ascii="Times New Roman" w:eastAsia="Times New Roman"/>
                <w:sz w:val="21"/>
              </w:rPr>
            </w:pPr>
            <w:r>
              <w:rPr>
                <w:spacing w:val="-1"/>
                <w:w w:val="95"/>
                <w:sz w:val="21"/>
              </w:rPr>
              <w:t>度</w:t>
            </w:r>
            <w:r>
              <w:rPr>
                <w:rFonts w:ascii="Times New Roman" w:eastAsia="Times New Roman"/>
                <w:spacing w:val="-1"/>
                <w:w w:val="95"/>
                <w:sz w:val="21"/>
              </w:rPr>
              <w:t>/m</w:t>
            </w:r>
          </w:p>
        </w:tc>
        <w:tc>
          <w:tcPr>
            <w:tcW w:w="697" w:type="dxa"/>
            <w:vMerge w:val="restart"/>
          </w:tcPr>
          <w:p>
            <w:pPr>
              <w:pStyle w:val="TableParagraph"/>
              <w:spacing w:line="242" w:lineRule="auto" w:before="1"/>
              <w:ind w:left="137" w:right="129"/>
              <w:jc w:val="left"/>
              <w:rPr>
                <w:sz w:val="21"/>
              </w:rPr>
            </w:pPr>
            <w:r>
              <w:rPr>
                <w:spacing w:val="-8"/>
                <w:sz w:val="21"/>
              </w:rPr>
              <w:t>排气</w:t>
            </w:r>
            <w:r>
              <w:rPr>
                <w:spacing w:val="-9"/>
                <w:w w:val="95"/>
                <w:sz w:val="21"/>
              </w:rPr>
              <w:t>筒内</w:t>
            </w:r>
          </w:p>
          <w:p>
            <w:pPr>
              <w:pStyle w:val="TableParagraph"/>
              <w:spacing w:line="252" w:lineRule="exact"/>
              <w:ind w:left="132"/>
              <w:jc w:val="left"/>
              <w:rPr>
                <w:rFonts w:ascii="Times New Roman" w:eastAsia="Times New Roman"/>
                <w:sz w:val="21"/>
              </w:rPr>
            </w:pPr>
            <w:r>
              <w:rPr>
                <w:w w:val="95"/>
                <w:sz w:val="21"/>
              </w:rPr>
              <w:t>径</w:t>
            </w:r>
            <w:r>
              <w:rPr>
                <w:rFonts w:ascii="Times New Roman" w:eastAsia="Times New Roman"/>
                <w:w w:val="95"/>
                <w:sz w:val="21"/>
              </w:rPr>
              <w:t>/m</w:t>
            </w:r>
          </w:p>
        </w:tc>
        <w:tc>
          <w:tcPr>
            <w:tcW w:w="728" w:type="dxa"/>
            <w:vMerge w:val="restart"/>
          </w:tcPr>
          <w:p>
            <w:pPr>
              <w:pStyle w:val="TableParagraph"/>
              <w:spacing w:line="242" w:lineRule="auto" w:before="1"/>
              <w:ind w:left="153" w:right="145"/>
              <w:jc w:val="left"/>
              <w:rPr>
                <w:sz w:val="21"/>
              </w:rPr>
            </w:pPr>
            <w:r>
              <w:rPr>
                <w:spacing w:val="-9"/>
                <w:sz w:val="21"/>
              </w:rPr>
              <w:t>烟气</w:t>
            </w:r>
            <w:r>
              <w:rPr>
                <w:spacing w:val="-9"/>
                <w:w w:val="95"/>
                <w:sz w:val="21"/>
              </w:rPr>
              <w:t>流速</w:t>
            </w:r>
          </w:p>
          <w:p>
            <w:pPr>
              <w:pStyle w:val="TableParagraph"/>
              <w:spacing w:line="252" w:lineRule="exact"/>
              <w:ind w:left="54"/>
              <w:jc w:val="left"/>
              <w:rPr>
                <w:rFonts w:ascii="Times New Roman" w:eastAsia="Times New Roman"/>
                <w:sz w:val="21"/>
              </w:rPr>
            </w:pPr>
            <w:r>
              <w:rPr>
                <w:spacing w:val="-207"/>
                <w:w w:val="99"/>
                <w:sz w:val="21"/>
              </w:rPr>
              <w:t>（</w:t>
            </w:r>
            <w:r>
              <w:rPr>
                <w:rFonts w:ascii="Times New Roman" w:eastAsia="Times New Roman"/>
                <w:w w:val="99"/>
                <w:sz w:val="21"/>
              </w:rPr>
              <w:t>/</w:t>
            </w:r>
            <w:r>
              <w:rPr>
                <w:rFonts w:ascii="Times New Roman" w:eastAsia="Times New Roman"/>
                <w:sz w:val="21"/>
              </w:rPr>
              <w:t>  </w:t>
            </w:r>
            <w:r>
              <w:rPr>
                <w:rFonts w:ascii="Times New Roman" w:eastAsia="Times New Roman"/>
                <w:spacing w:val="-10"/>
                <w:sz w:val="21"/>
              </w:rPr>
              <w:t> </w:t>
            </w:r>
            <w:r>
              <w:rPr>
                <w:rFonts w:ascii="Times New Roman" w:eastAsia="Times New Roman"/>
                <w:spacing w:val="-2"/>
                <w:w w:val="99"/>
                <w:sz w:val="21"/>
              </w:rPr>
              <w:t>m</w:t>
            </w:r>
            <w:r>
              <w:rPr>
                <w:rFonts w:ascii="Times New Roman" w:eastAsia="Times New Roman"/>
                <w:spacing w:val="1"/>
                <w:w w:val="99"/>
                <w:sz w:val="21"/>
              </w:rPr>
              <w:t>/</w:t>
            </w:r>
            <w:r>
              <w:rPr>
                <w:rFonts w:ascii="Times New Roman" w:eastAsia="Times New Roman"/>
                <w:w w:val="99"/>
                <w:sz w:val="21"/>
              </w:rPr>
              <w:t>s</w:t>
            </w:r>
          </w:p>
        </w:tc>
        <w:tc>
          <w:tcPr>
            <w:tcW w:w="600" w:type="dxa"/>
            <w:vMerge w:val="restart"/>
          </w:tcPr>
          <w:p>
            <w:pPr>
              <w:pStyle w:val="TableParagraph"/>
              <w:spacing w:line="242" w:lineRule="auto" w:before="1"/>
              <w:ind w:left="89" w:right="80"/>
              <w:jc w:val="right"/>
              <w:rPr>
                <w:sz w:val="21"/>
              </w:rPr>
            </w:pPr>
            <w:r>
              <w:rPr>
                <w:spacing w:val="-9"/>
                <w:w w:val="95"/>
                <w:sz w:val="21"/>
              </w:rPr>
              <w:t>烟气温度</w:t>
            </w:r>
          </w:p>
          <w:p>
            <w:pPr>
              <w:pStyle w:val="TableParagraph"/>
              <w:spacing w:line="252" w:lineRule="exact"/>
              <w:ind w:left="-163" w:right="154"/>
              <w:jc w:val="right"/>
              <w:rPr>
                <w:sz w:val="21"/>
              </w:rPr>
            </w:pPr>
            <w:r>
              <w:rPr>
                <w:sz w:val="21"/>
              </w:rPr>
              <w:t>）</w:t>
            </w:r>
            <w:r>
              <w:rPr>
                <w:spacing w:val="13"/>
                <w:sz w:val="21"/>
              </w:rPr>
              <w:t> </w:t>
            </w:r>
            <w:r>
              <w:rPr>
                <w:rFonts w:ascii="Times New Roman" w:hAnsi="Times New Roman" w:eastAsia="Times New Roman"/>
                <w:spacing w:val="-9"/>
                <w:sz w:val="21"/>
              </w:rPr>
              <w:t>/</w:t>
            </w:r>
            <w:r>
              <w:rPr>
                <w:spacing w:val="-9"/>
                <w:sz w:val="21"/>
              </w:rPr>
              <w:t>℃</w:t>
            </w:r>
          </w:p>
        </w:tc>
        <w:tc>
          <w:tcPr>
            <w:tcW w:w="714" w:type="dxa"/>
            <w:vMerge w:val="restart"/>
          </w:tcPr>
          <w:p>
            <w:pPr>
              <w:pStyle w:val="TableParagraph"/>
              <w:spacing w:line="242" w:lineRule="auto" w:before="1"/>
              <w:ind w:left="147" w:right="136"/>
              <w:jc w:val="left"/>
              <w:rPr>
                <w:sz w:val="21"/>
              </w:rPr>
            </w:pPr>
            <w:r>
              <w:rPr>
                <w:spacing w:val="-8"/>
                <w:sz w:val="21"/>
              </w:rPr>
              <w:t>年排</w:t>
            </w:r>
            <w:r>
              <w:rPr>
                <w:spacing w:val="-9"/>
                <w:w w:val="95"/>
                <w:sz w:val="21"/>
              </w:rPr>
              <w:t>放小</w:t>
            </w:r>
          </w:p>
          <w:p>
            <w:pPr>
              <w:pStyle w:val="TableParagraph"/>
              <w:spacing w:line="252" w:lineRule="exact"/>
              <w:ind w:left="63"/>
              <w:jc w:val="left"/>
              <w:rPr>
                <w:rFonts w:ascii="Times New Roman" w:eastAsia="Times New Roman"/>
                <w:sz w:val="21"/>
              </w:rPr>
            </w:pPr>
            <w:r>
              <w:rPr>
                <w:w w:val="95"/>
                <w:sz w:val="21"/>
              </w:rPr>
              <w:t>时数</w:t>
            </w:r>
            <w:r>
              <w:rPr>
                <w:rFonts w:ascii="Times New Roman" w:eastAsia="Times New Roman"/>
                <w:w w:val="95"/>
                <w:sz w:val="21"/>
              </w:rPr>
              <w:t>/h</w:t>
            </w:r>
          </w:p>
        </w:tc>
        <w:tc>
          <w:tcPr>
            <w:tcW w:w="697" w:type="dxa"/>
            <w:vMerge w:val="restart"/>
          </w:tcPr>
          <w:p>
            <w:pPr>
              <w:pStyle w:val="TableParagraph"/>
              <w:spacing w:line="244" w:lineRule="auto" w:before="135"/>
              <w:ind w:left="136" w:right="130"/>
              <w:jc w:val="left"/>
              <w:rPr>
                <w:sz w:val="21"/>
              </w:rPr>
            </w:pPr>
            <w:r>
              <w:rPr>
                <w:sz w:val="21"/>
              </w:rPr>
              <w:t>排放工况</w:t>
            </w:r>
          </w:p>
        </w:tc>
        <w:tc>
          <w:tcPr>
            <w:tcW w:w="1930" w:type="dxa"/>
            <w:gridSpan w:val="3"/>
          </w:tcPr>
          <w:p>
            <w:pPr>
              <w:pStyle w:val="TableParagraph"/>
              <w:spacing w:line="251" w:lineRule="exact" w:before="1"/>
              <w:ind w:left="229"/>
              <w:jc w:val="left"/>
              <w:rPr>
                <w:sz w:val="21"/>
              </w:rPr>
            </w:pPr>
            <w:r>
              <w:rPr>
                <w:sz w:val="21"/>
              </w:rPr>
              <w:t>污染物排放速率</w:t>
            </w:r>
          </w:p>
        </w:tc>
      </w:tr>
      <w:tr>
        <w:trPr>
          <w:trHeight w:val="241" w:hRule="atLeast"/>
        </w:trPr>
        <w:tc>
          <w:tcPr>
            <w:tcW w:w="405" w:type="dxa"/>
            <w:vMerge/>
            <w:tcBorders>
              <w:top w:val="nil"/>
            </w:tcBorders>
          </w:tcPr>
          <w:p>
            <w:pPr>
              <w:rPr>
                <w:sz w:val="2"/>
                <w:szCs w:val="2"/>
              </w:rPr>
            </w:pPr>
          </w:p>
        </w:tc>
        <w:tc>
          <w:tcPr>
            <w:tcW w:w="1243" w:type="dxa"/>
            <w:vMerge/>
            <w:tcBorders>
              <w:top w:val="nil"/>
            </w:tcBorders>
          </w:tcPr>
          <w:p>
            <w:pPr>
              <w:rPr>
                <w:sz w:val="2"/>
                <w:szCs w:val="2"/>
              </w:rPr>
            </w:pPr>
          </w:p>
        </w:tc>
        <w:tc>
          <w:tcPr>
            <w:tcW w:w="1029" w:type="dxa"/>
            <w:vMerge/>
            <w:tcBorders>
              <w:top w:val="nil"/>
            </w:tcBorders>
          </w:tcPr>
          <w:p>
            <w:pPr>
              <w:rPr>
                <w:sz w:val="2"/>
                <w:szCs w:val="2"/>
              </w:rPr>
            </w:pPr>
          </w:p>
        </w:tc>
        <w:tc>
          <w:tcPr>
            <w:tcW w:w="1007" w:type="dxa"/>
            <w:vMerge/>
            <w:tcBorders>
              <w:top w:val="nil"/>
            </w:tcBorders>
          </w:tcPr>
          <w:p>
            <w:pPr>
              <w:rPr>
                <w:sz w:val="2"/>
                <w:szCs w:val="2"/>
              </w:rPr>
            </w:pPr>
          </w:p>
        </w:tc>
        <w:tc>
          <w:tcPr>
            <w:tcW w:w="728" w:type="dxa"/>
            <w:vMerge/>
            <w:tcBorders>
              <w:top w:val="nil"/>
            </w:tcBorders>
          </w:tcPr>
          <w:p>
            <w:pPr>
              <w:rPr>
                <w:sz w:val="2"/>
                <w:szCs w:val="2"/>
              </w:rPr>
            </w:pPr>
          </w:p>
        </w:tc>
        <w:tc>
          <w:tcPr>
            <w:tcW w:w="697" w:type="dxa"/>
            <w:vMerge/>
            <w:tcBorders>
              <w:top w:val="nil"/>
            </w:tcBorders>
          </w:tcPr>
          <w:p>
            <w:pPr>
              <w:rPr>
                <w:sz w:val="2"/>
                <w:szCs w:val="2"/>
              </w:rPr>
            </w:pPr>
          </w:p>
        </w:tc>
        <w:tc>
          <w:tcPr>
            <w:tcW w:w="728" w:type="dxa"/>
            <w:vMerge/>
            <w:tcBorders>
              <w:top w:val="nil"/>
            </w:tcBorders>
          </w:tcPr>
          <w:p>
            <w:pPr>
              <w:rPr>
                <w:sz w:val="2"/>
                <w:szCs w:val="2"/>
              </w:rPr>
            </w:pPr>
          </w:p>
        </w:tc>
        <w:tc>
          <w:tcPr>
            <w:tcW w:w="600" w:type="dxa"/>
            <w:vMerge/>
            <w:tcBorders>
              <w:top w:val="nil"/>
            </w:tcBorders>
          </w:tcPr>
          <w:p>
            <w:pPr>
              <w:rPr>
                <w:sz w:val="2"/>
                <w:szCs w:val="2"/>
              </w:rPr>
            </w:pPr>
          </w:p>
        </w:tc>
        <w:tc>
          <w:tcPr>
            <w:tcW w:w="714" w:type="dxa"/>
            <w:vMerge/>
            <w:tcBorders>
              <w:top w:val="nil"/>
            </w:tcBorders>
          </w:tcPr>
          <w:p>
            <w:pPr>
              <w:rPr>
                <w:sz w:val="2"/>
                <w:szCs w:val="2"/>
              </w:rPr>
            </w:pPr>
          </w:p>
        </w:tc>
        <w:tc>
          <w:tcPr>
            <w:tcW w:w="697" w:type="dxa"/>
            <w:vMerge/>
            <w:tcBorders>
              <w:top w:val="nil"/>
            </w:tcBorders>
          </w:tcPr>
          <w:p>
            <w:pPr>
              <w:rPr>
                <w:sz w:val="2"/>
                <w:szCs w:val="2"/>
              </w:rPr>
            </w:pPr>
          </w:p>
        </w:tc>
        <w:tc>
          <w:tcPr>
            <w:tcW w:w="1930" w:type="dxa"/>
            <w:gridSpan w:val="3"/>
          </w:tcPr>
          <w:p>
            <w:pPr>
              <w:pStyle w:val="TableParagraph"/>
              <w:spacing w:line="222" w:lineRule="exact"/>
              <w:ind w:left="755" w:right="751"/>
              <w:rPr>
                <w:rFonts w:ascii="Times New Roman"/>
                <w:sz w:val="21"/>
              </w:rPr>
            </w:pPr>
            <w:r>
              <w:rPr>
                <w:rFonts w:ascii="Times New Roman"/>
                <w:sz w:val="21"/>
              </w:rPr>
              <w:t>kg/h</w:t>
            </w:r>
          </w:p>
        </w:tc>
      </w:tr>
      <w:tr>
        <w:trPr>
          <w:trHeight w:val="283" w:hRule="atLeast"/>
        </w:trPr>
        <w:tc>
          <w:tcPr>
            <w:tcW w:w="405" w:type="dxa"/>
            <w:vMerge/>
            <w:tcBorders>
              <w:top w:val="nil"/>
            </w:tcBorders>
          </w:tcPr>
          <w:p>
            <w:pPr>
              <w:rPr>
                <w:sz w:val="2"/>
                <w:szCs w:val="2"/>
              </w:rPr>
            </w:pPr>
          </w:p>
        </w:tc>
        <w:tc>
          <w:tcPr>
            <w:tcW w:w="1243" w:type="dxa"/>
            <w:vMerge/>
            <w:tcBorders>
              <w:top w:val="nil"/>
            </w:tcBorders>
          </w:tcPr>
          <w:p>
            <w:pPr>
              <w:rPr>
                <w:sz w:val="2"/>
                <w:szCs w:val="2"/>
              </w:rPr>
            </w:pPr>
          </w:p>
        </w:tc>
        <w:tc>
          <w:tcPr>
            <w:tcW w:w="1029" w:type="dxa"/>
            <w:vMerge/>
            <w:tcBorders>
              <w:top w:val="nil"/>
            </w:tcBorders>
          </w:tcPr>
          <w:p>
            <w:pPr>
              <w:rPr>
                <w:sz w:val="2"/>
                <w:szCs w:val="2"/>
              </w:rPr>
            </w:pPr>
          </w:p>
        </w:tc>
        <w:tc>
          <w:tcPr>
            <w:tcW w:w="1007" w:type="dxa"/>
            <w:vMerge/>
            <w:tcBorders>
              <w:top w:val="nil"/>
            </w:tcBorders>
          </w:tcPr>
          <w:p>
            <w:pPr>
              <w:rPr>
                <w:sz w:val="2"/>
                <w:szCs w:val="2"/>
              </w:rPr>
            </w:pPr>
          </w:p>
        </w:tc>
        <w:tc>
          <w:tcPr>
            <w:tcW w:w="728" w:type="dxa"/>
            <w:vMerge/>
            <w:tcBorders>
              <w:top w:val="nil"/>
            </w:tcBorders>
          </w:tcPr>
          <w:p>
            <w:pPr>
              <w:rPr>
                <w:sz w:val="2"/>
                <w:szCs w:val="2"/>
              </w:rPr>
            </w:pPr>
          </w:p>
        </w:tc>
        <w:tc>
          <w:tcPr>
            <w:tcW w:w="697" w:type="dxa"/>
            <w:vMerge/>
            <w:tcBorders>
              <w:top w:val="nil"/>
            </w:tcBorders>
          </w:tcPr>
          <w:p>
            <w:pPr>
              <w:rPr>
                <w:sz w:val="2"/>
                <w:szCs w:val="2"/>
              </w:rPr>
            </w:pPr>
          </w:p>
        </w:tc>
        <w:tc>
          <w:tcPr>
            <w:tcW w:w="728" w:type="dxa"/>
            <w:vMerge/>
            <w:tcBorders>
              <w:top w:val="nil"/>
            </w:tcBorders>
          </w:tcPr>
          <w:p>
            <w:pPr>
              <w:rPr>
                <w:sz w:val="2"/>
                <w:szCs w:val="2"/>
              </w:rPr>
            </w:pPr>
          </w:p>
        </w:tc>
        <w:tc>
          <w:tcPr>
            <w:tcW w:w="600" w:type="dxa"/>
            <w:vMerge/>
            <w:tcBorders>
              <w:top w:val="nil"/>
            </w:tcBorders>
          </w:tcPr>
          <w:p>
            <w:pPr>
              <w:rPr>
                <w:sz w:val="2"/>
                <w:szCs w:val="2"/>
              </w:rPr>
            </w:pPr>
          </w:p>
        </w:tc>
        <w:tc>
          <w:tcPr>
            <w:tcW w:w="714" w:type="dxa"/>
            <w:vMerge/>
            <w:tcBorders>
              <w:top w:val="nil"/>
            </w:tcBorders>
          </w:tcPr>
          <w:p>
            <w:pPr>
              <w:rPr>
                <w:sz w:val="2"/>
                <w:szCs w:val="2"/>
              </w:rPr>
            </w:pPr>
          </w:p>
        </w:tc>
        <w:tc>
          <w:tcPr>
            <w:tcW w:w="697" w:type="dxa"/>
            <w:vMerge/>
            <w:tcBorders>
              <w:top w:val="nil"/>
            </w:tcBorders>
          </w:tcPr>
          <w:p>
            <w:pPr>
              <w:rPr>
                <w:sz w:val="2"/>
                <w:szCs w:val="2"/>
              </w:rPr>
            </w:pPr>
          </w:p>
        </w:tc>
        <w:tc>
          <w:tcPr>
            <w:tcW w:w="621" w:type="dxa"/>
          </w:tcPr>
          <w:p>
            <w:pPr>
              <w:pStyle w:val="TableParagraph"/>
              <w:spacing w:line="258" w:lineRule="exact" w:before="4"/>
              <w:ind w:right="91"/>
              <w:jc w:val="right"/>
              <w:rPr>
                <w:sz w:val="21"/>
              </w:rPr>
            </w:pPr>
            <w:r>
              <w:rPr>
                <w:w w:val="95"/>
                <w:sz w:val="21"/>
              </w:rPr>
              <w:t>烟尘</w:t>
            </w:r>
          </w:p>
        </w:tc>
        <w:tc>
          <w:tcPr>
            <w:tcW w:w="643" w:type="dxa"/>
          </w:tcPr>
          <w:p>
            <w:pPr>
              <w:pStyle w:val="TableParagraph"/>
              <w:spacing w:before="18"/>
              <w:ind w:left="96" w:right="88"/>
              <w:rPr>
                <w:rFonts w:ascii="Times New Roman"/>
                <w:sz w:val="21"/>
              </w:rPr>
            </w:pPr>
            <w:r>
              <w:rPr>
                <w:rFonts w:ascii="Times New Roman"/>
                <w:sz w:val="21"/>
              </w:rPr>
              <w:t>NOx</w:t>
            </w:r>
          </w:p>
        </w:tc>
        <w:tc>
          <w:tcPr>
            <w:tcW w:w="666" w:type="dxa"/>
          </w:tcPr>
          <w:p>
            <w:pPr>
              <w:pStyle w:val="TableParagraph"/>
              <w:spacing w:line="247" w:lineRule="exact" w:before="15"/>
              <w:ind w:left="102" w:right="93"/>
              <w:rPr>
                <w:rFonts w:ascii="Times New Roman"/>
                <w:sz w:val="21"/>
              </w:rPr>
            </w:pPr>
            <w:r>
              <w:rPr>
                <w:rFonts w:ascii="Times New Roman"/>
                <w:position w:val="2"/>
                <w:sz w:val="21"/>
              </w:rPr>
              <w:t>SO</w:t>
            </w:r>
            <w:r>
              <w:rPr>
                <w:rFonts w:ascii="Times New Roman"/>
                <w:position w:val="2"/>
                <w:sz w:val="21"/>
                <w:vertAlign w:val="subscript"/>
              </w:rPr>
              <w:t>2</w:t>
            </w:r>
          </w:p>
        </w:tc>
      </w:tr>
      <w:tr>
        <w:trPr>
          <w:trHeight w:val="723" w:hRule="atLeast"/>
        </w:trPr>
        <w:tc>
          <w:tcPr>
            <w:tcW w:w="405" w:type="dxa"/>
          </w:tcPr>
          <w:p>
            <w:pPr>
              <w:pStyle w:val="TableParagraph"/>
              <w:spacing w:before="8"/>
              <w:jc w:val="left"/>
              <w:rPr>
                <w:b/>
                <w:sz w:val="18"/>
              </w:rPr>
            </w:pPr>
          </w:p>
          <w:p>
            <w:pPr>
              <w:pStyle w:val="TableParagraph"/>
              <w:ind w:left="9"/>
              <w:rPr>
                <w:rFonts w:ascii="Times New Roman"/>
                <w:sz w:val="21"/>
              </w:rPr>
            </w:pPr>
            <w:r>
              <w:rPr>
                <w:rFonts w:ascii="Times New Roman"/>
                <w:w w:val="99"/>
                <w:sz w:val="21"/>
              </w:rPr>
              <w:t>1</w:t>
            </w:r>
          </w:p>
        </w:tc>
        <w:tc>
          <w:tcPr>
            <w:tcW w:w="1243" w:type="dxa"/>
          </w:tcPr>
          <w:p>
            <w:pPr>
              <w:pStyle w:val="TableParagraph"/>
              <w:spacing w:before="7"/>
              <w:jc w:val="left"/>
              <w:rPr>
                <w:b/>
                <w:sz w:val="17"/>
              </w:rPr>
            </w:pPr>
          </w:p>
          <w:p>
            <w:pPr>
              <w:pStyle w:val="TableParagraph"/>
              <w:ind w:left="180" w:right="171"/>
              <w:rPr>
                <w:sz w:val="21"/>
              </w:rPr>
            </w:pPr>
            <w:r>
              <w:rPr>
                <w:sz w:val="21"/>
              </w:rPr>
              <w:t>锅炉房</w:t>
            </w:r>
          </w:p>
        </w:tc>
        <w:tc>
          <w:tcPr>
            <w:tcW w:w="1029" w:type="dxa"/>
          </w:tcPr>
          <w:p>
            <w:pPr>
              <w:pStyle w:val="TableParagraph"/>
              <w:spacing w:line="240" w:lineRule="exact"/>
              <w:ind w:left="107"/>
              <w:jc w:val="left"/>
              <w:rPr>
                <w:rFonts w:ascii="Times New Roman" w:hAnsi="Times New Roman"/>
                <w:sz w:val="21"/>
              </w:rPr>
            </w:pPr>
            <w:r>
              <w:rPr>
                <w:rFonts w:ascii="Times New Roman" w:hAnsi="Times New Roman"/>
                <w:sz w:val="21"/>
              </w:rPr>
              <w:t>46°34′35.</w:t>
            </w:r>
          </w:p>
          <w:p>
            <w:pPr>
              <w:pStyle w:val="TableParagraph"/>
              <w:spacing w:line="241" w:lineRule="exact"/>
              <w:ind w:left="62"/>
              <w:jc w:val="left"/>
              <w:rPr>
                <w:rFonts w:ascii="Times New Roman" w:hAnsi="Times New Roman"/>
                <w:sz w:val="21"/>
              </w:rPr>
            </w:pPr>
            <w:r>
              <w:rPr>
                <w:rFonts w:ascii="Times New Roman" w:hAnsi="Times New Roman"/>
                <w:sz w:val="21"/>
              </w:rPr>
              <w:t>54″131°10</w:t>
            </w:r>
          </w:p>
          <w:p>
            <w:pPr>
              <w:pStyle w:val="TableParagraph"/>
              <w:spacing w:line="222" w:lineRule="exact" w:before="1"/>
              <w:ind w:left="210"/>
              <w:jc w:val="left"/>
              <w:rPr>
                <w:rFonts w:ascii="Times New Roman" w:hAnsi="Times New Roman"/>
                <w:sz w:val="21"/>
              </w:rPr>
            </w:pPr>
            <w:r>
              <w:rPr>
                <w:rFonts w:ascii="Times New Roman" w:hAnsi="Times New Roman"/>
                <w:sz w:val="21"/>
              </w:rPr>
              <w:t>′34.71″</w:t>
            </w:r>
          </w:p>
        </w:tc>
        <w:tc>
          <w:tcPr>
            <w:tcW w:w="1007" w:type="dxa"/>
          </w:tcPr>
          <w:p>
            <w:pPr>
              <w:pStyle w:val="TableParagraph"/>
              <w:spacing w:before="8"/>
              <w:jc w:val="left"/>
              <w:rPr>
                <w:b/>
                <w:sz w:val="18"/>
              </w:rPr>
            </w:pPr>
          </w:p>
          <w:p>
            <w:pPr>
              <w:pStyle w:val="TableParagraph"/>
              <w:ind w:left="81" w:right="71"/>
              <w:rPr>
                <w:rFonts w:ascii="Times New Roman"/>
                <w:sz w:val="21"/>
              </w:rPr>
            </w:pPr>
            <w:r>
              <w:rPr>
                <w:rFonts w:ascii="Times New Roman"/>
                <w:sz w:val="21"/>
              </w:rPr>
              <w:t>203</w:t>
            </w:r>
          </w:p>
        </w:tc>
        <w:tc>
          <w:tcPr>
            <w:tcW w:w="728" w:type="dxa"/>
          </w:tcPr>
          <w:p>
            <w:pPr>
              <w:pStyle w:val="TableParagraph"/>
              <w:spacing w:before="8"/>
              <w:jc w:val="left"/>
              <w:rPr>
                <w:b/>
                <w:sz w:val="18"/>
              </w:rPr>
            </w:pPr>
          </w:p>
          <w:p>
            <w:pPr>
              <w:pStyle w:val="TableParagraph"/>
              <w:ind w:right="247"/>
              <w:jc w:val="right"/>
              <w:rPr>
                <w:rFonts w:ascii="Times New Roman"/>
                <w:sz w:val="21"/>
              </w:rPr>
            </w:pPr>
            <w:r>
              <w:rPr>
                <w:rFonts w:ascii="Times New Roman"/>
                <w:sz w:val="21"/>
              </w:rPr>
              <w:t>35</w:t>
            </w:r>
          </w:p>
        </w:tc>
        <w:tc>
          <w:tcPr>
            <w:tcW w:w="697" w:type="dxa"/>
          </w:tcPr>
          <w:p>
            <w:pPr>
              <w:pStyle w:val="TableParagraph"/>
              <w:spacing w:before="8"/>
              <w:jc w:val="left"/>
              <w:rPr>
                <w:b/>
                <w:sz w:val="18"/>
              </w:rPr>
            </w:pPr>
          </w:p>
          <w:p>
            <w:pPr>
              <w:pStyle w:val="TableParagraph"/>
              <w:ind w:left="196" w:right="187"/>
              <w:rPr>
                <w:rFonts w:ascii="Times New Roman"/>
                <w:sz w:val="21"/>
              </w:rPr>
            </w:pPr>
            <w:r>
              <w:rPr>
                <w:rFonts w:ascii="Times New Roman"/>
                <w:sz w:val="21"/>
              </w:rPr>
              <w:t>0.8</w:t>
            </w:r>
          </w:p>
        </w:tc>
        <w:tc>
          <w:tcPr>
            <w:tcW w:w="728" w:type="dxa"/>
          </w:tcPr>
          <w:p>
            <w:pPr>
              <w:pStyle w:val="TableParagraph"/>
              <w:spacing w:before="8"/>
              <w:jc w:val="left"/>
              <w:rPr>
                <w:b/>
                <w:sz w:val="18"/>
              </w:rPr>
            </w:pPr>
          </w:p>
          <w:p>
            <w:pPr>
              <w:pStyle w:val="TableParagraph"/>
              <w:ind w:left="133" w:right="124"/>
              <w:rPr>
                <w:rFonts w:ascii="Times New Roman"/>
                <w:sz w:val="21"/>
              </w:rPr>
            </w:pPr>
            <w:r>
              <w:rPr>
                <w:rFonts w:ascii="Times New Roman"/>
                <w:sz w:val="21"/>
              </w:rPr>
              <w:t>1.35</w:t>
            </w:r>
          </w:p>
        </w:tc>
        <w:tc>
          <w:tcPr>
            <w:tcW w:w="600" w:type="dxa"/>
          </w:tcPr>
          <w:p>
            <w:pPr>
              <w:pStyle w:val="TableParagraph"/>
              <w:spacing w:before="8"/>
              <w:jc w:val="left"/>
              <w:rPr>
                <w:b/>
                <w:sz w:val="18"/>
              </w:rPr>
            </w:pPr>
          </w:p>
          <w:p>
            <w:pPr>
              <w:pStyle w:val="TableParagraph"/>
              <w:ind w:left="142"/>
              <w:jc w:val="left"/>
              <w:rPr>
                <w:rFonts w:ascii="Times New Roman"/>
                <w:sz w:val="21"/>
              </w:rPr>
            </w:pPr>
            <w:r>
              <w:rPr>
                <w:rFonts w:ascii="Times New Roman"/>
                <w:sz w:val="21"/>
              </w:rPr>
              <w:t>120</w:t>
            </w:r>
          </w:p>
        </w:tc>
        <w:tc>
          <w:tcPr>
            <w:tcW w:w="714" w:type="dxa"/>
          </w:tcPr>
          <w:p>
            <w:pPr>
              <w:pStyle w:val="TableParagraph"/>
              <w:spacing w:before="8"/>
              <w:jc w:val="left"/>
              <w:rPr>
                <w:b/>
                <w:sz w:val="18"/>
              </w:rPr>
            </w:pPr>
          </w:p>
          <w:p>
            <w:pPr>
              <w:pStyle w:val="TableParagraph"/>
              <w:ind w:left="127" w:right="117"/>
              <w:rPr>
                <w:rFonts w:ascii="Times New Roman"/>
                <w:sz w:val="21"/>
              </w:rPr>
            </w:pPr>
            <w:r>
              <w:rPr>
                <w:rFonts w:ascii="Times New Roman"/>
                <w:sz w:val="21"/>
              </w:rPr>
              <w:t>5040</w:t>
            </w:r>
          </w:p>
        </w:tc>
        <w:tc>
          <w:tcPr>
            <w:tcW w:w="697"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14"/>
              </w:rPr>
            </w:pPr>
          </w:p>
          <w:p>
            <w:pPr>
              <w:pStyle w:val="TableParagraph"/>
              <w:ind w:left="136"/>
              <w:jc w:val="left"/>
              <w:rPr>
                <w:sz w:val="21"/>
              </w:rPr>
            </w:pPr>
            <w:r>
              <w:rPr>
                <w:sz w:val="21"/>
              </w:rPr>
              <w:t>连续</w:t>
            </w:r>
          </w:p>
        </w:tc>
        <w:tc>
          <w:tcPr>
            <w:tcW w:w="621" w:type="dxa"/>
          </w:tcPr>
          <w:p>
            <w:pPr>
              <w:pStyle w:val="TableParagraph"/>
              <w:spacing w:before="10"/>
              <w:jc w:val="left"/>
              <w:rPr>
                <w:b/>
                <w:sz w:val="16"/>
              </w:rPr>
            </w:pPr>
          </w:p>
          <w:p>
            <w:pPr>
              <w:pStyle w:val="TableParagraph"/>
              <w:ind w:right="116"/>
              <w:jc w:val="right"/>
              <w:rPr>
                <w:rFonts w:ascii="Times New Roman"/>
                <w:sz w:val="21"/>
              </w:rPr>
            </w:pPr>
            <w:r>
              <w:rPr>
                <w:rFonts w:ascii="Times New Roman"/>
                <w:sz w:val="21"/>
              </w:rPr>
              <w:t>0.03</w:t>
            </w:r>
          </w:p>
        </w:tc>
        <w:tc>
          <w:tcPr>
            <w:tcW w:w="643" w:type="dxa"/>
          </w:tcPr>
          <w:p>
            <w:pPr>
              <w:pStyle w:val="TableParagraph"/>
              <w:spacing w:before="8"/>
              <w:jc w:val="left"/>
              <w:rPr>
                <w:b/>
                <w:sz w:val="18"/>
              </w:rPr>
            </w:pPr>
          </w:p>
          <w:p>
            <w:pPr>
              <w:pStyle w:val="TableParagraph"/>
              <w:ind w:left="96" w:right="86"/>
              <w:rPr>
                <w:rFonts w:ascii="Times New Roman"/>
                <w:sz w:val="21"/>
              </w:rPr>
            </w:pPr>
            <w:r>
              <w:rPr>
                <w:rFonts w:ascii="Times New Roman"/>
                <w:sz w:val="21"/>
              </w:rPr>
              <w:t>0.49</w:t>
            </w:r>
          </w:p>
        </w:tc>
        <w:tc>
          <w:tcPr>
            <w:tcW w:w="666" w:type="dxa"/>
          </w:tcPr>
          <w:p>
            <w:pPr>
              <w:pStyle w:val="TableParagraph"/>
              <w:spacing w:before="8"/>
              <w:jc w:val="left"/>
              <w:rPr>
                <w:b/>
                <w:sz w:val="18"/>
              </w:rPr>
            </w:pPr>
          </w:p>
          <w:p>
            <w:pPr>
              <w:pStyle w:val="TableParagraph"/>
              <w:ind w:left="102" w:right="93"/>
              <w:rPr>
                <w:rFonts w:ascii="Times New Roman"/>
                <w:sz w:val="21"/>
              </w:rPr>
            </w:pPr>
            <w:r>
              <w:rPr>
                <w:rFonts w:ascii="Times New Roman"/>
                <w:sz w:val="21"/>
              </w:rPr>
              <w:t>0.06</w:t>
            </w:r>
          </w:p>
        </w:tc>
      </w:tr>
      <w:tr>
        <w:trPr>
          <w:trHeight w:val="725" w:hRule="atLeast"/>
        </w:trPr>
        <w:tc>
          <w:tcPr>
            <w:tcW w:w="405" w:type="dxa"/>
          </w:tcPr>
          <w:p>
            <w:pPr>
              <w:pStyle w:val="TableParagraph"/>
              <w:spacing w:before="11"/>
              <w:jc w:val="left"/>
              <w:rPr>
                <w:b/>
                <w:sz w:val="18"/>
              </w:rPr>
            </w:pPr>
          </w:p>
          <w:p>
            <w:pPr>
              <w:pStyle w:val="TableParagraph"/>
              <w:ind w:left="9"/>
              <w:rPr>
                <w:rFonts w:ascii="Times New Roman"/>
                <w:sz w:val="21"/>
              </w:rPr>
            </w:pPr>
            <w:r>
              <w:rPr>
                <w:rFonts w:ascii="Times New Roman"/>
                <w:w w:val="99"/>
                <w:sz w:val="21"/>
              </w:rPr>
              <w:t>2</w:t>
            </w:r>
          </w:p>
        </w:tc>
        <w:tc>
          <w:tcPr>
            <w:tcW w:w="1243" w:type="dxa"/>
          </w:tcPr>
          <w:p>
            <w:pPr>
              <w:pStyle w:val="TableParagraph"/>
              <w:spacing w:before="7"/>
              <w:jc w:val="left"/>
              <w:rPr>
                <w:b/>
                <w:sz w:val="17"/>
              </w:rPr>
            </w:pPr>
          </w:p>
          <w:p>
            <w:pPr>
              <w:pStyle w:val="TableParagraph"/>
              <w:spacing w:before="1"/>
              <w:ind w:left="180" w:right="173"/>
              <w:rPr>
                <w:sz w:val="21"/>
              </w:rPr>
            </w:pPr>
            <w:r>
              <w:rPr>
                <w:sz w:val="21"/>
              </w:rPr>
              <w:t>热风炉房</w:t>
            </w:r>
          </w:p>
        </w:tc>
        <w:tc>
          <w:tcPr>
            <w:tcW w:w="1029" w:type="dxa"/>
          </w:tcPr>
          <w:p>
            <w:pPr>
              <w:pStyle w:val="TableParagraph"/>
              <w:spacing w:line="241" w:lineRule="exact"/>
              <w:ind w:left="107"/>
              <w:jc w:val="left"/>
              <w:rPr>
                <w:rFonts w:ascii="Times New Roman" w:hAnsi="Times New Roman"/>
                <w:sz w:val="21"/>
              </w:rPr>
            </w:pPr>
            <w:r>
              <w:rPr>
                <w:rFonts w:ascii="Times New Roman" w:hAnsi="Times New Roman"/>
                <w:sz w:val="21"/>
              </w:rPr>
              <w:t>46°34′40.</w:t>
            </w:r>
          </w:p>
          <w:p>
            <w:pPr>
              <w:pStyle w:val="TableParagraph"/>
              <w:spacing w:line="241" w:lineRule="exact" w:before="1"/>
              <w:ind w:left="62"/>
              <w:jc w:val="left"/>
              <w:rPr>
                <w:rFonts w:ascii="Times New Roman" w:hAnsi="Times New Roman"/>
                <w:sz w:val="21"/>
              </w:rPr>
            </w:pPr>
            <w:r>
              <w:rPr>
                <w:rFonts w:ascii="Times New Roman" w:hAnsi="Times New Roman"/>
                <w:sz w:val="21"/>
              </w:rPr>
              <w:t>98″131°10</w:t>
            </w:r>
          </w:p>
          <w:p>
            <w:pPr>
              <w:pStyle w:val="TableParagraph"/>
              <w:spacing w:line="222" w:lineRule="exact"/>
              <w:ind w:left="210"/>
              <w:jc w:val="left"/>
              <w:rPr>
                <w:rFonts w:ascii="Times New Roman" w:hAnsi="Times New Roman"/>
                <w:sz w:val="21"/>
              </w:rPr>
            </w:pPr>
            <w:r>
              <w:rPr>
                <w:rFonts w:ascii="Times New Roman" w:hAnsi="Times New Roman"/>
                <w:sz w:val="21"/>
              </w:rPr>
              <w:t>′39.56″</w:t>
            </w:r>
          </w:p>
        </w:tc>
        <w:tc>
          <w:tcPr>
            <w:tcW w:w="1007" w:type="dxa"/>
          </w:tcPr>
          <w:p>
            <w:pPr>
              <w:pStyle w:val="TableParagraph"/>
              <w:spacing w:before="11"/>
              <w:jc w:val="left"/>
              <w:rPr>
                <w:b/>
                <w:sz w:val="18"/>
              </w:rPr>
            </w:pPr>
          </w:p>
          <w:p>
            <w:pPr>
              <w:pStyle w:val="TableParagraph"/>
              <w:ind w:left="81" w:right="71"/>
              <w:rPr>
                <w:rFonts w:ascii="Times New Roman"/>
                <w:sz w:val="21"/>
              </w:rPr>
            </w:pPr>
            <w:r>
              <w:rPr>
                <w:rFonts w:ascii="Times New Roman"/>
                <w:sz w:val="21"/>
              </w:rPr>
              <w:t>214</w:t>
            </w:r>
          </w:p>
        </w:tc>
        <w:tc>
          <w:tcPr>
            <w:tcW w:w="728" w:type="dxa"/>
          </w:tcPr>
          <w:p>
            <w:pPr>
              <w:pStyle w:val="TableParagraph"/>
              <w:spacing w:before="11"/>
              <w:jc w:val="left"/>
              <w:rPr>
                <w:b/>
                <w:sz w:val="18"/>
              </w:rPr>
            </w:pPr>
          </w:p>
          <w:p>
            <w:pPr>
              <w:pStyle w:val="TableParagraph"/>
              <w:ind w:right="247"/>
              <w:jc w:val="right"/>
              <w:rPr>
                <w:rFonts w:ascii="Times New Roman"/>
                <w:sz w:val="21"/>
              </w:rPr>
            </w:pPr>
            <w:r>
              <w:rPr>
                <w:rFonts w:ascii="Times New Roman"/>
                <w:sz w:val="21"/>
              </w:rPr>
              <w:t>35</w:t>
            </w:r>
          </w:p>
        </w:tc>
        <w:tc>
          <w:tcPr>
            <w:tcW w:w="697" w:type="dxa"/>
          </w:tcPr>
          <w:p>
            <w:pPr>
              <w:pStyle w:val="TableParagraph"/>
              <w:spacing w:before="11"/>
              <w:jc w:val="left"/>
              <w:rPr>
                <w:b/>
                <w:sz w:val="18"/>
              </w:rPr>
            </w:pPr>
          </w:p>
          <w:p>
            <w:pPr>
              <w:pStyle w:val="TableParagraph"/>
              <w:ind w:left="196" w:right="187"/>
              <w:rPr>
                <w:rFonts w:ascii="Times New Roman"/>
                <w:sz w:val="21"/>
              </w:rPr>
            </w:pPr>
            <w:r>
              <w:rPr>
                <w:rFonts w:ascii="Times New Roman"/>
                <w:sz w:val="21"/>
              </w:rPr>
              <w:t>0.8</w:t>
            </w:r>
          </w:p>
        </w:tc>
        <w:tc>
          <w:tcPr>
            <w:tcW w:w="728" w:type="dxa"/>
          </w:tcPr>
          <w:p>
            <w:pPr>
              <w:pStyle w:val="TableParagraph"/>
              <w:spacing w:before="11"/>
              <w:jc w:val="left"/>
              <w:rPr>
                <w:b/>
                <w:sz w:val="18"/>
              </w:rPr>
            </w:pPr>
          </w:p>
          <w:p>
            <w:pPr>
              <w:pStyle w:val="TableParagraph"/>
              <w:ind w:left="133" w:right="124"/>
              <w:rPr>
                <w:rFonts w:ascii="Times New Roman"/>
                <w:sz w:val="21"/>
              </w:rPr>
            </w:pPr>
            <w:r>
              <w:rPr>
                <w:rFonts w:ascii="Times New Roman"/>
                <w:sz w:val="21"/>
              </w:rPr>
              <w:t>1.39</w:t>
            </w:r>
          </w:p>
        </w:tc>
        <w:tc>
          <w:tcPr>
            <w:tcW w:w="600" w:type="dxa"/>
          </w:tcPr>
          <w:p>
            <w:pPr>
              <w:pStyle w:val="TableParagraph"/>
              <w:spacing w:before="11"/>
              <w:jc w:val="left"/>
              <w:rPr>
                <w:b/>
                <w:sz w:val="18"/>
              </w:rPr>
            </w:pPr>
          </w:p>
          <w:p>
            <w:pPr>
              <w:pStyle w:val="TableParagraph"/>
              <w:ind w:left="142"/>
              <w:jc w:val="left"/>
              <w:rPr>
                <w:rFonts w:ascii="Times New Roman"/>
                <w:sz w:val="21"/>
              </w:rPr>
            </w:pPr>
            <w:r>
              <w:rPr>
                <w:rFonts w:ascii="Times New Roman"/>
                <w:sz w:val="21"/>
              </w:rPr>
              <w:t>120</w:t>
            </w:r>
          </w:p>
        </w:tc>
        <w:tc>
          <w:tcPr>
            <w:tcW w:w="714" w:type="dxa"/>
          </w:tcPr>
          <w:p>
            <w:pPr>
              <w:pStyle w:val="TableParagraph"/>
              <w:spacing w:before="11"/>
              <w:jc w:val="left"/>
              <w:rPr>
                <w:b/>
                <w:sz w:val="18"/>
              </w:rPr>
            </w:pPr>
          </w:p>
          <w:p>
            <w:pPr>
              <w:pStyle w:val="TableParagraph"/>
              <w:ind w:left="127" w:right="117"/>
              <w:rPr>
                <w:rFonts w:ascii="Times New Roman"/>
                <w:sz w:val="21"/>
              </w:rPr>
            </w:pPr>
            <w:r>
              <w:rPr>
                <w:rFonts w:ascii="Times New Roman"/>
                <w:sz w:val="21"/>
              </w:rPr>
              <w:t>3240</w:t>
            </w:r>
          </w:p>
        </w:tc>
        <w:tc>
          <w:tcPr>
            <w:tcW w:w="697" w:type="dxa"/>
            <w:vMerge/>
            <w:tcBorders>
              <w:top w:val="nil"/>
            </w:tcBorders>
          </w:tcPr>
          <w:p>
            <w:pPr>
              <w:rPr>
                <w:sz w:val="2"/>
                <w:szCs w:val="2"/>
              </w:rPr>
            </w:pPr>
          </w:p>
        </w:tc>
        <w:tc>
          <w:tcPr>
            <w:tcW w:w="621" w:type="dxa"/>
          </w:tcPr>
          <w:p>
            <w:pPr>
              <w:pStyle w:val="TableParagraph"/>
              <w:jc w:val="left"/>
              <w:rPr>
                <w:b/>
                <w:sz w:val="17"/>
              </w:rPr>
            </w:pPr>
          </w:p>
          <w:p>
            <w:pPr>
              <w:pStyle w:val="TableParagraph"/>
              <w:ind w:right="114"/>
              <w:jc w:val="right"/>
              <w:rPr>
                <w:rFonts w:ascii="Times New Roman"/>
                <w:sz w:val="21"/>
              </w:rPr>
            </w:pPr>
            <w:r>
              <w:rPr>
                <w:rFonts w:ascii="Times New Roman"/>
                <w:sz w:val="21"/>
              </w:rPr>
              <w:t>0.04</w:t>
            </w:r>
          </w:p>
        </w:tc>
        <w:tc>
          <w:tcPr>
            <w:tcW w:w="643" w:type="dxa"/>
          </w:tcPr>
          <w:p>
            <w:pPr>
              <w:pStyle w:val="TableParagraph"/>
              <w:spacing w:before="11"/>
              <w:jc w:val="left"/>
              <w:rPr>
                <w:b/>
                <w:sz w:val="18"/>
              </w:rPr>
            </w:pPr>
          </w:p>
          <w:p>
            <w:pPr>
              <w:pStyle w:val="TableParagraph"/>
              <w:ind w:left="96" w:right="86"/>
              <w:rPr>
                <w:rFonts w:ascii="Times New Roman"/>
                <w:sz w:val="21"/>
              </w:rPr>
            </w:pPr>
            <w:r>
              <w:rPr>
                <w:rFonts w:ascii="Times New Roman"/>
                <w:sz w:val="21"/>
              </w:rPr>
              <w:t>0.50</w:t>
            </w:r>
          </w:p>
        </w:tc>
        <w:tc>
          <w:tcPr>
            <w:tcW w:w="666" w:type="dxa"/>
          </w:tcPr>
          <w:p>
            <w:pPr>
              <w:pStyle w:val="TableParagraph"/>
              <w:spacing w:before="11"/>
              <w:jc w:val="left"/>
              <w:rPr>
                <w:b/>
                <w:sz w:val="18"/>
              </w:rPr>
            </w:pPr>
          </w:p>
          <w:p>
            <w:pPr>
              <w:pStyle w:val="TableParagraph"/>
              <w:ind w:left="102" w:right="93"/>
              <w:rPr>
                <w:rFonts w:ascii="Times New Roman"/>
                <w:sz w:val="21"/>
              </w:rPr>
            </w:pPr>
            <w:r>
              <w:rPr>
                <w:rFonts w:ascii="Times New Roman"/>
                <w:sz w:val="21"/>
              </w:rPr>
              <w:t>0.06</w:t>
            </w:r>
          </w:p>
        </w:tc>
      </w:tr>
      <w:tr>
        <w:trPr>
          <w:trHeight w:val="723" w:hRule="atLeast"/>
        </w:trPr>
        <w:tc>
          <w:tcPr>
            <w:tcW w:w="405" w:type="dxa"/>
          </w:tcPr>
          <w:p>
            <w:pPr>
              <w:pStyle w:val="TableParagraph"/>
              <w:spacing w:before="8"/>
              <w:jc w:val="left"/>
              <w:rPr>
                <w:b/>
                <w:sz w:val="18"/>
              </w:rPr>
            </w:pPr>
          </w:p>
          <w:p>
            <w:pPr>
              <w:pStyle w:val="TableParagraph"/>
              <w:ind w:left="9"/>
              <w:rPr>
                <w:rFonts w:ascii="Times New Roman"/>
                <w:sz w:val="21"/>
              </w:rPr>
            </w:pPr>
            <w:r>
              <w:rPr>
                <w:rFonts w:ascii="Times New Roman"/>
                <w:w w:val="99"/>
                <w:sz w:val="21"/>
              </w:rPr>
              <w:t>3</w:t>
            </w:r>
          </w:p>
        </w:tc>
        <w:tc>
          <w:tcPr>
            <w:tcW w:w="1243" w:type="dxa"/>
          </w:tcPr>
          <w:p>
            <w:pPr>
              <w:pStyle w:val="TableParagraph"/>
              <w:spacing w:before="7"/>
              <w:jc w:val="left"/>
              <w:rPr>
                <w:b/>
                <w:sz w:val="17"/>
              </w:rPr>
            </w:pPr>
          </w:p>
          <w:p>
            <w:pPr>
              <w:pStyle w:val="TableParagraph"/>
              <w:ind w:left="180" w:right="173"/>
              <w:rPr>
                <w:sz w:val="21"/>
              </w:rPr>
            </w:pPr>
            <w:r>
              <w:rPr>
                <w:sz w:val="21"/>
              </w:rPr>
              <w:t>筛分车间</w:t>
            </w:r>
          </w:p>
        </w:tc>
        <w:tc>
          <w:tcPr>
            <w:tcW w:w="1029" w:type="dxa"/>
          </w:tcPr>
          <w:p>
            <w:pPr>
              <w:pStyle w:val="TableParagraph"/>
              <w:spacing w:line="240" w:lineRule="exact"/>
              <w:ind w:left="107"/>
              <w:jc w:val="left"/>
              <w:rPr>
                <w:rFonts w:ascii="Times New Roman" w:hAnsi="Times New Roman"/>
                <w:sz w:val="21"/>
              </w:rPr>
            </w:pPr>
            <w:r>
              <w:rPr>
                <w:rFonts w:ascii="Times New Roman" w:hAnsi="Times New Roman"/>
                <w:sz w:val="21"/>
              </w:rPr>
              <w:t>46°34′39.</w:t>
            </w:r>
          </w:p>
          <w:p>
            <w:pPr>
              <w:pStyle w:val="TableParagraph"/>
              <w:spacing w:line="241" w:lineRule="exact"/>
              <w:ind w:left="62"/>
              <w:jc w:val="left"/>
              <w:rPr>
                <w:rFonts w:ascii="Times New Roman" w:hAnsi="Times New Roman"/>
                <w:sz w:val="21"/>
              </w:rPr>
            </w:pPr>
            <w:r>
              <w:rPr>
                <w:rFonts w:ascii="Times New Roman" w:hAnsi="Times New Roman"/>
                <w:sz w:val="21"/>
              </w:rPr>
              <w:t>55″131°10</w:t>
            </w:r>
          </w:p>
          <w:p>
            <w:pPr>
              <w:pStyle w:val="TableParagraph"/>
              <w:spacing w:line="222" w:lineRule="exact" w:before="1"/>
              <w:ind w:left="210"/>
              <w:jc w:val="left"/>
              <w:rPr>
                <w:rFonts w:ascii="Times New Roman" w:hAnsi="Times New Roman"/>
                <w:sz w:val="21"/>
              </w:rPr>
            </w:pPr>
            <w:r>
              <w:rPr>
                <w:rFonts w:ascii="Times New Roman" w:hAnsi="Times New Roman"/>
                <w:sz w:val="21"/>
              </w:rPr>
              <w:t>′40.08″</w:t>
            </w:r>
          </w:p>
        </w:tc>
        <w:tc>
          <w:tcPr>
            <w:tcW w:w="1007" w:type="dxa"/>
          </w:tcPr>
          <w:p>
            <w:pPr>
              <w:pStyle w:val="TableParagraph"/>
              <w:spacing w:before="8"/>
              <w:jc w:val="left"/>
              <w:rPr>
                <w:b/>
                <w:sz w:val="18"/>
              </w:rPr>
            </w:pPr>
          </w:p>
          <w:p>
            <w:pPr>
              <w:pStyle w:val="TableParagraph"/>
              <w:ind w:left="81" w:right="71"/>
              <w:rPr>
                <w:rFonts w:ascii="Times New Roman"/>
                <w:sz w:val="21"/>
              </w:rPr>
            </w:pPr>
            <w:r>
              <w:rPr>
                <w:rFonts w:ascii="Times New Roman"/>
                <w:sz w:val="21"/>
              </w:rPr>
              <w:t>213</w:t>
            </w:r>
          </w:p>
        </w:tc>
        <w:tc>
          <w:tcPr>
            <w:tcW w:w="728" w:type="dxa"/>
          </w:tcPr>
          <w:p>
            <w:pPr>
              <w:pStyle w:val="TableParagraph"/>
              <w:spacing w:before="8"/>
              <w:jc w:val="left"/>
              <w:rPr>
                <w:b/>
                <w:sz w:val="18"/>
              </w:rPr>
            </w:pPr>
          </w:p>
          <w:p>
            <w:pPr>
              <w:pStyle w:val="TableParagraph"/>
              <w:ind w:right="247"/>
              <w:jc w:val="right"/>
              <w:rPr>
                <w:rFonts w:ascii="Times New Roman"/>
                <w:sz w:val="21"/>
              </w:rPr>
            </w:pPr>
            <w:r>
              <w:rPr>
                <w:rFonts w:ascii="Times New Roman"/>
                <w:sz w:val="21"/>
              </w:rPr>
              <w:t>15</w:t>
            </w:r>
          </w:p>
        </w:tc>
        <w:tc>
          <w:tcPr>
            <w:tcW w:w="697" w:type="dxa"/>
          </w:tcPr>
          <w:p>
            <w:pPr>
              <w:pStyle w:val="TableParagraph"/>
              <w:spacing w:before="8"/>
              <w:jc w:val="left"/>
              <w:rPr>
                <w:b/>
                <w:sz w:val="18"/>
              </w:rPr>
            </w:pPr>
          </w:p>
          <w:p>
            <w:pPr>
              <w:pStyle w:val="TableParagraph"/>
              <w:ind w:left="196" w:right="187"/>
              <w:rPr>
                <w:rFonts w:ascii="Times New Roman"/>
                <w:sz w:val="21"/>
              </w:rPr>
            </w:pPr>
            <w:r>
              <w:rPr>
                <w:rFonts w:ascii="Times New Roman"/>
                <w:sz w:val="21"/>
              </w:rPr>
              <w:t>0.3</w:t>
            </w:r>
          </w:p>
        </w:tc>
        <w:tc>
          <w:tcPr>
            <w:tcW w:w="728" w:type="dxa"/>
          </w:tcPr>
          <w:p>
            <w:pPr>
              <w:pStyle w:val="TableParagraph"/>
              <w:spacing w:before="8"/>
              <w:jc w:val="left"/>
              <w:rPr>
                <w:b/>
                <w:sz w:val="18"/>
              </w:rPr>
            </w:pPr>
          </w:p>
          <w:p>
            <w:pPr>
              <w:pStyle w:val="TableParagraph"/>
              <w:ind w:left="133" w:right="124"/>
              <w:rPr>
                <w:rFonts w:ascii="Times New Roman"/>
                <w:sz w:val="21"/>
              </w:rPr>
            </w:pPr>
            <w:r>
              <w:rPr>
                <w:rFonts w:ascii="Times New Roman"/>
                <w:sz w:val="21"/>
              </w:rPr>
              <w:t>5.90</w:t>
            </w:r>
          </w:p>
        </w:tc>
        <w:tc>
          <w:tcPr>
            <w:tcW w:w="600" w:type="dxa"/>
          </w:tcPr>
          <w:p>
            <w:pPr>
              <w:pStyle w:val="TableParagraph"/>
              <w:spacing w:before="8"/>
              <w:jc w:val="left"/>
              <w:rPr>
                <w:b/>
                <w:sz w:val="18"/>
              </w:rPr>
            </w:pPr>
          </w:p>
          <w:p>
            <w:pPr>
              <w:pStyle w:val="TableParagraph"/>
              <w:ind w:left="195"/>
              <w:jc w:val="left"/>
              <w:rPr>
                <w:rFonts w:ascii="Times New Roman"/>
                <w:sz w:val="21"/>
              </w:rPr>
            </w:pPr>
            <w:r>
              <w:rPr>
                <w:rFonts w:ascii="Times New Roman"/>
                <w:sz w:val="21"/>
              </w:rPr>
              <w:t>25</w:t>
            </w:r>
          </w:p>
        </w:tc>
        <w:tc>
          <w:tcPr>
            <w:tcW w:w="714" w:type="dxa"/>
          </w:tcPr>
          <w:p>
            <w:pPr>
              <w:pStyle w:val="TableParagraph"/>
              <w:spacing w:before="8"/>
              <w:jc w:val="left"/>
              <w:rPr>
                <w:b/>
                <w:sz w:val="18"/>
              </w:rPr>
            </w:pPr>
          </w:p>
          <w:p>
            <w:pPr>
              <w:pStyle w:val="TableParagraph"/>
              <w:ind w:left="127" w:right="117"/>
              <w:rPr>
                <w:rFonts w:ascii="Times New Roman"/>
                <w:sz w:val="21"/>
              </w:rPr>
            </w:pPr>
            <w:r>
              <w:rPr>
                <w:rFonts w:ascii="Times New Roman"/>
                <w:sz w:val="21"/>
              </w:rPr>
              <w:t>5940</w:t>
            </w:r>
          </w:p>
        </w:tc>
        <w:tc>
          <w:tcPr>
            <w:tcW w:w="697" w:type="dxa"/>
            <w:vMerge/>
            <w:tcBorders>
              <w:top w:val="nil"/>
            </w:tcBorders>
          </w:tcPr>
          <w:p>
            <w:pPr>
              <w:rPr>
                <w:sz w:val="2"/>
                <w:szCs w:val="2"/>
              </w:rPr>
            </w:pPr>
          </w:p>
        </w:tc>
        <w:tc>
          <w:tcPr>
            <w:tcW w:w="621" w:type="dxa"/>
          </w:tcPr>
          <w:p>
            <w:pPr>
              <w:pStyle w:val="TableParagraph"/>
              <w:spacing w:before="10"/>
              <w:jc w:val="left"/>
              <w:rPr>
                <w:b/>
                <w:sz w:val="16"/>
              </w:rPr>
            </w:pPr>
          </w:p>
          <w:p>
            <w:pPr>
              <w:pStyle w:val="TableParagraph"/>
              <w:ind w:right="114"/>
              <w:jc w:val="right"/>
              <w:rPr>
                <w:rFonts w:ascii="Times New Roman"/>
                <w:sz w:val="21"/>
              </w:rPr>
            </w:pPr>
            <w:r>
              <w:rPr>
                <w:rFonts w:ascii="Times New Roman"/>
                <w:sz w:val="21"/>
              </w:rPr>
              <w:t>0.01</w:t>
            </w:r>
          </w:p>
        </w:tc>
        <w:tc>
          <w:tcPr>
            <w:tcW w:w="643" w:type="dxa"/>
          </w:tcPr>
          <w:p>
            <w:pPr>
              <w:pStyle w:val="TableParagraph"/>
              <w:spacing w:before="8"/>
              <w:jc w:val="left"/>
              <w:rPr>
                <w:b/>
                <w:sz w:val="18"/>
              </w:rPr>
            </w:pPr>
          </w:p>
          <w:p>
            <w:pPr>
              <w:pStyle w:val="TableParagraph"/>
              <w:ind w:left="9"/>
              <w:rPr>
                <w:rFonts w:ascii="Times New Roman"/>
                <w:sz w:val="21"/>
              </w:rPr>
            </w:pPr>
            <w:r>
              <w:rPr>
                <w:rFonts w:ascii="Times New Roman"/>
                <w:w w:val="99"/>
                <w:sz w:val="21"/>
              </w:rPr>
              <w:t>/</w:t>
            </w:r>
          </w:p>
        </w:tc>
        <w:tc>
          <w:tcPr>
            <w:tcW w:w="666" w:type="dxa"/>
          </w:tcPr>
          <w:p>
            <w:pPr>
              <w:pStyle w:val="TableParagraph"/>
              <w:spacing w:before="8"/>
              <w:jc w:val="left"/>
              <w:rPr>
                <w:b/>
                <w:sz w:val="18"/>
              </w:rPr>
            </w:pPr>
          </w:p>
          <w:p>
            <w:pPr>
              <w:pStyle w:val="TableParagraph"/>
              <w:ind w:left="11"/>
              <w:rPr>
                <w:rFonts w:ascii="Times New Roman"/>
                <w:sz w:val="21"/>
              </w:rPr>
            </w:pPr>
            <w:r>
              <w:rPr>
                <w:rFonts w:ascii="Times New Roman"/>
                <w:w w:val="99"/>
                <w:sz w:val="21"/>
              </w:rPr>
              <w:t>/</w:t>
            </w:r>
          </w:p>
        </w:tc>
      </w:tr>
    </w:tbl>
    <w:p>
      <w:pPr>
        <w:spacing w:before="120" w:after="4"/>
        <w:ind w:left="1370" w:right="1368" w:firstLine="0"/>
        <w:jc w:val="center"/>
        <w:rPr>
          <w:b/>
          <w:sz w:val="21"/>
        </w:rPr>
      </w:pPr>
      <w:r>
        <w:rPr>
          <w:b/>
          <w:spacing w:val="-26"/>
          <w:sz w:val="21"/>
        </w:rPr>
        <w:t>表 </w:t>
      </w:r>
      <w:r>
        <w:rPr>
          <w:rFonts w:ascii="Times New Roman" w:eastAsia="Times New Roman"/>
          <w:b/>
          <w:sz w:val="21"/>
        </w:rPr>
        <w:t>2.4-5</w:t>
      </w:r>
      <w:r>
        <w:rPr>
          <w:rFonts w:ascii="Times New Roman" w:eastAsia="Times New Roman"/>
          <w:b/>
          <w:spacing w:val="52"/>
          <w:sz w:val="21"/>
        </w:rPr>
        <w:t> </w:t>
      </w:r>
      <w:r>
        <w:rPr>
          <w:b/>
          <w:sz w:val="21"/>
        </w:rPr>
        <w:t>面源参数表</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59"/>
        <w:gridCol w:w="1161"/>
        <w:gridCol w:w="1159"/>
        <w:gridCol w:w="1159"/>
        <w:gridCol w:w="1159"/>
        <w:gridCol w:w="1165"/>
        <w:gridCol w:w="1161"/>
      </w:tblGrid>
      <w:tr>
        <w:trPr>
          <w:trHeight w:val="943" w:hRule="atLeast"/>
        </w:trPr>
        <w:tc>
          <w:tcPr>
            <w:tcW w:w="1159" w:type="dxa"/>
            <w:vMerge w:val="restart"/>
          </w:tcPr>
          <w:p>
            <w:pPr>
              <w:pStyle w:val="TableParagraph"/>
              <w:jc w:val="left"/>
              <w:rPr>
                <w:b/>
                <w:sz w:val="20"/>
              </w:rPr>
            </w:pPr>
          </w:p>
          <w:p>
            <w:pPr>
              <w:pStyle w:val="TableParagraph"/>
              <w:spacing w:before="7"/>
              <w:jc w:val="left"/>
              <w:rPr>
                <w:b/>
                <w:sz w:val="15"/>
              </w:rPr>
            </w:pPr>
          </w:p>
          <w:p>
            <w:pPr>
              <w:pStyle w:val="TableParagraph"/>
              <w:spacing w:line="290" w:lineRule="auto"/>
              <w:ind w:left="369" w:right="253" w:hanging="106"/>
              <w:jc w:val="left"/>
              <w:rPr>
                <w:sz w:val="21"/>
              </w:rPr>
            </w:pPr>
            <w:r>
              <w:rPr>
                <w:sz w:val="21"/>
              </w:rPr>
              <w:t>污染源名称</w:t>
            </w:r>
          </w:p>
        </w:tc>
        <w:tc>
          <w:tcPr>
            <w:tcW w:w="2320" w:type="dxa"/>
            <w:gridSpan w:val="2"/>
          </w:tcPr>
          <w:p>
            <w:pPr>
              <w:pStyle w:val="TableParagraph"/>
              <w:spacing w:before="12"/>
              <w:jc w:val="left"/>
              <w:rPr>
                <w:b/>
                <w:sz w:val="23"/>
              </w:rPr>
            </w:pPr>
          </w:p>
          <w:p>
            <w:pPr>
              <w:pStyle w:val="TableParagraph"/>
              <w:ind w:left="817" w:right="808"/>
              <w:rPr>
                <w:rFonts w:ascii="Times New Roman" w:hAnsi="Times New Roman" w:eastAsia="Times New Roman"/>
                <w:sz w:val="21"/>
              </w:rPr>
            </w:pPr>
            <w:r>
              <w:rPr>
                <w:sz w:val="21"/>
              </w:rPr>
              <w:t>坐标</w:t>
            </w:r>
            <w:r>
              <w:rPr>
                <w:rFonts w:ascii="Times New Roman" w:hAnsi="Times New Roman" w:eastAsia="Times New Roman"/>
                <w:sz w:val="21"/>
              </w:rPr>
              <w:t>(°)</w:t>
            </w:r>
          </w:p>
        </w:tc>
        <w:tc>
          <w:tcPr>
            <w:tcW w:w="1159" w:type="dxa"/>
            <w:vMerge w:val="restart"/>
          </w:tcPr>
          <w:p>
            <w:pPr>
              <w:pStyle w:val="TableParagraph"/>
              <w:jc w:val="left"/>
              <w:rPr>
                <w:b/>
                <w:sz w:val="20"/>
              </w:rPr>
            </w:pPr>
          </w:p>
          <w:p>
            <w:pPr>
              <w:pStyle w:val="TableParagraph"/>
              <w:spacing w:before="1"/>
              <w:jc w:val="left"/>
              <w:rPr>
                <w:b/>
                <w:sz w:val="17"/>
              </w:rPr>
            </w:pPr>
          </w:p>
          <w:p>
            <w:pPr>
              <w:pStyle w:val="TableParagraph"/>
              <w:ind w:left="106"/>
              <w:jc w:val="left"/>
              <w:rPr>
                <w:sz w:val="21"/>
              </w:rPr>
            </w:pPr>
            <w:r>
              <w:rPr>
                <w:sz w:val="21"/>
              </w:rPr>
              <w:t>海拔高度</w:t>
            </w:r>
          </w:p>
          <w:p>
            <w:pPr>
              <w:pStyle w:val="TableParagraph"/>
              <w:spacing w:before="57"/>
              <w:ind w:left="106"/>
              <w:jc w:val="left"/>
              <w:rPr>
                <w:rFonts w:ascii="Times New Roman"/>
                <w:sz w:val="21"/>
              </w:rPr>
            </w:pPr>
            <w:r>
              <w:rPr>
                <w:rFonts w:ascii="Times New Roman"/>
                <w:sz w:val="21"/>
              </w:rPr>
              <w:t>(m)</w:t>
            </w:r>
          </w:p>
        </w:tc>
        <w:tc>
          <w:tcPr>
            <w:tcW w:w="3483" w:type="dxa"/>
            <w:gridSpan w:val="3"/>
          </w:tcPr>
          <w:p>
            <w:pPr>
              <w:pStyle w:val="TableParagraph"/>
              <w:spacing w:before="12"/>
              <w:jc w:val="left"/>
              <w:rPr>
                <w:b/>
                <w:sz w:val="23"/>
              </w:rPr>
            </w:pPr>
          </w:p>
          <w:p>
            <w:pPr>
              <w:pStyle w:val="TableParagraph"/>
              <w:ind w:left="1300" w:right="1293"/>
              <w:rPr>
                <w:sz w:val="21"/>
              </w:rPr>
            </w:pPr>
            <w:r>
              <w:rPr>
                <w:sz w:val="21"/>
              </w:rPr>
              <w:t>矩形面源</w:t>
            </w:r>
          </w:p>
        </w:tc>
        <w:tc>
          <w:tcPr>
            <w:tcW w:w="1161" w:type="dxa"/>
          </w:tcPr>
          <w:p>
            <w:pPr>
              <w:pStyle w:val="TableParagraph"/>
              <w:spacing w:line="290" w:lineRule="auto"/>
              <w:ind w:left="108" w:right="96"/>
              <w:jc w:val="left"/>
              <w:rPr>
                <w:sz w:val="21"/>
              </w:rPr>
            </w:pPr>
            <w:r>
              <w:rPr>
                <w:sz w:val="21"/>
              </w:rPr>
              <w:t>污染物排放 速 率</w:t>
            </w:r>
          </w:p>
          <w:p>
            <w:pPr>
              <w:pStyle w:val="TableParagraph"/>
              <w:spacing w:before="1"/>
              <w:ind w:left="108"/>
              <w:jc w:val="left"/>
              <w:rPr>
                <w:rFonts w:ascii="Times New Roman"/>
                <w:sz w:val="21"/>
              </w:rPr>
            </w:pPr>
            <w:r>
              <w:rPr>
                <w:rFonts w:ascii="Times New Roman"/>
                <w:sz w:val="21"/>
              </w:rPr>
              <w:t>(kg/h)</w:t>
            </w:r>
          </w:p>
        </w:tc>
      </w:tr>
      <w:tr>
        <w:trPr>
          <w:trHeight w:val="616" w:hRule="atLeast"/>
        </w:trPr>
        <w:tc>
          <w:tcPr>
            <w:tcW w:w="1159" w:type="dxa"/>
            <w:vMerge/>
            <w:tcBorders>
              <w:top w:val="nil"/>
            </w:tcBorders>
          </w:tcPr>
          <w:p>
            <w:pPr>
              <w:rPr>
                <w:sz w:val="2"/>
                <w:szCs w:val="2"/>
              </w:rPr>
            </w:pPr>
          </w:p>
        </w:tc>
        <w:tc>
          <w:tcPr>
            <w:tcW w:w="1159" w:type="dxa"/>
          </w:tcPr>
          <w:p>
            <w:pPr>
              <w:pStyle w:val="TableParagraph"/>
              <w:spacing w:before="144"/>
              <w:ind w:left="367"/>
              <w:jc w:val="left"/>
              <w:rPr>
                <w:sz w:val="21"/>
              </w:rPr>
            </w:pPr>
            <w:r>
              <w:rPr>
                <w:sz w:val="21"/>
              </w:rPr>
              <w:t>经度</w:t>
            </w:r>
          </w:p>
        </w:tc>
        <w:tc>
          <w:tcPr>
            <w:tcW w:w="1161" w:type="dxa"/>
          </w:tcPr>
          <w:p>
            <w:pPr>
              <w:pStyle w:val="TableParagraph"/>
              <w:spacing w:before="144"/>
              <w:ind w:left="370"/>
              <w:jc w:val="left"/>
              <w:rPr>
                <w:sz w:val="21"/>
              </w:rPr>
            </w:pPr>
            <w:r>
              <w:rPr>
                <w:sz w:val="21"/>
              </w:rPr>
              <w:t>纬度</w:t>
            </w:r>
          </w:p>
        </w:tc>
        <w:tc>
          <w:tcPr>
            <w:tcW w:w="1159" w:type="dxa"/>
            <w:vMerge/>
            <w:tcBorders>
              <w:top w:val="nil"/>
            </w:tcBorders>
          </w:tcPr>
          <w:p>
            <w:pPr>
              <w:rPr>
                <w:sz w:val="2"/>
                <w:szCs w:val="2"/>
              </w:rPr>
            </w:pPr>
          </w:p>
        </w:tc>
        <w:tc>
          <w:tcPr>
            <w:tcW w:w="1159" w:type="dxa"/>
          </w:tcPr>
          <w:p>
            <w:pPr>
              <w:pStyle w:val="TableParagraph"/>
              <w:spacing w:before="144"/>
              <w:ind w:left="99" w:right="89"/>
              <w:rPr>
                <w:rFonts w:ascii="Times New Roman" w:eastAsia="Times New Roman"/>
                <w:sz w:val="21"/>
              </w:rPr>
            </w:pPr>
            <w:r>
              <w:rPr>
                <w:sz w:val="21"/>
              </w:rPr>
              <w:t>长度</w:t>
            </w:r>
            <w:r>
              <w:rPr>
                <w:rFonts w:ascii="Times New Roman" w:eastAsia="Times New Roman"/>
                <w:sz w:val="21"/>
              </w:rPr>
              <w:t>(m)</w:t>
            </w:r>
          </w:p>
        </w:tc>
        <w:tc>
          <w:tcPr>
            <w:tcW w:w="1159" w:type="dxa"/>
          </w:tcPr>
          <w:p>
            <w:pPr>
              <w:pStyle w:val="TableParagraph"/>
              <w:spacing w:before="144"/>
              <w:ind w:left="97" w:right="89"/>
              <w:rPr>
                <w:rFonts w:ascii="Times New Roman" w:eastAsia="Times New Roman"/>
                <w:sz w:val="21"/>
              </w:rPr>
            </w:pPr>
            <w:r>
              <w:rPr>
                <w:sz w:val="21"/>
              </w:rPr>
              <w:t>宽度</w:t>
            </w:r>
            <w:r>
              <w:rPr>
                <w:rFonts w:ascii="Times New Roman" w:eastAsia="Times New Roman"/>
                <w:sz w:val="21"/>
              </w:rPr>
              <w:t>(m)</w:t>
            </w:r>
          </w:p>
        </w:tc>
        <w:tc>
          <w:tcPr>
            <w:tcW w:w="1165" w:type="dxa"/>
          </w:tcPr>
          <w:p>
            <w:pPr>
              <w:pStyle w:val="TableParagraph"/>
              <w:ind w:left="20" w:right="13"/>
              <w:rPr>
                <w:sz w:val="21"/>
              </w:rPr>
            </w:pPr>
            <w:r>
              <w:rPr>
                <w:sz w:val="21"/>
              </w:rPr>
              <w:t>有效高度</w:t>
            </w:r>
          </w:p>
          <w:p>
            <w:pPr>
              <w:pStyle w:val="TableParagraph"/>
              <w:spacing w:before="57"/>
              <w:ind w:left="21" w:right="11"/>
              <w:rPr>
                <w:rFonts w:ascii="Times New Roman"/>
                <w:sz w:val="21"/>
              </w:rPr>
            </w:pPr>
            <w:r>
              <w:rPr>
                <w:rFonts w:ascii="Times New Roman"/>
                <w:sz w:val="21"/>
              </w:rPr>
              <w:t>(m)</w:t>
            </w:r>
          </w:p>
        </w:tc>
        <w:tc>
          <w:tcPr>
            <w:tcW w:w="1161" w:type="dxa"/>
          </w:tcPr>
          <w:p>
            <w:pPr>
              <w:pStyle w:val="TableParagraph"/>
              <w:spacing w:before="162"/>
              <w:ind w:left="98" w:right="90"/>
              <w:rPr>
                <w:rFonts w:ascii="Times New Roman"/>
                <w:sz w:val="21"/>
              </w:rPr>
            </w:pPr>
            <w:r>
              <w:rPr>
                <w:rFonts w:ascii="Times New Roman"/>
                <w:sz w:val="21"/>
              </w:rPr>
              <w:t>TSP</w:t>
            </w:r>
          </w:p>
        </w:tc>
      </w:tr>
      <w:tr>
        <w:trPr>
          <w:trHeight w:val="653" w:hRule="atLeast"/>
        </w:trPr>
        <w:tc>
          <w:tcPr>
            <w:tcW w:w="1159" w:type="dxa"/>
          </w:tcPr>
          <w:p>
            <w:pPr>
              <w:pStyle w:val="TableParagraph"/>
              <w:spacing w:line="268" w:lineRule="exact"/>
              <w:ind w:left="94" w:right="89"/>
              <w:rPr>
                <w:sz w:val="21"/>
              </w:rPr>
            </w:pPr>
            <w:r>
              <w:rPr>
                <w:sz w:val="21"/>
              </w:rPr>
              <w:t>矸石暂存</w:t>
            </w:r>
          </w:p>
          <w:p>
            <w:pPr>
              <w:pStyle w:val="TableParagraph"/>
              <w:spacing w:before="57"/>
              <w:ind w:left="5"/>
              <w:rPr>
                <w:sz w:val="21"/>
              </w:rPr>
            </w:pPr>
            <w:r>
              <w:rPr>
                <w:w w:val="99"/>
                <w:sz w:val="21"/>
              </w:rPr>
              <w:t>场</w:t>
            </w:r>
          </w:p>
        </w:tc>
        <w:tc>
          <w:tcPr>
            <w:tcW w:w="1159" w:type="dxa"/>
          </w:tcPr>
          <w:p>
            <w:pPr>
              <w:pStyle w:val="TableParagraph"/>
              <w:spacing w:before="35"/>
              <w:ind w:left="101" w:right="89"/>
              <w:rPr>
                <w:rFonts w:ascii="Times New Roman" w:hAnsi="Times New Roman"/>
                <w:sz w:val="21"/>
              </w:rPr>
            </w:pPr>
            <w:r>
              <w:rPr>
                <w:rFonts w:ascii="Times New Roman" w:hAnsi="Times New Roman"/>
                <w:sz w:val="21"/>
              </w:rPr>
              <w:t>131°10′40.</w:t>
            </w:r>
          </w:p>
          <w:p>
            <w:pPr>
              <w:pStyle w:val="TableParagraph"/>
              <w:spacing w:before="46"/>
              <w:ind w:left="98" w:right="89"/>
              <w:rPr>
                <w:rFonts w:ascii="Times New Roman" w:hAnsi="Times New Roman"/>
                <w:sz w:val="21"/>
              </w:rPr>
            </w:pPr>
            <w:r>
              <w:rPr>
                <w:rFonts w:ascii="Times New Roman" w:hAnsi="Times New Roman"/>
                <w:sz w:val="21"/>
              </w:rPr>
              <w:t>20″</w:t>
            </w:r>
          </w:p>
        </w:tc>
        <w:tc>
          <w:tcPr>
            <w:tcW w:w="1161" w:type="dxa"/>
          </w:tcPr>
          <w:p>
            <w:pPr>
              <w:pStyle w:val="TableParagraph"/>
              <w:spacing w:before="35"/>
              <w:ind w:left="103" w:right="90"/>
              <w:rPr>
                <w:rFonts w:ascii="Times New Roman" w:hAnsi="Times New Roman"/>
                <w:sz w:val="21"/>
              </w:rPr>
            </w:pPr>
            <w:r>
              <w:rPr>
                <w:rFonts w:ascii="Times New Roman" w:hAnsi="Times New Roman"/>
                <w:sz w:val="21"/>
              </w:rPr>
              <w:t>46°34′38.5</w:t>
            </w:r>
          </w:p>
          <w:p>
            <w:pPr>
              <w:pStyle w:val="TableParagraph"/>
              <w:spacing w:before="46"/>
              <w:ind w:left="97" w:right="90"/>
              <w:rPr>
                <w:rFonts w:ascii="Times New Roman" w:hAnsi="Times New Roman"/>
                <w:sz w:val="21"/>
              </w:rPr>
            </w:pPr>
            <w:r>
              <w:rPr>
                <w:rFonts w:ascii="Times New Roman" w:hAnsi="Times New Roman"/>
                <w:sz w:val="21"/>
              </w:rPr>
              <w:t>0″</w:t>
            </w:r>
          </w:p>
        </w:tc>
        <w:tc>
          <w:tcPr>
            <w:tcW w:w="1159" w:type="dxa"/>
          </w:tcPr>
          <w:p>
            <w:pPr>
              <w:pStyle w:val="TableParagraph"/>
              <w:spacing w:before="179"/>
              <w:ind w:left="98" w:right="89"/>
              <w:rPr>
                <w:rFonts w:ascii="Times New Roman"/>
                <w:sz w:val="21"/>
              </w:rPr>
            </w:pPr>
            <w:r>
              <w:rPr>
                <w:rFonts w:ascii="Times New Roman"/>
                <w:sz w:val="21"/>
              </w:rPr>
              <w:t>212</w:t>
            </w:r>
          </w:p>
        </w:tc>
        <w:tc>
          <w:tcPr>
            <w:tcW w:w="1159" w:type="dxa"/>
          </w:tcPr>
          <w:p>
            <w:pPr>
              <w:pStyle w:val="TableParagraph"/>
              <w:spacing w:before="179"/>
              <w:ind w:left="98" w:right="89"/>
              <w:rPr>
                <w:rFonts w:ascii="Times New Roman"/>
                <w:sz w:val="21"/>
              </w:rPr>
            </w:pPr>
            <w:r>
              <w:rPr>
                <w:rFonts w:ascii="Times New Roman"/>
                <w:sz w:val="21"/>
              </w:rPr>
              <w:t>50</w:t>
            </w:r>
          </w:p>
        </w:tc>
        <w:tc>
          <w:tcPr>
            <w:tcW w:w="1159" w:type="dxa"/>
          </w:tcPr>
          <w:p>
            <w:pPr>
              <w:pStyle w:val="TableParagraph"/>
              <w:spacing w:before="179"/>
              <w:ind w:left="98" w:right="89"/>
              <w:rPr>
                <w:rFonts w:ascii="Times New Roman"/>
                <w:sz w:val="21"/>
              </w:rPr>
            </w:pPr>
            <w:r>
              <w:rPr>
                <w:rFonts w:ascii="Times New Roman"/>
                <w:sz w:val="21"/>
              </w:rPr>
              <w:t>26</w:t>
            </w:r>
          </w:p>
        </w:tc>
        <w:tc>
          <w:tcPr>
            <w:tcW w:w="1165" w:type="dxa"/>
          </w:tcPr>
          <w:p>
            <w:pPr>
              <w:pStyle w:val="TableParagraph"/>
              <w:spacing w:before="179"/>
              <w:ind w:left="21" w:right="12"/>
              <w:rPr>
                <w:rFonts w:ascii="Times New Roman"/>
                <w:sz w:val="21"/>
              </w:rPr>
            </w:pPr>
            <w:r>
              <w:rPr>
                <w:rFonts w:ascii="Times New Roman"/>
                <w:sz w:val="21"/>
              </w:rPr>
              <w:t>10</w:t>
            </w:r>
          </w:p>
        </w:tc>
        <w:tc>
          <w:tcPr>
            <w:tcW w:w="1161" w:type="dxa"/>
          </w:tcPr>
          <w:p>
            <w:pPr>
              <w:pStyle w:val="TableParagraph"/>
              <w:spacing w:before="179"/>
              <w:ind w:left="101" w:right="90"/>
              <w:rPr>
                <w:rFonts w:ascii="Times New Roman"/>
                <w:sz w:val="21"/>
              </w:rPr>
            </w:pPr>
            <w:r>
              <w:rPr>
                <w:rFonts w:ascii="Times New Roman"/>
                <w:sz w:val="21"/>
              </w:rPr>
              <w:t>0.003</w:t>
            </w:r>
          </w:p>
        </w:tc>
      </w:tr>
    </w:tbl>
    <w:p>
      <w:pPr>
        <w:pStyle w:val="Heading4"/>
        <w:spacing w:before="161" w:after="32"/>
        <w:ind w:left="1373" w:right="1361"/>
        <w:jc w:val="center"/>
      </w:pPr>
      <w:r>
        <w:rPr/>
        <w:t>表 </w:t>
      </w:r>
      <w:r>
        <w:rPr>
          <w:rFonts w:ascii="Times New Roman" w:eastAsia="Times New Roman"/>
        </w:rPr>
        <w:t>2.4-6 </w:t>
      </w:r>
      <w:r>
        <w:rPr/>
        <w:t>要污染因子估算模式的计算结果</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5"/>
        <w:gridCol w:w="1704"/>
        <w:gridCol w:w="1705"/>
      </w:tblGrid>
      <w:tr>
        <w:trPr>
          <w:trHeight w:val="545" w:hRule="atLeast"/>
        </w:trPr>
        <w:tc>
          <w:tcPr>
            <w:tcW w:w="1704" w:type="dxa"/>
          </w:tcPr>
          <w:p>
            <w:pPr>
              <w:pStyle w:val="TableParagraph"/>
              <w:spacing w:before="137"/>
              <w:ind w:left="199" w:right="191"/>
              <w:rPr>
                <w:sz w:val="21"/>
              </w:rPr>
            </w:pPr>
            <w:r>
              <w:rPr>
                <w:sz w:val="21"/>
              </w:rPr>
              <w:t>污染源名称</w:t>
            </w:r>
          </w:p>
        </w:tc>
        <w:tc>
          <w:tcPr>
            <w:tcW w:w="1704" w:type="dxa"/>
          </w:tcPr>
          <w:p>
            <w:pPr>
              <w:pStyle w:val="TableParagraph"/>
              <w:spacing w:before="137"/>
              <w:ind w:left="199" w:right="191"/>
              <w:rPr>
                <w:sz w:val="21"/>
              </w:rPr>
            </w:pPr>
            <w:r>
              <w:rPr>
                <w:sz w:val="21"/>
              </w:rPr>
              <w:t>评价因子</w:t>
            </w:r>
          </w:p>
        </w:tc>
        <w:tc>
          <w:tcPr>
            <w:tcW w:w="1705" w:type="dxa"/>
          </w:tcPr>
          <w:p>
            <w:pPr>
              <w:pStyle w:val="TableParagraph"/>
              <w:ind w:left="97" w:right="88"/>
              <w:rPr>
                <w:sz w:val="21"/>
              </w:rPr>
            </w:pPr>
            <w:r>
              <w:rPr>
                <w:sz w:val="21"/>
              </w:rPr>
              <w:t>下风向最大浓度</w:t>
            </w:r>
          </w:p>
          <w:p>
            <w:pPr>
              <w:pStyle w:val="TableParagraph"/>
              <w:spacing w:line="251" w:lineRule="exact" w:before="4"/>
              <w:ind w:left="97" w:right="88"/>
              <w:rPr>
                <w:sz w:val="21"/>
              </w:rPr>
            </w:pPr>
            <w:r>
              <w:rPr>
                <w:sz w:val="21"/>
              </w:rPr>
              <w:t>（</w:t>
            </w:r>
            <w:r>
              <w:rPr>
                <w:rFonts w:ascii="Times New Roman" w:hAnsi="Times New Roman" w:eastAsia="Times New Roman"/>
                <w:sz w:val="18"/>
              </w:rPr>
              <w:t>μg/m³</w:t>
            </w:r>
            <w:r>
              <w:rPr>
                <w:sz w:val="21"/>
              </w:rPr>
              <w:t>）</w:t>
            </w:r>
          </w:p>
        </w:tc>
        <w:tc>
          <w:tcPr>
            <w:tcW w:w="1704" w:type="dxa"/>
          </w:tcPr>
          <w:p>
            <w:pPr>
              <w:pStyle w:val="TableParagraph"/>
              <w:ind w:left="536"/>
              <w:jc w:val="left"/>
              <w:rPr>
                <w:sz w:val="21"/>
              </w:rPr>
            </w:pPr>
            <w:r>
              <w:rPr>
                <w:w w:val="95"/>
                <w:sz w:val="21"/>
              </w:rPr>
              <w:t>占标率</w:t>
            </w:r>
          </w:p>
          <w:p>
            <w:pPr>
              <w:pStyle w:val="TableParagraph"/>
              <w:spacing w:line="251" w:lineRule="exact" w:before="4"/>
              <w:ind w:left="553"/>
              <w:jc w:val="left"/>
              <w:rPr>
                <w:sz w:val="21"/>
              </w:rPr>
            </w:pPr>
            <w:r>
              <w:rPr>
                <w:sz w:val="21"/>
              </w:rPr>
              <w:t>（</w:t>
            </w:r>
            <w:r>
              <w:rPr>
                <w:rFonts w:ascii="Times New Roman" w:eastAsia="Times New Roman"/>
                <w:sz w:val="21"/>
              </w:rPr>
              <w:t>%</w:t>
            </w:r>
            <w:r>
              <w:rPr>
                <w:sz w:val="21"/>
              </w:rPr>
              <w:t>）</w:t>
            </w:r>
          </w:p>
        </w:tc>
        <w:tc>
          <w:tcPr>
            <w:tcW w:w="1705" w:type="dxa"/>
          </w:tcPr>
          <w:p>
            <w:pPr>
              <w:pStyle w:val="TableParagraph"/>
              <w:spacing w:before="137"/>
              <w:ind w:left="95" w:right="88"/>
              <w:rPr>
                <w:sz w:val="21"/>
              </w:rPr>
            </w:pPr>
            <w:r>
              <w:rPr>
                <w:rFonts w:ascii="Times New Roman" w:eastAsia="Times New Roman"/>
                <w:sz w:val="21"/>
              </w:rPr>
              <w:t>D10%</w:t>
            </w:r>
            <w:r>
              <w:rPr>
                <w:sz w:val="21"/>
              </w:rPr>
              <w:t>最远距离</w:t>
            </w:r>
          </w:p>
        </w:tc>
      </w:tr>
      <w:tr>
        <w:trPr>
          <w:trHeight w:val="271" w:hRule="atLeast"/>
        </w:trPr>
        <w:tc>
          <w:tcPr>
            <w:tcW w:w="1704" w:type="dxa"/>
            <w:vMerge w:val="restart"/>
          </w:tcPr>
          <w:p>
            <w:pPr>
              <w:pStyle w:val="TableParagraph"/>
              <w:spacing w:before="7"/>
              <w:jc w:val="left"/>
              <w:rPr>
                <w:b/>
                <w:sz w:val="19"/>
              </w:rPr>
            </w:pPr>
          </w:p>
          <w:p>
            <w:pPr>
              <w:pStyle w:val="TableParagraph"/>
              <w:spacing w:before="1"/>
              <w:ind w:left="326"/>
              <w:jc w:val="left"/>
              <w:rPr>
                <w:sz w:val="21"/>
              </w:rPr>
            </w:pPr>
            <w:r>
              <w:rPr>
                <w:sz w:val="21"/>
              </w:rPr>
              <w:t>锅炉房烟囱</w:t>
            </w:r>
          </w:p>
        </w:tc>
        <w:tc>
          <w:tcPr>
            <w:tcW w:w="1704" w:type="dxa"/>
          </w:tcPr>
          <w:p>
            <w:pPr>
              <w:pStyle w:val="TableParagraph"/>
              <w:spacing w:line="252" w:lineRule="exact"/>
              <w:ind w:left="199" w:right="194"/>
              <w:rPr>
                <w:sz w:val="21"/>
              </w:rPr>
            </w:pPr>
            <w:r>
              <w:rPr>
                <w:sz w:val="21"/>
              </w:rPr>
              <w:t>烟尘</w:t>
            </w:r>
          </w:p>
        </w:tc>
        <w:tc>
          <w:tcPr>
            <w:tcW w:w="1705" w:type="dxa"/>
          </w:tcPr>
          <w:p>
            <w:pPr>
              <w:pStyle w:val="TableParagraph"/>
              <w:spacing w:before="31"/>
              <w:ind w:left="96" w:right="88"/>
              <w:rPr>
                <w:rFonts w:ascii="Times New Roman"/>
                <w:sz w:val="18"/>
              </w:rPr>
            </w:pPr>
            <w:r>
              <w:rPr>
                <w:rFonts w:ascii="Times New Roman"/>
                <w:sz w:val="18"/>
              </w:rPr>
              <w:t>1.33</w:t>
            </w:r>
          </w:p>
        </w:tc>
        <w:tc>
          <w:tcPr>
            <w:tcW w:w="1704" w:type="dxa"/>
          </w:tcPr>
          <w:p>
            <w:pPr>
              <w:pStyle w:val="TableParagraph"/>
              <w:spacing w:before="31"/>
              <w:ind w:left="199" w:right="192"/>
              <w:rPr>
                <w:rFonts w:ascii="Times New Roman"/>
                <w:sz w:val="18"/>
              </w:rPr>
            </w:pPr>
            <w:r>
              <w:rPr>
                <w:rFonts w:ascii="Times New Roman"/>
                <w:sz w:val="18"/>
              </w:rPr>
              <w:t>0.30</w:t>
            </w:r>
          </w:p>
        </w:tc>
        <w:tc>
          <w:tcPr>
            <w:tcW w:w="1705" w:type="dxa"/>
          </w:tcPr>
          <w:p>
            <w:pPr>
              <w:pStyle w:val="TableParagraph"/>
              <w:spacing w:line="239" w:lineRule="exact" w:before="13"/>
              <w:ind w:left="7"/>
              <w:rPr>
                <w:rFonts w:ascii="Times New Roman"/>
                <w:sz w:val="21"/>
              </w:rPr>
            </w:pPr>
            <w:r>
              <w:rPr>
                <w:rFonts w:ascii="Times New Roman"/>
                <w:w w:val="99"/>
                <w:sz w:val="21"/>
              </w:rPr>
              <w:t>/</w:t>
            </w:r>
          </w:p>
        </w:tc>
      </w:tr>
      <w:tr>
        <w:trPr>
          <w:trHeight w:val="242" w:hRule="atLeast"/>
        </w:trPr>
        <w:tc>
          <w:tcPr>
            <w:tcW w:w="1704" w:type="dxa"/>
            <w:vMerge/>
            <w:tcBorders>
              <w:top w:val="nil"/>
            </w:tcBorders>
          </w:tcPr>
          <w:p>
            <w:pPr>
              <w:rPr>
                <w:sz w:val="2"/>
                <w:szCs w:val="2"/>
              </w:rPr>
            </w:pPr>
          </w:p>
        </w:tc>
        <w:tc>
          <w:tcPr>
            <w:tcW w:w="1704" w:type="dxa"/>
          </w:tcPr>
          <w:p>
            <w:pPr>
              <w:pStyle w:val="TableParagraph"/>
              <w:spacing w:line="201" w:lineRule="exact" w:before="20"/>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TableParagraph"/>
              <w:spacing w:line="206" w:lineRule="exact" w:before="16"/>
              <w:ind w:left="96" w:right="88"/>
              <w:rPr>
                <w:rFonts w:ascii="Times New Roman"/>
                <w:sz w:val="18"/>
              </w:rPr>
            </w:pPr>
            <w:r>
              <w:rPr>
                <w:rFonts w:ascii="Times New Roman"/>
                <w:sz w:val="18"/>
              </w:rPr>
              <w:t>2.66</w:t>
            </w:r>
          </w:p>
        </w:tc>
        <w:tc>
          <w:tcPr>
            <w:tcW w:w="1704" w:type="dxa"/>
          </w:tcPr>
          <w:p>
            <w:pPr>
              <w:pStyle w:val="TableParagraph"/>
              <w:spacing w:line="206" w:lineRule="exact" w:before="16"/>
              <w:ind w:left="199" w:right="192"/>
              <w:rPr>
                <w:rFonts w:ascii="Times New Roman"/>
                <w:sz w:val="18"/>
              </w:rPr>
            </w:pPr>
            <w:r>
              <w:rPr>
                <w:rFonts w:ascii="Times New Roman"/>
                <w:sz w:val="18"/>
              </w:rPr>
              <w:t>0.53</w:t>
            </w:r>
          </w:p>
        </w:tc>
        <w:tc>
          <w:tcPr>
            <w:tcW w:w="1705" w:type="dxa"/>
          </w:tcPr>
          <w:p>
            <w:pPr>
              <w:pStyle w:val="TableParagraph"/>
              <w:spacing w:line="222" w:lineRule="exact"/>
              <w:ind w:left="7"/>
              <w:rPr>
                <w:rFonts w:ascii="Times New Roman"/>
                <w:sz w:val="21"/>
              </w:rPr>
            </w:pPr>
            <w:r>
              <w:rPr>
                <w:rFonts w:ascii="Times New Roman"/>
                <w:w w:val="99"/>
                <w:sz w:val="21"/>
              </w:rPr>
              <w:t>/</w:t>
            </w:r>
          </w:p>
        </w:tc>
      </w:tr>
      <w:tr>
        <w:trPr>
          <w:trHeight w:val="241" w:hRule="atLeast"/>
        </w:trPr>
        <w:tc>
          <w:tcPr>
            <w:tcW w:w="1704" w:type="dxa"/>
            <w:vMerge/>
            <w:tcBorders>
              <w:top w:val="nil"/>
            </w:tcBorders>
          </w:tcPr>
          <w:p>
            <w:pPr>
              <w:rPr>
                <w:sz w:val="2"/>
                <w:szCs w:val="2"/>
              </w:rPr>
            </w:pPr>
          </w:p>
        </w:tc>
        <w:tc>
          <w:tcPr>
            <w:tcW w:w="1704" w:type="dxa"/>
          </w:tcPr>
          <w:p>
            <w:pPr>
              <w:pStyle w:val="TableParagraph"/>
              <w:spacing w:line="205" w:lineRule="exact" w:before="16"/>
              <w:ind w:left="199" w:right="190"/>
              <w:rPr>
                <w:rFonts w:ascii="Times New Roman"/>
                <w:sz w:val="18"/>
              </w:rPr>
            </w:pPr>
            <w:r>
              <w:rPr>
                <w:rFonts w:ascii="Times New Roman"/>
                <w:sz w:val="18"/>
              </w:rPr>
              <w:t>NOx</w:t>
            </w:r>
          </w:p>
        </w:tc>
        <w:tc>
          <w:tcPr>
            <w:tcW w:w="1705" w:type="dxa"/>
          </w:tcPr>
          <w:p>
            <w:pPr>
              <w:pStyle w:val="TableParagraph"/>
              <w:spacing w:line="205" w:lineRule="exact" w:before="16"/>
              <w:ind w:left="97" w:right="87"/>
              <w:rPr>
                <w:rFonts w:ascii="Times New Roman"/>
                <w:sz w:val="18"/>
              </w:rPr>
            </w:pPr>
            <w:r>
              <w:rPr>
                <w:rFonts w:ascii="Times New Roman"/>
                <w:sz w:val="18"/>
              </w:rPr>
              <w:t>21.68</w:t>
            </w:r>
          </w:p>
        </w:tc>
        <w:tc>
          <w:tcPr>
            <w:tcW w:w="1704" w:type="dxa"/>
          </w:tcPr>
          <w:p>
            <w:pPr>
              <w:pStyle w:val="TableParagraph"/>
              <w:spacing w:line="205" w:lineRule="exact" w:before="16"/>
              <w:ind w:left="199" w:right="192"/>
              <w:rPr>
                <w:rFonts w:ascii="Times New Roman"/>
                <w:sz w:val="18"/>
              </w:rPr>
            </w:pPr>
            <w:r>
              <w:rPr>
                <w:rFonts w:ascii="Times New Roman"/>
                <w:sz w:val="18"/>
              </w:rPr>
              <w:t>8.67</w:t>
            </w:r>
          </w:p>
        </w:tc>
        <w:tc>
          <w:tcPr>
            <w:tcW w:w="1705" w:type="dxa"/>
          </w:tcPr>
          <w:p>
            <w:pPr>
              <w:pStyle w:val="TableParagraph"/>
              <w:spacing w:line="221" w:lineRule="exact"/>
              <w:ind w:left="7"/>
              <w:rPr>
                <w:rFonts w:ascii="Times New Roman"/>
                <w:sz w:val="21"/>
              </w:rPr>
            </w:pPr>
            <w:r>
              <w:rPr>
                <w:rFonts w:ascii="Times New Roman"/>
                <w:w w:val="99"/>
                <w:sz w:val="21"/>
              </w:rPr>
              <w:t>/</w:t>
            </w:r>
          </w:p>
        </w:tc>
      </w:tr>
      <w:tr>
        <w:trPr>
          <w:trHeight w:val="270" w:hRule="atLeast"/>
        </w:trPr>
        <w:tc>
          <w:tcPr>
            <w:tcW w:w="1704" w:type="dxa"/>
          </w:tcPr>
          <w:p>
            <w:pPr>
              <w:pStyle w:val="TableParagraph"/>
              <w:spacing w:line="249" w:lineRule="exact" w:before="1"/>
              <w:ind w:left="199" w:right="194"/>
              <w:rPr>
                <w:sz w:val="21"/>
              </w:rPr>
            </w:pPr>
            <w:r>
              <w:rPr>
                <w:sz w:val="21"/>
              </w:rPr>
              <w:t>热风炉房烟囱</w:t>
            </w:r>
          </w:p>
        </w:tc>
        <w:tc>
          <w:tcPr>
            <w:tcW w:w="1704" w:type="dxa"/>
          </w:tcPr>
          <w:p>
            <w:pPr>
              <w:pStyle w:val="TableParagraph"/>
              <w:spacing w:line="249" w:lineRule="exact" w:before="1"/>
              <w:ind w:left="199" w:right="194"/>
              <w:rPr>
                <w:sz w:val="21"/>
              </w:rPr>
            </w:pPr>
            <w:r>
              <w:rPr>
                <w:sz w:val="21"/>
              </w:rPr>
              <w:t>烟尘</w:t>
            </w:r>
          </w:p>
        </w:tc>
        <w:tc>
          <w:tcPr>
            <w:tcW w:w="1705" w:type="dxa"/>
          </w:tcPr>
          <w:p>
            <w:pPr>
              <w:pStyle w:val="TableParagraph"/>
              <w:spacing w:before="31"/>
              <w:ind w:left="96" w:right="88"/>
              <w:rPr>
                <w:rFonts w:ascii="Times New Roman"/>
                <w:sz w:val="18"/>
              </w:rPr>
            </w:pPr>
            <w:r>
              <w:rPr>
                <w:rFonts w:ascii="Times New Roman"/>
                <w:sz w:val="18"/>
              </w:rPr>
              <w:t>1.81</w:t>
            </w:r>
          </w:p>
        </w:tc>
        <w:tc>
          <w:tcPr>
            <w:tcW w:w="1704" w:type="dxa"/>
          </w:tcPr>
          <w:p>
            <w:pPr>
              <w:pStyle w:val="TableParagraph"/>
              <w:spacing w:before="31"/>
              <w:ind w:left="199" w:right="192"/>
              <w:rPr>
                <w:rFonts w:ascii="Times New Roman"/>
                <w:sz w:val="18"/>
              </w:rPr>
            </w:pPr>
            <w:r>
              <w:rPr>
                <w:rFonts w:ascii="Times New Roman"/>
                <w:sz w:val="18"/>
              </w:rPr>
              <w:t>0.40</w:t>
            </w:r>
          </w:p>
        </w:tc>
        <w:tc>
          <w:tcPr>
            <w:tcW w:w="1705" w:type="dxa"/>
          </w:tcPr>
          <w:p>
            <w:pPr>
              <w:pStyle w:val="TableParagraph"/>
              <w:spacing w:line="235" w:lineRule="exact" w:before="15"/>
              <w:ind w:left="7"/>
              <w:rPr>
                <w:rFonts w:ascii="Times New Roman"/>
                <w:sz w:val="21"/>
              </w:rPr>
            </w:pPr>
            <w:r>
              <w:rPr>
                <w:rFonts w:ascii="Times New Roman"/>
                <w:w w:val="99"/>
                <w:sz w:val="21"/>
              </w:rPr>
              <w:t>/</w:t>
            </w:r>
          </w:p>
        </w:tc>
      </w:tr>
    </w:tbl>
    <w:p>
      <w:pPr>
        <w:spacing w:after="0" w:line="235" w:lineRule="exact"/>
        <w:rPr>
          <w:rFonts w:ascii="Times New Roman"/>
          <w:sz w:val="21"/>
        </w:rPr>
        <w:sectPr>
          <w:pgSz w:w="11910" w:h="16840"/>
          <w:pgMar w:header="0" w:footer="913" w:top="134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704"/>
        <w:gridCol w:w="1705"/>
        <w:gridCol w:w="1704"/>
        <w:gridCol w:w="1705"/>
      </w:tblGrid>
      <w:tr>
        <w:trPr>
          <w:trHeight w:val="240" w:hRule="atLeast"/>
        </w:trPr>
        <w:tc>
          <w:tcPr>
            <w:tcW w:w="1704" w:type="dxa"/>
            <w:vMerge w:val="restart"/>
          </w:tcPr>
          <w:p>
            <w:pPr>
              <w:pStyle w:val="TableParagraph"/>
              <w:jc w:val="left"/>
              <w:rPr>
                <w:rFonts w:ascii="Times New Roman"/>
                <w:sz w:val="22"/>
              </w:rPr>
            </w:pPr>
          </w:p>
        </w:tc>
        <w:tc>
          <w:tcPr>
            <w:tcW w:w="1704" w:type="dxa"/>
          </w:tcPr>
          <w:p>
            <w:pPr>
              <w:pStyle w:val="TableParagraph"/>
              <w:spacing w:line="201" w:lineRule="exact" w:before="20"/>
              <w:ind w:left="199" w:right="189"/>
              <w:rPr>
                <w:rFonts w:ascii="Times New Roman"/>
                <w:sz w:val="18"/>
              </w:rPr>
            </w:pPr>
            <w:r>
              <w:rPr>
                <w:rFonts w:ascii="Times New Roman"/>
                <w:position w:val="1"/>
                <w:sz w:val="18"/>
              </w:rPr>
              <w:t>SO</w:t>
            </w:r>
            <w:r>
              <w:rPr>
                <w:rFonts w:ascii="Times New Roman"/>
                <w:position w:val="1"/>
                <w:sz w:val="18"/>
                <w:vertAlign w:val="subscript"/>
              </w:rPr>
              <w:t>2</w:t>
            </w:r>
          </w:p>
        </w:tc>
        <w:tc>
          <w:tcPr>
            <w:tcW w:w="1705" w:type="dxa"/>
          </w:tcPr>
          <w:p>
            <w:pPr>
              <w:pStyle w:val="TableParagraph"/>
              <w:spacing w:line="203" w:lineRule="exact" w:before="18"/>
              <w:ind w:left="96" w:right="88"/>
              <w:rPr>
                <w:rFonts w:ascii="Times New Roman"/>
                <w:sz w:val="18"/>
              </w:rPr>
            </w:pPr>
            <w:r>
              <w:rPr>
                <w:rFonts w:ascii="Times New Roman"/>
                <w:sz w:val="18"/>
              </w:rPr>
              <w:t>2.72</w:t>
            </w:r>
          </w:p>
        </w:tc>
        <w:tc>
          <w:tcPr>
            <w:tcW w:w="1704" w:type="dxa"/>
          </w:tcPr>
          <w:p>
            <w:pPr>
              <w:pStyle w:val="TableParagraph"/>
              <w:spacing w:line="203" w:lineRule="exact" w:before="18"/>
              <w:ind w:left="199" w:right="192"/>
              <w:rPr>
                <w:rFonts w:ascii="Times New Roman"/>
                <w:sz w:val="18"/>
              </w:rPr>
            </w:pPr>
            <w:r>
              <w:rPr>
                <w:rFonts w:ascii="Times New Roman"/>
                <w:sz w:val="18"/>
              </w:rPr>
              <w:t>0.54</w:t>
            </w:r>
          </w:p>
        </w:tc>
        <w:tc>
          <w:tcPr>
            <w:tcW w:w="1705" w:type="dxa"/>
          </w:tcPr>
          <w:p>
            <w:pPr>
              <w:pStyle w:val="TableParagraph"/>
              <w:spacing w:line="221" w:lineRule="exact"/>
              <w:ind w:left="7"/>
              <w:rPr>
                <w:rFonts w:ascii="Times New Roman"/>
                <w:sz w:val="21"/>
              </w:rPr>
            </w:pPr>
            <w:r>
              <w:rPr>
                <w:rFonts w:ascii="Times New Roman"/>
                <w:w w:val="99"/>
                <w:sz w:val="21"/>
              </w:rPr>
              <w:t>/</w:t>
            </w:r>
          </w:p>
        </w:tc>
      </w:tr>
      <w:tr>
        <w:trPr>
          <w:trHeight w:val="242" w:hRule="atLeast"/>
        </w:trPr>
        <w:tc>
          <w:tcPr>
            <w:tcW w:w="1704" w:type="dxa"/>
            <w:vMerge/>
            <w:tcBorders>
              <w:top w:val="nil"/>
            </w:tcBorders>
          </w:tcPr>
          <w:p>
            <w:pPr>
              <w:rPr>
                <w:sz w:val="2"/>
                <w:szCs w:val="2"/>
              </w:rPr>
            </w:pPr>
          </w:p>
        </w:tc>
        <w:tc>
          <w:tcPr>
            <w:tcW w:w="1704" w:type="dxa"/>
          </w:tcPr>
          <w:p>
            <w:pPr>
              <w:pStyle w:val="TableParagraph"/>
              <w:spacing w:line="205" w:lineRule="exact" w:before="16"/>
              <w:ind w:left="199" w:right="190"/>
              <w:rPr>
                <w:rFonts w:ascii="Times New Roman"/>
                <w:sz w:val="18"/>
              </w:rPr>
            </w:pPr>
            <w:r>
              <w:rPr>
                <w:rFonts w:ascii="Times New Roman"/>
                <w:sz w:val="18"/>
              </w:rPr>
              <w:t>NOx</w:t>
            </w:r>
          </w:p>
        </w:tc>
        <w:tc>
          <w:tcPr>
            <w:tcW w:w="1705" w:type="dxa"/>
          </w:tcPr>
          <w:p>
            <w:pPr>
              <w:pStyle w:val="TableParagraph"/>
              <w:spacing w:line="205" w:lineRule="exact" w:before="16"/>
              <w:ind w:left="97" w:right="87"/>
              <w:rPr>
                <w:rFonts w:ascii="Times New Roman"/>
                <w:sz w:val="18"/>
              </w:rPr>
            </w:pPr>
            <w:r>
              <w:rPr>
                <w:rFonts w:ascii="Times New Roman"/>
                <w:sz w:val="18"/>
              </w:rPr>
              <w:t>22.65</w:t>
            </w:r>
          </w:p>
        </w:tc>
        <w:tc>
          <w:tcPr>
            <w:tcW w:w="1704" w:type="dxa"/>
          </w:tcPr>
          <w:p>
            <w:pPr>
              <w:pStyle w:val="TableParagraph"/>
              <w:spacing w:line="205" w:lineRule="exact" w:before="16"/>
              <w:ind w:left="199" w:right="192"/>
              <w:rPr>
                <w:rFonts w:ascii="Times New Roman"/>
                <w:sz w:val="18"/>
              </w:rPr>
            </w:pPr>
            <w:r>
              <w:rPr>
                <w:rFonts w:ascii="Times New Roman"/>
                <w:sz w:val="18"/>
              </w:rPr>
              <w:t>9.06</w:t>
            </w:r>
          </w:p>
        </w:tc>
        <w:tc>
          <w:tcPr>
            <w:tcW w:w="1705" w:type="dxa"/>
          </w:tcPr>
          <w:p>
            <w:pPr>
              <w:pStyle w:val="TableParagraph"/>
              <w:spacing w:line="221" w:lineRule="exact"/>
              <w:ind w:left="7"/>
              <w:rPr>
                <w:rFonts w:ascii="Times New Roman"/>
                <w:sz w:val="21"/>
              </w:rPr>
            </w:pPr>
            <w:r>
              <w:rPr>
                <w:rFonts w:ascii="Times New Roman"/>
                <w:w w:val="99"/>
                <w:sz w:val="21"/>
              </w:rPr>
              <w:t>/</w:t>
            </w:r>
          </w:p>
        </w:tc>
      </w:tr>
      <w:tr>
        <w:trPr>
          <w:trHeight w:val="272" w:hRule="atLeast"/>
        </w:trPr>
        <w:tc>
          <w:tcPr>
            <w:tcW w:w="1704" w:type="dxa"/>
          </w:tcPr>
          <w:p>
            <w:pPr>
              <w:pStyle w:val="TableParagraph"/>
              <w:spacing w:line="251" w:lineRule="exact" w:before="1"/>
              <w:ind w:left="199" w:right="194"/>
              <w:rPr>
                <w:sz w:val="21"/>
              </w:rPr>
            </w:pPr>
            <w:r>
              <w:rPr>
                <w:sz w:val="21"/>
              </w:rPr>
              <w:t>筛分车间烟囱</w:t>
            </w:r>
          </w:p>
        </w:tc>
        <w:tc>
          <w:tcPr>
            <w:tcW w:w="1704" w:type="dxa"/>
          </w:tcPr>
          <w:p>
            <w:pPr>
              <w:pStyle w:val="TableParagraph"/>
              <w:spacing w:line="240" w:lineRule="exact" w:before="11"/>
              <w:ind w:left="199" w:right="185"/>
              <w:rPr>
                <w:rFonts w:ascii="Times New Roman"/>
                <w:sz w:val="21"/>
              </w:rPr>
            </w:pPr>
            <w:r>
              <w:rPr>
                <w:rFonts w:ascii="Times New Roman"/>
                <w:position w:val="2"/>
                <w:sz w:val="21"/>
              </w:rPr>
              <w:t>PM</w:t>
            </w:r>
            <w:r>
              <w:rPr>
                <w:rFonts w:ascii="Times New Roman"/>
                <w:position w:val="2"/>
                <w:sz w:val="21"/>
                <w:vertAlign w:val="subscript"/>
              </w:rPr>
              <w:t>10</w:t>
            </w:r>
          </w:p>
        </w:tc>
        <w:tc>
          <w:tcPr>
            <w:tcW w:w="1705" w:type="dxa"/>
          </w:tcPr>
          <w:p>
            <w:pPr>
              <w:pStyle w:val="TableParagraph"/>
              <w:spacing w:before="31"/>
              <w:ind w:left="96" w:right="88"/>
              <w:rPr>
                <w:rFonts w:ascii="Times New Roman"/>
                <w:sz w:val="18"/>
              </w:rPr>
            </w:pPr>
            <w:r>
              <w:rPr>
                <w:rFonts w:ascii="Times New Roman"/>
                <w:sz w:val="18"/>
              </w:rPr>
              <w:t>0.67</w:t>
            </w:r>
          </w:p>
        </w:tc>
        <w:tc>
          <w:tcPr>
            <w:tcW w:w="1704" w:type="dxa"/>
          </w:tcPr>
          <w:p>
            <w:pPr>
              <w:pStyle w:val="TableParagraph"/>
              <w:spacing w:before="31"/>
              <w:ind w:left="199" w:right="192"/>
              <w:rPr>
                <w:rFonts w:ascii="Times New Roman"/>
                <w:sz w:val="18"/>
              </w:rPr>
            </w:pPr>
            <w:r>
              <w:rPr>
                <w:rFonts w:ascii="Times New Roman"/>
                <w:sz w:val="18"/>
              </w:rPr>
              <w:t>0.15</w:t>
            </w:r>
          </w:p>
        </w:tc>
        <w:tc>
          <w:tcPr>
            <w:tcW w:w="1705" w:type="dxa"/>
          </w:tcPr>
          <w:p>
            <w:pPr>
              <w:pStyle w:val="TableParagraph"/>
              <w:spacing w:line="237" w:lineRule="exact" w:before="15"/>
              <w:ind w:left="7"/>
              <w:rPr>
                <w:rFonts w:ascii="Times New Roman"/>
                <w:sz w:val="21"/>
              </w:rPr>
            </w:pPr>
            <w:r>
              <w:rPr>
                <w:rFonts w:ascii="Times New Roman"/>
                <w:w w:val="99"/>
                <w:sz w:val="21"/>
              </w:rPr>
              <w:t>/</w:t>
            </w:r>
          </w:p>
        </w:tc>
      </w:tr>
      <w:tr>
        <w:trPr>
          <w:trHeight w:val="272" w:hRule="atLeast"/>
        </w:trPr>
        <w:tc>
          <w:tcPr>
            <w:tcW w:w="1704" w:type="dxa"/>
          </w:tcPr>
          <w:p>
            <w:pPr>
              <w:pStyle w:val="TableParagraph"/>
              <w:spacing w:line="251" w:lineRule="exact" w:before="2"/>
              <w:ind w:left="199" w:right="194"/>
              <w:rPr>
                <w:sz w:val="21"/>
              </w:rPr>
            </w:pPr>
            <w:r>
              <w:rPr>
                <w:sz w:val="21"/>
              </w:rPr>
              <w:t>煤矸石暂存场</w:t>
            </w:r>
          </w:p>
        </w:tc>
        <w:tc>
          <w:tcPr>
            <w:tcW w:w="1704" w:type="dxa"/>
          </w:tcPr>
          <w:p>
            <w:pPr>
              <w:pStyle w:val="TableParagraph"/>
              <w:spacing w:line="237" w:lineRule="exact" w:before="16"/>
              <w:ind w:left="199" w:right="190"/>
              <w:rPr>
                <w:rFonts w:ascii="Times New Roman"/>
                <w:sz w:val="21"/>
              </w:rPr>
            </w:pPr>
            <w:r>
              <w:rPr>
                <w:rFonts w:ascii="Times New Roman"/>
                <w:sz w:val="21"/>
              </w:rPr>
              <w:t>TSP</w:t>
            </w:r>
          </w:p>
        </w:tc>
        <w:tc>
          <w:tcPr>
            <w:tcW w:w="1705" w:type="dxa"/>
          </w:tcPr>
          <w:p>
            <w:pPr>
              <w:pStyle w:val="TableParagraph"/>
              <w:spacing w:before="32"/>
              <w:ind w:left="96" w:right="88"/>
              <w:rPr>
                <w:rFonts w:ascii="Times New Roman"/>
                <w:sz w:val="18"/>
              </w:rPr>
            </w:pPr>
            <w:r>
              <w:rPr>
                <w:rFonts w:ascii="Times New Roman"/>
                <w:sz w:val="18"/>
              </w:rPr>
              <w:t>2.81</w:t>
            </w:r>
          </w:p>
        </w:tc>
        <w:tc>
          <w:tcPr>
            <w:tcW w:w="1704" w:type="dxa"/>
          </w:tcPr>
          <w:p>
            <w:pPr>
              <w:pStyle w:val="TableParagraph"/>
              <w:spacing w:before="32"/>
              <w:ind w:left="199" w:right="192"/>
              <w:rPr>
                <w:rFonts w:ascii="Times New Roman"/>
                <w:sz w:val="18"/>
              </w:rPr>
            </w:pPr>
            <w:r>
              <w:rPr>
                <w:rFonts w:ascii="Times New Roman"/>
                <w:sz w:val="18"/>
              </w:rPr>
              <w:t>0.31</w:t>
            </w:r>
          </w:p>
        </w:tc>
        <w:tc>
          <w:tcPr>
            <w:tcW w:w="1705" w:type="dxa"/>
          </w:tcPr>
          <w:p>
            <w:pPr>
              <w:pStyle w:val="TableParagraph"/>
              <w:spacing w:line="237" w:lineRule="exact" w:before="16"/>
              <w:ind w:left="7"/>
              <w:rPr>
                <w:rFonts w:ascii="Times New Roman"/>
                <w:sz w:val="21"/>
              </w:rPr>
            </w:pPr>
            <w:r>
              <w:rPr>
                <w:rFonts w:ascii="Times New Roman"/>
                <w:w w:val="99"/>
                <w:sz w:val="21"/>
              </w:rPr>
              <w:t>/</w:t>
            </w:r>
          </w:p>
        </w:tc>
      </w:tr>
    </w:tbl>
    <w:p>
      <w:pPr>
        <w:pStyle w:val="BodyText"/>
        <w:spacing w:line="364" w:lineRule="auto"/>
        <w:ind w:left="478" w:right="429" w:firstLine="480"/>
        <w:jc w:val="both"/>
      </w:pPr>
      <w:r>
        <w:rPr>
          <w:position w:val="2"/>
        </w:rPr>
        <w:t>根据估算结果及评价等级判别表，本项目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w:t>
      </w:r>
      <w:r>
        <w:rPr>
          <w:position w:val="2"/>
          <w:vertAlign w:val="baseline"/>
        </w:rPr>
        <w:t>最大值出现为热风炉烟囱排放的</w:t>
      </w:r>
      <w:r>
        <w:rPr>
          <w:rFonts w:ascii="Times New Roman" w:hAnsi="Times New Roman" w:eastAsia="Times New Roman"/>
          <w:position w:val="2"/>
          <w:vertAlign w:val="baseline"/>
        </w:rPr>
        <w:t>NOx</w:t>
      </w:r>
      <w:r>
        <w:rPr>
          <w:position w:val="2"/>
          <w:vertAlign w:val="baseline"/>
        </w:rPr>
        <w:t>，</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w:t>
      </w:r>
      <w:r>
        <w:rPr>
          <w:position w:val="2"/>
          <w:vertAlign w:val="baseline"/>
        </w:rPr>
        <w:t>值为 </w:t>
      </w:r>
      <w:r>
        <w:rPr>
          <w:rFonts w:ascii="Times New Roman" w:hAnsi="Times New Roman" w:eastAsia="Times New Roman"/>
          <w:position w:val="2"/>
          <w:vertAlign w:val="baseline"/>
        </w:rPr>
        <w:t>9.06%</w:t>
      </w:r>
      <w:r>
        <w:rPr>
          <w:position w:val="2"/>
          <w:vertAlign w:val="baseline"/>
        </w:rPr>
        <w:t>，</w:t>
      </w:r>
      <w:r>
        <w:rPr>
          <w:rFonts w:ascii="Times New Roman" w:hAnsi="Times New Roman" w:eastAsia="Times New Roman"/>
          <w:position w:val="2"/>
          <w:vertAlign w:val="baseline"/>
        </w:rPr>
        <w:t>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w:t>
      </w:r>
      <w:r>
        <w:rPr>
          <w:position w:val="2"/>
          <w:vertAlign w:val="baseline"/>
        </w:rPr>
        <w:t>为 </w:t>
      </w:r>
      <w:r>
        <w:rPr>
          <w:rFonts w:ascii="Times New Roman" w:hAnsi="Times New Roman" w:eastAsia="Times New Roman"/>
          <w:position w:val="2"/>
          <w:vertAlign w:val="baseline"/>
        </w:rPr>
        <w:t>22.65μg/m</w:t>
      </w:r>
      <w:r>
        <w:rPr>
          <w:rFonts w:ascii="Times New Roman" w:hAnsi="Times New Roman" w:eastAsia="Times New Roman"/>
          <w:position w:val="2"/>
          <w:vertAlign w:val="superscript"/>
        </w:rPr>
        <w:t>3</w:t>
      </w:r>
      <w:r>
        <w:rPr>
          <w:position w:val="2"/>
          <w:vertAlign w:val="baseline"/>
        </w:rPr>
        <w:t>，根据《环境影响评价技术导则 大气环境》</w:t>
      </w:r>
      <w:r>
        <w:rPr>
          <w:rFonts w:ascii="Times New Roman" w:hAnsi="Times New Roman" w:eastAsia="Times New Roman"/>
          <w:vertAlign w:val="baseline"/>
        </w:rPr>
        <w:t>(HJ2.2-2018)</w:t>
      </w:r>
      <w:r>
        <w:rPr>
          <w:vertAlign w:val="baseline"/>
        </w:rPr>
        <w:t>分级判据，确定本项目大气环境影响评价工作等级为二级，总体上对环境空气影响不大，在可控制范围内，不会改变现有空气质量类别。根据《环境影响评价技术导则 大气环境》</w:t>
      </w:r>
      <w:r>
        <w:rPr>
          <w:rFonts w:ascii="Times New Roman" w:hAnsi="Times New Roman" w:eastAsia="Times New Roman"/>
          <w:vertAlign w:val="baseline"/>
        </w:rPr>
        <w:t>(HJ2.2-2018)</w:t>
      </w:r>
      <w:r>
        <w:rPr>
          <w:vertAlign w:val="baseline"/>
        </w:rPr>
        <w:t>规定，二级评价不需要进行进一步预测和评价，只需要对污染物进行总量核算。</w:t>
      </w:r>
    </w:p>
    <w:p>
      <w:pPr>
        <w:pStyle w:val="ListParagraph"/>
        <w:numPr>
          <w:ilvl w:val="2"/>
          <w:numId w:val="7"/>
        </w:numPr>
        <w:tabs>
          <w:tab w:pos="1108" w:val="left" w:leader="none"/>
        </w:tabs>
        <w:spacing w:line="350" w:lineRule="exact" w:before="0" w:after="0"/>
        <w:ind w:left="1107" w:right="0" w:hanging="630"/>
        <w:jc w:val="left"/>
        <w:rPr>
          <w:b/>
          <w:sz w:val="28"/>
        </w:rPr>
      </w:pPr>
      <w:bookmarkStart w:name="2.4.2地表水环境" w:id="43"/>
      <w:bookmarkEnd w:id="43"/>
      <w:r>
        <w:rPr/>
      </w:r>
      <w:bookmarkStart w:name="2.4.2地表水环境" w:id="44"/>
      <w:bookmarkEnd w:id="44"/>
      <w:r>
        <w:rPr>
          <w:b/>
          <w:sz w:val="28"/>
        </w:rPr>
        <w:t>地表水环境</w:t>
      </w:r>
    </w:p>
    <w:p>
      <w:pPr>
        <w:pStyle w:val="BodyText"/>
        <w:spacing w:line="364" w:lineRule="auto" w:before="183"/>
        <w:ind w:left="478" w:right="471" w:firstLine="480"/>
        <w:jc w:val="both"/>
      </w:pPr>
      <w:r>
        <w:rPr>
          <w:spacing w:val="-8"/>
        </w:rPr>
        <w:t>依据《环境影响评价导则 地表水环境》</w:t>
      </w:r>
      <w:r>
        <w:rPr>
          <w:rFonts w:ascii="Times New Roman" w:eastAsia="Times New Roman"/>
        </w:rPr>
        <w:t>(HJ 2.3-2018)</w:t>
      </w:r>
      <w:r>
        <w:rPr>
          <w:spacing w:val="-5"/>
        </w:rPr>
        <w:t>对评价级别进行判定。本项目生活污水经处理后作为生产、绿化等用水水源，全部回用不外排。矿井水经处理后回用</w:t>
      </w:r>
      <w:r>
        <w:rPr>
          <w:spacing w:val="-7"/>
        </w:rPr>
        <w:t>于井下消防洒水、地面生产、消防、防尘洒水、绿化等用水，多余部分排放于附近自建</w:t>
      </w:r>
      <w:r>
        <w:rPr>
          <w:spacing w:val="-3"/>
        </w:rPr>
        <w:t>鱼塘，不外排地表水体，判定地表水评价等级为三级 </w:t>
      </w:r>
      <w:r>
        <w:rPr>
          <w:rFonts w:ascii="Times New Roman" w:eastAsia="Times New Roman"/>
        </w:rPr>
        <w:t>B</w:t>
      </w:r>
      <w:r>
        <w:rPr>
          <w:spacing w:val="-12"/>
        </w:rPr>
        <w:t>。详见表 </w:t>
      </w:r>
      <w:r>
        <w:rPr>
          <w:rFonts w:ascii="Times New Roman" w:eastAsia="Times New Roman"/>
        </w:rPr>
        <w:t>2.4-7</w:t>
      </w:r>
      <w:r>
        <w:rPr/>
        <w:t>。</w:t>
      </w:r>
    </w:p>
    <w:p>
      <w:pPr>
        <w:pStyle w:val="Heading4"/>
        <w:spacing w:line="305" w:lineRule="exact" w:after="3"/>
        <w:ind w:left="2993"/>
        <w:jc w:val="both"/>
      </w:pPr>
      <w:r>
        <w:rPr/>
        <w:t>表 </w:t>
      </w:r>
      <w:r>
        <w:rPr>
          <w:rFonts w:ascii="Times New Roman" w:eastAsia="Times New Roman"/>
        </w:rPr>
        <w:t>2.4-7  </w:t>
      </w:r>
      <w:r>
        <w:rPr/>
        <w:t>地表水评价等级判定依据表</w:t>
      </w:r>
    </w:p>
    <w:tbl>
      <w:tblPr>
        <w:tblW w:w="0" w:type="auto"/>
        <w:jc w:val="left"/>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3"/>
        <w:gridCol w:w="1918"/>
        <w:gridCol w:w="2277"/>
        <w:gridCol w:w="3114"/>
      </w:tblGrid>
      <w:tr>
        <w:trPr>
          <w:trHeight w:val="272" w:hRule="atLeast"/>
        </w:trPr>
        <w:tc>
          <w:tcPr>
            <w:tcW w:w="1213" w:type="dxa"/>
            <w:vMerge w:val="restart"/>
          </w:tcPr>
          <w:p>
            <w:pPr>
              <w:pStyle w:val="TableParagraph"/>
              <w:spacing w:before="142"/>
              <w:ind w:left="184"/>
              <w:jc w:val="left"/>
              <w:rPr>
                <w:sz w:val="21"/>
              </w:rPr>
            </w:pPr>
            <w:r>
              <w:rPr>
                <w:sz w:val="21"/>
              </w:rPr>
              <w:t>评价等级</w:t>
            </w:r>
          </w:p>
        </w:tc>
        <w:tc>
          <w:tcPr>
            <w:tcW w:w="7309" w:type="dxa"/>
            <w:gridSpan w:val="3"/>
          </w:tcPr>
          <w:p>
            <w:pPr>
              <w:pStyle w:val="TableParagraph"/>
              <w:spacing w:line="253" w:lineRule="exact"/>
              <w:ind w:left="3212" w:right="3206"/>
              <w:rPr>
                <w:sz w:val="21"/>
              </w:rPr>
            </w:pPr>
            <w:r>
              <w:rPr>
                <w:sz w:val="21"/>
              </w:rPr>
              <w:t>判定依据</w:t>
            </w:r>
          </w:p>
        </w:tc>
      </w:tr>
      <w:tr>
        <w:trPr>
          <w:trHeight w:val="272" w:hRule="atLeast"/>
        </w:trPr>
        <w:tc>
          <w:tcPr>
            <w:tcW w:w="1213" w:type="dxa"/>
            <w:vMerge/>
            <w:tcBorders>
              <w:top w:val="nil"/>
            </w:tcBorders>
          </w:tcPr>
          <w:p>
            <w:pPr>
              <w:rPr>
                <w:sz w:val="2"/>
                <w:szCs w:val="2"/>
              </w:rPr>
            </w:pPr>
          </w:p>
        </w:tc>
        <w:tc>
          <w:tcPr>
            <w:tcW w:w="1918" w:type="dxa"/>
          </w:tcPr>
          <w:p>
            <w:pPr>
              <w:pStyle w:val="TableParagraph"/>
              <w:spacing w:line="251" w:lineRule="exact"/>
              <w:ind w:right="529"/>
              <w:jc w:val="right"/>
              <w:rPr>
                <w:sz w:val="21"/>
              </w:rPr>
            </w:pPr>
            <w:r>
              <w:rPr>
                <w:w w:val="95"/>
                <w:sz w:val="21"/>
              </w:rPr>
              <w:t>排放方式</w:t>
            </w:r>
          </w:p>
        </w:tc>
        <w:tc>
          <w:tcPr>
            <w:tcW w:w="2277" w:type="dxa"/>
          </w:tcPr>
          <w:p>
            <w:pPr>
              <w:pStyle w:val="TableParagraph"/>
              <w:spacing w:line="251" w:lineRule="exact"/>
              <w:ind w:left="61" w:right="49"/>
              <w:rPr>
                <w:sz w:val="21"/>
              </w:rPr>
            </w:pPr>
            <w:r>
              <w:rPr>
                <w:sz w:val="21"/>
              </w:rPr>
              <w:t>废水排放量 </w:t>
            </w:r>
            <w:r>
              <w:rPr>
                <w:rFonts w:ascii="Times New Roman" w:hAnsi="Times New Roman" w:eastAsia="Times New Roman"/>
                <w:sz w:val="21"/>
              </w:rPr>
              <w:t>Q</w:t>
            </w:r>
            <w:r>
              <w:rPr>
                <w:sz w:val="21"/>
              </w:rPr>
              <w:t>（</w:t>
            </w:r>
            <w:r>
              <w:rPr>
                <w:rFonts w:ascii="Times New Roman" w:hAnsi="Times New Roman" w:eastAsia="Times New Roman"/>
                <w:sz w:val="21"/>
              </w:rPr>
              <w:t>m³/d</w:t>
            </w:r>
            <w:r>
              <w:rPr>
                <w:sz w:val="21"/>
              </w:rPr>
              <w:t>）</w:t>
            </w:r>
          </w:p>
        </w:tc>
        <w:tc>
          <w:tcPr>
            <w:tcW w:w="3114" w:type="dxa"/>
          </w:tcPr>
          <w:p>
            <w:pPr>
              <w:pStyle w:val="TableParagraph"/>
              <w:spacing w:line="251" w:lineRule="exact"/>
              <w:ind w:left="229" w:right="220"/>
              <w:rPr>
                <w:sz w:val="21"/>
              </w:rPr>
            </w:pPr>
            <w:r>
              <w:rPr>
                <w:sz w:val="21"/>
              </w:rPr>
              <w:t>水污染当量数 </w:t>
            </w:r>
            <w:r>
              <w:rPr>
                <w:rFonts w:ascii="Times New Roman" w:eastAsia="Times New Roman"/>
                <w:sz w:val="21"/>
              </w:rPr>
              <w:t>W</w:t>
            </w:r>
            <w:r>
              <w:rPr>
                <w:sz w:val="21"/>
              </w:rPr>
              <w:t>（无量纲）</w:t>
            </w:r>
          </w:p>
        </w:tc>
      </w:tr>
      <w:tr>
        <w:trPr>
          <w:trHeight w:val="271" w:hRule="atLeast"/>
        </w:trPr>
        <w:tc>
          <w:tcPr>
            <w:tcW w:w="1213" w:type="dxa"/>
          </w:tcPr>
          <w:p>
            <w:pPr>
              <w:pStyle w:val="TableParagraph"/>
              <w:spacing w:line="250" w:lineRule="exact" w:before="1"/>
              <w:ind w:left="244" w:right="238"/>
              <w:rPr>
                <w:sz w:val="21"/>
              </w:rPr>
            </w:pPr>
            <w:r>
              <w:rPr>
                <w:sz w:val="21"/>
              </w:rPr>
              <w:t>一级</w:t>
            </w:r>
          </w:p>
        </w:tc>
        <w:tc>
          <w:tcPr>
            <w:tcW w:w="1918" w:type="dxa"/>
          </w:tcPr>
          <w:p>
            <w:pPr>
              <w:pStyle w:val="TableParagraph"/>
              <w:spacing w:line="250" w:lineRule="exact" w:before="1"/>
              <w:ind w:right="529"/>
              <w:jc w:val="right"/>
              <w:rPr>
                <w:sz w:val="21"/>
              </w:rPr>
            </w:pPr>
            <w:r>
              <w:rPr>
                <w:w w:val="95"/>
                <w:sz w:val="21"/>
              </w:rPr>
              <w:t>直接排放</w:t>
            </w:r>
          </w:p>
        </w:tc>
        <w:tc>
          <w:tcPr>
            <w:tcW w:w="2277" w:type="dxa"/>
          </w:tcPr>
          <w:p>
            <w:pPr>
              <w:pStyle w:val="TableParagraph"/>
              <w:spacing w:line="236" w:lineRule="exact" w:before="15"/>
              <w:ind w:left="57" w:right="49"/>
              <w:rPr>
                <w:rFonts w:ascii="Times New Roman" w:hAnsi="Times New Roman"/>
                <w:sz w:val="21"/>
              </w:rPr>
            </w:pPr>
            <w:r>
              <w:rPr>
                <w:rFonts w:ascii="Times New Roman" w:hAnsi="Times New Roman"/>
                <w:sz w:val="21"/>
              </w:rPr>
              <w:t>Q≥20000</w:t>
            </w:r>
          </w:p>
        </w:tc>
        <w:tc>
          <w:tcPr>
            <w:tcW w:w="3114" w:type="dxa"/>
          </w:tcPr>
          <w:p>
            <w:pPr>
              <w:pStyle w:val="TableParagraph"/>
              <w:spacing w:line="236" w:lineRule="exact" w:before="15"/>
              <w:ind w:left="228" w:right="220"/>
              <w:rPr>
                <w:rFonts w:ascii="Times New Roman" w:hAnsi="Times New Roman"/>
                <w:sz w:val="21"/>
              </w:rPr>
            </w:pPr>
            <w:r>
              <w:rPr>
                <w:rFonts w:ascii="Times New Roman" w:hAnsi="Times New Roman"/>
                <w:sz w:val="21"/>
              </w:rPr>
              <w:t>W≥600000</w:t>
            </w:r>
          </w:p>
        </w:tc>
      </w:tr>
      <w:tr>
        <w:trPr>
          <w:trHeight w:val="273" w:hRule="atLeast"/>
        </w:trPr>
        <w:tc>
          <w:tcPr>
            <w:tcW w:w="1213" w:type="dxa"/>
          </w:tcPr>
          <w:p>
            <w:pPr>
              <w:pStyle w:val="TableParagraph"/>
              <w:spacing w:line="252" w:lineRule="exact"/>
              <w:ind w:left="244" w:right="238"/>
              <w:rPr>
                <w:sz w:val="21"/>
              </w:rPr>
            </w:pPr>
            <w:r>
              <w:rPr>
                <w:sz w:val="21"/>
              </w:rPr>
              <w:t>二级</w:t>
            </w:r>
          </w:p>
        </w:tc>
        <w:tc>
          <w:tcPr>
            <w:tcW w:w="1918" w:type="dxa"/>
          </w:tcPr>
          <w:p>
            <w:pPr>
              <w:pStyle w:val="TableParagraph"/>
              <w:spacing w:line="252" w:lineRule="exact"/>
              <w:ind w:right="529"/>
              <w:jc w:val="right"/>
              <w:rPr>
                <w:sz w:val="21"/>
              </w:rPr>
            </w:pPr>
            <w:r>
              <w:rPr>
                <w:w w:val="95"/>
                <w:sz w:val="21"/>
              </w:rPr>
              <w:t>直接排放</w:t>
            </w:r>
          </w:p>
        </w:tc>
        <w:tc>
          <w:tcPr>
            <w:tcW w:w="5391" w:type="dxa"/>
            <w:gridSpan w:val="2"/>
          </w:tcPr>
          <w:p>
            <w:pPr>
              <w:pStyle w:val="TableParagraph"/>
              <w:spacing w:line="252" w:lineRule="exact"/>
              <w:ind w:left="2463" w:right="2457"/>
              <w:rPr>
                <w:sz w:val="21"/>
              </w:rPr>
            </w:pPr>
            <w:r>
              <w:rPr>
                <w:sz w:val="21"/>
              </w:rPr>
              <w:t>其他</w:t>
            </w:r>
          </w:p>
        </w:tc>
      </w:tr>
      <w:tr>
        <w:trPr>
          <w:trHeight w:val="271" w:hRule="atLeast"/>
        </w:trPr>
        <w:tc>
          <w:tcPr>
            <w:tcW w:w="1213" w:type="dxa"/>
          </w:tcPr>
          <w:p>
            <w:pPr>
              <w:pStyle w:val="TableParagraph"/>
              <w:spacing w:line="251" w:lineRule="exact" w:before="1"/>
              <w:ind w:left="248" w:right="238"/>
              <w:rPr>
                <w:rFonts w:ascii="Times New Roman" w:eastAsia="Times New Roman"/>
                <w:sz w:val="21"/>
              </w:rPr>
            </w:pPr>
            <w:r>
              <w:rPr>
                <w:sz w:val="21"/>
              </w:rPr>
              <w:t>三级 </w:t>
            </w:r>
            <w:r>
              <w:rPr>
                <w:rFonts w:ascii="Times New Roman" w:eastAsia="Times New Roman"/>
                <w:sz w:val="21"/>
              </w:rPr>
              <w:t>A</w:t>
            </w:r>
          </w:p>
        </w:tc>
        <w:tc>
          <w:tcPr>
            <w:tcW w:w="1918" w:type="dxa"/>
          </w:tcPr>
          <w:p>
            <w:pPr>
              <w:pStyle w:val="TableParagraph"/>
              <w:spacing w:line="251" w:lineRule="exact" w:before="1"/>
              <w:ind w:right="529"/>
              <w:jc w:val="right"/>
              <w:rPr>
                <w:sz w:val="21"/>
              </w:rPr>
            </w:pPr>
            <w:r>
              <w:rPr>
                <w:w w:val="95"/>
                <w:sz w:val="21"/>
              </w:rPr>
              <w:t>直接排放</w:t>
            </w:r>
          </w:p>
        </w:tc>
        <w:tc>
          <w:tcPr>
            <w:tcW w:w="2277" w:type="dxa"/>
          </w:tcPr>
          <w:p>
            <w:pPr>
              <w:pStyle w:val="TableParagraph"/>
              <w:spacing w:line="251" w:lineRule="exact" w:before="1"/>
              <w:ind w:left="57" w:right="49"/>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p>
        </w:tc>
        <w:tc>
          <w:tcPr>
            <w:tcW w:w="3114" w:type="dxa"/>
          </w:tcPr>
          <w:p>
            <w:pPr>
              <w:pStyle w:val="TableParagraph"/>
              <w:spacing w:line="251" w:lineRule="exact" w:before="1"/>
              <w:ind w:left="229" w:right="219"/>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6000</w:t>
            </w:r>
          </w:p>
        </w:tc>
      </w:tr>
      <w:tr>
        <w:trPr>
          <w:trHeight w:val="272" w:hRule="atLeast"/>
        </w:trPr>
        <w:tc>
          <w:tcPr>
            <w:tcW w:w="1213" w:type="dxa"/>
          </w:tcPr>
          <w:p>
            <w:pPr>
              <w:pStyle w:val="TableParagraph"/>
              <w:spacing w:line="250" w:lineRule="exact" w:before="2"/>
              <w:ind w:left="246" w:right="238"/>
              <w:rPr>
                <w:rFonts w:ascii="Times New Roman" w:eastAsia="Times New Roman"/>
                <w:sz w:val="21"/>
              </w:rPr>
            </w:pPr>
            <w:r>
              <w:rPr>
                <w:sz w:val="21"/>
              </w:rPr>
              <w:t>三级 </w:t>
            </w:r>
            <w:r>
              <w:rPr>
                <w:rFonts w:ascii="Times New Roman" w:eastAsia="Times New Roman"/>
                <w:sz w:val="21"/>
              </w:rPr>
              <w:t>B</w:t>
            </w:r>
          </w:p>
        </w:tc>
        <w:tc>
          <w:tcPr>
            <w:tcW w:w="1918" w:type="dxa"/>
          </w:tcPr>
          <w:p>
            <w:pPr>
              <w:pStyle w:val="TableParagraph"/>
              <w:spacing w:line="250" w:lineRule="exact" w:before="2"/>
              <w:ind w:right="529"/>
              <w:jc w:val="right"/>
              <w:rPr>
                <w:sz w:val="21"/>
              </w:rPr>
            </w:pPr>
            <w:r>
              <w:rPr>
                <w:w w:val="95"/>
                <w:sz w:val="21"/>
              </w:rPr>
              <w:t>间接排放</w:t>
            </w:r>
          </w:p>
        </w:tc>
        <w:tc>
          <w:tcPr>
            <w:tcW w:w="2277" w:type="dxa"/>
          </w:tcPr>
          <w:p>
            <w:pPr>
              <w:pStyle w:val="TableParagraph"/>
              <w:spacing w:line="236" w:lineRule="exact" w:before="16"/>
              <w:ind w:left="12"/>
              <w:rPr>
                <w:rFonts w:ascii="Times New Roman"/>
                <w:sz w:val="21"/>
              </w:rPr>
            </w:pPr>
            <w:r>
              <w:rPr>
                <w:rFonts w:ascii="Times New Roman"/>
                <w:w w:val="99"/>
                <w:sz w:val="21"/>
              </w:rPr>
              <w:t>-</w:t>
            </w:r>
          </w:p>
        </w:tc>
        <w:tc>
          <w:tcPr>
            <w:tcW w:w="3114" w:type="dxa"/>
          </w:tcPr>
          <w:p>
            <w:pPr>
              <w:pStyle w:val="TableParagraph"/>
              <w:spacing w:line="236" w:lineRule="exact" w:before="16"/>
              <w:ind w:left="6"/>
              <w:rPr>
                <w:rFonts w:ascii="Times New Roman"/>
                <w:sz w:val="21"/>
              </w:rPr>
            </w:pPr>
            <w:r>
              <w:rPr>
                <w:rFonts w:ascii="Times New Roman"/>
                <w:w w:val="99"/>
                <w:sz w:val="21"/>
              </w:rPr>
              <w:t>-</w:t>
            </w:r>
          </w:p>
        </w:tc>
      </w:tr>
    </w:tbl>
    <w:p>
      <w:pPr>
        <w:pStyle w:val="ListParagraph"/>
        <w:numPr>
          <w:ilvl w:val="2"/>
          <w:numId w:val="7"/>
        </w:numPr>
        <w:tabs>
          <w:tab w:pos="1108" w:val="left" w:leader="none"/>
        </w:tabs>
        <w:spacing w:line="240" w:lineRule="auto" w:before="3" w:after="0"/>
        <w:ind w:left="1107" w:right="0" w:hanging="630"/>
        <w:jc w:val="left"/>
        <w:rPr>
          <w:b/>
          <w:sz w:val="28"/>
        </w:rPr>
      </w:pPr>
      <w:bookmarkStart w:name="2.4.3声环境" w:id="45"/>
      <w:bookmarkEnd w:id="45"/>
      <w:r>
        <w:rPr/>
      </w:r>
      <w:bookmarkStart w:name="2.4.3声环境" w:id="46"/>
      <w:bookmarkEnd w:id="46"/>
      <w:r>
        <w:rPr>
          <w:b/>
          <w:sz w:val="28"/>
        </w:rPr>
        <w:t>声环境</w:t>
      </w:r>
    </w:p>
    <w:p>
      <w:pPr>
        <w:pStyle w:val="BodyText"/>
        <w:spacing w:line="362" w:lineRule="auto" w:before="185"/>
        <w:ind w:left="478" w:right="471" w:firstLine="480"/>
        <w:jc w:val="both"/>
      </w:pPr>
      <w:r>
        <w:rPr>
          <w:spacing w:val="-7"/>
        </w:rPr>
        <w:t>根据《环境影响评价技术导则 声环境》</w:t>
      </w:r>
      <w:r>
        <w:rPr/>
        <w:t>（</w:t>
      </w:r>
      <w:r>
        <w:rPr>
          <w:rFonts w:ascii="Times New Roman" w:eastAsia="Times New Roman"/>
        </w:rPr>
        <w:t>HJ/T2.4-2009</w:t>
      </w:r>
      <w:r>
        <w:rPr/>
        <w:t>）</w:t>
      </w:r>
      <w:r>
        <w:rPr>
          <w:spacing w:val="-2"/>
        </w:rPr>
        <w:t>中噪声环境影响评价等级</w:t>
      </w:r>
      <w:r>
        <w:rPr/>
        <w:t>划分的基本原则确定。</w:t>
      </w:r>
    </w:p>
    <w:p>
      <w:pPr>
        <w:pStyle w:val="BodyText"/>
        <w:spacing w:line="364" w:lineRule="auto" w:before="5"/>
        <w:ind w:left="478" w:right="477" w:firstLine="480"/>
        <w:jc w:val="both"/>
      </w:pPr>
      <w:r>
        <w:rPr>
          <w:spacing w:val="-4"/>
        </w:rPr>
        <w:t>本项目所在功能区属于噪声功能区划的 </w:t>
      </w:r>
      <w:r>
        <w:rPr>
          <w:rFonts w:ascii="Times New Roman" w:eastAsia="Times New Roman"/>
        </w:rPr>
        <w:t>2 </w:t>
      </w:r>
      <w:r>
        <w:rPr>
          <w:spacing w:val="-8"/>
        </w:rPr>
        <w:t>类标准地区，项目建设前后受噪声影响的</w:t>
      </w:r>
      <w:r>
        <w:rPr>
          <w:spacing w:val="-5"/>
        </w:rPr>
        <w:t>人口没有明显增加，项目建成后工业广场噪声值基本无变化，因此，声环境评价确定为</w:t>
      </w:r>
      <w:r>
        <w:rPr/>
        <w:t>二级。</w:t>
      </w:r>
    </w:p>
    <w:p>
      <w:pPr>
        <w:pStyle w:val="Heading3"/>
        <w:numPr>
          <w:ilvl w:val="2"/>
          <w:numId w:val="7"/>
        </w:numPr>
        <w:tabs>
          <w:tab w:pos="1108" w:val="left" w:leader="none"/>
        </w:tabs>
        <w:spacing w:line="240" w:lineRule="auto" w:before="0" w:after="0"/>
        <w:ind w:left="1107" w:right="0" w:hanging="630"/>
        <w:jc w:val="left"/>
      </w:pPr>
      <w:bookmarkStart w:name="2.4.4生态环境" w:id="47"/>
      <w:bookmarkEnd w:id="47"/>
      <w:r>
        <w:rPr>
          <w:b w:val="0"/>
        </w:rPr>
      </w:r>
      <w:bookmarkStart w:name="2.4.4生态环境" w:id="48"/>
      <w:bookmarkEnd w:id="48"/>
      <w:r>
        <w:rPr/>
        <w:t>生态环境</w:t>
      </w:r>
    </w:p>
    <w:p>
      <w:pPr>
        <w:pStyle w:val="BodyText"/>
        <w:spacing w:line="362" w:lineRule="auto" w:before="185"/>
        <w:ind w:left="478" w:right="477" w:firstLine="480"/>
        <w:jc w:val="both"/>
      </w:pPr>
      <w:r>
        <w:rPr>
          <w:spacing w:val="-6"/>
        </w:rPr>
        <w:t>按照《环境影响评价技术导则 生态影响》</w:t>
      </w:r>
      <w:r>
        <w:rPr/>
        <w:t>（</w:t>
      </w:r>
      <w:r>
        <w:rPr>
          <w:rFonts w:ascii="Times New Roman" w:eastAsia="Times New Roman"/>
        </w:rPr>
        <w:t>HJ19-2011</w:t>
      </w:r>
      <w:r>
        <w:rPr/>
        <w:t>）</w:t>
      </w:r>
      <w:r>
        <w:rPr>
          <w:spacing w:val="-2"/>
        </w:rPr>
        <w:t>对生态影响评价工作等级的划分依据，将生态影响评价工作划分为一、二、三级。划分依据见表 </w:t>
      </w:r>
      <w:r>
        <w:rPr>
          <w:rFonts w:ascii="Times New Roman" w:eastAsia="Times New Roman"/>
        </w:rPr>
        <w:t>2.4-8</w:t>
      </w:r>
      <w:r>
        <w:rPr/>
        <w:t>。</w:t>
      </w:r>
    </w:p>
    <w:p>
      <w:pPr>
        <w:pStyle w:val="Heading4"/>
        <w:spacing w:before="3" w:after="4"/>
        <w:ind w:left="2974"/>
        <w:jc w:val="both"/>
        <w:rPr>
          <w:rFonts w:ascii="Times New Roman" w:eastAsia="Times New Roman"/>
        </w:rPr>
      </w:pPr>
      <w:r>
        <w:rPr/>
        <w:t>表 </w:t>
      </w:r>
      <w:r>
        <w:rPr>
          <w:rFonts w:ascii="Times New Roman" w:eastAsia="Times New Roman"/>
        </w:rPr>
        <w:t>2.4-8  </w:t>
      </w:r>
      <w:r>
        <w:rPr/>
        <w:t>评价工作级别</w:t>
      </w:r>
      <w:r>
        <w:rPr>
          <w:rFonts w:ascii="Times New Roman" w:eastAsia="Times New Roman"/>
        </w:rPr>
        <w:t>(</w:t>
      </w:r>
      <w:r>
        <w:rPr/>
        <w:t>一、二、三级</w:t>
      </w:r>
      <w:r>
        <w:rPr>
          <w:rFonts w:ascii="Times New Roman" w:eastAsia="Times New Roman"/>
        </w:rPr>
        <w:t>)</w:t>
      </w: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8"/>
        <w:gridCol w:w="2220"/>
        <w:gridCol w:w="2229"/>
        <w:gridCol w:w="2214"/>
      </w:tblGrid>
      <w:tr>
        <w:trPr>
          <w:trHeight w:val="386" w:hRule="atLeast"/>
        </w:trPr>
        <w:tc>
          <w:tcPr>
            <w:tcW w:w="2198" w:type="dxa"/>
            <w:vMerge w:val="restart"/>
          </w:tcPr>
          <w:p>
            <w:pPr>
              <w:pStyle w:val="TableParagraph"/>
              <w:spacing w:before="11"/>
              <w:jc w:val="left"/>
              <w:rPr>
                <w:rFonts w:ascii="Times New Roman"/>
                <w:b/>
                <w:sz w:val="28"/>
              </w:rPr>
            </w:pPr>
          </w:p>
          <w:p>
            <w:pPr>
              <w:pStyle w:val="TableParagraph"/>
              <w:ind w:left="152"/>
              <w:jc w:val="left"/>
              <w:rPr>
                <w:sz w:val="21"/>
              </w:rPr>
            </w:pPr>
            <w:r>
              <w:rPr>
                <w:sz w:val="21"/>
              </w:rPr>
              <w:t>影响区域生态敏感性</w:t>
            </w:r>
          </w:p>
        </w:tc>
        <w:tc>
          <w:tcPr>
            <w:tcW w:w="6663" w:type="dxa"/>
            <w:gridSpan w:val="3"/>
          </w:tcPr>
          <w:p>
            <w:pPr>
              <w:pStyle w:val="TableParagraph"/>
              <w:spacing w:before="57"/>
              <w:ind w:left="2258" w:right="2254"/>
              <w:rPr>
                <w:sz w:val="21"/>
              </w:rPr>
            </w:pPr>
            <w:r>
              <w:rPr>
                <w:sz w:val="21"/>
              </w:rPr>
              <w:t>工程占地（水域）范围</w:t>
            </w:r>
          </w:p>
        </w:tc>
      </w:tr>
      <w:tr>
        <w:trPr>
          <w:trHeight w:val="542" w:hRule="atLeast"/>
        </w:trPr>
        <w:tc>
          <w:tcPr>
            <w:tcW w:w="2198" w:type="dxa"/>
            <w:vMerge/>
            <w:tcBorders>
              <w:top w:val="nil"/>
            </w:tcBorders>
          </w:tcPr>
          <w:p>
            <w:pPr>
              <w:rPr>
                <w:sz w:val="2"/>
                <w:szCs w:val="2"/>
              </w:rPr>
            </w:pPr>
          </w:p>
        </w:tc>
        <w:tc>
          <w:tcPr>
            <w:tcW w:w="2220" w:type="dxa"/>
          </w:tcPr>
          <w:p>
            <w:pPr>
              <w:pStyle w:val="TableParagraph"/>
              <w:spacing w:before="1"/>
              <w:ind w:left="424" w:right="416"/>
              <w:rPr>
                <w:rFonts w:ascii="Times New Roman" w:hAnsi="Times New Roman" w:eastAsia="Times New Roman"/>
                <w:sz w:val="13"/>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2</w:t>
            </w:r>
          </w:p>
          <w:p>
            <w:pPr>
              <w:pStyle w:val="TableParagraph"/>
              <w:spacing w:line="250" w:lineRule="exact" w:before="3"/>
              <w:ind w:left="424" w:right="416"/>
              <w:rPr>
                <w:rFonts w:ascii="Times New Roman" w:hAnsi="Times New Roman" w:eastAsia="Times New Roman"/>
                <w:sz w:val="21"/>
              </w:rPr>
            </w:pPr>
            <w:r>
              <w:rPr>
                <w:sz w:val="21"/>
              </w:rPr>
              <w:t>或长度</w:t>
            </w:r>
            <w:r>
              <w:rPr>
                <w:rFonts w:ascii="Times New Roman" w:hAnsi="Times New Roman" w:eastAsia="Times New Roman"/>
                <w:sz w:val="21"/>
              </w:rPr>
              <w:t>≥100km</w:t>
            </w:r>
          </w:p>
        </w:tc>
        <w:tc>
          <w:tcPr>
            <w:tcW w:w="2229" w:type="dxa"/>
          </w:tcPr>
          <w:p>
            <w:pPr>
              <w:pStyle w:val="TableParagraph"/>
              <w:spacing w:before="1"/>
              <w:ind w:left="89" w:right="78"/>
              <w:rPr>
                <w:rFonts w:ascii="Times New Roman" w:eastAsia="Times New Roman"/>
                <w:sz w:val="13"/>
              </w:rPr>
            </w:pPr>
            <w:r>
              <w:rPr>
                <w:sz w:val="21"/>
              </w:rPr>
              <w:t>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TableParagraph"/>
              <w:spacing w:line="250" w:lineRule="exact" w:before="3"/>
              <w:ind w:left="89" w:right="82"/>
              <w:rPr>
                <w:rFonts w:ascii="Times New Roman" w:eastAsia="Times New Roman"/>
                <w:sz w:val="21"/>
              </w:rPr>
            </w:pPr>
            <w:r>
              <w:rPr>
                <w:sz w:val="21"/>
              </w:rPr>
              <w:t>或长度 </w:t>
            </w:r>
            <w:r>
              <w:rPr>
                <w:rFonts w:ascii="Times New Roman" w:eastAsia="Times New Roman"/>
                <w:sz w:val="21"/>
              </w:rPr>
              <w:t>50km</w:t>
            </w:r>
            <w:r>
              <w:rPr>
                <w:sz w:val="21"/>
              </w:rPr>
              <w:t>～</w:t>
            </w:r>
            <w:r>
              <w:rPr>
                <w:rFonts w:ascii="Times New Roman" w:eastAsia="Times New Roman"/>
                <w:sz w:val="21"/>
              </w:rPr>
              <w:t>100km</w:t>
            </w:r>
          </w:p>
        </w:tc>
        <w:tc>
          <w:tcPr>
            <w:tcW w:w="2214" w:type="dxa"/>
          </w:tcPr>
          <w:p>
            <w:pPr>
              <w:pStyle w:val="TableParagraph"/>
              <w:spacing w:before="1"/>
              <w:ind w:left="473" w:right="463"/>
              <w:rPr>
                <w:rFonts w:ascii="Times New Roman" w:hAnsi="Times New Roman" w:eastAsia="Times New Roman"/>
                <w:sz w:val="13"/>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2</w:t>
            </w:r>
          </w:p>
          <w:p>
            <w:pPr>
              <w:pStyle w:val="TableParagraph"/>
              <w:spacing w:line="250" w:lineRule="exact" w:before="3"/>
              <w:ind w:left="473" w:right="467"/>
              <w:rPr>
                <w:rFonts w:ascii="Times New Roman" w:hAnsi="Times New Roman" w:eastAsia="Times New Roman"/>
                <w:sz w:val="21"/>
              </w:rPr>
            </w:pPr>
            <w:r>
              <w:rPr>
                <w:sz w:val="21"/>
              </w:rPr>
              <w:t>或长度</w:t>
            </w:r>
            <w:r>
              <w:rPr>
                <w:rFonts w:ascii="Times New Roman" w:hAnsi="Times New Roman" w:eastAsia="Times New Roman"/>
                <w:sz w:val="21"/>
              </w:rPr>
              <w:t>≤50km</w:t>
            </w:r>
          </w:p>
        </w:tc>
      </w:tr>
    </w:tbl>
    <w:p>
      <w:pPr>
        <w:spacing w:after="0" w:line="250" w:lineRule="exact"/>
        <w:rPr>
          <w:rFonts w:ascii="Times New Roman" w:hAnsi="Times New Roman" w:eastAsia="Times New Roman"/>
          <w:sz w:val="21"/>
        </w:rPr>
        <w:sectPr>
          <w:pgSz w:w="11910" w:h="16840"/>
          <w:pgMar w:header="0" w:footer="913" w:top="1400" w:bottom="1180" w:left="940" w:right="940"/>
        </w:sectPr>
      </w:pP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8"/>
        <w:gridCol w:w="2220"/>
        <w:gridCol w:w="2229"/>
        <w:gridCol w:w="2214"/>
      </w:tblGrid>
      <w:tr>
        <w:trPr>
          <w:trHeight w:val="369" w:hRule="atLeast"/>
        </w:trPr>
        <w:tc>
          <w:tcPr>
            <w:tcW w:w="2198" w:type="dxa"/>
          </w:tcPr>
          <w:p>
            <w:pPr>
              <w:pStyle w:val="TableParagraph"/>
              <w:spacing w:before="48"/>
              <w:ind w:left="343" w:right="334"/>
              <w:rPr>
                <w:sz w:val="21"/>
              </w:rPr>
            </w:pPr>
            <w:r>
              <w:rPr>
                <w:sz w:val="21"/>
              </w:rPr>
              <w:t>特殊生态敏感区</w:t>
            </w:r>
          </w:p>
        </w:tc>
        <w:tc>
          <w:tcPr>
            <w:tcW w:w="2220" w:type="dxa"/>
          </w:tcPr>
          <w:p>
            <w:pPr>
              <w:pStyle w:val="TableParagraph"/>
              <w:spacing w:before="48"/>
              <w:ind w:left="423" w:right="416"/>
              <w:rPr>
                <w:sz w:val="21"/>
              </w:rPr>
            </w:pPr>
            <w:r>
              <w:rPr>
                <w:sz w:val="21"/>
              </w:rPr>
              <w:t>一级</w:t>
            </w:r>
          </w:p>
        </w:tc>
        <w:tc>
          <w:tcPr>
            <w:tcW w:w="2229" w:type="dxa"/>
          </w:tcPr>
          <w:p>
            <w:pPr>
              <w:pStyle w:val="TableParagraph"/>
              <w:spacing w:before="48"/>
              <w:ind w:right="894"/>
              <w:jc w:val="right"/>
              <w:rPr>
                <w:sz w:val="21"/>
              </w:rPr>
            </w:pPr>
            <w:r>
              <w:rPr>
                <w:w w:val="95"/>
                <w:sz w:val="21"/>
              </w:rPr>
              <w:t>一级</w:t>
            </w:r>
          </w:p>
        </w:tc>
        <w:tc>
          <w:tcPr>
            <w:tcW w:w="2214" w:type="dxa"/>
          </w:tcPr>
          <w:p>
            <w:pPr>
              <w:pStyle w:val="TableParagraph"/>
              <w:spacing w:before="48"/>
              <w:ind w:left="471" w:right="467"/>
              <w:rPr>
                <w:sz w:val="21"/>
              </w:rPr>
            </w:pPr>
            <w:r>
              <w:rPr>
                <w:sz w:val="21"/>
              </w:rPr>
              <w:t>一级</w:t>
            </w:r>
          </w:p>
        </w:tc>
      </w:tr>
      <w:tr>
        <w:trPr>
          <w:trHeight w:val="385" w:hRule="atLeast"/>
        </w:trPr>
        <w:tc>
          <w:tcPr>
            <w:tcW w:w="2198" w:type="dxa"/>
          </w:tcPr>
          <w:p>
            <w:pPr>
              <w:pStyle w:val="TableParagraph"/>
              <w:spacing w:before="58"/>
              <w:ind w:left="343" w:right="334"/>
              <w:rPr>
                <w:sz w:val="21"/>
              </w:rPr>
            </w:pPr>
            <w:r>
              <w:rPr>
                <w:sz w:val="21"/>
              </w:rPr>
              <w:t>重要生态敏感区</w:t>
            </w:r>
          </w:p>
        </w:tc>
        <w:tc>
          <w:tcPr>
            <w:tcW w:w="2220" w:type="dxa"/>
          </w:tcPr>
          <w:p>
            <w:pPr>
              <w:pStyle w:val="TableParagraph"/>
              <w:spacing w:before="58"/>
              <w:ind w:left="423" w:right="416"/>
              <w:rPr>
                <w:sz w:val="21"/>
              </w:rPr>
            </w:pPr>
            <w:r>
              <w:rPr>
                <w:sz w:val="21"/>
              </w:rPr>
              <w:t>一级</w:t>
            </w:r>
          </w:p>
        </w:tc>
        <w:tc>
          <w:tcPr>
            <w:tcW w:w="2229" w:type="dxa"/>
          </w:tcPr>
          <w:p>
            <w:pPr>
              <w:pStyle w:val="TableParagraph"/>
              <w:spacing w:before="58"/>
              <w:ind w:right="894"/>
              <w:jc w:val="right"/>
              <w:rPr>
                <w:sz w:val="21"/>
              </w:rPr>
            </w:pPr>
            <w:r>
              <w:rPr>
                <w:w w:val="95"/>
                <w:sz w:val="21"/>
              </w:rPr>
              <w:t>二级</w:t>
            </w:r>
          </w:p>
        </w:tc>
        <w:tc>
          <w:tcPr>
            <w:tcW w:w="2214" w:type="dxa"/>
          </w:tcPr>
          <w:p>
            <w:pPr>
              <w:pStyle w:val="TableParagraph"/>
              <w:spacing w:before="58"/>
              <w:ind w:left="471" w:right="467"/>
              <w:rPr>
                <w:sz w:val="21"/>
              </w:rPr>
            </w:pPr>
            <w:r>
              <w:rPr>
                <w:sz w:val="21"/>
              </w:rPr>
              <w:t>三级</w:t>
            </w:r>
          </w:p>
        </w:tc>
      </w:tr>
      <w:tr>
        <w:trPr>
          <w:trHeight w:val="385" w:hRule="atLeast"/>
        </w:trPr>
        <w:tc>
          <w:tcPr>
            <w:tcW w:w="2198" w:type="dxa"/>
          </w:tcPr>
          <w:p>
            <w:pPr>
              <w:pStyle w:val="TableParagraph"/>
              <w:spacing w:before="58"/>
              <w:ind w:left="340" w:right="334"/>
              <w:rPr>
                <w:sz w:val="21"/>
              </w:rPr>
            </w:pPr>
            <w:r>
              <w:rPr>
                <w:sz w:val="21"/>
              </w:rPr>
              <w:t>一般区域</w:t>
            </w:r>
          </w:p>
        </w:tc>
        <w:tc>
          <w:tcPr>
            <w:tcW w:w="2220" w:type="dxa"/>
          </w:tcPr>
          <w:p>
            <w:pPr>
              <w:pStyle w:val="TableParagraph"/>
              <w:spacing w:before="58"/>
              <w:ind w:left="423" w:right="416"/>
              <w:rPr>
                <w:sz w:val="21"/>
              </w:rPr>
            </w:pPr>
            <w:r>
              <w:rPr>
                <w:sz w:val="21"/>
              </w:rPr>
              <w:t>二级</w:t>
            </w:r>
          </w:p>
        </w:tc>
        <w:tc>
          <w:tcPr>
            <w:tcW w:w="2229" w:type="dxa"/>
          </w:tcPr>
          <w:p>
            <w:pPr>
              <w:pStyle w:val="TableParagraph"/>
              <w:spacing w:before="58"/>
              <w:ind w:right="894"/>
              <w:jc w:val="right"/>
              <w:rPr>
                <w:sz w:val="21"/>
              </w:rPr>
            </w:pPr>
            <w:r>
              <w:rPr>
                <w:w w:val="95"/>
                <w:sz w:val="21"/>
              </w:rPr>
              <w:t>三级</w:t>
            </w:r>
          </w:p>
        </w:tc>
        <w:tc>
          <w:tcPr>
            <w:tcW w:w="2214" w:type="dxa"/>
          </w:tcPr>
          <w:p>
            <w:pPr>
              <w:pStyle w:val="TableParagraph"/>
              <w:spacing w:before="58"/>
              <w:ind w:left="471" w:right="467"/>
              <w:rPr>
                <w:sz w:val="21"/>
              </w:rPr>
            </w:pPr>
            <w:r>
              <w:rPr>
                <w:sz w:val="21"/>
              </w:rPr>
              <w:t>三级</w:t>
            </w:r>
          </w:p>
        </w:tc>
      </w:tr>
    </w:tbl>
    <w:p>
      <w:pPr>
        <w:pStyle w:val="BodyText"/>
        <w:spacing w:line="364" w:lineRule="auto" w:before="1"/>
        <w:ind w:left="478" w:right="473" w:firstLine="480"/>
        <w:jc w:val="both"/>
      </w:pPr>
      <w:r>
        <w:rPr>
          <w:spacing w:val="-1"/>
        </w:rPr>
        <w:t>据影响区域的生态敏感性和评价项目的工程占地</w:t>
      </w:r>
      <w:r>
        <w:rPr/>
        <w:t>（含水域</w:t>
      </w:r>
      <w:r>
        <w:rPr>
          <w:spacing w:val="-17"/>
        </w:rPr>
        <w:t>）</w:t>
      </w:r>
      <w:r>
        <w:rPr>
          <w:spacing w:val="-5"/>
        </w:rPr>
        <w:t>范围，包括永久占地和</w:t>
      </w:r>
      <w:r>
        <w:rPr>
          <w:spacing w:val="11"/>
        </w:rPr>
        <w:t>临时占地，划分生态影响评价等级。本项目所在地属于一般区域，项目用地总面积</w:t>
      </w:r>
      <w:r>
        <w:rPr>
          <w:rFonts w:ascii="Times New Roman" w:eastAsia="Times New Roman"/>
        </w:rPr>
        <w:t>5.91km</w:t>
      </w:r>
      <w:r>
        <w:rPr>
          <w:rFonts w:ascii="Times New Roman" w:eastAsia="Times New Roman"/>
          <w:position w:val="8"/>
          <w:sz w:val="15"/>
        </w:rPr>
        <w:t>2</w:t>
      </w:r>
      <w:r>
        <w:rPr>
          <w:spacing w:val="-6"/>
        </w:rPr>
        <w:t>，面积在 </w:t>
      </w:r>
      <w:r>
        <w:rPr>
          <w:rFonts w:ascii="Times New Roman" w:eastAsia="Times New Roman"/>
        </w:rPr>
        <w:t>2km</w:t>
      </w:r>
      <w:r>
        <w:rPr>
          <w:rFonts w:ascii="Times New Roman" w:eastAsia="Times New Roman"/>
          <w:position w:val="8"/>
          <w:sz w:val="15"/>
        </w:rPr>
        <w:t>2</w:t>
      </w:r>
      <w:r>
        <w:rPr/>
        <w:t>～</w:t>
      </w:r>
      <w:r>
        <w:rPr>
          <w:rFonts w:ascii="Times New Roman" w:eastAsia="Times New Roman"/>
        </w:rPr>
        <w:t>20km</w:t>
      </w:r>
      <w:r>
        <w:rPr>
          <w:rFonts w:ascii="Times New Roman" w:eastAsia="Times New Roman"/>
          <w:position w:val="8"/>
          <w:sz w:val="15"/>
        </w:rPr>
        <w:t>2 </w:t>
      </w:r>
      <w:r>
        <w:rPr/>
        <w:t>之间，故生态影响评价等级为三级。根据《环境影响评</w:t>
      </w:r>
      <w:r>
        <w:rPr>
          <w:spacing w:val="-5"/>
        </w:rPr>
        <w:t>价技术导则 生态影响》</w:t>
      </w:r>
      <w:r>
        <w:rPr/>
        <w:t>（</w:t>
      </w:r>
      <w:r>
        <w:rPr>
          <w:rFonts w:ascii="Times New Roman" w:eastAsia="Times New Roman"/>
        </w:rPr>
        <w:t>HJ19-2011</w:t>
      </w:r>
      <w:r>
        <w:rPr/>
        <w:t>）</w:t>
      </w:r>
      <w:r>
        <w:rPr>
          <w:spacing w:val="-1"/>
        </w:rPr>
        <w:t>及生态预测情况，本项目土地利用类型未明显改变，所以生态影响评价等级无需上调。综上，本项目生态影响评价等级为三级。</w:t>
      </w:r>
    </w:p>
    <w:p>
      <w:pPr>
        <w:pStyle w:val="Heading3"/>
        <w:numPr>
          <w:ilvl w:val="2"/>
          <w:numId w:val="7"/>
        </w:numPr>
        <w:tabs>
          <w:tab w:pos="1108" w:val="left" w:leader="none"/>
        </w:tabs>
        <w:spacing w:line="358" w:lineRule="exact" w:before="0" w:after="0"/>
        <w:ind w:left="1107" w:right="0" w:hanging="630"/>
        <w:jc w:val="left"/>
      </w:pPr>
      <w:bookmarkStart w:name="2.4.5地下水环境" w:id="49"/>
      <w:bookmarkEnd w:id="49"/>
      <w:r>
        <w:rPr>
          <w:b w:val="0"/>
        </w:rPr>
      </w:r>
      <w:bookmarkStart w:name="2.4.5地下水环境" w:id="50"/>
      <w:bookmarkEnd w:id="50"/>
      <w:r>
        <w:rPr>
          <w:spacing w:val="-1"/>
          <w:w w:val="95"/>
        </w:rPr>
        <w:t>地下水环境</w:t>
      </w:r>
    </w:p>
    <w:p>
      <w:pPr>
        <w:pStyle w:val="BodyText"/>
        <w:spacing w:line="364" w:lineRule="auto" w:before="186"/>
        <w:ind w:left="478" w:right="477" w:firstLine="480"/>
        <w:jc w:val="both"/>
      </w:pPr>
      <w:r>
        <w:rPr/>
        <w:t>根据《环境影响评价技术导则 地下水环境》（</w:t>
      </w:r>
      <w:r>
        <w:rPr>
          <w:rFonts w:ascii="Times New Roman" w:eastAsia="Times New Roman"/>
        </w:rPr>
        <w:t>HJ</w:t>
      </w:r>
      <w:r>
        <w:rPr>
          <w:rFonts w:ascii="Times New Roman" w:eastAsia="Times New Roman"/>
          <w:spacing w:val="7"/>
        </w:rPr>
        <w:t> </w:t>
      </w:r>
      <w:r>
        <w:rPr>
          <w:rFonts w:ascii="Times New Roman" w:eastAsia="Times New Roman"/>
        </w:rPr>
        <w:t>610-2016</w:t>
      </w:r>
      <w:r>
        <w:rPr/>
        <w:t>）</w:t>
      </w:r>
      <w:r>
        <w:rPr>
          <w:spacing w:val="-2"/>
        </w:rPr>
        <w:t>对建设项目地下水评</w:t>
      </w:r>
      <w:r>
        <w:rPr>
          <w:spacing w:val="-7"/>
        </w:rPr>
        <w:t>价的要求，根据建设项目行业分类和地下水环境敏感程度分级进行判定，确定该项目地</w:t>
      </w:r>
      <w:r>
        <w:rPr/>
        <w:t>下水环境影响评价工作等级。</w:t>
      </w:r>
    </w:p>
    <w:p>
      <w:pPr>
        <w:pStyle w:val="Heading3"/>
        <w:numPr>
          <w:ilvl w:val="3"/>
          <w:numId w:val="14"/>
        </w:numPr>
        <w:tabs>
          <w:tab w:pos="1319" w:val="left" w:leader="none"/>
        </w:tabs>
        <w:spacing w:line="357" w:lineRule="exact" w:before="0" w:after="0"/>
        <w:ind w:left="1318" w:right="0" w:hanging="841"/>
        <w:jc w:val="left"/>
      </w:pPr>
      <w:r>
        <w:rPr/>
        <w:t>建设项目分类</w:t>
      </w:r>
    </w:p>
    <w:p>
      <w:pPr>
        <w:pStyle w:val="BodyText"/>
        <w:spacing w:line="364" w:lineRule="auto" w:before="185"/>
        <w:ind w:left="478" w:right="477" w:firstLine="480"/>
        <w:jc w:val="both"/>
      </w:pPr>
      <w:r>
        <w:rPr>
          <w:spacing w:val="-2"/>
        </w:rPr>
        <w:t>根据《环境影响评价技术导则 地下水环境》</w:t>
      </w:r>
      <w:r>
        <w:rPr/>
        <w:t>（</w:t>
      </w:r>
      <w:r>
        <w:rPr>
          <w:rFonts w:ascii="Times New Roman" w:hAnsi="Times New Roman" w:eastAsia="Times New Roman"/>
        </w:rPr>
        <w:t>HJ 610-2016</w:t>
      </w:r>
      <w:r>
        <w:rPr/>
        <w:t>）</w:t>
      </w:r>
      <w:r>
        <w:rPr>
          <w:spacing w:val="-21"/>
        </w:rPr>
        <w:t>附录 </w:t>
      </w:r>
      <w:r>
        <w:rPr>
          <w:rFonts w:ascii="Times New Roman" w:hAnsi="Times New Roman" w:eastAsia="Times New Roman"/>
          <w:spacing w:val="-11"/>
        </w:rPr>
        <w:t>A</w:t>
      </w:r>
      <w:r>
        <w:rPr>
          <w:spacing w:val="-5"/>
        </w:rPr>
        <w:t>：地下水环境影响评价行业分类表，本项目为煤炭开采，煤炭开采过程中设置煤矸石转运场，为Ⅱ类</w:t>
      </w:r>
      <w:r>
        <w:rPr/>
        <w:t>项目</w:t>
      </w:r>
      <w:r>
        <w:rPr>
          <w:rFonts w:ascii="Times New Roman" w:hAnsi="Times New Roman" w:eastAsia="Times New Roman"/>
        </w:rPr>
        <w:t>(</w:t>
      </w:r>
      <w:r>
        <w:rPr>
          <w:spacing w:val="-21"/>
        </w:rPr>
        <w:t>见表 </w:t>
      </w:r>
      <w:r>
        <w:rPr>
          <w:rFonts w:ascii="Times New Roman" w:hAnsi="Times New Roman" w:eastAsia="Times New Roman"/>
        </w:rPr>
        <w:t>2.4-9)</w:t>
      </w:r>
      <w:r>
        <w:rPr/>
        <w:t>。</w:t>
      </w:r>
    </w:p>
    <w:p>
      <w:pPr>
        <w:spacing w:line="267" w:lineRule="exact" w:before="0" w:after="2"/>
        <w:ind w:left="1373" w:right="1363" w:firstLine="0"/>
        <w:jc w:val="center"/>
        <w:rPr>
          <w:b/>
          <w:sz w:val="21"/>
        </w:rPr>
      </w:pPr>
      <w:r>
        <w:rPr>
          <w:b/>
          <w:spacing w:val="-26"/>
          <w:sz w:val="21"/>
        </w:rPr>
        <w:t>表 </w:t>
      </w:r>
      <w:r>
        <w:rPr>
          <w:rFonts w:ascii="Times New Roman" w:eastAsia="Times New Roman"/>
          <w:b/>
          <w:sz w:val="21"/>
        </w:rPr>
        <w:t>2.4-9</w:t>
      </w:r>
      <w:r>
        <w:rPr>
          <w:rFonts w:ascii="Times New Roman" w:eastAsia="Times New Roman"/>
          <w:b/>
          <w:spacing w:val="52"/>
          <w:sz w:val="21"/>
        </w:rPr>
        <w:t> </w:t>
      </w:r>
      <w:r>
        <w:rPr>
          <w:b/>
          <w:sz w:val="21"/>
        </w:rPr>
        <w:t>地下水环境影响评价行业分类表</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5"/>
        <w:gridCol w:w="2709"/>
        <w:gridCol w:w="928"/>
        <w:gridCol w:w="1921"/>
        <w:gridCol w:w="1156"/>
      </w:tblGrid>
      <w:tr>
        <w:trPr>
          <w:trHeight w:val="272" w:hRule="atLeast"/>
        </w:trPr>
        <w:tc>
          <w:tcPr>
            <w:tcW w:w="2565" w:type="dxa"/>
            <w:vMerge w:val="restart"/>
          </w:tcPr>
          <w:p>
            <w:pPr>
              <w:pStyle w:val="TableParagraph"/>
              <w:spacing w:before="4"/>
              <w:ind w:left="1576"/>
              <w:jc w:val="left"/>
              <w:rPr>
                <w:sz w:val="21"/>
              </w:rPr>
            </w:pPr>
            <w:r>
              <w:rPr>
                <w:sz w:val="21"/>
              </w:rPr>
              <w:t>环评类别</w:t>
            </w:r>
          </w:p>
          <w:p>
            <w:pPr>
              <w:pStyle w:val="TableParagraph"/>
              <w:spacing w:line="257" w:lineRule="exact" w:before="5"/>
              <w:ind w:left="108"/>
              <w:jc w:val="left"/>
              <w:rPr>
                <w:sz w:val="21"/>
              </w:rPr>
            </w:pPr>
            <w:r>
              <w:rPr>
                <w:sz w:val="21"/>
              </w:rPr>
              <w:t>行业类别</w:t>
            </w:r>
          </w:p>
        </w:tc>
        <w:tc>
          <w:tcPr>
            <w:tcW w:w="2709" w:type="dxa"/>
            <w:vMerge w:val="restart"/>
          </w:tcPr>
          <w:p>
            <w:pPr>
              <w:pStyle w:val="TableParagraph"/>
              <w:spacing w:before="141"/>
              <w:ind w:left="1017" w:right="1012"/>
              <w:rPr>
                <w:sz w:val="21"/>
              </w:rPr>
            </w:pPr>
            <w:r>
              <w:rPr>
                <w:sz w:val="21"/>
              </w:rPr>
              <w:t>报告书</w:t>
            </w:r>
          </w:p>
        </w:tc>
        <w:tc>
          <w:tcPr>
            <w:tcW w:w="928" w:type="dxa"/>
            <w:vMerge w:val="restart"/>
          </w:tcPr>
          <w:p>
            <w:pPr>
              <w:pStyle w:val="TableParagraph"/>
              <w:spacing w:before="141"/>
              <w:ind w:left="147"/>
              <w:jc w:val="left"/>
              <w:rPr>
                <w:sz w:val="21"/>
              </w:rPr>
            </w:pPr>
            <w:r>
              <w:rPr>
                <w:sz w:val="21"/>
              </w:rPr>
              <w:t>报告表</w:t>
            </w:r>
          </w:p>
        </w:tc>
        <w:tc>
          <w:tcPr>
            <w:tcW w:w="3077" w:type="dxa"/>
            <w:gridSpan w:val="2"/>
          </w:tcPr>
          <w:p>
            <w:pPr>
              <w:pStyle w:val="TableParagraph"/>
              <w:spacing w:line="251" w:lineRule="exact" w:before="2"/>
              <w:ind w:left="172"/>
              <w:jc w:val="left"/>
              <w:rPr>
                <w:sz w:val="21"/>
              </w:rPr>
            </w:pPr>
            <w:r>
              <w:rPr>
                <w:sz w:val="21"/>
              </w:rPr>
              <w:t>地下水环境影响评价项目类别</w:t>
            </w:r>
          </w:p>
        </w:tc>
      </w:tr>
      <w:tr>
        <w:trPr>
          <w:trHeight w:val="272" w:hRule="atLeast"/>
        </w:trPr>
        <w:tc>
          <w:tcPr>
            <w:tcW w:w="2565" w:type="dxa"/>
            <w:vMerge/>
            <w:tcBorders>
              <w:top w:val="nil"/>
            </w:tcBorders>
          </w:tcPr>
          <w:p>
            <w:pPr>
              <w:rPr>
                <w:sz w:val="2"/>
                <w:szCs w:val="2"/>
              </w:rPr>
            </w:pPr>
          </w:p>
        </w:tc>
        <w:tc>
          <w:tcPr>
            <w:tcW w:w="2709" w:type="dxa"/>
            <w:vMerge/>
            <w:tcBorders>
              <w:top w:val="nil"/>
            </w:tcBorders>
          </w:tcPr>
          <w:p>
            <w:pPr>
              <w:rPr>
                <w:sz w:val="2"/>
                <w:szCs w:val="2"/>
              </w:rPr>
            </w:pPr>
          </w:p>
        </w:tc>
        <w:tc>
          <w:tcPr>
            <w:tcW w:w="928" w:type="dxa"/>
            <w:vMerge/>
            <w:tcBorders>
              <w:top w:val="nil"/>
            </w:tcBorders>
          </w:tcPr>
          <w:p>
            <w:pPr>
              <w:rPr>
                <w:sz w:val="2"/>
                <w:szCs w:val="2"/>
              </w:rPr>
            </w:pPr>
          </w:p>
        </w:tc>
        <w:tc>
          <w:tcPr>
            <w:tcW w:w="1921" w:type="dxa"/>
          </w:tcPr>
          <w:p>
            <w:pPr>
              <w:pStyle w:val="TableParagraph"/>
              <w:spacing w:line="252" w:lineRule="exact"/>
              <w:ind w:left="645"/>
              <w:jc w:val="left"/>
              <w:rPr>
                <w:sz w:val="21"/>
              </w:rPr>
            </w:pPr>
            <w:r>
              <w:rPr>
                <w:sz w:val="21"/>
              </w:rPr>
              <w:t>报告书</w:t>
            </w:r>
          </w:p>
        </w:tc>
        <w:tc>
          <w:tcPr>
            <w:tcW w:w="1156" w:type="dxa"/>
          </w:tcPr>
          <w:p>
            <w:pPr>
              <w:pStyle w:val="TableParagraph"/>
              <w:spacing w:line="252" w:lineRule="exact"/>
              <w:ind w:left="242" w:right="234"/>
              <w:rPr>
                <w:sz w:val="21"/>
              </w:rPr>
            </w:pPr>
            <w:r>
              <w:rPr>
                <w:sz w:val="21"/>
              </w:rPr>
              <w:t>报告表</w:t>
            </w:r>
          </w:p>
        </w:tc>
      </w:tr>
      <w:tr>
        <w:trPr>
          <w:trHeight w:val="271" w:hRule="atLeast"/>
        </w:trPr>
        <w:tc>
          <w:tcPr>
            <w:tcW w:w="9279" w:type="dxa"/>
            <w:gridSpan w:val="5"/>
          </w:tcPr>
          <w:p>
            <w:pPr>
              <w:pStyle w:val="TableParagraph"/>
              <w:spacing w:line="251" w:lineRule="exact" w:before="1"/>
              <w:ind w:left="108"/>
              <w:jc w:val="left"/>
              <w:rPr>
                <w:sz w:val="21"/>
              </w:rPr>
            </w:pPr>
            <w:r>
              <w:rPr>
                <w:rFonts w:ascii="Times New Roman" w:eastAsia="Times New Roman"/>
                <w:sz w:val="21"/>
              </w:rPr>
              <w:t>D </w:t>
            </w:r>
            <w:r>
              <w:rPr>
                <w:sz w:val="21"/>
              </w:rPr>
              <w:t>煤炭</w:t>
            </w:r>
          </w:p>
        </w:tc>
      </w:tr>
      <w:tr>
        <w:trPr>
          <w:trHeight w:val="545" w:hRule="atLeast"/>
        </w:trPr>
        <w:tc>
          <w:tcPr>
            <w:tcW w:w="2565" w:type="dxa"/>
          </w:tcPr>
          <w:p>
            <w:pPr>
              <w:pStyle w:val="TableParagraph"/>
              <w:spacing w:before="136"/>
              <w:ind w:left="108"/>
              <w:jc w:val="left"/>
              <w:rPr>
                <w:sz w:val="21"/>
              </w:rPr>
            </w:pPr>
            <w:r>
              <w:rPr>
                <w:rFonts w:ascii="Times New Roman" w:eastAsia="Times New Roman"/>
                <w:sz w:val="21"/>
              </w:rPr>
              <w:t>25 </w:t>
            </w:r>
            <w:r>
              <w:rPr>
                <w:sz w:val="21"/>
              </w:rPr>
              <w:t>煤层气开采</w:t>
            </w:r>
          </w:p>
        </w:tc>
        <w:tc>
          <w:tcPr>
            <w:tcW w:w="2709" w:type="dxa"/>
          </w:tcPr>
          <w:p>
            <w:pPr>
              <w:pStyle w:val="TableParagraph"/>
              <w:spacing w:line="270" w:lineRule="atLeast" w:before="1"/>
              <w:ind w:left="303" w:right="99" w:hanging="195"/>
              <w:jc w:val="left"/>
              <w:rPr>
                <w:sz w:val="21"/>
              </w:rPr>
            </w:pPr>
            <w:r>
              <w:rPr>
                <w:spacing w:val="-12"/>
                <w:sz w:val="21"/>
              </w:rPr>
              <w:t>年生产能力 </w:t>
            </w:r>
            <w:r>
              <w:rPr>
                <w:rFonts w:ascii="Times New Roman" w:eastAsia="Times New Roman"/>
                <w:sz w:val="21"/>
              </w:rPr>
              <w:t>1 </w:t>
            </w:r>
            <w:r>
              <w:rPr>
                <w:spacing w:val="-2"/>
                <w:sz w:val="21"/>
              </w:rPr>
              <w:t>亿立方米及以</w:t>
            </w:r>
            <w:r>
              <w:rPr>
                <w:sz w:val="21"/>
              </w:rPr>
              <w:t>上；涉及环境敏感区的</w:t>
            </w:r>
          </w:p>
        </w:tc>
        <w:tc>
          <w:tcPr>
            <w:tcW w:w="928" w:type="dxa"/>
          </w:tcPr>
          <w:p>
            <w:pPr>
              <w:pStyle w:val="TableParagraph"/>
              <w:spacing w:before="136"/>
              <w:ind w:left="232" w:right="226"/>
              <w:rPr>
                <w:sz w:val="21"/>
              </w:rPr>
            </w:pPr>
            <w:r>
              <w:rPr>
                <w:sz w:val="21"/>
              </w:rPr>
              <w:t>其他</w:t>
            </w:r>
          </w:p>
        </w:tc>
        <w:tc>
          <w:tcPr>
            <w:tcW w:w="1921" w:type="dxa"/>
          </w:tcPr>
          <w:p>
            <w:pPr>
              <w:pStyle w:val="TableParagraph"/>
              <w:spacing w:line="270" w:lineRule="atLeast" w:before="1"/>
              <w:ind w:left="328" w:right="214" w:hanging="104"/>
              <w:jc w:val="left"/>
              <w:rPr>
                <w:sz w:val="21"/>
              </w:rPr>
            </w:pPr>
            <w:r>
              <w:rPr>
                <w:sz w:val="21"/>
              </w:rPr>
              <w:t>水力压裂工艺Ⅱ 类；其余Ⅲ类</w:t>
            </w:r>
          </w:p>
        </w:tc>
        <w:tc>
          <w:tcPr>
            <w:tcW w:w="1156" w:type="dxa"/>
          </w:tcPr>
          <w:p>
            <w:pPr>
              <w:pStyle w:val="TableParagraph"/>
              <w:spacing w:before="136"/>
              <w:ind w:left="242" w:right="234"/>
              <w:rPr>
                <w:sz w:val="21"/>
              </w:rPr>
            </w:pPr>
            <w:r>
              <w:rPr>
                <w:sz w:val="21"/>
              </w:rPr>
              <w:t>Ⅳ类</w:t>
            </w:r>
          </w:p>
        </w:tc>
      </w:tr>
      <w:tr>
        <w:trPr>
          <w:trHeight w:val="545" w:hRule="atLeast"/>
        </w:trPr>
        <w:tc>
          <w:tcPr>
            <w:tcW w:w="2565" w:type="dxa"/>
          </w:tcPr>
          <w:p>
            <w:pPr>
              <w:pStyle w:val="TableParagraph"/>
              <w:spacing w:before="136"/>
              <w:ind w:left="108"/>
              <w:jc w:val="left"/>
              <w:rPr>
                <w:sz w:val="21"/>
              </w:rPr>
            </w:pPr>
            <w:r>
              <w:rPr>
                <w:rFonts w:ascii="Times New Roman" w:eastAsia="Times New Roman"/>
                <w:sz w:val="21"/>
              </w:rPr>
              <w:t>26</w:t>
            </w:r>
            <w:r>
              <w:rPr>
                <w:sz w:val="21"/>
              </w:rPr>
              <w:t>、煤炭开采</w:t>
            </w:r>
          </w:p>
        </w:tc>
        <w:tc>
          <w:tcPr>
            <w:tcW w:w="2709" w:type="dxa"/>
          </w:tcPr>
          <w:p>
            <w:pPr>
              <w:pStyle w:val="TableParagraph"/>
              <w:spacing w:before="136"/>
              <w:ind w:left="1017" w:right="1012"/>
              <w:rPr>
                <w:sz w:val="21"/>
              </w:rPr>
            </w:pPr>
            <w:r>
              <w:rPr>
                <w:sz w:val="21"/>
              </w:rPr>
              <w:t>全部</w:t>
            </w:r>
          </w:p>
        </w:tc>
        <w:tc>
          <w:tcPr>
            <w:tcW w:w="928" w:type="dxa"/>
          </w:tcPr>
          <w:p>
            <w:pPr>
              <w:pStyle w:val="TableParagraph"/>
              <w:spacing w:before="150"/>
              <w:ind w:left="11"/>
              <w:rPr>
                <w:rFonts w:ascii="Times New Roman"/>
                <w:sz w:val="21"/>
              </w:rPr>
            </w:pPr>
            <w:r>
              <w:rPr>
                <w:rFonts w:ascii="Times New Roman"/>
                <w:w w:val="99"/>
                <w:sz w:val="21"/>
              </w:rPr>
              <w:t>/</w:t>
            </w:r>
          </w:p>
        </w:tc>
        <w:tc>
          <w:tcPr>
            <w:tcW w:w="1921" w:type="dxa"/>
          </w:tcPr>
          <w:p>
            <w:pPr>
              <w:pStyle w:val="TableParagraph"/>
              <w:spacing w:before="1"/>
              <w:ind w:left="225"/>
              <w:jc w:val="left"/>
              <w:rPr>
                <w:sz w:val="21"/>
              </w:rPr>
            </w:pPr>
            <w:r>
              <w:rPr>
                <w:sz w:val="21"/>
              </w:rPr>
              <w:t>煤矸石转运场Ⅱ</w:t>
            </w:r>
          </w:p>
          <w:p>
            <w:pPr>
              <w:pStyle w:val="TableParagraph"/>
              <w:spacing w:line="252" w:lineRule="exact" w:before="2"/>
              <w:ind w:left="328"/>
              <w:jc w:val="left"/>
              <w:rPr>
                <w:sz w:val="21"/>
              </w:rPr>
            </w:pPr>
            <w:r>
              <w:rPr>
                <w:sz w:val="21"/>
              </w:rPr>
              <w:t>类；其余Ⅲ类</w:t>
            </w:r>
          </w:p>
        </w:tc>
        <w:tc>
          <w:tcPr>
            <w:tcW w:w="1156" w:type="dxa"/>
          </w:tcPr>
          <w:p>
            <w:pPr>
              <w:pStyle w:val="TableParagraph"/>
              <w:jc w:val="left"/>
              <w:rPr>
                <w:rFonts w:ascii="Times New Roman"/>
                <w:sz w:val="22"/>
              </w:rPr>
            </w:pPr>
          </w:p>
        </w:tc>
      </w:tr>
    </w:tbl>
    <w:p>
      <w:pPr>
        <w:pStyle w:val="Heading3"/>
        <w:numPr>
          <w:ilvl w:val="3"/>
          <w:numId w:val="14"/>
        </w:numPr>
        <w:tabs>
          <w:tab w:pos="1319" w:val="left" w:leader="none"/>
        </w:tabs>
        <w:spacing w:line="240" w:lineRule="auto" w:before="3" w:after="0"/>
        <w:ind w:left="1318" w:right="0" w:hanging="841"/>
        <w:jc w:val="left"/>
      </w:pPr>
      <w:r>
        <w:rPr/>
        <w:t>地下水环境敏感程度</w:t>
      </w:r>
    </w:p>
    <w:p>
      <w:pPr>
        <w:pStyle w:val="Heading4"/>
        <w:tabs>
          <w:tab w:pos="1169" w:val="left" w:leader="none"/>
        </w:tabs>
        <w:spacing w:before="185" w:after="2"/>
        <w:ind w:left="9"/>
        <w:jc w:val="center"/>
      </w:pPr>
      <w:r>
        <w:rPr/>
        <w:t>表</w:t>
      </w:r>
      <w:r>
        <w:rPr>
          <w:spacing w:val="-62"/>
        </w:rPr>
        <w:t> </w:t>
      </w:r>
      <w:r>
        <w:rPr>
          <w:rFonts w:ascii="Times New Roman" w:eastAsia="Times New Roman"/>
        </w:rPr>
        <w:t>2.4-10</w:t>
        <w:tab/>
      </w:r>
      <w:r>
        <w:rPr/>
        <w:t>地下水环境敏感程度分级</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7"/>
        <w:gridCol w:w="6789"/>
      </w:tblGrid>
      <w:tr>
        <w:trPr>
          <w:trHeight w:val="343" w:hRule="atLeast"/>
        </w:trPr>
        <w:tc>
          <w:tcPr>
            <w:tcW w:w="2497" w:type="dxa"/>
          </w:tcPr>
          <w:p>
            <w:pPr>
              <w:pStyle w:val="TableParagraph"/>
              <w:spacing w:before="44"/>
              <w:ind w:left="908" w:right="904"/>
              <w:rPr>
                <w:sz w:val="21"/>
              </w:rPr>
            </w:pPr>
            <w:r>
              <w:rPr>
                <w:sz w:val="21"/>
              </w:rPr>
              <w:t>分级</w:t>
            </w:r>
          </w:p>
        </w:tc>
        <w:tc>
          <w:tcPr>
            <w:tcW w:w="6789" w:type="dxa"/>
          </w:tcPr>
          <w:p>
            <w:pPr>
              <w:pStyle w:val="TableParagraph"/>
              <w:spacing w:before="44"/>
              <w:ind w:left="2429" w:right="2420"/>
              <w:rPr>
                <w:sz w:val="21"/>
              </w:rPr>
            </w:pPr>
            <w:r>
              <w:rPr>
                <w:sz w:val="21"/>
              </w:rPr>
              <w:t>地下水环境敏感特征</w:t>
            </w:r>
          </w:p>
        </w:tc>
      </w:tr>
      <w:tr>
        <w:trPr>
          <w:trHeight w:val="1561" w:hRule="atLeast"/>
        </w:trPr>
        <w:tc>
          <w:tcPr>
            <w:tcW w:w="2497" w:type="dxa"/>
          </w:tcPr>
          <w:p>
            <w:pPr>
              <w:pStyle w:val="TableParagraph"/>
              <w:jc w:val="left"/>
              <w:rPr>
                <w:b/>
                <w:sz w:val="20"/>
              </w:rPr>
            </w:pPr>
          </w:p>
          <w:p>
            <w:pPr>
              <w:pStyle w:val="TableParagraph"/>
              <w:jc w:val="left"/>
              <w:rPr>
                <w:b/>
                <w:sz w:val="20"/>
              </w:rPr>
            </w:pPr>
          </w:p>
          <w:p>
            <w:pPr>
              <w:pStyle w:val="TableParagraph"/>
              <w:spacing w:before="140"/>
              <w:ind w:left="908" w:right="904"/>
              <w:rPr>
                <w:sz w:val="21"/>
              </w:rPr>
            </w:pPr>
            <w:r>
              <w:rPr>
                <w:sz w:val="21"/>
              </w:rPr>
              <w:t>敏感</w:t>
            </w:r>
          </w:p>
        </w:tc>
        <w:tc>
          <w:tcPr>
            <w:tcW w:w="6789" w:type="dxa"/>
          </w:tcPr>
          <w:p>
            <w:pPr>
              <w:pStyle w:val="TableParagraph"/>
              <w:spacing w:line="285" w:lineRule="auto" w:before="173"/>
              <w:ind w:left="107" w:right="161"/>
              <w:jc w:val="both"/>
              <w:rPr>
                <w:sz w:val="21"/>
              </w:rPr>
            </w:pPr>
            <w:r>
              <w:rPr>
                <w:w w:val="95"/>
                <w:sz w:val="21"/>
              </w:rPr>
              <w:t>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bl>
    <w:p>
      <w:pPr>
        <w:spacing w:after="0" w:line="285" w:lineRule="auto"/>
        <w:jc w:val="both"/>
        <w:rPr>
          <w:sz w:val="21"/>
        </w:rPr>
        <w:sectPr>
          <w:pgSz w:w="11910" w:h="16840"/>
          <w:pgMar w:header="0" w:footer="913" w:top="140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7"/>
        <w:gridCol w:w="6789"/>
      </w:tblGrid>
      <w:tr>
        <w:trPr>
          <w:trHeight w:val="1987" w:hRule="atLeast"/>
        </w:trPr>
        <w:tc>
          <w:tcPr>
            <w:tcW w:w="2497" w:type="dxa"/>
          </w:tcPr>
          <w:p>
            <w:pPr>
              <w:pStyle w:val="TableParagraph"/>
              <w:jc w:val="left"/>
              <w:rPr>
                <w:b/>
                <w:sz w:val="20"/>
              </w:rPr>
            </w:pPr>
          </w:p>
          <w:p>
            <w:pPr>
              <w:pStyle w:val="TableParagraph"/>
              <w:jc w:val="left"/>
              <w:rPr>
                <w:b/>
                <w:sz w:val="20"/>
              </w:rPr>
            </w:pPr>
          </w:p>
          <w:p>
            <w:pPr>
              <w:pStyle w:val="TableParagraph"/>
              <w:spacing w:before="10"/>
              <w:jc w:val="left"/>
              <w:rPr>
                <w:b/>
                <w:sz w:val="27"/>
              </w:rPr>
            </w:pPr>
          </w:p>
          <w:p>
            <w:pPr>
              <w:pStyle w:val="TableParagraph"/>
              <w:ind w:left="913" w:right="904"/>
              <w:rPr>
                <w:sz w:val="21"/>
              </w:rPr>
            </w:pPr>
            <w:r>
              <w:rPr>
                <w:sz w:val="21"/>
              </w:rPr>
              <w:t>较敏感</w:t>
            </w:r>
          </w:p>
        </w:tc>
        <w:tc>
          <w:tcPr>
            <w:tcW w:w="6789" w:type="dxa"/>
          </w:tcPr>
          <w:p>
            <w:pPr>
              <w:pStyle w:val="TableParagraph"/>
              <w:spacing w:before="10"/>
              <w:jc w:val="left"/>
              <w:rPr>
                <w:b/>
                <w:sz w:val="17"/>
              </w:rPr>
            </w:pPr>
          </w:p>
          <w:p>
            <w:pPr>
              <w:pStyle w:val="TableParagraph"/>
              <w:spacing w:line="285" w:lineRule="auto"/>
              <w:ind w:left="107" w:right="98"/>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rPr>
          <w:trHeight w:val="574" w:hRule="atLeast"/>
        </w:trPr>
        <w:tc>
          <w:tcPr>
            <w:tcW w:w="2497" w:type="dxa"/>
          </w:tcPr>
          <w:p>
            <w:pPr>
              <w:pStyle w:val="TableParagraph"/>
              <w:spacing w:before="162"/>
              <w:ind w:left="913" w:right="904"/>
              <w:rPr>
                <w:sz w:val="21"/>
              </w:rPr>
            </w:pPr>
            <w:r>
              <w:rPr>
                <w:sz w:val="21"/>
              </w:rPr>
              <w:t>不敏感</w:t>
            </w:r>
          </w:p>
        </w:tc>
        <w:tc>
          <w:tcPr>
            <w:tcW w:w="6789" w:type="dxa"/>
          </w:tcPr>
          <w:p>
            <w:pPr>
              <w:pStyle w:val="TableParagraph"/>
              <w:spacing w:before="162"/>
              <w:ind w:left="107"/>
              <w:jc w:val="left"/>
              <w:rPr>
                <w:sz w:val="21"/>
              </w:rPr>
            </w:pPr>
            <w:r>
              <w:rPr>
                <w:sz w:val="21"/>
              </w:rPr>
              <w:t>上述地区之外的其它地区</w:t>
            </w:r>
          </w:p>
        </w:tc>
      </w:tr>
    </w:tbl>
    <w:p>
      <w:pPr>
        <w:pStyle w:val="BodyText"/>
        <w:spacing w:line="364" w:lineRule="auto" w:before="1"/>
        <w:ind w:left="478" w:right="353" w:firstLine="480"/>
        <w:jc w:val="both"/>
      </w:pPr>
      <w:r>
        <w:rPr/>
        <w:t>实地调查表明，项目评价范围内无集中式饮用水水源（包括已建成的在用、备用、</w:t>
      </w:r>
      <w:r>
        <w:rPr>
          <w:spacing w:val="-4"/>
        </w:rPr>
        <w:t>应急水源，在建和规划的饮用水水源</w:t>
      </w:r>
      <w:r>
        <w:rPr>
          <w:spacing w:val="-17"/>
        </w:rPr>
        <w:t>）</w:t>
      </w:r>
      <w:r>
        <w:rPr>
          <w:spacing w:val="-4"/>
        </w:rPr>
        <w:t>准保护区；除集中式饮用水水源以外的国家或地</w:t>
      </w:r>
      <w:r>
        <w:rPr>
          <w:spacing w:val="-7"/>
        </w:rPr>
        <w:t>方政府设定的与地下水环境相关的其它保护区，如热水、矿泉水、温泉等特殊地下水资源保护区。无集中式饮用水水源</w:t>
      </w:r>
      <w:r>
        <w:rPr/>
        <w:t>（</w:t>
      </w:r>
      <w:r>
        <w:rPr>
          <w:spacing w:val="-4"/>
        </w:rPr>
        <w:t>包括已建成的在用、备用、应急水源，在建和规划的饮用水水源</w:t>
      </w:r>
      <w:r>
        <w:rPr>
          <w:spacing w:val="-17"/>
        </w:rPr>
        <w:t>）</w:t>
      </w:r>
      <w:r>
        <w:rPr>
          <w:spacing w:val="-3"/>
        </w:rPr>
        <w:t>准保护区以外的补给径流区；未划定准保护区的集中水式饮用水水源，其</w:t>
      </w:r>
      <w:r>
        <w:rPr>
          <w:spacing w:val="-11"/>
        </w:rPr>
        <w:t>保护区以外的补给径流区；分散式饮用水水源地；特殊地下水资源</w:t>
      </w:r>
      <w:r>
        <w:rPr/>
        <w:t>（</w:t>
      </w:r>
      <w:r>
        <w:rPr>
          <w:spacing w:val="-7"/>
        </w:rPr>
        <w:t>如矿泉水、温泉等</w:t>
      </w:r>
      <w:r>
        <w:rPr>
          <w:spacing w:val="-14"/>
        </w:rPr>
        <w:t>） </w:t>
      </w:r>
      <w:r>
        <w:rPr/>
        <w:t>保护区以外的分布区等其他未列入上述敏感分级的环境敏感区。</w:t>
      </w:r>
    </w:p>
    <w:p>
      <w:pPr>
        <w:pStyle w:val="BodyText"/>
        <w:spacing w:line="304" w:lineRule="exact"/>
        <w:ind w:left="958"/>
      </w:pPr>
      <w:r>
        <w:rPr/>
        <w:t>本项目地下水环境敏感特征为不敏感。</w:t>
      </w:r>
    </w:p>
    <w:p>
      <w:pPr>
        <w:pStyle w:val="Heading3"/>
        <w:numPr>
          <w:ilvl w:val="3"/>
          <w:numId w:val="14"/>
        </w:numPr>
        <w:tabs>
          <w:tab w:pos="1319" w:val="left" w:leader="none"/>
        </w:tabs>
        <w:spacing w:line="240" w:lineRule="auto" w:before="162" w:after="0"/>
        <w:ind w:left="1318" w:right="0" w:hanging="841"/>
        <w:jc w:val="left"/>
      </w:pPr>
      <w:r>
        <w:rPr/>
        <w:t>建设项目评价工作等级</w:t>
      </w:r>
    </w:p>
    <w:p>
      <w:pPr>
        <w:pStyle w:val="BodyText"/>
        <w:spacing w:line="364" w:lineRule="auto" w:before="183"/>
        <w:ind w:left="478" w:right="298" w:firstLine="480"/>
      </w:pPr>
      <w:r>
        <w:rPr/>
        <w:t>根据《环境影响评价技术导则 地下水环境》（</w:t>
      </w:r>
      <w:r>
        <w:rPr>
          <w:rFonts w:ascii="Times New Roman" w:hAnsi="Times New Roman" w:eastAsia="Times New Roman"/>
        </w:rPr>
        <w:t>HJ610-2016</w:t>
      </w:r>
      <w:r>
        <w:rPr/>
        <w:t>），本项目为Ⅱ类项目， 地下水敏感程度为不敏感，地下水环境影评价等级为三级，见表 </w:t>
      </w:r>
      <w:r>
        <w:rPr>
          <w:rFonts w:ascii="Times New Roman" w:hAnsi="Times New Roman" w:eastAsia="Times New Roman"/>
        </w:rPr>
        <w:t>2.4-11</w:t>
      </w:r>
      <w:r>
        <w:rPr/>
        <w:t>。</w:t>
      </w:r>
    </w:p>
    <w:p>
      <w:pPr>
        <w:pStyle w:val="Heading4"/>
        <w:tabs>
          <w:tab w:pos="4147" w:val="left" w:leader="none"/>
        </w:tabs>
        <w:spacing w:line="306" w:lineRule="exact" w:after="3"/>
        <w:ind w:left="3000"/>
      </w:pPr>
      <w:r>
        <w:rPr/>
        <w:pict>
          <v:line style="position:absolute;mso-position-horizontal-relative:page;mso-position-vertical-relative:paragraph;z-index:-286048256" from="69.75pt,15.929996pt" to="208.65pt,72.629996pt" stroked="true" strokeweight=".5pt" strokecolor="#000000">
            <v:stroke dashstyle="solid"/>
            <w10:wrap type="none"/>
          </v:line>
        </w:pict>
      </w:r>
      <w:r>
        <w:rPr/>
        <w:t>表</w:t>
      </w:r>
      <w:r>
        <w:rPr>
          <w:spacing w:val="-60"/>
        </w:rPr>
        <w:t> </w:t>
      </w:r>
      <w:r>
        <w:rPr>
          <w:rFonts w:ascii="Times New Roman" w:eastAsia="Times New Roman"/>
          <w:spacing w:val="-3"/>
        </w:rPr>
        <w:t>2.4-11</w:t>
        <w:tab/>
      </w:r>
      <w:r>
        <w:rPr/>
        <w:t>建设项目评价工作等级分级</w:t>
      </w:r>
    </w:p>
    <w:tbl>
      <w:tblPr>
        <w:tblW w:w="0" w:type="auto"/>
        <w:jc w:val="lef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8"/>
        <w:gridCol w:w="2126"/>
        <w:gridCol w:w="2142"/>
        <w:gridCol w:w="2070"/>
      </w:tblGrid>
      <w:tr>
        <w:trPr>
          <w:trHeight w:val="1134" w:hRule="atLeast"/>
        </w:trPr>
        <w:tc>
          <w:tcPr>
            <w:tcW w:w="2788" w:type="dxa"/>
          </w:tcPr>
          <w:p>
            <w:pPr>
              <w:pStyle w:val="TableParagraph"/>
              <w:spacing w:line="269" w:lineRule="exact"/>
              <w:ind w:left="1530"/>
              <w:jc w:val="left"/>
              <w:rPr>
                <w:sz w:val="21"/>
              </w:rPr>
            </w:pPr>
            <w:r>
              <w:rPr>
                <w:sz w:val="21"/>
              </w:rPr>
              <w:t>项目类别</w:t>
            </w:r>
          </w:p>
          <w:p>
            <w:pPr>
              <w:pStyle w:val="TableParagraph"/>
              <w:jc w:val="left"/>
              <w:rPr>
                <w:b/>
                <w:sz w:val="20"/>
              </w:rPr>
            </w:pPr>
          </w:p>
          <w:p>
            <w:pPr>
              <w:pStyle w:val="TableParagraph"/>
              <w:spacing w:before="8"/>
              <w:jc w:val="left"/>
              <w:rPr>
                <w:b/>
                <w:sz w:val="16"/>
              </w:rPr>
            </w:pPr>
          </w:p>
          <w:p>
            <w:pPr>
              <w:pStyle w:val="TableParagraph"/>
              <w:spacing w:before="1"/>
              <w:ind w:left="28"/>
              <w:jc w:val="left"/>
              <w:rPr>
                <w:sz w:val="21"/>
              </w:rPr>
            </w:pPr>
            <w:r>
              <w:rPr>
                <w:sz w:val="21"/>
              </w:rPr>
              <w:t>环境敏感程度</w:t>
            </w:r>
          </w:p>
        </w:tc>
        <w:tc>
          <w:tcPr>
            <w:tcW w:w="2126" w:type="dxa"/>
          </w:tcPr>
          <w:p>
            <w:pPr>
              <w:pStyle w:val="TableParagraph"/>
              <w:jc w:val="left"/>
              <w:rPr>
                <w:b/>
                <w:sz w:val="20"/>
              </w:rPr>
            </w:pPr>
          </w:p>
          <w:p>
            <w:pPr>
              <w:pStyle w:val="TableParagraph"/>
              <w:spacing w:before="173"/>
              <w:ind w:left="622" w:right="614"/>
              <w:rPr>
                <w:sz w:val="21"/>
              </w:rPr>
            </w:pPr>
            <w:r>
              <w:rPr>
                <w:sz w:val="21"/>
              </w:rPr>
              <w:t>Ⅰ类项目</w:t>
            </w:r>
          </w:p>
        </w:tc>
        <w:tc>
          <w:tcPr>
            <w:tcW w:w="2142" w:type="dxa"/>
          </w:tcPr>
          <w:p>
            <w:pPr>
              <w:pStyle w:val="TableParagraph"/>
              <w:jc w:val="left"/>
              <w:rPr>
                <w:b/>
                <w:sz w:val="22"/>
              </w:rPr>
            </w:pPr>
          </w:p>
          <w:p>
            <w:pPr>
              <w:pStyle w:val="TableParagraph"/>
              <w:spacing w:before="147"/>
              <w:ind w:left="360" w:right="350"/>
              <w:rPr>
                <w:b/>
                <w:sz w:val="21"/>
              </w:rPr>
            </w:pPr>
            <w:r>
              <w:rPr>
                <w:b/>
                <w:sz w:val="21"/>
              </w:rPr>
              <w:t>Ⅱ类项目（</w:t>
            </w:r>
            <w:r>
              <w:rPr>
                <w:rFonts w:ascii="Times New Roman" w:hAnsi="Times New Roman" w:eastAsia="Times New Roman"/>
                <w:b/>
                <w:sz w:val="21"/>
              </w:rPr>
              <w:t>√</w:t>
            </w:r>
            <w:r>
              <w:rPr>
                <w:b/>
                <w:sz w:val="21"/>
              </w:rPr>
              <w:t>）</w:t>
            </w:r>
          </w:p>
        </w:tc>
        <w:tc>
          <w:tcPr>
            <w:tcW w:w="2070" w:type="dxa"/>
          </w:tcPr>
          <w:p>
            <w:pPr>
              <w:pStyle w:val="TableParagraph"/>
              <w:jc w:val="left"/>
              <w:rPr>
                <w:b/>
                <w:sz w:val="20"/>
              </w:rPr>
            </w:pPr>
          </w:p>
          <w:p>
            <w:pPr>
              <w:pStyle w:val="TableParagraph"/>
              <w:spacing w:before="173"/>
              <w:ind w:left="593" w:right="586"/>
              <w:rPr>
                <w:sz w:val="21"/>
              </w:rPr>
            </w:pPr>
            <w:r>
              <w:rPr>
                <w:sz w:val="21"/>
              </w:rPr>
              <w:t>Ⅲ类项目</w:t>
            </w:r>
          </w:p>
        </w:tc>
      </w:tr>
      <w:tr>
        <w:trPr>
          <w:trHeight w:val="436" w:hRule="atLeast"/>
        </w:trPr>
        <w:tc>
          <w:tcPr>
            <w:tcW w:w="2788" w:type="dxa"/>
          </w:tcPr>
          <w:p>
            <w:pPr>
              <w:pStyle w:val="TableParagraph"/>
              <w:spacing w:before="82"/>
              <w:ind w:left="1053" w:right="1049"/>
              <w:rPr>
                <w:sz w:val="21"/>
              </w:rPr>
            </w:pPr>
            <w:r>
              <w:rPr>
                <w:sz w:val="21"/>
              </w:rPr>
              <w:t>敏感</w:t>
            </w:r>
          </w:p>
        </w:tc>
        <w:tc>
          <w:tcPr>
            <w:tcW w:w="2126" w:type="dxa"/>
          </w:tcPr>
          <w:p>
            <w:pPr>
              <w:pStyle w:val="TableParagraph"/>
              <w:spacing w:before="82"/>
              <w:ind w:left="8"/>
              <w:rPr>
                <w:sz w:val="21"/>
              </w:rPr>
            </w:pPr>
            <w:r>
              <w:rPr>
                <w:w w:val="99"/>
                <w:sz w:val="21"/>
              </w:rPr>
              <w:t>一</w:t>
            </w:r>
          </w:p>
        </w:tc>
        <w:tc>
          <w:tcPr>
            <w:tcW w:w="2142" w:type="dxa"/>
          </w:tcPr>
          <w:p>
            <w:pPr>
              <w:pStyle w:val="TableParagraph"/>
              <w:spacing w:before="82"/>
              <w:ind w:left="7"/>
              <w:rPr>
                <w:sz w:val="21"/>
              </w:rPr>
            </w:pPr>
            <w:r>
              <w:rPr>
                <w:w w:val="99"/>
                <w:sz w:val="21"/>
              </w:rPr>
              <w:t>一</w:t>
            </w:r>
          </w:p>
        </w:tc>
        <w:tc>
          <w:tcPr>
            <w:tcW w:w="2070" w:type="dxa"/>
          </w:tcPr>
          <w:p>
            <w:pPr>
              <w:pStyle w:val="TableParagraph"/>
              <w:spacing w:before="82"/>
              <w:ind w:left="10"/>
              <w:rPr>
                <w:sz w:val="21"/>
              </w:rPr>
            </w:pPr>
            <w:r>
              <w:rPr>
                <w:w w:val="99"/>
                <w:sz w:val="21"/>
              </w:rPr>
              <w:t>二</w:t>
            </w:r>
          </w:p>
        </w:tc>
      </w:tr>
      <w:tr>
        <w:trPr>
          <w:trHeight w:val="400" w:hRule="atLeast"/>
        </w:trPr>
        <w:tc>
          <w:tcPr>
            <w:tcW w:w="2788" w:type="dxa"/>
          </w:tcPr>
          <w:p>
            <w:pPr>
              <w:pStyle w:val="TableParagraph"/>
              <w:spacing w:before="62"/>
              <w:ind w:left="1058" w:right="1049"/>
              <w:rPr>
                <w:sz w:val="21"/>
              </w:rPr>
            </w:pPr>
            <w:r>
              <w:rPr>
                <w:sz w:val="21"/>
              </w:rPr>
              <w:t>较敏感</w:t>
            </w:r>
          </w:p>
        </w:tc>
        <w:tc>
          <w:tcPr>
            <w:tcW w:w="2126" w:type="dxa"/>
          </w:tcPr>
          <w:p>
            <w:pPr>
              <w:pStyle w:val="TableParagraph"/>
              <w:spacing w:before="62"/>
              <w:ind w:left="8"/>
              <w:rPr>
                <w:sz w:val="21"/>
              </w:rPr>
            </w:pPr>
            <w:r>
              <w:rPr>
                <w:w w:val="99"/>
                <w:sz w:val="21"/>
              </w:rPr>
              <w:t>一</w:t>
            </w:r>
          </w:p>
        </w:tc>
        <w:tc>
          <w:tcPr>
            <w:tcW w:w="2142" w:type="dxa"/>
          </w:tcPr>
          <w:p>
            <w:pPr>
              <w:pStyle w:val="TableParagraph"/>
              <w:spacing w:before="62"/>
              <w:ind w:left="7"/>
              <w:rPr>
                <w:b/>
                <w:sz w:val="21"/>
              </w:rPr>
            </w:pPr>
            <w:r>
              <w:rPr>
                <w:b/>
                <w:w w:val="99"/>
                <w:sz w:val="21"/>
              </w:rPr>
              <w:t>二</w:t>
            </w:r>
          </w:p>
        </w:tc>
        <w:tc>
          <w:tcPr>
            <w:tcW w:w="2070" w:type="dxa"/>
          </w:tcPr>
          <w:p>
            <w:pPr>
              <w:pStyle w:val="TableParagraph"/>
              <w:spacing w:before="62"/>
              <w:ind w:left="10"/>
              <w:rPr>
                <w:sz w:val="21"/>
              </w:rPr>
            </w:pPr>
            <w:r>
              <w:rPr>
                <w:w w:val="99"/>
                <w:sz w:val="21"/>
              </w:rPr>
              <w:t>三</w:t>
            </w:r>
          </w:p>
        </w:tc>
      </w:tr>
      <w:tr>
        <w:trPr>
          <w:trHeight w:val="502" w:hRule="atLeast"/>
        </w:trPr>
        <w:tc>
          <w:tcPr>
            <w:tcW w:w="2788" w:type="dxa"/>
          </w:tcPr>
          <w:p>
            <w:pPr>
              <w:pStyle w:val="TableParagraph"/>
              <w:spacing w:before="113"/>
              <w:ind w:left="1058" w:right="1049"/>
              <w:rPr>
                <w:sz w:val="21"/>
              </w:rPr>
            </w:pPr>
            <w:r>
              <w:rPr>
                <w:sz w:val="21"/>
              </w:rPr>
              <w:t>不敏感</w:t>
            </w:r>
          </w:p>
        </w:tc>
        <w:tc>
          <w:tcPr>
            <w:tcW w:w="2126" w:type="dxa"/>
          </w:tcPr>
          <w:p>
            <w:pPr>
              <w:pStyle w:val="TableParagraph"/>
              <w:spacing w:before="113"/>
              <w:ind w:left="8"/>
              <w:rPr>
                <w:sz w:val="21"/>
              </w:rPr>
            </w:pPr>
            <w:r>
              <w:rPr>
                <w:w w:val="99"/>
                <w:sz w:val="21"/>
              </w:rPr>
              <w:t>二</w:t>
            </w:r>
          </w:p>
        </w:tc>
        <w:tc>
          <w:tcPr>
            <w:tcW w:w="2142" w:type="dxa"/>
          </w:tcPr>
          <w:p>
            <w:pPr>
              <w:pStyle w:val="TableParagraph"/>
              <w:spacing w:before="113"/>
              <w:ind w:left="357" w:right="350"/>
              <w:rPr>
                <w:b/>
                <w:sz w:val="21"/>
              </w:rPr>
            </w:pPr>
            <w:r>
              <w:rPr>
                <w:sz w:val="21"/>
              </w:rPr>
              <w:t>三</w:t>
            </w:r>
            <w:r>
              <w:rPr>
                <w:b/>
                <w:sz w:val="21"/>
              </w:rPr>
              <w:t>（</w:t>
            </w:r>
            <w:r>
              <w:rPr>
                <w:rFonts w:ascii="Times New Roman" w:hAnsi="Times New Roman" w:eastAsia="Times New Roman"/>
                <w:b/>
                <w:sz w:val="21"/>
              </w:rPr>
              <w:t>√</w:t>
            </w:r>
            <w:r>
              <w:rPr>
                <w:b/>
                <w:sz w:val="21"/>
              </w:rPr>
              <w:t>）</w:t>
            </w:r>
          </w:p>
        </w:tc>
        <w:tc>
          <w:tcPr>
            <w:tcW w:w="2070" w:type="dxa"/>
          </w:tcPr>
          <w:p>
            <w:pPr>
              <w:pStyle w:val="TableParagraph"/>
              <w:spacing w:before="113"/>
              <w:ind w:left="10"/>
              <w:rPr>
                <w:sz w:val="21"/>
              </w:rPr>
            </w:pPr>
            <w:r>
              <w:rPr>
                <w:w w:val="99"/>
                <w:sz w:val="21"/>
              </w:rPr>
              <w:t>三</w:t>
            </w:r>
          </w:p>
        </w:tc>
      </w:tr>
    </w:tbl>
    <w:p>
      <w:pPr>
        <w:pStyle w:val="BodyText"/>
        <w:spacing w:before="1"/>
        <w:ind w:left="958"/>
      </w:pPr>
      <w:bookmarkStart w:name="综上，本项目地下水环境影响评价等级为三级。" w:id="51"/>
      <w:bookmarkEnd w:id="51"/>
      <w:r>
        <w:rPr/>
      </w:r>
      <w:r>
        <w:rPr/>
        <w:t>综上，本项目地下水环境影响评价等级为三级。</w:t>
      </w:r>
    </w:p>
    <w:p>
      <w:pPr>
        <w:pStyle w:val="Heading3"/>
        <w:numPr>
          <w:ilvl w:val="2"/>
          <w:numId w:val="15"/>
        </w:numPr>
        <w:tabs>
          <w:tab w:pos="1108" w:val="left" w:leader="none"/>
        </w:tabs>
        <w:spacing w:line="240" w:lineRule="auto" w:before="161" w:after="0"/>
        <w:ind w:left="1107" w:right="0" w:hanging="630"/>
        <w:jc w:val="left"/>
      </w:pPr>
      <w:bookmarkStart w:name="2.4.5土壤环境" w:id="52"/>
      <w:bookmarkEnd w:id="52"/>
      <w:r>
        <w:rPr>
          <w:b w:val="0"/>
        </w:rPr>
      </w:r>
      <w:bookmarkStart w:name="2.4.5土壤环境" w:id="53"/>
      <w:bookmarkEnd w:id="53"/>
      <w:r>
        <w:rPr/>
        <w:t>土壤环境</w:t>
      </w:r>
    </w:p>
    <w:p>
      <w:pPr>
        <w:pStyle w:val="BodyText"/>
        <w:spacing w:line="362" w:lineRule="auto" w:before="185"/>
        <w:ind w:left="478" w:right="476" w:firstLine="480"/>
        <w:jc w:val="both"/>
      </w:pPr>
      <w:r>
        <w:rPr/>
        <w:t>根据《环境影响评价技术导则 土壤环境（试行）》（</w:t>
      </w:r>
      <w:r>
        <w:rPr>
          <w:rFonts w:ascii="Times New Roman" w:hAnsi="Times New Roman" w:eastAsia="Times New Roman"/>
        </w:rPr>
        <w:t>HJ964-2018</w:t>
      </w:r>
      <w:r>
        <w:rPr/>
        <w:t>）附录 </w:t>
      </w:r>
      <w:r>
        <w:rPr>
          <w:rFonts w:ascii="Times New Roman" w:hAnsi="Times New Roman" w:eastAsia="Times New Roman"/>
        </w:rPr>
        <w:t>A</w:t>
      </w:r>
      <w:r>
        <w:rPr/>
        <w:t>，本项目为煤矿采选项目，属Ⅱ类建设项目，详见表 </w:t>
      </w:r>
      <w:r>
        <w:rPr>
          <w:rFonts w:ascii="Times New Roman" w:hAnsi="Times New Roman" w:eastAsia="Times New Roman"/>
        </w:rPr>
        <w:t>2.4-12</w:t>
      </w:r>
      <w:r>
        <w:rPr/>
        <w:t>。</w:t>
      </w:r>
    </w:p>
    <w:p>
      <w:pPr>
        <w:pStyle w:val="BodyText"/>
        <w:spacing w:line="364" w:lineRule="auto" w:before="5"/>
        <w:ind w:left="478" w:right="473" w:firstLine="480"/>
        <w:jc w:val="both"/>
      </w:pPr>
      <w:r>
        <w:rPr>
          <w:spacing w:val="-5"/>
        </w:rPr>
        <w:t>井田开采区属于生态影响型，工业场地属于污染影响型。按照导则要求，分别判定</w:t>
      </w:r>
      <w:r>
        <w:rPr>
          <w:spacing w:val="-9"/>
        </w:rPr>
        <w:t>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rPr>
          <w:spacing w:val="-5"/>
        </w:rPr>
        <w:t>感区，评价等级为三级。见表 </w:t>
      </w:r>
      <w:r>
        <w:rPr>
          <w:rFonts w:ascii="Times New Roman" w:hAnsi="Times New Roman" w:eastAsia="Times New Roman"/>
        </w:rPr>
        <w:t>2.4-13</w:t>
      </w:r>
      <w:r>
        <w:rPr/>
        <w:t>。</w:t>
      </w:r>
    </w:p>
    <w:p>
      <w:pPr>
        <w:spacing w:after="0" w:line="364" w:lineRule="auto"/>
        <w:jc w:val="both"/>
        <w:sectPr>
          <w:pgSz w:w="11910" w:h="16840"/>
          <w:pgMar w:header="0" w:footer="913" w:top="1400" w:bottom="1180" w:left="940" w:right="940"/>
        </w:sectPr>
      </w:pPr>
    </w:p>
    <w:p>
      <w:pPr>
        <w:pStyle w:val="Heading4"/>
        <w:spacing w:before="61" w:after="3"/>
        <w:ind w:left="1373" w:right="1364"/>
        <w:jc w:val="center"/>
      </w:pPr>
      <w:r>
        <w:rPr/>
        <w:t>表 </w:t>
      </w:r>
      <w:r>
        <w:rPr>
          <w:rFonts w:ascii="Times New Roman" w:eastAsia="Times New Roman"/>
        </w:rPr>
        <w:t>2.4-12  </w:t>
      </w:r>
      <w:r>
        <w:rPr/>
        <w:t>土壤环境影响评价项目类别</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3"/>
        <w:gridCol w:w="1667"/>
        <w:gridCol w:w="3973"/>
        <w:gridCol w:w="1520"/>
        <w:gridCol w:w="893"/>
      </w:tblGrid>
      <w:tr>
        <w:trPr>
          <w:trHeight w:val="273" w:hRule="atLeast"/>
        </w:trPr>
        <w:tc>
          <w:tcPr>
            <w:tcW w:w="1233" w:type="dxa"/>
            <w:vMerge w:val="restart"/>
          </w:tcPr>
          <w:p>
            <w:pPr>
              <w:pStyle w:val="TableParagraph"/>
              <w:spacing w:before="20"/>
              <w:ind w:left="194"/>
              <w:jc w:val="left"/>
              <w:rPr>
                <w:b/>
                <w:sz w:val="21"/>
              </w:rPr>
            </w:pPr>
            <w:r>
              <w:rPr>
                <w:b/>
                <w:sz w:val="21"/>
              </w:rPr>
              <w:t>行业类别</w:t>
            </w:r>
          </w:p>
        </w:tc>
        <w:tc>
          <w:tcPr>
            <w:tcW w:w="8053" w:type="dxa"/>
            <w:gridSpan w:val="4"/>
          </w:tcPr>
          <w:p>
            <w:pPr>
              <w:pStyle w:val="TableParagraph"/>
              <w:spacing w:line="252" w:lineRule="exact" w:before="1"/>
              <w:ind w:left="3584" w:right="3574"/>
              <w:rPr>
                <w:b/>
                <w:sz w:val="21"/>
              </w:rPr>
            </w:pPr>
            <w:r>
              <w:rPr>
                <w:b/>
                <w:sz w:val="21"/>
              </w:rPr>
              <w:t>项目类别</w:t>
            </w:r>
          </w:p>
        </w:tc>
      </w:tr>
      <w:tr>
        <w:trPr>
          <w:trHeight w:val="271" w:hRule="atLeast"/>
        </w:trPr>
        <w:tc>
          <w:tcPr>
            <w:tcW w:w="1233" w:type="dxa"/>
            <w:vMerge/>
            <w:tcBorders>
              <w:top w:val="nil"/>
            </w:tcBorders>
          </w:tcPr>
          <w:p>
            <w:pPr>
              <w:rPr>
                <w:sz w:val="2"/>
                <w:szCs w:val="2"/>
              </w:rPr>
            </w:pPr>
          </w:p>
        </w:tc>
        <w:tc>
          <w:tcPr>
            <w:tcW w:w="1667" w:type="dxa"/>
          </w:tcPr>
          <w:p>
            <w:pPr>
              <w:pStyle w:val="TableParagraph"/>
              <w:spacing w:line="251" w:lineRule="exact" w:before="1"/>
              <w:ind w:left="7"/>
              <w:rPr>
                <w:b/>
                <w:sz w:val="21"/>
              </w:rPr>
            </w:pPr>
            <w:r>
              <w:rPr>
                <w:b/>
                <w:w w:val="99"/>
                <w:sz w:val="21"/>
              </w:rPr>
              <w:t>Ⅰ</w:t>
            </w:r>
          </w:p>
        </w:tc>
        <w:tc>
          <w:tcPr>
            <w:tcW w:w="3973" w:type="dxa"/>
          </w:tcPr>
          <w:p>
            <w:pPr>
              <w:pStyle w:val="TableParagraph"/>
              <w:spacing w:line="251" w:lineRule="exact" w:before="1"/>
              <w:ind w:left="7"/>
              <w:rPr>
                <w:b/>
                <w:sz w:val="21"/>
              </w:rPr>
            </w:pPr>
            <w:r>
              <w:rPr>
                <w:b/>
                <w:w w:val="99"/>
                <w:sz w:val="21"/>
              </w:rPr>
              <w:t>Ⅱ</w:t>
            </w:r>
          </w:p>
        </w:tc>
        <w:tc>
          <w:tcPr>
            <w:tcW w:w="1520" w:type="dxa"/>
          </w:tcPr>
          <w:p>
            <w:pPr>
              <w:pStyle w:val="TableParagraph"/>
              <w:spacing w:line="251" w:lineRule="exact" w:before="1"/>
              <w:ind w:left="6"/>
              <w:rPr>
                <w:b/>
                <w:sz w:val="21"/>
              </w:rPr>
            </w:pPr>
            <w:r>
              <w:rPr>
                <w:b/>
                <w:w w:val="99"/>
                <w:sz w:val="21"/>
              </w:rPr>
              <w:t>Ⅲ</w:t>
            </w:r>
          </w:p>
        </w:tc>
        <w:tc>
          <w:tcPr>
            <w:tcW w:w="893" w:type="dxa"/>
          </w:tcPr>
          <w:p>
            <w:pPr>
              <w:pStyle w:val="TableParagraph"/>
              <w:spacing w:line="251" w:lineRule="exact" w:before="1"/>
              <w:ind w:left="7"/>
              <w:rPr>
                <w:b/>
                <w:sz w:val="21"/>
              </w:rPr>
            </w:pPr>
            <w:r>
              <w:rPr>
                <w:b/>
                <w:w w:val="99"/>
                <w:sz w:val="21"/>
              </w:rPr>
              <w:t>Ⅳ</w:t>
            </w:r>
          </w:p>
        </w:tc>
      </w:tr>
      <w:tr>
        <w:trPr>
          <w:trHeight w:val="817" w:hRule="atLeast"/>
        </w:trPr>
        <w:tc>
          <w:tcPr>
            <w:tcW w:w="1233" w:type="dxa"/>
          </w:tcPr>
          <w:p>
            <w:pPr>
              <w:pStyle w:val="TableParagraph"/>
              <w:spacing w:before="2"/>
              <w:jc w:val="left"/>
              <w:rPr>
                <w:b/>
                <w:sz w:val="21"/>
              </w:rPr>
            </w:pPr>
          </w:p>
          <w:p>
            <w:pPr>
              <w:pStyle w:val="TableParagraph"/>
              <w:ind w:left="300"/>
              <w:jc w:val="left"/>
              <w:rPr>
                <w:sz w:val="21"/>
              </w:rPr>
            </w:pPr>
            <w:r>
              <w:rPr>
                <w:sz w:val="21"/>
              </w:rPr>
              <w:t>采矿业</w:t>
            </w:r>
          </w:p>
        </w:tc>
        <w:tc>
          <w:tcPr>
            <w:tcW w:w="1667" w:type="dxa"/>
          </w:tcPr>
          <w:p>
            <w:pPr>
              <w:pStyle w:val="TableParagraph"/>
              <w:spacing w:line="242" w:lineRule="auto" w:before="137"/>
              <w:ind w:left="307" w:right="77" w:hanging="200"/>
              <w:jc w:val="left"/>
              <w:rPr>
                <w:sz w:val="21"/>
              </w:rPr>
            </w:pPr>
            <w:r>
              <w:rPr>
                <w:sz w:val="21"/>
              </w:rPr>
              <w:t>金属矿、石油、页岩油开采</w:t>
            </w:r>
          </w:p>
        </w:tc>
        <w:tc>
          <w:tcPr>
            <w:tcW w:w="3973" w:type="dxa"/>
          </w:tcPr>
          <w:p>
            <w:pPr>
              <w:pStyle w:val="TableParagraph"/>
              <w:spacing w:line="242" w:lineRule="auto"/>
              <w:ind w:left="79" w:right="69"/>
              <w:rPr>
                <w:sz w:val="21"/>
              </w:rPr>
            </w:pPr>
            <w:r>
              <w:rPr>
                <w:w w:val="95"/>
                <w:sz w:val="21"/>
              </w:rPr>
              <w:t>化学矿采选；石棉矿采选；煤矿采选、天然气开采、页岩气开采、砂岩气开采、煤</w:t>
            </w:r>
          </w:p>
          <w:p>
            <w:pPr>
              <w:pStyle w:val="TableParagraph"/>
              <w:spacing w:line="252" w:lineRule="exact" w:before="1"/>
              <w:ind w:left="76" w:right="69"/>
              <w:rPr>
                <w:sz w:val="21"/>
              </w:rPr>
            </w:pPr>
            <w:r>
              <w:rPr>
                <w:sz w:val="21"/>
              </w:rPr>
              <w:t>层气开采（含净化、液化）</w:t>
            </w:r>
          </w:p>
        </w:tc>
        <w:tc>
          <w:tcPr>
            <w:tcW w:w="1520" w:type="dxa"/>
          </w:tcPr>
          <w:p>
            <w:pPr>
              <w:pStyle w:val="TableParagraph"/>
              <w:spacing w:before="2"/>
              <w:jc w:val="left"/>
              <w:rPr>
                <w:b/>
                <w:sz w:val="21"/>
              </w:rPr>
            </w:pPr>
          </w:p>
          <w:p>
            <w:pPr>
              <w:pStyle w:val="TableParagraph"/>
              <w:ind w:left="529" w:right="521"/>
              <w:rPr>
                <w:sz w:val="21"/>
              </w:rPr>
            </w:pPr>
            <w:r>
              <w:rPr>
                <w:sz w:val="21"/>
              </w:rPr>
              <w:t>其他</w:t>
            </w:r>
          </w:p>
        </w:tc>
        <w:tc>
          <w:tcPr>
            <w:tcW w:w="893" w:type="dxa"/>
          </w:tcPr>
          <w:p>
            <w:pPr>
              <w:pStyle w:val="TableParagraph"/>
              <w:jc w:val="left"/>
              <w:rPr>
                <w:rFonts w:ascii="Times New Roman"/>
                <w:sz w:val="22"/>
              </w:rPr>
            </w:pPr>
          </w:p>
        </w:tc>
      </w:tr>
    </w:tbl>
    <w:p>
      <w:pPr>
        <w:tabs>
          <w:tab w:pos="1171" w:val="left" w:leader="none"/>
        </w:tabs>
        <w:spacing w:before="2"/>
        <w:ind w:left="12" w:right="0" w:firstLine="0"/>
        <w:jc w:val="center"/>
        <w:rPr>
          <w:b/>
          <w:sz w:val="24"/>
        </w:rPr>
      </w:pPr>
      <w:r>
        <w:rPr/>
        <w:pict>
          <v:shape style="position:absolute;margin-left:67.017998pt;margin-top:23.131001pt;width:114.3pt;height:56.55pt;mso-position-horizontal-relative:page;mso-position-vertical-relative:paragraph;z-index:-286046208" coordorigin="1340,463" coordsize="2286,1131" path="m3620,1593l1340,473,1346,463,3626,1583,3620,1593xe" filled="true" fillcolor="#000000" stroked="false">
            <v:path arrowok="t"/>
            <v:fill type="solid"/>
            <w10:wrap type="none"/>
          </v:shape>
        </w:pict>
      </w:r>
      <w:r>
        <w:rPr>
          <w:b/>
          <w:sz w:val="24"/>
        </w:rPr>
        <w:t>表</w:t>
      </w:r>
      <w:r>
        <w:rPr>
          <w:b/>
          <w:spacing w:val="-62"/>
          <w:sz w:val="24"/>
        </w:rPr>
        <w:t> </w:t>
      </w:r>
      <w:r>
        <w:rPr>
          <w:rFonts w:ascii="Times New Roman" w:eastAsia="Times New Roman"/>
          <w:b/>
          <w:sz w:val="24"/>
        </w:rPr>
        <w:t>2.4-13</w:t>
        <w:tab/>
      </w:r>
      <w:r>
        <w:rPr>
          <w:b/>
          <w:sz w:val="24"/>
        </w:rPr>
        <w:t>井田开采区评价工作等级分级表</w:t>
      </w:r>
    </w:p>
    <w:p>
      <w:pPr>
        <w:pStyle w:val="BodyText"/>
        <w:spacing w:before="4"/>
        <w:rPr>
          <w:b/>
          <w:sz w:val="12"/>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1691"/>
        <w:gridCol w:w="1825"/>
        <w:gridCol w:w="1780"/>
        <w:gridCol w:w="1669"/>
      </w:tblGrid>
      <w:tr>
        <w:trPr>
          <w:trHeight w:val="1179" w:hRule="atLeast"/>
        </w:trPr>
        <w:tc>
          <w:tcPr>
            <w:tcW w:w="2321" w:type="dxa"/>
          </w:tcPr>
          <w:p>
            <w:pPr>
              <w:pStyle w:val="TableParagraph"/>
              <w:spacing w:line="268" w:lineRule="exact"/>
              <w:ind w:left="1053"/>
              <w:jc w:val="left"/>
              <w:rPr>
                <w:sz w:val="21"/>
              </w:rPr>
            </w:pPr>
            <w:r>
              <w:rPr>
                <w:sz w:val="21"/>
              </w:rPr>
              <w:t>项目类别</w:t>
            </w:r>
          </w:p>
          <w:p>
            <w:pPr>
              <w:pStyle w:val="TableParagraph"/>
              <w:jc w:val="left"/>
              <w:rPr>
                <w:b/>
                <w:sz w:val="20"/>
              </w:rPr>
            </w:pPr>
          </w:p>
          <w:p>
            <w:pPr>
              <w:pStyle w:val="TableParagraph"/>
              <w:spacing w:before="1"/>
              <w:jc w:val="left"/>
              <w:rPr>
                <w:b/>
                <w:sz w:val="19"/>
              </w:rPr>
            </w:pPr>
          </w:p>
          <w:p>
            <w:pPr>
              <w:pStyle w:val="TableParagraph"/>
              <w:ind w:left="108"/>
              <w:jc w:val="left"/>
              <w:rPr>
                <w:sz w:val="21"/>
              </w:rPr>
            </w:pPr>
            <w:r>
              <w:rPr>
                <w:sz w:val="21"/>
              </w:rPr>
              <w:t>环境敏感程度</w:t>
            </w:r>
          </w:p>
        </w:tc>
        <w:tc>
          <w:tcPr>
            <w:tcW w:w="1691" w:type="dxa"/>
          </w:tcPr>
          <w:p>
            <w:pPr>
              <w:pStyle w:val="TableParagraph"/>
              <w:jc w:val="left"/>
              <w:rPr>
                <w:b/>
                <w:sz w:val="20"/>
              </w:rPr>
            </w:pPr>
          </w:p>
          <w:p>
            <w:pPr>
              <w:pStyle w:val="TableParagraph"/>
              <w:spacing w:before="4"/>
              <w:jc w:val="left"/>
              <w:rPr>
                <w:b/>
                <w:sz w:val="15"/>
              </w:rPr>
            </w:pPr>
          </w:p>
          <w:p>
            <w:pPr>
              <w:pStyle w:val="TableParagraph"/>
              <w:ind w:left="403" w:right="397"/>
              <w:rPr>
                <w:sz w:val="21"/>
              </w:rPr>
            </w:pPr>
            <w:r>
              <w:rPr>
                <w:sz w:val="21"/>
              </w:rPr>
              <w:t>Ⅰ类项目</w:t>
            </w:r>
          </w:p>
        </w:tc>
        <w:tc>
          <w:tcPr>
            <w:tcW w:w="1825" w:type="dxa"/>
          </w:tcPr>
          <w:p>
            <w:pPr>
              <w:pStyle w:val="TableParagraph"/>
              <w:jc w:val="left"/>
              <w:rPr>
                <w:b/>
                <w:sz w:val="20"/>
              </w:rPr>
            </w:pPr>
          </w:p>
          <w:p>
            <w:pPr>
              <w:pStyle w:val="TableParagraph"/>
              <w:spacing w:before="4"/>
              <w:jc w:val="left"/>
              <w:rPr>
                <w:b/>
                <w:sz w:val="15"/>
              </w:rPr>
            </w:pPr>
          </w:p>
          <w:p>
            <w:pPr>
              <w:pStyle w:val="TableParagraph"/>
              <w:ind w:left="470" w:right="464"/>
              <w:rPr>
                <w:sz w:val="21"/>
              </w:rPr>
            </w:pPr>
            <w:r>
              <w:rPr>
                <w:sz w:val="21"/>
              </w:rPr>
              <w:t>Ⅱ类项目</w:t>
            </w:r>
          </w:p>
        </w:tc>
        <w:tc>
          <w:tcPr>
            <w:tcW w:w="1780" w:type="dxa"/>
          </w:tcPr>
          <w:p>
            <w:pPr>
              <w:pStyle w:val="TableParagraph"/>
              <w:jc w:val="left"/>
              <w:rPr>
                <w:b/>
                <w:sz w:val="20"/>
              </w:rPr>
            </w:pPr>
          </w:p>
          <w:p>
            <w:pPr>
              <w:pStyle w:val="TableParagraph"/>
              <w:spacing w:before="4"/>
              <w:jc w:val="left"/>
              <w:rPr>
                <w:b/>
                <w:sz w:val="15"/>
              </w:rPr>
            </w:pPr>
          </w:p>
          <w:p>
            <w:pPr>
              <w:pStyle w:val="TableParagraph"/>
              <w:ind w:left="449" w:right="441"/>
              <w:rPr>
                <w:sz w:val="21"/>
              </w:rPr>
            </w:pPr>
            <w:r>
              <w:rPr>
                <w:sz w:val="21"/>
              </w:rPr>
              <w:t>Ⅲ类项目</w:t>
            </w:r>
          </w:p>
        </w:tc>
        <w:tc>
          <w:tcPr>
            <w:tcW w:w="1669" w:type="dxa"/>
          </w:tcPr>
          <w:p>
            <w:pPr>
              <w:pStyle w:val="TableParagraph"/>
              <w:jc w:val="left"/>
              <w:rPr>
                <w:b/>
                <w:sz w:val="20"/>
              </w:rPr>
            </w:pPr>
          </w:p>
          <w:p>
            <w:pPr>
              <w:pStyle w:val="TableParagraph"/>
              <w:spacing w:before="4"/>
              <w:jc w:val="left"/>
              <w:rPr>
                <w:b/>
                <w:sz w:val="15"/>
              </w:rPr>
            </w:pPr>
          </w:p>
          <w:p>
            <w:pPr>
              <w:pStyle w:val="TableParagraph"/>
              <w:ind w:left="204"/>
              <w:jc w:val="left"/>
              <w:rPr>
                <w:sz w:val="21"/>
              </w:rPr>
            </w:pPr>
            <w:r>
              <w:rPr>
                <w:sz w:val="21"/>
              </w:rPr>
              <w:t>评价工作等级</w:t>
            </w:r>
          </w:p>
        </w:tc>
      </w:tr>
      <w:tr>
        <w:trPr>
          <w:trHeight w:val="445" w:hRule="atLeast"/>
        </w:trPr>
        <w:tc>
          <w:tcPr>
            <w:tcW w:w="2321" w:type="dxa"/>
          </w:tcPr>
          <w:p>
            <w:pPr>
              <w:pStyle w:val="TableParagraph"/>
              <w:spacing w:before="87"/>
              <w:ind w:left="807" w:right="800"/>
              <w:rPr>
                <w:sz w:val="21"/>
              </w:rPr>
            </w:pPr>
            <w:r>
              <w:rPr>
                <w:sz w:val="21"/>
              </w:rPr>
              <w:t>敏感</w:t>
            </w:r>
          </w:p>
        </w:tc>
        <w:tc>
          <w:tcPr>
            <w:tcW w:w="1691" w:type="dxa"/>
          </w:tcPr>
          <w:p>
            <w:pPr>
              <w:pStyle w:val="TableParagraph"/>
              <w:spacing w:before="87"/>
              <w:ind w:left="400" w:right="397"/>
              <w:rPr>
                <w:sz w:val="21"/>
              </w:rPr>
            </w:pPr>
            <w:r>
              <w:rPr>
                <w:sz w:val="21"/>
              </w:rPr>
              <w:t>一级</w:t>
            </w:r>
          </w:p>
        </w:tc>
        <w:tc>
          <w:tcPr>
            <w:tcW w:w="1825" w:type="dxa"/>
          </w:tcPr>
          <w:p>
            <w:pPr>
              <w:pStyle w:val="TableParagraph"/>
              <w:spacing w:before="87"/>
              <w:ind w:left="470" w:right="464"/>
              <w:rPr>
                <w:sz w:val="21"/>
              </w:rPr>
            </w:pPr>
            <w:r>
              <w:rPr>
                <w:sz w:val="21"/>
              </w:rPr>
              <w:t>二级</w:t>
            </w:r>
          </w:p>
        </w:tc>
        <w:tc>
          <w:tcPr>
            <w:tcW w:w="1780" w:type="dxa"/>
          </w:tcPr>
          <w:p>
            <w:pPr>
              <w:pStyle w:val="TableParagraph"/>
              <w:spacing w:before="87"/>
              <w:ind w:left="447" w:right="441"/>
              <w:rPr>
                <w:sz w:val="21"/>
              </w:rPr>
            </w:pPr>
            <w:r>
              <w:rPr>
                <w:sz w:val="21"/>
              </w:rPr>
              <w:t>三级</w:t>
            </w:r>
          </w:p>
        </w:tc>
        <w:tc>
          <w:tcPr>
            <w:tcW w:w="1669" w:type="dxa"/>
            <w:vMerge w:val="restart"/>
          </w:tcPr>
          <w:p>
            <w:pPr>
              <w:pStyle w:val="TableParagraph"/>
              <w:jc w:val="left"/>
              <w:rPr>
                <w:b/>
                <w:sz w:val="20"/>
              </w:rPr>
            </w:pPr>
          </w:p>
          <w:p>
            <w:pPr>
              <w:pStyle w:val="TableParagraph"/>
              <w:spacing w:before="4"/>
              <w:jc w:val="left"/>
              <w:rPr>
                <w:b/>
                <w:sz w:val="22"/>
              </w:rPr>
            </w:pPr>
          </w:p>
          <w:p>
            <w:pPr>
              <w:pStyle w:val="TableParagraph"/>
              <w:spacing w:before="1"/>
              <w:ind w:left="603" w:right="595"/>
              <w:rPr>
                <w:sz w:val="21"/>
              </w:rPr>
            </w:pPr>
            <w:r>
              <w:rPr>
                <w:sz w:val="21"/>
              </w:rPr>
              <w:t>三级</w:t>
            </w:r>
          </w:p>
        </w:tc>
      </w:tr>
      <w:tr>
        <w:trPr>
          <w:trHeight w:val="445" w:hRule="atLeast"/>
        </w:trPr>
        <w:tc>
          <w:tcPr>
            <w:tcW w:w="2321" w:type="dxa"/>
          </w:tcPr>
          <w:p>
            <w:pPr>
              <w:pStyle w:val="TableParagraph"/>
              <w:spacing w:before="87"/>
              <w:ind w:left="807" w:right="800"/>
              <w:rPr>
                <w:sz w:val="21"/>
              </w:rPr>
            </w:pPr>
            <w:r>
              <w:rPr>
                <w:sz w:val="21"/>
              </w:rPr>
              <w:t>较敏感</w:t>
            </w:r>
          </w:p>
        </w:tc>
        <w:tc>
          <w:tcPr>
            <w:tcW w:w="1691" w:type="dxa"/>
          </w:tcPr>
          <w:p>
            <w:pPr>
              <w:pStyle w:val="TableParagraph"/>
              <w:spacing w:before="87"/>
              <w:ind w:left="400" w:right="397"/>
              <w:rPr>
                <w:sz w:val="21"/>
              </w:rPr>
            </w:pPr>
            <w:r>
              <w:rPr>
                <w:sz w:val="21"/>
              </w:rPr>
              <w:t>二级</w:t>
            </w:r>
          </w:p>
        </w:tc>
        <w:tc>
          <w:tcPr>
            <w:tcW w:w="1825" w:type="dxa"/>
          </w:tcPr>
          <w:p>
            <w:pPr>
              <w:pStyle w:val="TableParagraph"/>
              <w:spacing w:before="87"/>
              <w:ind w:left="470" w:right="464"/>
              <w:rPr>
                <w:sz w:val="21"/>
              </w:rPr>
            </w:pPr>
            <w:r>
              <w:rPr>
                <w:sz w:val="21"/>
              </w:rPr>
              <w:t>二级</w:t>
            </w:r>
          </w:p>
        </w:tc>
        <w:tc>
          <w:tcPr>
            <w:tcW w:w="1780" w:type="dxa"/>
          </w:tcPr>
          <w:p>
            <w:pPr>
              <w:pStyle w:val="TableParagraph"/>
              <w:spacing w:before="87"/>
              <w:ind w:left="447" w:right="441"/>
              <w:rPr>
                <w:sz w:val="21"/>
              </w:rPr>
            </w:pPr>
            <w:r>
              <w:rPr>
                <w:sz w:val="21"/>
              </w:rPr>
              <w:t>三级</w:t>
            </w:r>
          </w:p>
        </w:tc>
        <w:tc>
          <w:tcPr>
            <w:tcW w:w="1669" w:type="dxa"/>
            <w:vMerge/>
            <w:tcBorders>
              <w:top w:val="nil"/>
            </w:tcBorders>
          </w:tcPr>
          <w:p>
            <w:pPr>
              <w:rPr>
                <w:sz w:val="2"/>
                <w:szCs w:val="2"/>
              </w:rPr>
            </w:pPr>
          </w:p>
        </w:tc>
      </w:tr>
      <w:tr>
        <w:trPr>
          <w:trHeight w:val="446" w:hRule="atLeast"/>
        </w:trPr>
        <w:tc>
          <w:tcPr>
            <w:tcW w:w="2321" w:type="dxa"/>
          </w:tcPr>
          <w:p>
            <w:pPr>
              <w:pStyle w:val="TableParagraph"/>
              <w:spacing w:before="87"/>
              <w:ind w:left="807" w:right="800"/>
              <w:rPr>
                <w:sz w:val="21"/>
              </w:rPr>
            </w:pPr>
            <w:r>
              <w:rPr>
                <w:sz w:val="21"/>
              </w:rPr>
              <w:t>不敏感</w:t>
            </w:r>
          </w:p>
        </w:tc>
        <w:tc>
          <w:tcPr>
            <w:tcW w:w="1691" w:type="dxa"/>
          </w:tcPr>
          <w:p>
            <w:pPr>
              <w:pStyle w:val="TableParagraph"/>
              <w:spacing w:before="87"/>
              <w:ind w:left="400" w:right="397"/>
              <w:rPr>
                <w:sz w:val="21"/>
              </w:rPr>
            </w:pPr>
            <w:r>
              <w:rPr>
                <w:sz w:val="21"/>
              </w:rPr>
              <w:t>二级</w:t>
            </w:r>
          </w:p>
        </w:tc>
        <w:tc>
          <w:tcPr>
            <w:tcW w:w="1825" w:type="dxa"/>
          </w:tcPr>
          <w:p>
            <w:pPr>
              <w:pStyle w:val="TableParagraph"/>
              <w:spacing w:before="87"/>
              <w:ind w:left="470" w:right="464"/>
              <w:rPr>
                <w:sz w:val="21"/>
              </w:rPr>
            </w:pPr>
            <w:r>
              <w:rPr>
                <w:sz w:val="21"/>
              </w:rPr>
              <w:t>三级√</w:t>
            </w:r>
          </w:p>
        </w:tc>
        <w:tc>
          <w:tcPr>
            <w:tcW w:w="1780" w:type="dxa"/>
          </w:tcPr>
          <w:p>
            <w:pPr>
              <w:pStyle w:val="TableParagraph"/>
              <w:spacing w:before="101"/>
              <w:ind w:left="8"/>
              <w:rPr>
                <w:rFonts w:ascii="Times New Roman" w:hAnsi="Times New Roman"/>
                <w:sz w:val="21"/>
              </w:rPr>
            </w:pPr>
            <w:r>
              <w:rPr>
                <w:rFonts w:ascii="Times New Roman" w:hAnsi="Times New Roman"/>
                <w:w w:val="99"/>
                <w:sz w:val="21"/>
              </w:rPr>
              <w:t>—</w:t>
            </w:r>
          </w:p>
        </w:tc>
        <w:tc>
          <w:tcPr>
            <w:tcW w:w="1669" w:type="dxa"/>
            <w:vMerge/>
            <w:tcBorders>
              <w:top w:val="nil"/>
            </w:tcBorders>
          </w:tcPr>
          <w:p>
            <w:pPr>
              <w:rPr>
                <w:sz w:val="2"/>
                <w:szCs w:val="2"/>
              </w:rPr>
            </w:pPr>
          </w:p>
        </w:tc>
      </w:tr>
      <w:tr>
        <w:trPr>
          <w:trHeight w:val="446" w:hRule="atLeast"/>
        </w:trPr>
        <w:tc>
          <w:tcPr>
            <w:tcW w:w="9286" w:type="dxa"/>
            <w:gridSpan w:val="5"/>
          </w:tcPr>
          <w:p>
            <w:pPr>
              <w:pStyle w:val="TableParagraph"/>
              <w:spacing w:before="87"/>
              <w:ind w:left="108"/>
              <w:jc w:val="left"/>
              <w:rPr>
                <w:sz w:val="21"/>
              </w:rPr>
            </w:pPr>
            <w:r>
              <w:rPr>
                <w:sz w:val="21"/>
              </w:rPr>
              <w:t>注：</w:t>
            </w:r>
            <w:r>
              <w:rPr>
                <w:rFonts w:ascii="Times New Roman" w:hAnsi="Times New Roman" w:eastAsia="Times New Roman"/>
                <w:sz w:val="21"/>
              </w:rPr>
              <w:t>“—”</w:t>
            </w:r>
            <w:r>
              <w:rPr>
                <w:sz w:val="21"/>
              </w:rPr>
              <w:t>表示可不开展土壤环境影响评价工作</w:t>
            </w:r>
          </w:p>
        </w:tc>
      </w:tr>
    </w:tbl>
    <w:p>
      <w:pPr>
        <w:pStyle w:val="BodyText"/>
        <w:spacing w:line="362" w:lineRule="auto" w:before="2"/>
        <w:ind w:left="478" w:right="431" w:firstLine="480"/>
      </w:pPr>
      <w:r>
        <w:rPr/>
        <w:t>本项目工业广场永久占地面积 </w:t>
      </w:r>
      <w:r>
        <w:rPr>
          <w:rFonts w:ascii="Times New Roman" w:eastAsia="Times New Roman"/>
        </w:rPr>
        <w:t>2.34hm</w:t>
      </w:r>
      <w:r>
        <w:rPr>
          <w:rFonts w:ascii="Times New Roman" w:eastAsia="Times New Roman"/>
          <w:position w:val="8"/>
          <w:sz w:val="15"/>
        </w:rPr>
        <w:t>2</w:t>
      </w:r>
      <w:r>
        <w:rPr/>
        <w:t>，工业广场占地规模为小型。污染影响型建设项目占地规模见表 </w:t>
      </w:r>
      <w:r>
        <w:rPr>
          <w:rFonts w:ascii="Times New Roman" w:eastAsia="Times New Roman"/>
        </w:rPr>
        <w:t>2.4-14</w:t>
      </w:r>
      <w:r>
        <w:rPr/>
        <w:t>。</w:t>
      </w:r>
    </w:p>
    <w:p>
      <w:pPr>
        <w:pStyle w:val="Heading4"/>
        <w:tabs>
          <w:tab w:pos="4272" w:val="left" w:leader="none"/>
        </w:tabs>
        <w:spacing w:before="5"/>
        <w:ind w:left="3113"/>
      </w:pPr>
      <w:r>
        <w:rPr/>
        <w:pict>
          <v:shape style="position:absolute;margin-left:67.017998pt;margin-top:23.322004pt;width:114.3pt;height:56.55pt;mso-position-horizontal-relative:page;mso-position-vertical-relative:paragraph;z-index:-286047232" coordorigin="1340,466" coordsize="2286,1131" path="m3620,1597l1340,477,1346,466,3626,1586,3620,1597xe" filled="true" fillcolor="#000000" stroked="false">
            <v:path arrowok="t"/>
            <v:fill type="solid"/>
            <w10:wrap type="none"/>
          </v:shape>
        </w:pict>
      </w:r>
      <w:r>
        <w:rPr/>
        <w:t>表</w:t>
      </w:r>
      <w:r>
        <w:rPr>
          <w:spacing w:val="-62"/>
        </w:rPr>
        <w:t> </w:t>
      </w:r>
      <w:r>
        <w:rPr>
          <w:rFonts w:ascii="Times New Roman" w:eastAsia="Times New Roman"/>
        </w:rPr>
        <w:t>2.4-14</w:t>
        <w:tab/>
      </w:r>
      <w:r>
        <w:rPr/>
        <w:t>污染影响型建设项目占地</w:t>
      </w:r>
    </w:p>
    <w:p>
      <w:pPr>
        <w:pStyle w:val="BodyText"/>
        <w:spacing w:before="4"/>
        <w:rPr>
          <w:b/>
          <w:sz w:val="12"/>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1"/>
        <w:gridCol w:w="2321"/>
        <w:gridCol w:w="2322"/>
        <w:gridCol w:w="2322"/>
      </w:tblGrid>
      <w:tr>
        <w:trPr>
          <w:trHeight w:val="1179" w:hRule="atLeast"/>
        </w:trPr>
        <w:tc>
          <w:tcPr>
            <w:tcW w:w="2321" w:type="dxa"/>
          </w:tcPr>
          <w:p>
            <w:pPr>
              <w:pStyle w:val="TableParagraph"/>
              <w:spacing w:before="1"/>
              <w:ind w:left="811" w:right="597"/>
              <w:rPr>
                <w:sz w:val="21"/>
              </w:rPr>
            </w:pPr>
            <w:r>
              <w:rPr>
                <w:sz w:val="21"/>
              </w:rPr>
              <w:t>类型</w:t>
            </w:r>
          </w:p>
          <w:p>
            <w:pPr>
              <w:pStyle w:val="TableParagraph"/>
              <w:jc w:val="left"/>
              <w:rPr>
                <w:b/>
                <w:sz w:val="20"/>
              </w:rPr>
            </w:pPr>
          </w:p>
          <w:p>
            <w:pPr>
              <w:pStyle w:val="TableParagraph"/>
              <w:spacing w:before="1"/>
              <w:jc w:val="left"/>
              <w:rPr>
                <w:b/>
                <w:sz w:val="19"/>
              </w:rPr>
            </w:pPr>
          </w:p>
          <w:p>
            <w:pPr>
              <w:pStyle w:val="TableParagraph"/>
              <w:ind w:left="108"/>
              <w:jc w:val="left"/>
              <w:rPr>
                <w:sz w:val="21"/>
              </w:rPr>
            </w:pPr>
            <w:r>
              <w:rPr>
                <w:sz w:val="21"/>
              </w:rPr>
              <w:t>占地类型</w:t>
            </w:r>
          </w:p>
        </w:tc>
        <w:tc>
          <w:tcPr>
            <w:tcW w:w="2321" w:type="dxa"/>
          </w:tcPr>
          <w:p>
            <w:pPr>
              <w:pStyle w:val="TableParagraph"/>
              <w:jc w:val="left"/>
              <w:rPr>
                <w:b/>
                <w:sz w:val="20"/>
              </w:rPr>
            </w:pPr>
          </w:p>
          <w:p>
            <w:pPr>
              <w:pStyle w:val="TableParagraph"/>
              <w:spacing w:before="128"/>
              <w:ind w:left="807" w:right="800"/>
              <w:rPr>
                <w:sz w:val="21"/>
              </w:rPr>
            </w:pPr>
            <w:r>
              <w:rPr>
                <w:sz w:val="21"/>
              </w:rPr>
              <w:t>大型</w:t>
            </w:r>
          </w:p>
        </w:tc>
        <w:tc>
          <w:tcPr>
            <w:tcW w:w="2322" w:type="dxa"/>
          </w:tcPr>
          <w:p>
            <w:pPr>
              <w:pStyle w:val="TableParagraph"/>
              <w:jc w:val="left"/>
              <w:rPr>
                <w:b/>
                <w:sz w:val="20"/>
              </w:rPr>
            </w:pPr>
          </w:p>
          <w:p>
            <w:pPr>
              <w:pStyle w:val="TableParagraph"/>
              <w:spacing w:before="128"/>
              <w:ind w:left="691" w:right="685"/>
              <w:rPr>
                <w:sz w:val="21"/>
              </w:rPr>
            </w:pPr>
            <w:r>
              <w:rPr>
                <w:sz w:val="21"/>
              </w:rPr>
              <w:t>中型</w:t>
            </w:r>
          </w:p>
        </w:tc>
        <w:tc>
          <w:tcPr>
            <w:tcW w:w="2322" w:type="dxa"/>
          </w:tcPr>
          <w:p>
            <w:pPr>
              <w:pStyle w:val="TableParagraph"/>
              <w:jc w:val="left"/>
              <w:rPr>
                <w:b/>
                <w:sz w:val="20"/>
              </w:rPr>
            </w:pPr>
          </w:p>
          <w:p>
            <w:pPr>
              <w:pStyle w:val="TableParagraph"/>
              <w:spacing w:before="128"/>
              <w:ind w:left="693" w:right="685"/>
              <w:rPr>
                <w:sz w:val="21"/>
              </w:rPr>
            </w:pPr>
            <w:r>
              <w:rPr>
                <w:sz w:val="21"/>
              </w:rPr>
              <w:t>小型</w:t>
            </w:r>
          </w:p>
        </w:tc>
      </w:tr>
      <w:tr>
        <w:trPr>
          <w:trHeight w:val="445" w:hRule="atLeast"/>
        </w:trPr>
        <w:tc>
          <w:tcPr>
            <w:tcW w:w="2321" w:type="dxa"/>
          </w:tcPr>
          <w:p>
            <w:pPr>
              <w:pStyle w:val="TableParagraph"/>
              <w:spacing w:before="86"/>
              <w:ind w:left="633"/>
              <w:jc w:val="left"/>
              <w:rPr>
                <w:sz w:val="21"/>
              </w:rPr>
            </w:pPr>
            <w:r>
              <w:rPr>
                <w:sz w:val="21"/>
              </w:rPr>
              <w:t>永久占地面</w:t>
            </w:r>
          </w:p>
        </w:tc>
        <w:tc>
          <w:tcPr>
            <w:tcW w:w="2321" w:type="dxa"/>
          </w:tcPr>
          <w:p>
            <w:pPr>
              <w:pStyle w:val="TableParagraph"/>
              <w:spacing w:before="100"/>
              <w:ind w:left="811" w:right="800"/>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Pr>
          <w:p>
            <w:pPr>
              <w:pStyle w:val="TableParagraph"/>
              <w:spacing w:before="100"/>
              <w:ind w:left="693" w:right="681"/>
              <w:rPr>
                <w:rFonts w:ascii="Times New Roman"/>
                <w:sz w:val="13"/>
              </w:rPr>
            </w:pPr>
            <w:r>
              <w:rPr>
                <w:rFonts w:ascii="Times New Roman"/>
                <w:sz w:val="21"/>
              </w:rPr>
              <w:t>5~50hm</w:t>
            </w:r>
            <w:r>
              <w:rPr>
                <w:rFonts w:ascii="Times New Roman"/>
                <w:position w:val="7"/>
                <w:sz w:val="13"/>
              </w:rPr>
              <w:t>2</w:t>
            </w:r>
          </w:p>
        </w:tc>
        <w:tc>
          <w:tcPr>
            <w:tcW w:w="2322" w:type="dxa"/>
          </w:tcPr>
          <w:p>
            <w:pPr>
              <w:pStyle w:val="TableParagraph"/>
              <w:spacing w:before="100"/>
              <w:ind w:left="693" w:right="684"/>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BodyText"/>
        <w:spacing w:line="364" w:lineRule="auto" w:before="1"/>
        <w:ind w:left="478" w:right="414" w:firstLine="480"/>
      </w:pPr>
      <w:r>
        <w:rPr/>
        <w:t>本项目用地性质为建设用地，属其他情况，项目周围为农田和有林地，敏感程度为敏感，污染影响型敏感程度分级表见表 </w:t>
      </w:r>
      <w:r>
        <w:rPr>
          <w:rFonts w:ascii="Times New Roman" w:eastAsia="Times New Roman"/>
        </w:rPr>
        <w:t>2.4-15</w:t>
      </w:r>
      <w:r>
        <w:rPr/>
        <w:t>。</w:t>
      </w:r>
    </w:p>
    <w:p>
      <w:pPr>
        <w:tabs>
          <w:tab w:pos="4152" w:val="left" w:leader="none"/>
        </w:tabs>
        <w:spacing w:line="306" w:lineRule="exact" w:before="0" w:after="3"/>
        <w:ind w:left="2993" w:right="0" w:firstLine="0"/>
        <w:jc w:val="left"/>
        <w:rPr>
          <w:b/>
          <w:sz w:val="24"/>
        </w:rPr>
      </w:pPr>
      <w:r>
        <w:rPr>
          <w:b/>
          <w:sz w:val="24"/>
        </w:rPr>
        <w:t>表</w:t>
      </w:r>
      <w:r>
        <w:rPr>
          <w:b/>
          <w:spacing w:val="-62"/>
          <w:sz w:val="24"/>
        </w:rPr>
        <w:t> </w:t>
      </w:r>
      <w:r>
        <w:rPr>
          <w:rFonts w:ascii="Times New Roman" w:eastAsia="Times New Roman"/>
          <w:sz w:val="24"/>
        </w:rPr>
        <w:t>2.4-15</w:t>
        <w:tab/>
      </w:r>
      <w:r>
        <w:rPr>
          <w:b/>
          <w:sz w:val="24"/>
        </w:rPr>
        <w:t>污染影响型敏感程度分级表</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3"/>
        <w:gridCol w:w="7133"/>
      </w:tblGrid>
      <w:tr>
        <w:trPr>
          <w:trHeight w:val="272" w:hRule="atLeast"/>
        </w:trPr>
        <w:tc>
          <w:tcPr>
            <w:tcW w:w="2153" w:type="dxa"/>
          </w:tcPr>
          <w:p>
            <w:pPr>
              <w:pStyle w:val="TableParagraph"/>
              <w:spacing w:line="252" w:lineRule="exact"/>
              <w:ind w:left="634" w:right="624"/>
              <w:rPr>
                <w:b/>
                <w:sz w:val="21"/>
              </w:rPr>
            </w:pPr>
            <w:r>
              <w:rPr>
                <w:b/>
                <w:sz w:val="21"/>
              </w:rPr>
              <w:t>敏感程度</w:t>
            </w:r>
          </w:p>
        </w:tc>
        <w:tc>
          <w:tcPr>
            <w:tcW w:w="7133" w:type="dxa"/>
          </w:tcPr>
          <w:p>
            <w:pPr>
              <w:pStyle w:val="TableParagraph"/>
              <w:spacing w:line="252" w:lineRule="exact"/>
              <w:ind w:left="500" w:right="488"/>
              <w:rPr>
                <w:b/>
                <w:sz w:val="21"/>
              </w:rPr>
            </w:pPr>
            <w:r>
              <w:rPr>
                <w:b/>
                <w:sz w:val="21"/>
              </w:rPr>
              <w:t>判别依据</w:t>
            </w:r>
          </w:p>
        </w:tc>
      </w:tr>
      <w:tr>
        <w:trPr>
          <w:trHeight w:val="545" w:hRule="atLeast"/>
        </w:trPr>
        <w:tc>
          <w:tcPr>
            <w:tcW w:w="2153" w:type="dxa"/>
          </w:tcPr>
          <w:p>
            <w:pPr>
              <w:pStyle w:val="TableParagraph"/>
              <w:spacing w:before="135"/>
              <w:ind w:left="631" w:right="624"/>
              <w:rPr>
                <w:sz w:val="21"/>
              </w:rPr>
            </w:pPr>
            <w:r>
              <w:rPr>
                <w:sz w:val="21"/>
              </w:rPr>
              <w:t>敏感</w:t>
            </w:r>
          </w:p>
        </w:tc>
        <w:tc>
          <w:tcPr>
            <w:tcW w:w="7133" w:type="dxa"/>
          </w:tcPr>
          <w:p>
            <w:pPr>
              <w:pStyle w:val="TableParagraph"/>
              <w:spacing w:before="1"/>
              <w:ind w:left="500" w:right="493"/>
              <w:rPr>
                <w:sz w:val="21"/>
              </w:rPr>
            </w:pPr>
            <w:r>
              <w:rPr>
                <w:sz w:val="21"/>
              </w:rPr>
              <w:t>建设项目周边存在耕地、园地、牧草地、饮用水水源地或居民区、</w:t>
            </w:r>
          </w:p>
          <w:p>
            <w:pPr>
              <w:pStyle w:val="TableParagraph"/>
              <w:spacing w:line="253" w:lineRule="exact" w:before="2"/>
              <w:ind w:left="498" w:right="493"/>
              <w:rPr>
                <w:sz w:val="21"/>
              </w:rPr>
            </w:pPr>
            <w:r>
              <w:rPr>
                <w:sz w:val="21"/>
              </w:rPr>
              <w:t>学校、医院、疗养院、养老院等土壤环境敏感目标的</w:t>
            </w:r>
          </w:p>
        </w:tc>
      </w:tr>
      <w:tr>
        <w:trPr>
          <w:trHeight w:val="271" w:hRule="atLeast"/>
        </w:trPr>
        <w:tc>
          <w:tcPr>
            <w:tcW w:w="2153" w:type="dxa"/>
          </w:tcPr>
          <w:p>
            <w:pPr>
              <w:pStyle w:val="TableParagraph"/>
              <w:spacing w:line="251" w:lineRule="exact"/>
              <w:ind w:left="631" w:right="624"/>
              <w:rPr>
                <w:sz w:val="21"/>
              </w:rPr>
            </w:pPr>
            <w:r>
              <w:rPr>
                <w:sz w:val="21"/>
              </w:rPr>
              <w:t>较敏感</w:t>
            </w:r>
          </w:p>
        </w:tc>
        <w:tc>
          <w:tcPr>
            <w:tcW w:w="7133" w:type="dxa"/>
          </w:tcPr>
          <w:p>
            <w:pPr>
              <w:pStyle w:val="TableParagraph"/>
              <w:spacing w:line="251" w:lineRule="exact"/>
              <w:ind w:left="498" w:right="493"/>
              <w:rPr>
                <w:sz w:val="21"/>
              </w:rPr>
            </w:pPr>
            <w:r>
              <w:rPr>
                <w:sz w:val="21"/>
              </w:rPr>
              <w:t>建设项目周边存在其他土壤环境敏感目标的</w:t>
            </w:r>
          </w:p>
        </w:tc>
      </w:tr>
      <w:tr>
        <w:trPr>
          <w:trHeight w:val="273" w:hRule="atLeast"/>
        </w:trPr>
        <w:tc>
          <w:tcPr>
            <w:tcW w:w="2153" w:type="dxa"/>
          </w:tcPr>
          <w:p>
            <w:pPr>
              <w:pStyle w:val="TableParagraph"/>
              <w:spacing w:line="251" w:lineRule="exact" w:before="1"/>
              <w:ind w:left="631" w:right="624"/>
              <w:rPr>
                <w:sz w:val="21"/>
              </w:rPr>
            </w:pPr>
            <w:r>
              <w:rPr>
                <w:sz w:val="21"/>
              </w:rPr>
              <w:t>不敏感</w:t>
            </w:r>
          </w:p>
        </w:tc>
        <w:tc>
          <w:tcPr>
            <w:tcW w:w="7133" w:type="dxa"/>
          </w:tcPr>
          <w:p>
            <w:pPr>
              <w:pStyle w:val="TableParagraph"/>
              <w:spacing w:line="251" w:lineRule="exact" w:before="1"/>
              <w:ind w:left="500" w:right="493"/>
              <w:rPr>
                <w:sz w:val="21"/>
              </w:rPr>
            </w:pPr>
            <w:r>
              <w:rPr>
                <w:sz w:val="21"/>
              </w:rPr>
              <w:t>其他情况</w:t>
            </w:r>
          </w:p>
        </w:tc>
      </w:tr>
    </w:tbl>
    <w:p>
      <w:pPr>
        <w:pStyle w:val="BodyText"/>
        <w:spacing w:before="1"/>
        <w:ind w:left="958"/>
      </w:pPr>
      <w:r>
        <w:rPr/>
        <w:t>根据表 </w:t>
      </w:r>
      <w:r>
        <w:rPr>
          <w:rFonts w:ascii="Times New Roman" w:eastAsia="Times New Roman"/>
        </w:rPr>
        <w:t>2.4-12~2.4-15</w:t>
      </w:r>
      <w:r>
        <w:rPr/>
        <w:t>，判断本项目工业广场土壤环境评价工作等级。</w:t>
      </w:r>
    </w:p>
    <w:p>
      <w:pPr>
        <w:pStyle w:val="BodyText"/>
        <w:spacing w:line="364" w:lineRule="auto" w:before="160"/>
        <w:ind w:left="478" w:right="348" w:firstLine="480"/>
      </w:pPr>
      <w:r>
        <w:rPr/>
        <w:t>根据《环境影响评价技术导则 土壤环境（试行）》（</w:t>
      </w:r>
      <w:r>
        <w:rPr>
          <w:rFonts w:ascii="Times New Roman" w:eastAsia="Times New Roman"/>
        </w:rPr>
        <w:t>HJ964-2018</w:t>
      </w:r>
      <w:r>
        <w:rPr/>
        <w:t>），煤矿开采为</w:t>
      </w:r>
      <w:r>
        <w:rPr>
          <w:rFonts w:ascii="Times New Roman" w:eastAsia="Times New Roman"/>
        </w:rPr>
        <w:t>II</w:t>
      </w:r>
      <w:r>
        <w:rPr>
          <w:rFonts w:ascii="Times New Roman" w:eastAsia="Times New Roman"/>
          <w:spacing w:val="9"/>
        </w:rPr>
        <w:t> </w:t>
      </w:r>
      <w:r>
        <w:rPr>
          <w:spacing w:val="-9"/>
        </w:rPr>
        <w:t>类项目；工业广场占地面积为 </w:t>
      </w:r>
      <w:r>
        <w:rPr>
          <w:rFonts w:ascii="Times New Roman" w:eastAsia="Times New Roman"/>
          <w:spacing w:val="-4"/>
        </w:rPr>
        <w:t>2.34hm</w:t>
      </w:r>
      <w:r>
        <w:rPr>
          <w:rFonts w:ascii="Times New Roman" w:eastAsia="Times New Roman"/>
          <w:spacing w:val="-4"/>
          <w:position w:val="8"/>
          <w:sz w:val="15"/>
        </w:rPr>
        <w:t>2</w:t>
      </w:r>
      <w:r>
        <w:rPr>
          <w:spacing w:val="-4"/>
        </w:rPr>
        <w:t>，工业广场占地面积＜</w:t>
      </w:r>
      <w:r>
        <w:rPr>
          <w:rFonts w:ascii="Times New Roman" w:eastAsia="Times New Roman"/>
          <w:spacing w:val="-5"/>
        </w:rPr>
        <w:t>5hm</w:t>
      </w:r>
      <w:r>
        <w:rPr>
          <w:rFonts w:ascii="Times New Roman" w:eastAsia="Times New Roman"/>
          <w:spacing w:val="-5"/>
          <w:position w:val="8"/>
          <w:sz w:val="15"/>
        </w:rPr>
        <w:t>2</w:t>
      </w:r>
      <w:r>
        <w:rPr>
          <w:spacing w:val="-3"/>
        </w:rPr>
        <w:t>，占地类型为小型； </w:t>
      </w:r>
      <w:r>
        <w:rPr>
          <w:spacing w:val="-4"/>
        </w:rPr>
        <w:t>项目工业广场占地为建设用地，周围为耕地和林地，环境敏感，污染影响型评价工作等</w:t>
      </w:r>
      <w:r>
        <w:rPr>
          <w:spacing w:val="-12"/>
        </w:rPr>
        <w:t>级划分表见表 </w:t>
      </w:r>
      <w:r>
        <w:rPr>
          <w:rFonts w:ascii="Times New Roman" w:eastAsia="Times New Roman"/>
        </w:rPr>
        <w:t>2.4-16</w:t>
      </w:r>
      <w:r>
        <w:rPr/>
        <w:t>。</w:t>
      </w:r>
    </w:p>
    <w:p>
      <w:pPr>
        <w:pStyle w:val="Heading4"/>
        <w:spacing w:line="305" w:lineRule="exact"/>
        <w:ind w:left="2813"/>
      </w:pPr>
      <w:r>
        <w:rPr/>
        <w:t>表 </w:t>
      </w:r>
      <w:r>
        <w:rPr>
          <w:rFonts w:ascii="Times New Roman" w:eastAsia="Times New Roman"/>
        </w:rPr>
        <w:t>2.4-16  </w:t>
      </w:r>
      <w:r>
        <w:rPr/>
        <w:t>污染影响型评价工作等级划分表</w:t>
      </w:r>
    </w:p>
    <w:p>
      <w:pPr>
        <w:spacing w:after="0" w:line="305" w:lineRule="exact"/>
        <w:sectPr>
          <w:pgSz w:w="11910" w:h="16840"/>
          <w:pgMar w:header="0" w:footer="913" w:top="134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0"/>
        <w:gridCol w:w="741"/>
        <w:gridCol w:w="740"/>
        <w:gridCol w:w="740"/>
        <w:gridCol w:w="741"/>
        <w:gridCol w:w="740"/>
        <w:gridCol w:w="741"/>
        <w:gridCol w:w="740"/>
        <w:gridCol w:w="734"/>
        <w:gridCol w:w="739"/>
      </w:tblGrid>
      <w:tr>
        <w:trPr>
          <w:trHeight w:val="440" w:hRule="atLeast"/>
        </w:trPr>
        <w:tc>
          <w:tcPr>
            <w:tcW w:w="2630" w:type="dxa"/>
            <w:vMerge w:val="restart"/>
          </w:tcPr>
          <w:p>
            <w:pPr>
              <w:pStyle w:val="TableParagraph"/>
              <w:tabs>
                <w:tab w:pos="1576" w:val="left" w:leader="none"/>
              </w:tabs>
              <w:spacing w:before="141"/>
              <w:ind w:left="211"/>
              <w:jc w:val="left"/>
              <w:rPr>
                <w:sz w:val="21"/>
              </w:rPr>
            </w:pPr>
            <w:r>
              <w:rPr>
                <w:sz w:val="21"/>
              </w:rPr>
              <w:t>评价等级</w:t>
              <w:tab/>
              <w:t>占地规模</w:t>
            </w:r>
          </w:p>
          <w:p>
            <w:pPr>
              <w:pStyle w:val="TableParagraph"/>
              <w:spacing w:before="173"/>
              <w:ind w:left="108"/>
              <w:jc w:val="left"/>
              <w:rPr>
                <w:sz w:val="21"/>
              </w:rPr>
            </w:pPr>
            <w:r>
              <w:rPr>
                <w:sz w:val="21"/>
              </w:rPr>
              <w:t>敏感程度</w:t>
            </w:r>
          </w:p>
        </w:tc>
        <w:tc>
          <w:tcPr>
            <w:tcW w:w="2221" w:type="dxa"/>
            <w:gridSpan w:val="3"/>
          </w:tcPr>
          <w:p>
            <w:pPr>
              <w:pStyle w:val="TableParagraph"/>
              <w:spacing w:before="141"/>
              <w:ind w:left="879" w:right="871"/>
              <w:rPr>
                <w:sz w:val="21"/>
              </w:rPr>
            </w:pPr>
            <w:r>
              <w:rPr>
                <w:sz w:val="21"/>
              </w:rPr>
              <w:t>Ⅰ类</w:t>
            </w:r>
          </w:p>
        </w:tc>
        <w:tc>
          <w:tcPr>
            <w:tcW w:w="2222" w:type="dxa"/>
            <w:gridSpan w:val="3"/>
          </w:tcPr>
          <w:p>
            <w:pPr>
              <w:pStyle w:val="TableParagraph"/>
              <w:spacing w:before="141"/>
              <w:ind w:left="879" w:right="872"/>
              <w:rPr>
                <w:sz w:val="21"/>
              </w:rPr>
            </w:pPr>
            <w:r>
              <w:rPr>
                <w:sz w:val="21"/>
              </w:rPr>
              <w:t>Ⅱ类</w:t>
            </w:r>
          </w:p>
        </w:tc>
        <w:tc>
          <w:tcPr>
            <w:tcW w:w="2213" w:type="dxa"/>
            <w:gridSpan w:val="3"/>
          </w:tcPr>
          <w:p>
            <w:pPr>
              <w:pStyle w:val="TableParagraph"/>
              <w:spacing w:before="141"/>
              <w:ind w:left="875" w:right="868"/>
              <w:rPr>
                <w:sz w:val="21"/>
              </w:rPr>
            </w:pPr>
            <w:r>
              <w:rPr>
                <w:sz w:val="21"/>
              </w:rPr>
              <w:t>Ⅲ类</w:t>
            </w:r>
          </w:p>
        </w:tc>
      </w:tr>
      <w:tr>
        <w:trPr>
          <w:trHeight w:val="440" w:hRule="atLeast"/>
        </w:trPr>
        <w:tc>
          <w:tcPr>
            <w:tcW w:w="2630" w:type="dxa"/>
            <w:vMerge/>
            <w:tcBorders>
              <w:top w:val="nil"/>
            </w:tcBorders>
          </w:tcPr>
          <w:p>
            <w:pPr>
              <w:rPr>
                <w:sz w:val="2"/>
                <w:szCs w:val="2"/>
              </w:rPr>
            </w:pPr>
          </w:p>
        </w:tc>
        <w:tc>
          <w:tcPr>
            <w:tcW w:w="741" w:type="dxa"/>
          </w:tcPr>
          <w:p>
            <w:pPr>
              <w:pStyle w:val="TableParagraph"/>
              <w:spacing w:before="143"/>
              <w:ind w:left="7"/>
              <w:rPr>
                <w:sz w:val="21"/>
              </w:rPr>
            </w:pPr>
            <w:r>
              <w:rPr>
                <w:w w:val="99"/>
                <w:sz w:val="21"/>
              </w:rPr>
              <w:t>大</w:t>
            </w:r>
          </w:p>
        </w:tc>
        <w:tc>
          <w:tcPr>
            <w:tcW w:w="740" w:type="dxa"/>
          </w:tcPr>
          <w:p>
            <w:pPr>
              <w:pStyle w:val="TableParagraph"/>
              <w:spacing w:before="143"/>
              <w:ind w:left="9"/>
              <w:rPr>
                <w:sz w:val="21"/>
              </w:rPr>
            </w:pPr>
            <w:r>
              <w:rPr>
                <w:w w:val="99"/>
                <w:sz w:val="21"/>
              </w:rPr>
              <w:t>中</w:t>
            </w:r>
          </w:p>
        </w:tc>
        <w:tc>
          <w:tcPr>
            <w:tcW w:w="740" w:type="dxa"/>
          </w:tcPr>
          <w:p>
            <w:pPr>
              <w:pStyle w:val="TableParagraph"/>
              <w:spacing w:before="143"/>
              <w:ind w:left="7"/>
              <w:rPr>
                <w:sz w:val="21"/>
              </w:rPr>
            </w:pPr>
            <w:r>
              <w:rPr>
                <w:w w:val="99"/>
                <w:sz w:val="21"/>
              </w:rPr>
              <w:t>小</w:t>
            </w:r>
          </w:p>
        </w:tc>
        <w:tc>
          <w:tcPr>
            <w:tcW w:w="741" w:type="dxa"/>
          </w:tcPr>
          <w:p>
            <w:pPr>
              <w:pStyle w:val="TableParagraph"/>
              <w:spacing w:before="143"/>
              <w:ind w:left="5"/>
              <w:rPr>
                <w:sz w:val="21"/>
              </w:rPr>
            </w:pPr>
            <w:r>
              <w:rPr>
                <w:w w:val="99"/>
                <w:sz w:val="21"/>
              </w:rPr>
              <w:t>大</w:t>
            </w:r>
          </w:p>
        </w:tc>
        <w:tc>
          <w:tcPr>
            <w:tcW w:w="740" w:type="dxa"/>
          </w:tcPr>
          <w:p>
            <w:pPr>
              <w:pStyle w:val="TableParagraph"/>
              <w:spacing w:before="143"/>
              <w:ind w:left="7"/>
              <w:rPr>
                <w:sz w:val="21"/>
              </w:rPr>
            </w:pPr>
            <w:r>
              <w:rPr>
                <w:w w:val="99"/>
                <w:sz w:val="21"/>
              </w:rPr>
              <w:t>中</w:t>
            </w:r>
          </w:p>
        </w:tc>
        <w:tc>
          <w:tcPr>
            <w:tcW w:w="741" w:type="dxa"/>
          </w:tcPr>
          <w:p>
            <w:pPr>
              <w:pStyle w:val="TableParagraph"/>
              <w:spacing w:before="143"/>
              <w:ind w:left="9"/>
              <w:rPr>
                <w:sz w:val="21"/>
              </w:rPr>
            </w:pPr>
            <w:r>
              <w:rPr>
                <w:w w:val="99"/>
                <w:sz w:val="21"/>
              </w:rPr>
              <w:t>小</w:t>
            </w:r>
          </w:p>
        </w:tc>
        <w:tc>
          <w:tcPr>
            <w:tcW w:w="740" w:type="dxa"/>
          </w:tcPr>
          <w:p>
            <w:pPr>
              <w:pStyle w:val="TableParagraph"/>
              <w:spacing w:before="143"/>
              <w:ind w:left="6"/>
              <w:rPr>
                <w:sz w:val="21"/>
              </w:rPr>
            </w:pPr>
            <w:r>
              <w:rPr>
                <w:w w:val="99"/>
                <w:sz w:val="21"/>
              </w:rPr>
              <w:t>大</w:t>
            </w:r>
          </w:p>
        </w:tc>
        <w:tc>
          <w:tcPr>
            <w:tcW w:w="734" w:type="dxa"/>
          </w:tcPr>
          <w:p>
            <w:pPr>
              <w:pStyle w:val="TableParagraph"/>
              <w:spacing w:before="143"/>
              <w:ind w:left="6"/>
              <w:rPr>
                <w:sz w:val="21"/>
              </w:rPr>
            </w:pPr>
            <w:r>
              <w:rPr>
                <w:w w:val="99"/>
                <w:sz w:val="21"/>
              </w:rPr>
              <w:t>中</w:t>
            </w:r>
          </w:p>
        </w:tc>
        <w:tc>
          <w:tcPr>
            <w:tcW w:w="739" w:type="dxa"/>
          </w:tcPr>
          <w:p>
            <w:pPr>
              <w:pStyle w:val="TableParagraph"/>
              <w:spacing w:before="143"/>
              <w:ind w:left="7"/>
              <w:rPr>
                <w:sz w:val="21"/>
              </w:rPr>
            </w:pPr>
            <w:r>
              <w:rPr>
                <w:w w:val="99"/>
                <w:sz w:val="21"/>
              </w:rPr>
              <w:t>小</w:t>
            </w:r>
          </w:p>
        </w:tc>
      </w:tr>
      <w:tr>
        <w:trPr>
          <w:trHeight w:val="440" w:hRule="atLeast"/>
        </w:trPr>
        <w:tc>
          <w:tcPr>
            <w:tcW w:w="2630" w:type="dxa"/>
          </w:tcPr>
          <w:p>
            <w:pPr>
              <w:pStyle w:val="TableParagraph"/>
              <w:spacing w:before="141"/>
              <w:ind w:left="978" w:right="972"/>
              <w:rPr>
                <w:sz w:val="21"/>
              </w:rPr>
            </w:pPr>
            <w:r>
              <w:rPr>
                <w:sz w:val="21"/>
              </w:rPr>
              <w:t>敏感</w:t>
            </w:r>
          </w:p>
        </w:tc>
        <w:tc>
          <w:tcPr>
            <w:tcW w:w="741" w:type="dxa"/>
          </w:tcPr>
          <w:p>
            <w:pPr>
              <w:pStyle w:val="TableParagraph"/>
              <w:spacing w:before="141"/>
              <w:ind w:left="136" w:right="132"/>
              <w:rPr>
                <w:sz w:val="21"/>
              </w:rPr>
            </w:pPr>
            <w:r>
              <w:rPr>
                <w:sz w:val="21"/>
              </w:rPr>
              <w:t>一级</w:t>
            </w:r>
          </w:p>
        </w:tc>
        <w:tc>
          <w:tcPr>
            <w:tcW w:w="740" w:type="dxa"/>
          </w:tcPr>
          <w:p>
            <w:pPr>
              <w:pStyle w:val="TableParagraph"/>
              <w:spacing w:before="141"/>
              <w:ind w:left="136" w:right="130"/>
              <w:rPr>
                <w:sz w:val="21"/>
              </w:rPr>
            </w:pPr>
            <w:r>
              <w:rPr>
                <w:sz w:val="21"/>
              </w:rPr>
              <w:t>一级</w:t>
            </w:r>
          </w:p>
        </w:tc>
        <w:tc>
          <w:tcPr>
            <w:tcW w:w="740" w:type="dxa"/>
          </w:tcPr>
          <w:p>
            <w:pPr>
              <w:pStyle w:val="TableParagraph"/>
              <w:spacing w:before="141"/>
              <w:ind w:left="135" w:right="130"/>
              <w:rPr>
                <w:sz w:val="21"/>
              </w:rPr>
            </w:pPr>
            <w:r>
              <w:rPr>
                <w:sz w:val="21"/>
              </w:rPr>
              <w:t>一级</w:t>
            </w:r>
          </w:p>
        </w:tc>
        <w:tc>
          <w:tcPr>
            <w:tcW w:w="741" w:type="dxa"/>
          </w:tcPr>
          <w:p>
            <w:pPr>
              <w:pStyle w:val="TableParagraph"/>
              <w:spacing w:before="141"/>
              <w:ind w:left="137" w:right="130"/>
              <w:rPr>
                <w:sz w:val="21"/>
              </w:rPr>
            </w:pPr>
            <w:r>
              <w:rPr>
                <w:sz w:val="21"/>
              </w:rPr>
              <w:t>二级</w:t>
            </w:r>
          </w:p>
        </w:tc>
        <w:tc>
          <w:tcPr>
            <w:tcW w:w="740" w:type="dxa"/>
          </w:tcPr>
          <w:p>
            <w:pPr>
              <w:pStyle w:val="TableParagraph"/>
              <w:spacing w:before="141"/>
              <w:ind w:left="134" w:right="130"/>
              <w:rPr>
                <w:sz w:val="21"/>
              </w:rPr>
            </w:pPr>
            <w:r>
              <w:rPr>
                <w:sz w:val="21"/>
              </w:rPr>
              <w:t>二级</w:t>
            </w:r>
          </w:p>
        </w:tc>
        <w:tc>
          <w:tcPr>
            <w:tcW w:w="741" w:type="dxa"/>
          </w:tcPr>
          <w:p>
            <w:pPr>
              <w:pStyle w:val="TableParagraph"/>
              <w:spacing w:before="141"/>
              <w:ind w:left="137" w:right="130"/>
              <w:rPr>
                <w:sz w:val="21"/>
              </w:rPr>
            </w:pPr>
            <w:r>
              <w:rPr>
                <w:sz w:val="21"/>
              </w:rPr>
              <w:t>二级</w:t>
            </w:r>
          </w:p>
        </w:tc>
        <w:tc>
          <w:tcPr>
            <w:tcW w:w="740" w:type="dxa"/>
          </w:tcPr>
          <w:p>
            <w:pPr>
              <w:pStyle w:val="TableParagraph"/>
              <w:spacing w:before="141"/>
              <w:ind w:left="137" w:right="128"/>
              <w:rPr>
                <w:sz w:val="21"/>
              </w:rPr>
            </w:pPr>
            <w:r>
              <w:rPr>
                <w:sz w:val="21"/>
              </w:rPr>
              <w:t>三级</w:t>
            </w:r>
          </w:p>
        </w:tc>
        <w:tc>
          <w:tcPr>
            <w:tcW w:w="734" w:type="dxa"/>
          </w:tcPr>
          <w:p>
            <w:pPr>
              <w:pStyle w:val="TableParagraph"/>
              <w:spacing w:before="141"/>
              <w:ind w:left="136" w:right="128"/>
              <w:rPr>
                <w:sz w:val="21"/>
              </w:rPr>
            </w:pPr>
            <w:r>
              <w:rPr>
                <w:sz w:val="21"/>
              </w:rPr>
              <w:t>三级</w:t>
            </w:r>
          </w:p>
        </w:tc>
        <w:tc>
          <w:tcPr>
            <w:tcW w:w="739" w:type="dxa"/>
          </w:tcPr>
          <w:p>
            <w:pPr>
              <w:pStyle w:val="TableParagraph"/>
              <w:spacing w:before="141"/>
              <w:ind w:left="136" w:right="132"/>
              <w:rPr>
                <w:sz w:val="21"/>
              </w:rPr>
            </w:pPr>
            <w:r>
              <w:rPr>
                <w:sz w:val="21"/>
              </w:rPr>
              <w:t>三级</w:t>
            </w:r>
          </w:p>
        </w:tc>
      </w:tr>
      <w:tr>
        <w:trPr>
          <w:trHeight w:val="440" w:hRule="atLeast"/>
        </w:trPr>
        <w:tc>
          <w:tcPr>
            <w:tcW w:w="2630" w:type="dxa"/>
          </w:tcPr>
          <w:p>
            <w:pPr>
              <w:pStyle w:val="TableParagraph"/>
              <w:spacing w:before="143"/>
              <w:ind w:left="978" w:right="972"/>
              <w:rPr>
                <w:sz w:val="21"/>
              </w:rPr>
            </w:pPr>
            <w:r>
              <w:rPr>
                <w:sz w:val="21"/>
              </w:rPr>
              <w:t>较敏感</w:t>
            </w:r>
          </w:p>
        </w:tc>
        <w:tc>
          <w:tcPr>
            <w:tcW w:w="741" w:type="dxa"/>
          </w:tcPr>
          <w:p>
            <w:pPr>
              <w:pStyle w:val="TableParagraph"/>
              <w:spacing w:before="143"/>
              <w:ind w:left="136" w:right="132"/>
              <w:rPr>
                <w:sz w:val="21"/>
              </w:rPr>
            </w:pPr>
            <w:r>
              <w:rPr>
                <w:sz w:val="21"/>
              </w:rPr>
              <w:t>一级</w:t>
            </w:r>
          </w:p>
        </w:tc>
        <w:tc>
          <w:tcPr>
            <w:tcW w:w="740" w:type="dxa"/>
          </w:tcPr>
          <w:p>
            <w:pPr>
              <w:pStyle w:val="TableParagraph"/>
              <w:spacing w:before="143"/>
              <w:ind w:left="136" w:right="130"/>
              <w:rPr>
                <w:sz w:val="21"/>
              </w:rPr>
            </w:pPr>
            <w:r>
              <w:rPr>
                <w:sz w:val="21"/>
              </w:rPr>
              <w:t>一级</w:t>
            </w:r>
          </w:p>
        </w:tc>
        <w:tc>
          <w:tcPr>
            <w:tcW w:w="740" w:type="dxa"/>
          </w:tcPr>
          <w:p>
            <w:pPr>
              <w:pStyle w:val="TableParagraph"/>
              <w:spacing w:before="143"/>
              <w:ind w:left="135" w:right="130"/>
              <w:rPr>
                <w:sz w:val="21"/>
              </w:rPr>
            </w:pPr>
            <w:r>
              <w:rPr>
                <w:sz w:val="21"/>
              </w:rPr>
              <w:t>二级</w:t>
            </w:r>
          </w:p>
        </w:tc>
        <w:tc>
          <w:tcPr>
            <w:tcW w:w="741" w:type="dxa"/>
          </w:tcPr>
          <w:p>
            <w:pPr>
              <w:pStyle w:val="TableParagraph"/>
              <w:spacing w:before="143"/>
              <w:ind w:left="137" w:right="130"/>
              <w:rPr>
                <w:sz w:val="21"/>
              </w:rPr>
            </w:pPr>
            <w:r>
              <w:rPr>
                <w:sz w:val="21"/>
              </w:rPr>
              <w:t>二级</w:t>
            </w:r>
          </w:p>
        </w:tc>
        <w:tc>
          <w:tcPr>
            <w:tcW w:w="740" w:type="dxa"/>
          </w:tcPr>
          <w:p>
            <w:pPr>
              <w:pStyle w:val="TableParagraph"/>
              <w:spacing w:before="143"/>
              <w:ind w:left="134" w:right="130"/>
              <w:rPr>
                <w:sz w:val="21"/>
              </w:rPr>
            </w:pPr>
            <w:r>
              <w:rPr>
                <w:sz w:val="21"/>
              </w:rPr>
              <w:t>二级</w:t>
            </w:r>
          </w:p>
        </w:tc>
        <w:tc>
          <w:tcPr>
            <w:tcW w:w="741" w:type="dxa"/>
          </w:tcPr>
          <w:p>
            <w:pPr>
              <w:pStyle w:val="TableParagraph"/>
              <w:spacing w:before="143"/>
              <w:ind w:left="137" w:right="130"/>
              <w:rPr>
                <w:sz w:val="21"/>
              </w:rPr>
            </w:pPr>
            <w:r>
              <w:rPr>
                <w:sz w:val="21"/>
              </w:rPr>
              <w:t>三级</w:t>
            </w:r>
          </w:p>
        </w:tc>
        <w:tc>
          <w:tcPr>
            <w:tcW w:w="740" w:type="dxa"/>
          </w:tcPr>
          <w:p>
            <w:pPr>
              <w:pStyle w:val="TableParagraph"/>
              <w:spacing w:before="143"/>
              <w:ind w:left="137" w:right="128"/>
              <w:rPr>
                <w:sz w:val="21"/>
              </w:rPr>
            </w:pPr>
            <w:r>
              <w:rPr>
                <w:sz w:val="21"/>
              </w:rPr>
              <w:t>三级</w:t>
            </w:r>
          </w:p>
        </w:tc>
        <w:tc>
          <w:tcPr>
            <w:tcW w:w="734" w:type="dxa"/>
          </w:tcPr>
          <w:p>
            <w:pPr>
              <w:pStyle w:val="TableParagraph"/>
              <w:spacing w:before="143"/>
              <w:ind w:left="136" w:right="128"/>
              <w:rPr>
                <w:sz w:val="21"/>
              </w:rPr>
            </w:pPr>
            <w:r>
              <w:rPr>
                <w:sz w:val="21"/>
              </w:rPr>
              <w:t>三级</w:t>
            </w:r>
          </w:p>
        </w:tc>
        <w:tc>
          <w:tcPr>
            <w:tcW w:w="739" w:type="dxa"/>
          </w:tcPr>
          <w:p>
            <w:pPr>
              <w:pStyle w:val="TableParagraph"/>
              <w:spacing w:before="156"/>
              <w:ind w:left="11"/>
              <w:rPr>
                <w:rFonts w:ascii="Times New Roman"/>
                <w:sz w:val="21"/>
              </w:rPr>
            </w:pPr>
            <w:r>
              <w:rPr>
                <w:rFonts w:ascii="Times New Roman"/>
                <w:w w:val="99"/>
                <w:sz w:val="21"/>
              </w:rPr>
              <w:t>-</w:t>
            </w:r>
          </w:p>
        </w:tc>
      </w:tr>
      <w:tr>
        <w:trPr>
          <w:trHeight w:val="440" w:hRule="atLeast"/>
        </w:trPr>
        <w:tc>
          <w:tcPr>
            <w:tcW w:w="2630" w:type="dxa"/>
          </w:tcPr>
          <w:p>
            <w:pPr>
              <w:pStyle w:val="TableParagraph"/>
              <w:spacing w:before="141"/>
              <w:ind w:left="978" w:right="972"/>
              <w:rPr>
                <w:sz w:val="21"/>
              </w:rPr>
            </w:pPr>
            <w:r>
              <w:rPr>
                <w:sz w:val="21"/>
              </w:rPr>
              <w:t>不敏感</w:t>
            </w:r>
          </w:p>
        </w:tc>
        <w:tc>
          <w:tcPr>
            <w:tcW w:w="741" w:type="dxa"/>
          </w:tcPr>
          <w:p>
            <w:pPr>
              <w:pStyle w:val="TableParagraph"/>
              <w:spacing w:before="141"/>
              <w:ind w:left="136" w:right="132"/>
              <w:rPr>
                <w:sz w:val="21"/>
              </w:rPr>
            </w:pPr>
            <w:r>
              <w:rPr>
                <w:sz w:val="21"/>
              </w:rPr>
              <w:t>一级</w:t>
            </w:r>
          </w:p>
        </w:tc>
        <w:tc>
          <w:tcPr>
            <w:tcW w:w="740" w:type="dxa"/>
          </w:tcPr>
          <w:p>
            <w:pPr>
              <w:pStyle w:val="TableParagraph"/>
              <w:spacing w:before="141"/>
              <w:ind w:left="136" w:right="130"/>
              <w:rPr>
                <w:sz w:val="21"/>
              </w:rPr>
            </w:pPr>
            <w:r>
              <w:rPr>
                <w:sz w:val="21"/>
              </w:rPr>
              <w:t>二级</w:t>
            </w:r>
          </w:p>
        </w:tc>
        <w:tc>
          <w:tcPr>
            <w:tcW w:w="740" w:type="dxa"/>
          </w:tcPr>
          <w:p>
            <w:pPr>
              <w:pStyle w:val="TableParagraph"/>
              <w:spacing w:before="141"/>
              <w:ind w:left="135" w:right="130"/>
              <w:rPr>
                <w:sz w:val="21"/>
              </w:rPr>
            </w:pPr>
            <w:r>
              <w:rPr>
                <w:sz w:val="21"/>
              </w:rPr>
              <w:t>二级</w:t>
            </w:r>
          </w:p>
        </w:tc>
        <w:tc>
          <w:tcPr>
            <w:tcW w:w="741" w:type="dxa"/>
          </w:tcPr>
          <w:p>
            <w:pPr>
              <w:pStyle w:val="TableParagraph"/>
              <w:spacing w:before="141"/>
              <w:ind w:left="137" w:right="130"/>
              <w:rPr>
                <w:sz w:val="21"/>
              </w:rPr>
            </w:pPr>
            <w:r>
              <w:rPr>
                <w:sz w:val="21"/>
              </w:rPr>
              <w:t>二级</w:t>
            </w:r>
          </w:p>
        </w:tc>
        <w:tc>
          <w:tcPr>
            <w:tcW w:w="740" w:type="dxa"/>
          </w:tcPr>
          <w:p>
            <w:pPr>
              <w:pStyle w:val="TableParagraph"/>
              <w:spacing w:before="141"/>
              <w:ind w:left="134" w:right="130"/>
              <w:rPr>
                <w:sz w:val="21"/>
              </w:rPr>
            </w:pPr>
            <w:r>
              <w:rPr>
                <w:sz w:val="21"/>
              </w:rPr>
              <w:t>三级</w:t>
            </w:r>
          </w:p>
        </w:tc>
        <w:tc>
          <w:tcPr>
            <w:tcW w:w="741" w:type="dxa"/>
          </w:tcPr>
          <w:p>
            <w:pPr>
              <w:pStyle w:val="TableParagraph"/>
              <w:spacing w:before="141"/>
              <w:ind w:left="137" w:right="130"/>
              <w:rPr>
                <w:sz w:val="21"/>
              </w:rPr>
            </w:pPr>
            <w:r>
              <w:rPr>
                <w:sz w:val="21"/>
              </w:rPr>
              <w:t>三级</w:t>
            </w:r>
          </w:p>
        </w:tc>
        <w:tc>
          <w:tcPr>
            <w:tcW w:w="740" w:type="dxa"/>
          </w:tcPr>
          <w:p>
            <w:pPr>
              <w:pStyle w:val="TableParagraph"/>
              <w:spacing w:before="141"/>
              <w:ind w:left="137" w:right="128"/>
              <w:rPr>
                <w:sz w:val="21"/>
              </w:rPr>
            </w:pPr>
            <w:r>
              <w:rPr>
                <w:sz w:val="21"/>
              </w:rPr>
              <w:t>三级</w:t>
            </w:r>
          </w:p>
        </w:tc>
        <w:tc>
          <w:tcPr>
            <w:tcW w:w="734" w:type="dxa"/>
          </w:tcPr>
          <w:p>
            <w:pPr>
              <w:pStyle w:val="TableParagraph"/>
              <w:spacing w:before="155"/>
              <w:ind w:left="11"/>
              <w:rPr>
                <w:rFonts w:ascii="Times New Roman"/>
                <w:sz w:val="21"/>
              </w:rPr>
            </w:pPr>
            <w:r>
              <w:rPr>
                <w:rFonts w:ascii="Times New Roman"/>
                <w:w w:val="99"/>
                <w:sz w:val="21"/>
              </w:rPr>
              <w:t>-</w:t>
            </w:r>
          </w:p>
        </w:tc>
        <w:tc>
          <w:tcPr>
            <w:tcW w:w="739" w:type="dxa"/>
          </w:tcPr>
          <w:p>
            <w:pPr>
              <w:pStyle w:val="TableParagraph"/>
              <w:spacing w:before="155"/>
              <w:ind w:left="11"/>
              <w:rPr>
                <w:rFonts w:ascii="Times New Roman"/>
                <w:sz w:val="21"/>
              </w:rPr>
            </w:pPr>
            <w:r>
              <w:rPr>
                <w:rFonts w:ascii="Times New Roman"/>
                <w:w w:val="99"/>
                <w:sz w:val="21"/>
              </w:rPr>
              <w:t>-</w:t>
            </w:r>
          </w:p>
        </w:tc>
      </w:tr>
    </w:tbl>
    <w:p>
      <w:pPr>
        <w:pStyle w:val="BodyText"/>
        <w:spacing w:before="2"/>
        <w:ind w:left="958"/>
      </w:pPr>
      <w:r>
        <w:rPr/>
        <w:pict>
          <v:shape style="position:absolute;margin-left:67.428001pt;margin-top:-113.490044pt;width:124.1pt;height:45.8pt;mso-position-horizontal-relative:page;mso-position-vertical-relative:paragraph;z-index:-286042112" coordorigin="1349,-2270" coordsize="2482,916" path="m3830,-1374l3807,-1378,2144,-2270,2136,-2257,3757,-1388,1351,-1859,1349,-1844,3802,-1364,3819,-1355,3822,-1360,3828,-1359,3830,-1374e" filled="true" fillcolor="#000000" stroked="false">
            <v:path arrowok="t"/>
            <v:fill type="solid"/>
            <w10:wrap type="none"/>
          </v:shape>
        </w:pict>
      </w:r>
      <w:r>
        <w:rPr/>
        <w:t>由表 </w:t>
      </w:r>
      <w:r>
        <w:rPr>
          <w:rFonts w:ascii="Times New Roman" w:eastAsia="Times New Roman"/>
        </w:rPr>
        <w:t>2.4-16 </w:t>
      </w:r>
      <w:r>
        <w:rPr/>
        <w:t>中可以看出，本项目工业广场土壤环境评价工作等级为二级。</w:t>
      </w:r>
    </w:p>
    <w:p>
      <w:pPr>
        <w:pStyle w:val="Heading3"/>
        <w:numPr>
          <w:ilvl w:val="2"/>
          <w:numId w:val="15"/>
        </w:numPr>
        <w:tabs>
          <w:tab w:pos="1108" w:val="left" w:leader="none"/>
        </w:tabs>
        <w:spacing w:line="240" w:lineRule="auto" w:before="159" w:after="0"/>
        <w:ind w:left="1107" w:right="0" w:hanging="630"/>
        <w:jc w:val="left"/>
      </w:pPr>
      <w:bookmarkStart w:name="2.4.6环境风险" w:id="54"/>
      <w:bookmarkEnd w:id="54"/>
      <w:r>
        <w:rPr>
          <w:b w:val="0"/>
        </w:rPr>
      </w:r>
      <w:bookmarkStart w:name="2.4.6环境风险" w:id="55"/>
      <w:bookmarkEnd w:id="55"/>
      <w:r>
        <w:rPr/>
        <w:t>环境风险</w:t>
      </w:r>
    </w:p>
    <w:p>
      <w:pPr>
        <w:pStyle w:val="BodyText"/>
        <w:spacing w:before="185"/>
        <w:ind w:left="958"/>
      </w:pPr>
      <w:r>
        <w:rPr/>
        <w:t>本项目危险物质主要为油类物质及硝铵炸药。</w:t>
      </w:r>
    </w:p>
    <w:p>
      <w:pPr>
        <w:pStyle w:val="BodyText"/>
        <w:spacing w:line="362" w:lineRule="auto" w:before="161"/>
        <w:ind w:left="478" w:right="418" w:firstLine="480"/>
      </w:pPr>
      <w:r>
        <w:rPr/>
        <w:t>根据《建设项目环境风险评价技术导则》（</w:t>
      </w:r>
      <w:r>
        <w:rPr>
          <w:rFonts w:ascii="Times New Roman" w:eastAsia="Times New Roman"/>
        </w:rPr>
        <w:t>HJ169-2018</w:t>
      </w:r>
      <w:r>
        <w:rPr/>
        <w:t>）中关于环境风险潜势初判方式首先按式计算物质总量与临界量比值（</w:t>
      </w:r>
      <w:r>
        <w:rPr>
          <w:rFonts w:ascii="Times New Roman" w:eastAsia="Times New Roman"/>
        </w:rPr>
        <w:t>Q</w:t>
      </w:r>
      <w:r>
        <w:rPr/>
        <w:t>）</w:t>
      </w:r>
    </w:p>
    <w:p>
      <w:pPr>
        <w:spacing w:after="0" w:line="362" w:lineRule="auto"/>
        <w:sectPr>
          <w:footerReference w:type="default" r:id="rId9"/>
          <w:pgSz w:w="11910" w:h="16840"/>
          <w:pgMar w:footer="913" w:header="0" w:top="1400" w:bottom="1100" w:left="940" w:right="940"/>
          <w:pgNumType w:start="20"/>
        </w:sectPr>
      </w:pPr>
    </w:p>
    <w:p>
      <w:pPr>
        <w:spacing w:line="187" w:lineRule="auto" w:before="44"/>
        <w:ind w:left="3282" w:right="0" w:firstLine="0"/>
        <w:jc w:val="left"/>
        <w:rPr>
          <w:rFonts w:ascii="Times New Roman" w:hAnsi="Times New Roman"/>
          <w:sz w:val="22"/>
        </w:rPr>
      </w:pPr>
      <w:r>
        <w:rPr/>
        <w:pict>
          <v:line style="position:absolute;mso-position-horizontal-relative:page;mso-position-vertical-relative:paragraph;z-index:-286045184" from="244.528pt,25.662827pt" to="266.591pt,25.662827pt" stroked="true" strokeweight=".796pt" strokecolor="#000000">
            <v:stroke dashstyle="solid"/>
            <w10:wrap type="none"/>
          </v:line>
        </w:pict>
      </w:r>
      <w:r>
        <w:rPr/>
        <w:pict>
          <v:line style="position:absolute;mso-position-horizontal-relative:page;mso-position-vertical-relative:paragraph;z-index:-286044160" from="284.778992pt,25.662827pt" to="308.929992pt,25.662827pt" stroked="true" strokeweight=".796pt" strokecolor="#000000">
            <v:stroke dashstyle="solid"/>
            <w10:wrap type="none"/>
          </v:line>
        </w:pict>
      </w:r>
      <w:r>
        <w:rPr>
          <w:rFonts w:ascii="Times New Roman" w:hAnsi="Times New Roman"/>
          <w:position w:val="-23"/>
          <w:sz w:val="38"/>
        </w:rPr>
        <w:t>Q </w:t>
      </w:r>
      <w:r>
        <w:rPr>
          <w:rFonts w:ascii="Symbol" w:hAnsi="Symbol"/>
          <w:position w:val="-23"/>
          <w:sz w:val="38"/>
        </w:rPr>
        <w:t></w:t>
      </w:r>
      <w:r>
        <w:rPr>
          <w:rFonts w:ascii="Times New Roman" w:hAnsi="Times New Roman"/>
          <w:position w:val="-23"/>
          <w:sz w:val="38"/>
        </w:rPr>
        <w:t> </w:t>
      </w:r>
      <w:r>
        <w:rPr>
          <w:rFonts w:ascii="Times New Roman" w:hAnsi="Times New Roman"/>
          <w:sz w:val="38"/>
        </w:rPr>
        <w:t>q </w:t>
      </w:r>
      <w:r>
        <w:rPr>
          <w:rFonts w:ascii="Times New Roman" w:hAnsi="Times New Roman"/>
          <w:sz w:val="22"/>
        </w:rPr>
        <w:t>1  </w:t>
      </w:r>
      <w:r>
        <w:rPr>
          <w:rFonts w:ascii="Symbol" w:hAnsi="Symbol"/>
          <w:position w:val="-23"/>
          <w:sz w:val="38"/>
        </w:rPr>
        <w:t></w:t>
      </w:r>
      <w:r>
        <w:rPr>
          <w:rFonts w:ascii="Times New Roman" w:hAnsi="Times New Roman"/>
          <w:position w:val="-23"/>
          <w:sz w:val="38"/>
        </w:rPr>
        <w:t> </w:t>
      </w:r>
      <w:r>
        <w:rPr>
          <w:rFonts w:ascii="Times New Roman" w:hAnsi="Times New Roman"/>
          <w:sz w:val="38"/>
        </w:rPr>
        <w:t>q</w:t>
      </w:r>
      <w:r>
        <w:rPr>
          <w:rFonts w:ascii="Times New Roman" w:hAnsi="Times New Roman"/>
          <w:spacing w:val="18"/>
          <w:sz w:val="38"/>
        </w:rPr>
        <w:t> </w:t>
      </w:r>
      <w:r>
        <w:rPr>
          <w:rFonts w:ascii="Times New Roman" w:hAnsi="Times New Roman"/>
          <w:sz w:val="22"/>
        </w:rPr>
        <w:t>2</w:t>
      </w:r>
    </w:p>
    <w:p>
      <w:pPr>
        <w:tabs>
          <w:tab w:pos="804" w:val="left" w:leader="none"/>
        </w:tabs>
        <w:spacing w:line="366" w:lineRule="exact" w:before="0"/>
        <w:ind w:left="0" w:right="0" w:firstLine="0"/>
        <w:jc w:val="right"/>
        <w:rPr>
          <w:rFonts w:ascii="Times New Roman"/>
          <w:sz w:val="22"/>
        </w:rPr>
      </w:pPr>
      <w:r>
        <w:rPr>
          <w:rFonts w:ascii="Times New Roman"/>
          <w:spacing w:val="14"/>
          <w:sz w:val="38"/>
        </w:rPr>
        <w:t>Q</w:t>
      </w:r>
      <w:r>
        <w:rPr>
          <w:rFonts w:ascii="Times New Roman"/>
          <w:spacing w:val="14"/>
          <w:sz w:val="22"/>
        </w:rPr>
        <w:t>1</w:t>
        <w:tab/>
      </w:r>
      <w:r>
        <w:rPr>
          <w:rFonts w:ascii="Times New Roman"/>
          <w:sz w:val="38"/>
        </w:rPr>
        <w:t>Q</w:t>
      </w:r>
      <w:r>
        <w:rPr>
          <w:rFonts w:ascii="Times New Roman"/>
          <w:spacing w:val="-38"/>
          <w:sz w:val="38"/>
        </w:rPr>
        <w:t> </w:t>
      </w:r>
      <w:r>
        <w:rPr>
          <w:rFonts w:ascii="Times New Roman"/>
          <w:sz w:val="22"/>
        </w:rPr>
        <w:t>2</w:t>
      </w:r>
    </w:p>
    <w:p>
      <w:pPr>
        <w:spacing w:line="675" w:lineRule="exact" w:before="15"/>
        <w:ind w:left="57" w:right="0" w:firstLine="0"/>
        <w:jc w:val="left"/>
        <w:rPr>
          <w:rFonts w:ascii="Times New Roman" w:hAnsi="Times New Roman"/>
          <w:sz w:val="22"/>
        </w:rPr>
      </w:pPr>
      <w:r>
        <w:rP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w:t>
      </w:r>
      <w:r>
        <w:rPr>
          <w:rFonts w:ascii="Times New Roman" w:hAnsi="Times New Roman"/>
          <w:position w:val="24"/>
          <w:sz w:val="38"/>
        </w:rPr>
        <w:t>q</w:t>
      </w:r>
      <w:r>
        <w:rPr>
          <w:rFonts w:ascii="Times New Roman" w:hAnsi="Times New Roman"/>
          <w:position w:val="24"/>
          <w:sz w:val="22"/>
        </w:rPr>
        <w:t>n</w:t>
      </w:r>
    </w:p>
    <w:p>
      <w:pPr>
        <w:spacing w:line="301" w:lineRule="exact" w:before="0"/>
        <w:ind w:left="1025" w:right="0" w:firstLine="0"/>
        <w:jc w:val="left"/>
        <w:rPr>
          <w:rFonts w:ascii="Times New Roman"/>
          <w:sz w:val="22"/>
        </w:rPr>
      </w:pPr>
      <w:r>
        <w:rPr/>
        <w:pict>
          <v:line style="position:absolute;mso-position-horizontal-relative:page;mso-position-vertical-relative:paragraph;z-index:-286043136" from="360.213013pt,-8.827861pt" to="382.078013pt,-8.827861pt" stroked="true" strokeweight=".796pt" strokecolor="#000000">
            <v:stroke dashstyle="solid"/>
            <w10:wrap type="none"/>
          </v:line>
        </w:pic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bottom="280" w:left="940" w:right="940"/>
          <w:cols w:num="2" w:equalWidth="0">
            <w:col w:w="5219" w:space="40"/>
            <w:col w:w="4771"/>
          </w:cols>
        </w:sectPr>
      </w:pPr>
    </w:p>
    <w:p>
      <w:pPr>
        <w:pStyle w:val="BodyText"/>
        <w:spacing w:before="11"/>
        <w:rPr>
          <w:rFonts w:ascii="Times New Roman"/>
          <w:sz w:val="10"/>
        </w:rPr>
      </w:pPr>
    </w:p>
    <w:p>
      <w:pPr>
        <w:pStyle w:val="BodyText"/>
        <w:spacing w:before="73"/>
        <w:ind w:left="95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BodyText"/>
        <w:spacing w:line="362" w:lineRule="auto" w:before="156"/>
        <w:ind w:left="958" w:right="446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 </w:t>
      </w:r>
      <w:r>
        <w:rPr>
          <w:rFonts w:ascii="Times New Roman" w:hAnsi="Times New Roman" w:eastAsia="Times New Roman"/>
          <w:vertAlign w:val="baseline"/>
        </w:rPr>
        <w:t>Q&lt;1 </w:t>
      </w:r>
      <w:r>
        <w:rPr>
          <w:vertAlign w:val="baseline"/>
        </w:rPr>
        <w:t>时，该项目环境风险潜势为Ⅰ</w:t>
      </w:r>
    </w:p>
    <w:p>
      <w:pPr>
        <w:pStyle w:val="BodyText"/>
        <w:spacing w:before="2"/>
        <w:ind w:left="958"/>
      </w:pPr>
      <w:r>
        <w:rPr/>
        <w:t>当 </w:t>
      </w:r>
      <w:r>
        <w:rPr>
          <w:rFonts w:ascii="Times New Roman" w:hAnsi="Times New Roman" w:eastAsia="Times New Roman"/>
        </w:rPr>
        <w:t>Q≥1 </w:t>
      </w:r>
      <w:r>
        <w:rPr/>
        <w:t>时，将 </w:t>
      </w:r>
      <w:r>
        <w:rPr>
          <w:rFonts w:ascii="Times New Roman" w:hAnsi="Times New Roman" w:eastAsia="Times New Roman"/>
        </w:rPr>
        <w:t>Q </w:t>
      </w:r>
      <w:r>
        <w:rPr/>
        <w:t>值划分为：（</w:t>
      </w:r>
      <w:r>
        <w:rPr>
          <w:rFonts w:ascii="Times New Roman" w:hAnsi="Times New Roman" w:eastAsia="Times New Roman"/>
        </w:rPr>
        <w:t>1</w:t>
      </w:r>
      <w:r>
        <w:rPr/>
        <w:t>）</w:t>
      </w:r>
      <w:r>
        <w:rPr>
          <w:rFonts w:ascii="Times New Roman" w:hAnsi="Times New Roman" w:eastAsia="Times New Roman"/>
        </w:rPr>
        <w:t>1≤Q&lt;10</w:t>
      </w:r>
      <w:r>
        <w:rPr/>
        <w:t>；（</w:t>
      </w:r>
      <w:r>
        <w:rPr>
          <w:rFonts w:ascii="Times New Roman" w:hAnsi="Times New Roman" w:eastAsia="Times New Roman"/>
        </w:rPr>
        <w:t>2</w:t>
      </w:r>
      <w:r>
        <w:rPr/>
        <w:t>）</w:t>
      </w:r>
      <w:r>
        <w:rPr>
          <w:rFonts w:ascii="Times New Roman" w:hAnsi="Times New Roman" w:eastAsia="Times New Roman"/>
        </w:rPr>
        <w:t>10≤Q&lt;100</w:t>
      </w:r>
      <w:r>
        <w:rPr/>
        <w:t>；（</w:t>
      </w:r>
      <w:r>
        <w:rPr>
          <w:rFonts w:ascii="Times New Roman" w:hAnsi="Times New Roman" w:eastAsia="Times New Roman"/>
        </w:rPr>
        <w:t>3</w:t>
      </w:r>
      <w:r>
        <w:rPr/>
        <w:t>）</w:t>
      </w:r>
      <w:r>
        <w:rPr>
          <w:rFonts w:ascii="Times New Roman" w:hAnsi="Times New Roman" w:eastAsia="Times New Roman"/>
        </w:rPr>
        <w:t>Q≥100</w:t>
      </w:r>
      <w:r>
        <w:rPr/>
        <w:t>。</w:t>
      </w:r>
    </w:p>
    <w:p>
      <w:pPr>
        <w:spacing w:before="159"/>
        <w:ind w:left="1373" w:right="1368" w:firstLine="0"/>
        <w:jc w:val="center"/>
        <w:rPr>
          <w:b/>
          <w:sz w:val="21"/>
        </w:rPr>
      </w:pPr>
      <w:r>
        <w:rPr>
          <w:b/>
          <w:spacing w:val="-26"/>
          <w:sz w:val="21"/>
        </w:rPr>
        <w:t>表 </w:t>
      </w:r>
      <w:r>
        <w:rPr>
          <w:rFonts w:ascii="Times New Roman" w:eastAsia="Times New Roman"/>
          <w:b/>
          <w:sz w:val="21"/>
        </w:rPr>
        <w:t>2.4-17</w:t>
      </w:r>
      <w:r>
        <w:rPr>
          <w:rFonts w:ascii="Times New Roman" w:eastAsia="Times New Roman"/>
          <w:b/>
          <w:spacing w:val="52"/>
          <w:sz w:val="21"/>
        </w:rPr>
        <w:t> </w:t>
      </w:r>
      <w:r>
        <w:rPr>
          <w:b/>
          <w:spacing w:val="-11"/>
          <w:sz w:val="21"/>
        </w:rPr>
        <w:t>建设项目 </w:t>
      </w:r>
      <w:r>
        <w:rPr>
          <w:rFonts w:ascii="Times New Roman" w:eastAsia="Times New Roman"/>
          <w:b/>
          <w:sz w:val="21"/>
        </w:rPr>
        <w:t>Q </w:t>
      </w:r>
      <w:r>
        <w:rPr>
          <w:b/>
          <w:sz w:val="21"/>
        </w:rPr>
        <w:t>值确定表</w:t>
      </w:r>
    </w:p>
    <w:p>
      <w:pPr>
        <w:pStyle w:val="BodyText"/>
        <w:spacing w:before="10"/>
        <w:rPr>
          <w:b/>
          <w:sz w:val="10"/>
        </w:rPr>
      </w:pPr>
    </w:p>
    <w:tbl>
      <w:tblPr>
        <w:tblW w:w="0" w:type="auto"/>
        <w:jc w:val="left"/>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6"/>
        <w:gridCol w:w="1614"/>
        <w:gridCol w:w="1285"/>
        <w:gridCol w:w="1957"/>
        <w:gridCol w:w="1555"/>
        <w:gridCol w:w="1871"/>
      </w:tblGrid>
      <w:tr>
        <w:trPr>
          <w:trHeight w:val="453" w:hRule="atLeast"/>
        </w:trPr>
        <w:tc>
          <w:tcPr>
            <w:tcW w:w="966" w:type="dxa"/>
          </w:tcPr>
          <w:p>
            <w:pPr>
              <w:pStyle w:val="TableParagraph"/>
              <w:spacing w:before="91"/>
              <w:ind w:left="250" w:right="246"/>
              <w:rPr>
                <w:sz w:val="21"/>
              </w:rPr>
            </w:pPr>
            <w:r>
              <w:rPr>
                <w:sz w:val="21"/>
              </w:rPr>
              <w:t>序号</w:t>
            </w:r>
          </w:p>
        </w:tc>
        <w:tc>
          <w:tcPr>
            <w:tcW w:w="1614" w:type="dxa"/>
          </w:tcPr>
          <w:p>
            <w:pPr>
              <w:pStyle w:val="TableParagraph"/>
              <w:spacing w:before="91"/>
              <w:ind w:left="155" w:right="148"/>
              <w:rPr>
                <w:sz w:val="21"/>
              </w:rPr>
            </w:pPr>
            <w:r>
              <w:rPr>
                <w:sz w:val="21"/>
              </w:rPr>
              <w:t>危险物质名称</w:t>
            </w:r>
          </w:p>
        </w:tc>
        <w:tc>
          <w:tcPr>
            <w:tcW w:w="1285" w:type="dxa"/>
          </w:tcPr>
          <w:p>
            <w:pPr>
              <w:pStyle w:val="TableParagraph"/>
              <w:spacing w:before="91"/>
              <w:ind w:left="184" w:right="174"/>
              <w:rPr>
                <w:sz w:val="21"/>
              </w:rPr>
            </w:pPr>
            <w:r>
              <w:rPr>
                <w:rFonts w:ascii="Times New Roman" w:eastAsia="Times New Roman"/>
                <w:sz w:val="21"/>
              </w:rPr>
              <w:t>CAS </w:t>
            </w:r>
            <w:r>
              <w:rPr>
                <w:sz w:val="21"/>
              </w:rPr>
              <w:t>号</w:t>
            </w:r>
          </w:p>
        </w:tc>
        <w:tc>
          <w:tcPr>
            <w:tcW w:w="1957" w:type="dxa"/>
          </w:tcPr>
          <w:p>
            <w:pPr>
              <w:pStyle w:val="TableParagraph"/>
              <w:spacing w:before="91"/>
              <w:ind w:left="88" w:right="80"/>
              <w:rPr>
                <w:sz w:val="21"/>
              </w:rPr>
            </w:pPr>
            <w:r>
              <w:rPr>
                <w:sz w:val="21"/>
              </w:rPr>
              <w:t>最大存在总量（</w:t>
            </w:r>
            <w:r>
              <w:rPr>
                <w:rFonts w:ascii="Times New Roman" w:eastAsia="Times New Roman"/>
                <w:sz w:val="21"/>
              </w:rPr>
              <w:t>t</w:t>
            </w:r>
            <w:r>
              <w:rPr>
                <w:sz w:val="21"/>
              </w:rPr>
              <w:t>）</w:t>
            </w:r>
          </w:p>
        </w:tc>
        <w:tc>
          <w:tcPr>
            <w:tcW w:w="1555" w:type="dxa"/>
          </w:tcPr>
          <w:p>
            <w:pPr>
              <w:pStyle w:val="TableParagraph"/>
              <w:spacing w:before="91"/>
              <w:ind w:left="125" w:right="118"/>
              <w:rPr>
                <w:sz w:val="21"/>
              </w:rPr>
            </w:pPr>
            <w:r>
              <w:rPr>
                <w:sz w:val="21"/>
              </w:rPr>
              <w:t>临界量（</w:t>
            </w:r>
            <w:r>
              <w:rPr>
                <w:rFonts w:ascii="Times New Roman" w:eastAsia="Times New Roman"/>
                <w:sz w:val="21"/>
              </w:rPr>
              <w:t>t</w:t>
            </w:r>
            <w:r>
              <w:rPr>
                <w:sz w:val="21"/>
              </w:rPr>
              <w:t>）</w:t>
            </w:r>
          </w:p>
        </w:tc>
        <w:tc>
          <w:tcPr>
            <w:tcW w:w="1871" w:type="dxa"/>
          </w:tcPr>
          <w:p>
            <w:pPr>
              <w:pStyle w:val="TableParagraph"/>
              <w:spacing w:before="91"/>
              <w:ind w:left="129" w:right="121"/>
              <w:rPr>
                <w:sz w:val="21"/>
              </w:rPr>
            </w:pPr>
            <w:r>
              <w:rPr>
                <w:sz w:val="21"/>
              </w:rPr>
              <w:t>该种危险物 </w:t>
            </w:r>
            <w:r>
              <w:rPr>
                <w:rFonts w:ascii="Times New Roman" w:eastAsia="Times New Roman"/>
                <w:sz w:val="21"/>
              </w:rPr>
              <w:t>Q </w:t>
            </w:r>
            <w:r>
              <w:rPr>
                <w:sz w:val="21"/>
              </w:rPr>
              <w:t>值</w:t>
            </w:r>
          </w:p>
        </w:tc>
      </w:tr>
      <w:tr>
        <w:trPr>
          <w:trHeight w:val="454" w:hRule="atLeast"/>
        </w:trPr>
        <w:tc>
          <w:tcPr>
            <w:tcW w:w="966" w:type="dxa"/>
          </w:tcPr>
          <w:p>
            <w:pPr>
              <w:pStyle w:val="TableParagraph"/>
              <w:spacing w:before="106"/>
              <w:ind w:left="8"/>
              <w:rPr>
                <w:rFonts w:ascii="Times New Roman"/>
                <w:sz w:val="21"/>
              </w:rPr>
            </w:pPr>
            <w:r>
              <w:rPr>
                <w:rFonts w:ascii="Times New Roman"/>
                <w:w w:val="99"/>
                <w:sz w:val="21"/>
              </w:rPr>
              <w:t>1</w:t>
            </w:r>
          </w:p>
        </w:tc>
        <w:tc>
          <w:tcPr>
            <w:tcW w:w="1614" w:type="dxa"/>
          </w:tcPr>
          <w:p>
            <w:pPr>
              <w:pStyle w:val="TableParagraph"/>
              <w:spacing w:before="90"/>
              <w:ind w:left="152" w:right="148"/>
              <w:rPr>
                <w:sz w:val="21"/>
              </w:rPr>
            </w:pPr>
            <w:r>
              <w:rPr>
                <w:sz w:val="21"/>
              </w:rPr>
              <w:t>油类物质</w:t>
            </w:r>
          </w:p>
        </w:tc>
        <w:tc>
          <w:tcPr>
            <w:tcW w:w="1285" w:type="dxa"/>
          </w:tcPr>
          <w:p>
            <w:pPr>
              <w:pStyle w:val="TableParagraph"/>
              <w:spacing w:before="106"/>
              <w:ind w:left="7"/>
              <w:rPr>
                <w:rFonts w:ascii="Times New Roman"/>
                <w:sz w:val="21"/>
              </w:rPr>
            </w:pPr>
            <w:r>
              <w:rPr>
                <w:rFonts w:ascii="Times New Roman"/>
                <w:w w:val="99"/>
                <w:sz w:val="21"/>
              </w:rPr>
              <w:t>/</w:t>
            </w:r>
          </w:p>
        </w:tc>
        <w:tc>
          <w:tcPr>
            <w:tcW w:w="1957" w:type="dxa"/>
          </w:tcPr>
          <w:p>
            <w:pPr>
              <w:pStyle w:val="TableParagraph"/>
              <w:spacing w:before="106"/>
              <w:ind w:left="88" w:right="79"/>
              <w:rPr>
                <w:rFonts w:ascii="Times New Roman"/>
                <w:sz w:val="21"/>
              </w:rPr>
            </w:pPr>
            <w:r>
              <w:rPr>
                <w:rFonts w:ascii="Times New Roman"/>
                <w:sz w:val="21"/>
              </w:rPr>
              <w:t>20</w:t>
            </w:r>
          </w:p>
        </w:tc>
        <w:tc>
          <w:tcPr>
            <w:tcW w:w="1555" w:type="dxa"/>
          </w:tcPr>
          <w:p>
            <w:pPr>
              <w:pStyle w:val="TableParagraph"/>
              <w:spacing w:before="106"/>
              <w:ind w:left="125" w:right="115"/>
              <w:rPr>
                <w:rFonts w:ascii="Times New Roman"/>
                <w:sz w:val="21"/>
              </w:rPr>
            </w:pPr>
            <w:r>
              <w:rPr>
                <w:rFonts w:ascii="Times New Roman"/>
                <w:sz w:val="21"/>
              </w:rPr>
              <w:t>2500</w:t>
            </w:r>
          </w:p>
        </w:tc>
        <w:tc>
          <w:tcPr>
            <w:tcW w:w="1871" w:type="dxa"/>
          </w:tcPr>
          <w:p>
            <w:pPr>
              <w:pStyle w:val="TableParagraph"/>
              <w:spacing w:before="106"/>
              <w:ind w:left="129" w:right="120"/>
              <w:rPr>
                <w:rFonts w:ascii="Times New Roman"/>
                <w:sz w:val="21"/>
              </w:rPr>
            </w:pPr>
            <w:r>
              <w:rPr>
                <w:rFonts w:ascii="Times New Roman"/>
                <w:sz w:val="21"/>
              </w:rPr>
              <w:t>0.008</w:t>
            </w:r>
          </w:p>
        </w:tc>
      </w:tr>
      <w:tr>
        <w:trPr>
          <w:trHeight w:val="453" w:hRule="atLeast"/>
        </w:trPr>
        <w:tc>
          <w:tcPr>
            <w:tcW w:w="966" w:type="dxa"/>
          </w:tcPr>
          <w:p>
            <w:pPr>
              <w:pStyle w:val="TableParagraph"/>
              <w:spacing w:before="106"/>
              <w:ind w:left="8"/>
              <w:rPr>
                <w:rFonts w:ascii="Times New Roman"/>
                <w:sz w:val="21"/>
              </w:rPr>
            </w:pPr>
            <w:r>
              <w:rPr>
                <w:rFonts w:ascii="Times New Roman"/>
                <w:w w:val="99"/>
                <w:sz w:val="21"/>
              </w:rPr>
              <w:t>2</w:t>
            </w:r>
          </w:p>
        </w:tc>
        <w:tc>
          <w:tcPr>
            <w:tcW w:w="1614" w:type="dxa"/>
          </w:tcPr>
          <w:p>
            <w:pPr>
              <w:pStyle w:val="TableParagraph"/>
              <w:spacing w:before="74"/>
              <w:ind w:left="155" w:right="148"/>
              <w:rPr>
                <w:sz w:val="24"/>
              </w:rPr>
            </w:pPr>
            <w:r>
              <w:rPr>
                <w:sz w:val="24"/>
              </w:rPr>
              <w:t>硝铵炸药</w:t>
            </w:r>
          </w:p>
        </w:tc>
        <w:tc>
          <w:tcPr>
            <w:tcW w:w="1285" w:type="dxa"/>
          </w:tcPr>
          <w:p>
            <w:pPr>
              <w:pStyle w:val="TableParagraph"/>
              <w:spacing w:before="106"/>
              <w:ind w:left="185" w:right="174"/>
              <w:rPr>
                <w:rFonts w:ascii="Times New Roman"/>
                <w:sz w:val="21"/>
              </w:rPr>
            </w:pPr>
            <w:r>
              <w:rPr>
                <w:rFonts w:ascii="Times New Roman"/>
                <w:sz w:val="21"/>
              </w:rPr>
              <w:t>6484-52-2</w:t>
            </w:r>
          </w:p>
        </w:tc>
        <w:tc>
          <w:tcPr>
            <w:tcW w:w="1957" w:type="dxa"/>
          </w:tcPr>
          <w:p>
            <w:pPr>
              <w:pStyle w:val="TableParagraph"/>
              <w:spacing w:before="106"/>
              <w:ind w:left="88" w:right="79"/>
              <w:rPr>
                <w:rFonts w:ascii="Times New Roman"/>
                <w:sz w:val="21"/>
              </w:rPr>
            </w:pPr>
            <w:r>
              <w:rPr>
                <w:rFonts w:ascii="Times New Roman"/>
                <w:sz w:val="21"/>
              </w:rPr>
              <w:t>10</w:t>
            </w:r>
          </w:p>
        </w:tc>
        <w:tc>
          <w:tcPr>
            <w:tcW w:w="1555" w:type="dxa"/>
          </w:tcPr>
          <w:p>
            <w:pPr>
              <w:pStyle w:val="TableParagraph"/>
              <w:spacing w:before="106"/>
              <w:ind w:left="125" w:right="115"/>
              <w:rPr>
                <w:rFonts w:ascii="Times New Roman"/>
                <w:sz w:val="21"/>
              </w:rPr>
            </w:pPr>
            <w:r>
              <w:rPr>
                <w:rFonts w:ascii="Times New Roman"/>
                <w:sz w:val="21"/>
              </w:rPr>
              <w:t>50</w:t>
            </w:r>
          </w:p>
        </w:tc>
        <w:tc>
          <w:tcPr>
            <w:tcW w:w="1871" w:type="dxa"/>
          </w:tcPr>
          <w:p>
            <w:pPr>
              <w:pStyle w:val="TableParagraph"/>
              <w:spacing w:before="106"/>
              <w:ind w:left="128" w:right="121"/>
              <w:rPr>
                <w:rFonts w:ascii="Times New Roman"/>
                <w:sz w:val="21"/>
              </w:rPr>
            </w:pPr>
            <w:r>
              <w:rPr>
                <w:rFonts w:ascii="Times New Roman"/>
                <w:sz w:val="21"/>
              </w:rPr>
              <w:t>0.2</w:t>
            </w:r>
          </w:p>
        </w:tc>
      </w:tr>
    </w:tbl>
    <w:p>
      <w:pPr>
        <w:pStyle w:val="BodyText"/>
        <w:spacing w:before="1"/>
        <w:ind w:left="958"/>
      </w:pPr>
      <w:r>
        <w:rPr>
          <w:rFonts w:ascii="Times New Roman" w:hAnsi="Times New Roman" w:eastAsia="Times New Roman"/>
        </w:rPr>
        <w:t>Q&lt;1</w:t>
      </w:r>
      <w:r>
        <w:rPr/>
        <w:t>，因此本项目环境风险潜势为Ⅰ。</w:t>
      </w:r>
    </w:p>
    <w:p>
      <w:pPr>
        <w:spacing w:before="159"/>
        <w:ind w:left="1373" w:right="1368" w:firstLine="0"/>
        <w:jc w:val="center"/>
        <w:rPr>
          <w:b/>
          <w:sz w:val="21"/>
        </w:rPr>
      </w:pPr>
      <w:r>
        <w:rPr>
          <w:b/>
          <w:spacing w:val="-28"/>
          <w:sz w:val="21"/>
        </w:rPr>
        <w:t>表 </w:t>
      </w:r>
      <w:r>
        <w:rPr>
          <w:rFonts w:ascii="Times New Roman" w:eastAsia="Times New Roman"/>
          <w:b/>
          <w:sz w:val="21"/>
        </w:rPr>
        <w:t>2.4-18</w:t>
      </w:r>
      <w:r>
        <w:rPr>
          <w:rFonts w:ascii="Times New Roman" w:eastAsia="Times New Roman"/>
          <w:b/>
          <w:spacing w:val="52"/>
          <w:sz w:val="21"/>
        </w:rPr>
        <w:t> </w:t>
      </w:r>
      <w:r>
        <w:rPr>
          <w:b/>
          <w:sz w:val="21"/>
        </w:rPr>
        <w:t>评价工作等级划分</w:t>
      </w:r>
    </w:p>
    <w:p>
      <w:pPr>
        <w:pStyle w:val="BodyText"/>
        <w:spacing w:before="11"/>
        <w:rPr>
          <w:b/>
          <w:sz w:val="10"/>
        </w:rPr>
      </w:pPr>
    </w:p>
    <w:tbl>
      <w:tblPr>
        <w:tblW w:w="0" w:type="auto"/>
        <w:jc w:val="left"/>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3"/>
        <w:gridCol w:w="1864"/>
        <w:gridCol w:w="1472"/>
        <w:gridCol w:w="1472"/>
        <w:gridCol w:w="2005"/>
      </w:tblGrid>
      <w:tr>
        <w:trPr>
          <w:trHeight w:val="453" w:hRule="atLeast"/>
        </w:trPr>
        <w:tc>
          <w:tcPr>
            <w:tcW w:w="2273" w:type="dxa"/>
          </w:tcPr>
          <w:p>
            <w:pPr>
              <w:pStyle w:val="TableParagraph"/>
              <w:spacing w:before="90"/>
              <w:ind w:left="485" w:right="478"/>
              <w:rPr>
                <w:sz w:val="21"/>
              </w:rPr>
            </w:pPr>
            <w:r>
              <w:rPr>
                <w:sz w:val="21"/>
              </w:rPr>
              <w:t>环境风险潜势</w:t>
            </w:r>
          </w:p>
        </w:tc>
        <w:tc>
          <w:tcPr>
            <w:tcW w:w="1864" w:type="dxa"/>
          </w:tcPr>
          <w:p>
            <w:pPr>
              <w:pStyle w:val="TableParagraph"/>
              <w:spacing w:before="90"/>
              <w:ind w:left="536" w:right="528"/>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Pr>
          <w:p>
            <w:pPr>
              <w:pStyle w:val="TableParagraph"/>
              <w:spacing w:before="90"/>
              <w:ind w:left="6"/>
              <w:rPr>
                <w:sz w:val="21"/>
              </w:rPr>
            </w:pPr>
            <w:r>
              <w:rPr>
                <w:w w:val="99"/>
                <w:sz w:val="21"/>
              </w:rPr>
              <w:t>Ⅲ</w:t>
            </w:r>
          </w:p>
        </w:tc>
        <w:tc>
          <w:tcPr>
            <w:tcW w:w="1472" w:type="dxa"/>
          </w:tcPr>
          <w:p>
            <w:pPr>
              <w:pStyle w:val="TableParagraph"/>
              <w:spacing w:before="90"/>
              <w:ind w:left="9"/>
              <w:rPr>
                <w:sz w:val="21"/>
              </w:rPr>
            </w:pPr>
            <w:r>
              <w:rPr>
                <w:w w:val="99"/>
                <w:sz w:val="21"/>
              </w:rPr>
              <w:t>Ⅱ</w:t>
            </w:r>
          </w:p>
        </w:tc>
        <w:tc>
          <w:tcPr>
            <w:tcW w:w="2005" w:type="dxa"/>
          </w:tcPr>
          <w:p>
            <w:pPr>
              <w:pStyle w:val="TableParagraph"/>
              <w:spacing w:before="90"/>
              <w:ind w:left="7"/>
              <w:rPr>
                <w:sz w:val="21"/>
              </w:rPr>
            </w:pPr>
            <w:r>
              <w:rPr>
                <w:w w:val="99"/>
                <w:sz w:val="21"/>
              </w:rPr>
              <w:t>Ⅰ</w:t>
            </w:r>
          </w:p>
        </w:tc>
      </w:tr>
      <w:tr>
        <w:trPr>
          <w:trHeight w:val="454" w:hRule="atLeast"/>
        </w:trPr>
        <w:tc>
          <w:tcPr>
            <w:tcW w:w="2273" w:type="dxa"/>
          </w:tcPr>
          <w:p>
            <w:pPr>
              <w:pStyle w:val="TableParagraph"/>
              <w:spacing w:before="90"/>
              <w:ind w:left="485" w:right="478"/>
              <w:rPr>
                <w:sz w:val="21"/>
              </w:rPr>
            </w:pPr>
            <w:r>
              <w:rPr>
                <w:sz w:val="21"/>
              </w:rPr>
              <w:t>评价工作等级</w:t>
            </w:r>
          </w:p>
        </w:tc>
        <w:tc>
          <w:tcPr>
            <w:tcW w:w="1864" w:type="dxa"/>
          </w:tcPr>
          <w:p>
            <w:pPr>
              <w:pStyle w:val="TableParagraph"/>
              <w:spacing w:before="90"/>
              <w:ind w:left="6"/>
              <w:rPr>
                <w:sz w:val="21"/>
              </w:rPr>
            </w:pPr>
            <w:r>
              <w:rPr>
                <w:w w:val="99"/>
                <w:sz w:val="21"/>
              </w:rPr>
              <w:t>一</w:t>
            </w:r>
          </w:p>
        </w:tc>
        <w:tc>
          <w:tcPr>
            <w:tcW w:w="1472" w:type="dxa"/>
          </w:tcPr>
          <w:p>
            <w:pPr>
              <w:pStyle w:val="TableParagraph"/>
              <w:spacing w:before="90"/>
              <w:ind w:left="6"/>
              <w:rPr>
                <w:sz w:val="21"/>
              </w:rPr>
            </w:pPr>
            <w:r>
              <w:rPr>
                <w:w w:val="99"/>
                <w:sz w:val="21"/>
              </w:rPr>
              <w:t>二</w:t>
            </w:r>
          </w:p>
        </w:tc>
        <w:tc>
          <w:tcPr>
            <w:tcW w:w="1472" w:type="dxa"/>
          </w:tcPr>
          <w:p>
            <w:pPr>
              <w:pStyle w:val="TableParagraph"/>
              <w:spacing w:before="90"/>
              <w:ind w:left="9"/>
              <w:rPr>
                <w:sz w:val="21"/>
              </w:rPr>
            </w:pPr>
            <w:r>
              <w:rPr>
                <w:w w:val="99"/>
                <w:sz w:val="21"/>
              </w:rPr>
              <w:t>三</w:t>
            </w:r>
          </w:p>
        </w:tc>
        <w:tc>
          <w:tcPr>
            <w:tcW w:w="2005" w:type="dxa"/>
          </w:tcPr>
          <w:p>
            <w:pPr>
              <w:pStyle w:val="TableParagraph"/>
              <w:spacing w:before="90"/>
              <w:ind w:left="480" w:right="472"/>
              <w:rPr>
                <w:rFonts w:ascii="Times New Roman" w:eastAsia="Times New Roman"/>
                <w:sz w:val="13"/>
              </w:rPr>
            </w:pPr>
            <w:r>
              <w:rPr>
                <w:sz w:val="21"/>
              </w:rPr>
              <w:t>简单分析 </w:t>
            </w:r>
            <w:r>
              <w:rPr>
                <w:rFonts w:ascii="Times New Roman" w:eastAsia="Times New Roman"/>
                <w:position w:val="7"/>
                <w:sz w:val="13"/>
              </w:rPr>
              <w:t>a</w:t>
            </w:r>
          </w:p>
        </w:tc>
      </w:tr>
      <w:tr>
        <w:trPr>
          <w:trHeight w:val="544" w:hRule="atLeast"/>
        </w:trPr>
        <w:tc>
          <w:tcPr>
            <w:tcW w:w="9086" w:type="dxa"/>
            <w:gridSpan w:val="5"/>
          </w:tcPr>
          <w:p>
            <w:pPr>
              <w:pStyle w:val="TableParagraph"/>
              <w:ind w:left="4" w:right="-15"/>
              <w:jc w:val="left"/>
              <w:rPr>
                <w:sz w:val="21"/>
              </w:rPr>
            </w:pPr>
            <w:r>
              <w:rPr>
                <w:rFonts w:ascii="Times New Roman" w:eastAsia="Times New Roman"/>
                <w:position w:val="7"/>
                <w:sz w:val="13"/>
              </w:rPr>
              <w:t>a</w:t>
            </w:r>
            <w:r>
              <w:rPr>
                <w:rFonts w:ascii="Times New Roman" w:eastAsia="Times New Roman"/>
                <w:spacing w:val="-12"/>
                <w:position w:val="7"/>
                <w:sz w:val="13"/>
              </w:rPr>
              <w:t> </w:t>
            </w:r>
            <w:r>
              <w:rPr>
                <w:spacing w:val="-4"/>
                <w:sz w:val="21"/>
              </w:rPr>
              <w:t>是相对于详细评价工作内容而言，在描述危险物质、环境影响途径、环境危害后果、风险防范措施</w:t>
            </w:r>
          </w:p>
          <w:p>
            <w:pPr>
              <w:pStyle w:val="TableParagraph"/>
              <w:spacing w:line="252" w:lineRule="exact" w:before="2"/>
              <w:ind w:left="4"/>
              <w:jc w:val="left"/>
              <w:rPr>
                <w:sz w:val="21"/>
              </w:rPr>
            </w:pPr>
            <w:r>
              <w:rPr>
                <w:sz w:val="21"/>
              </w:rPr>
              <w:t>等方面给出定性的说明。</w:t>
            </w:r>
          </w:p>
        </w:tc>
      </w:tr>
    </w:tbl>
    <w:p>
      <w:pPr>
        <w:pStyle w:val="BodyText"/>
        <w:spacing w:before="11"/>
        <w:rPr>
          <w:b/>
          <w:sz w:val="18"/>
        </w:rPr>
      </w:pPr>
    </w:p>
    <w:p>
      <w:pPr>
        <w:pStyle w:val="BodyText"/>
        <w:spacing w:line="364" w:lineRule="auto"/>
        <w:ind w:left="478" w:right="418" w:firstLine="480"/>
      </w:pPr>
      <w:r>
        <w:rPr/>
        <w:t>根据《建设项目环境风险评价技术导则》（</w:t>
      </w:r>
      <w:r>
        <w:rPr>
          <w:rFonts w:ascii="Times New Roman" w:eastAsia="Times New Roman"/>
        </w:rPr>
        <w:t>HJ169-2018</w:t>
      </w:r>
      <w:r>
        <w:rPr/>
        <w:t>）中评价等级划分表，见上表及本项目风险潜势判断结果，本项目环境风险评价简单分析即可。</w:t>
      </w:r>
    </w:p>
    <w:p>
      <w:pPr>
        <w:spacing w:after="0" w:line="364" w:lineRule="auto"/>
        <w:sectPr>
          <w:type w:val="continuous"/>
          <w:pgSz w:w="11910" w:h="16840"/>
          <w:pgMar w:top="1580" w:bottom="280" w:left="940" w:right="940"/>
        </w:sectPr>
      </w:pPr>
    </w:p>
    <w:p>
      <w:pPr>
        <w:pStyle w:val="Heading2"/>
        <w:numPr>
          <w:ilvl w:val="1"/>
          <w:numId w:val="16"/>
        </w:numPr>
        <w:tabs>
          <w:tab w:pos="1004" w:val="left" w:leader="none"/>
        </w:tabs>
        <w:spacing w:line="240" w:lineRule="auto" w:before="44" w:after="0"/>
        <w:ind w:left="1004" w:right="0" w:hanging="526"/>
        <w:jc w:val="left"/>
      </w:pPr>
      <w:bookmarkStart w:name="2.5 评价范围" w:id="56"/>
      <w:bookmarkEnd w:id="56"/>
      <w:r>
        <w:rPr>
          <w:b w:val="0"/>
        </w:rPr>
      </w:r>
      <w:bookmarkStart w:name="_bookmark11" w:id="57"/>
      <w:bookmarkEnd w:id="57"/>
      <w:r>
        <w:rPr>
          <w:b w:val="0"/>
        </w:rPr>
      </w:r>
      <w:bookmarkStart w:name="_bookmark11" w:id="58"/>
      <w:bookmarkEnd w:id="58"/>
      <w:r>
        <w:rPr/>
        <w:t>评价范围</w:t>
      </w:r>
    </w:p>
    <w:p>
      <w:pPr>
        <w:pStyle w:val="Heading3"/>
        <w:numPr>
          <w:ilvl w:val="2"/>
          <w:numId w:val="16"/>
        </w:numPr>
        <w:tabs>
          <w:tab w:pos="1177" w:val="left" w:leader="none"/>
        </w:tabs>
        <w:spacing w:line="240" w:lineRule="auto" w:before="197" w:after="0"/>
        <w:ind w:left="1176" w:right="0" w:hanging="699"/>
        <w:jc w:val="left"/>
      </w:pPr>
      <w:bookmarkStart w:name="2.5.1 环境空气" w:id="59"/>
      <w:bookmarkEnd w:id="59"/>
      <w:r>
        <w:rPr>
          <w:b w:val="0"/>
        </w:rPr>
      </w:r>
      <w:bookmarkStart w:name="2.5.1 环境空气" w:id="60"/>
      <w:bookmarkEnd w:id="60"/>
      <w:r>
        <w:rPr/>
        <w:t>环境空气</w:t>
      </w:r>
    </w:p>
    <w:p>
      <w:pPr>
        <w:pStyle w:val="BodyText"/>
        <w:spacing w:line="364" w:lineRule="auto" w:before="185"/>
        <w:ind w:left="478" w:right="477" w:firstLine="480"/>
      </w:pPr>
      <w:r>
        <w:rPr>
          <w:spacing w:val="-7"/>
        </w:rPr>
        <w:t>以工业场地中心为中心，边长约为 </w:t>
      </w:r>
      <w:r>
        <w:rPr>
          <w:rFonts w:ascii="Times New Roman" w:eastAsia="Times New Roman"/>
        </w:rPr>
        <w:t>5km </w:t>
      </w:r>
      <w:r>
        <w:rPr>
          <w:spacing w:val="-9"/>
        </w:rPr>
        <w:t>的矩形范围，总评价面积约为 </w:t>
      </w:r>
      <w:r>
        <w:rPr>
          <w:rFonts w:ascii="Times New Roman" w:eastAsia="Times New Roman"/>
        </w:rPr>
        <w:t>25km</w:t>
      </w:r>
      <w:r>
        <w:rPr>
          <w:rFonts w:ascii="Times New Roman" w:eastAsia="Times New Roman"/>
          <w:position w:val="8"/>
          <w:sz w:val="15"/>
        </w:rPr>
        <w:t>2</w:t>
      </w:r>
      <w:r>
        <w:rPr>
          <w:spacing w:val="-16"/>
        </w:rPr>
        <w:t>。评价</w:t>
      </w:r>
      <w:r>
        <w:rPr/>
        <w:t>范围见附图。</w:t>
      </w:r>
    </w:p>
    <w:p>
      <w:pPr>
        <w:pStyle w:val="Heading3"/>
        <w:numPr>
          <w:ilvl w:val="2"/>
          <w:numId w:val="16"/>
        </w:numPr>
        <w:tabs>
          <w:tab w:pos="1177" w:val="left" w:leader="none"/>
        </w:tabs>
        <w:spacing w:line="358" w:lineRule="exact" w:before="0" w:after="0"/>
        <w:ind w:left="1176" w:right="0" w:hanging="699"/>
        <w:jc w:val="left"/>
      </w:pPr>
      <w:bookmarkStart w:name="2.5.2 地表水环境" w:id="61"/>
      <w:bookmarkEnd w:id="61"/>
      <w:r>
        <w:rPr>
          <w:b w:val="0"/>
        </w:rPr>
      </w:r>
      <w:bookmarkStart w:name="2.5.2 地表水环境" w:id="62"/>
      <w:bookmarkEnd w:id="62"/>
      <w:r>
        <w:rPr/>
        <w:t>地表水环境</w:t>
      </w:r>
    </w:p>
    <w:p>
      <w:pPr>
        <w:pStyle w:val="BodyText"/>
        <w:spacing w:line="364" w:lineRule="auto" w:before="185"/>
        <w:ind w:left="478" w:right="766" w:firstLine="480"/>
      </w:pPr>
      <w:bookmarkStart w:name="从纳污水体安邦河汇入口上游500m，下游1000m，下游5000m，总控制长度约" w:id="63"/>
      <w:bookmarkEnd w:id="63"/>
      <w:r>
        <w:rPr/>
      </w:r>
      <w:r>
        <w:rPr>
          <w:spacing w:val="-5"/>
        </w:rPr>
        <w:t>从纳污水体安邦河汇入口上游 </w:t>
      </w:r>
      <w:r>
        <w:rPr>
          <w:rFonts w:ascii="Times New Roman" w:eastAsia="Times New Roman"/>
        </w:rPr>
        <w:t>500m</w:t>
      </w:r>
      <w:r>
        <w:rPr>
          <w:spacing w:val="-15"/>
        </w:rPr>
        <w:t>，下游 </w:t>
      </w:r>
      <w:r>
        <w:rPr>
          <w:rFonts w:ascii="Times New Roman" w:eastAsia="Times New Roman"/>
        </w:rPr>
        <w:t>1000m</w:t>
      </w:r>
      <w:r>
        <w:rPr>
          <w:spacing w:val="-15"/>
        </w:rPr>
        <w:t>，下游 </w:t>
      </w:r>
      <w:r>
        <w:rPr>
          <w:rFonts w:ascii="Times New Roman" w:eastAsia="Times New Roman"/>
        </w:rPr>
        <w:t>5000m</w:t>
      </w:r>
      <w:r>
        <w:rPr>
          <w:spacing w:val="-3"/>
        </w:rPr>
        <w:t>，总控制长度约</w:t>
      </w:r>
      <w:r>
        <w:rPr>
          <w:rFonts w:ascii="Times New Roman" w:eastAsia="Times New Roman"/>
        </w:rPr>
        <w:t>5500m</w:t>
      </w:r>
      <w:r>
        <w:rPr/>
        <w:t>。</w:t>
      </w:r>
    </w:p>
    <w:p>
      <w:pPr>
        <w:pStyle w:val="Heading3"/>
        <w:numPr>
          <w:ilvl w:val="2"/>
          <w:numId w:val="16"/>
        </w:numPr>
        <w:tabs>
          <w:tab w:pos="1108" w:val="left" w:leader="none"/>
        </w:tabs>
        <w:spacing w:line="358" w:lineRule="exact" w:before="0" w:after="0"/>
        <w:ind w:left="1107" w:right="0" w:hanging="630"/>
        <w:jc w:val="left"/>
      </w:pPr>
      <w:bookmarkStart w:name="2.5.3地下水环境" w:id="64"/>
      <w:bookmarkEnd w:id="64"/>
      <w:r>
        <w:rPr>
          <w:b w:val="0"/>
        </w:rPr>
      </w:r>
      <w:bookmarkStart w:name="2.5.3地下水环境" w:id="65"/>
      <w:bookmarkEnd w:id="65"/>
      <w:r>
        <w:rPr/>
        <w:t>地下水环境</w:t>
      </w:r>
    </w:p>
    <w:p>
      <w:pPr>
        <w:pStyle w:val="BodyText"/>
        <w:spacing w:line="364" w:lineRule="auto" w:before="185"/>
        <w:ind w:left="478" w:right="425" w:firstLine="480"/>
        <w:jc w:val="both"/>
      </w:pPr>
      <w:r>
        <w:rPr/>
        <w:t>参照项目的评价等级，为了说明地下水环境的基本状况，依据项目区周边的地质、水文地质条件和地形、地貌特征，确定项目地下水评价范围，矿井位于丘陵山区，地表自然坡度 </w:t>
      </w:r>
      <w:r>
        <w:rPr>
          <w:rFonts w:ascii="Times New Roman" w:hAnsi="Times New Roman" w:eastAsia="Times New Roman"/>
        </w:rPr>
        <w:t>3‰-7‰</w:t>
      </w:r>
      <w:r>
        <w:rPr/>
        <w:t>之间，因而本次地下水环境影响评价工作的调查评价范围是以本项目区范围为核心，东西长约 </w:t>
      </w:r>
      <w:r>
        <w:rPr>
          <w:rFonts w:ascii="Times New Roman" w:hAnsi="Times New Roman" w:eastAsia="Times New Roman"/>
        </w:rPr>
        <w:t>3km</w:t>
      </w:r>
      <w:r>
        <w:rPr/>
        <w:t>，南北宽约 </w:t>
      </w:r>
      <w:r>
        <w:rPr>
          <w:rFonts w:ascii="Times New Roman" w:hAnsi="Times New Roman" w:eastAsia="Times New Roman"/>
        </w:rPr>
        <w:t>2km</w:t>
      </w:r>
      <w:r>
        <w:rPr/>
        <w:t>，面积为 </w:t>
      </w:r>
      <w:r>
        <w:rPr>
          <w:rFonts w:ascii="Times New Roman" w:hAnsi="Times New Roman" w:eastAsia="Times New Roman"/>
        </w:rPr>
        <w:t>6km</w:t>
      </w:r>
      <w:r>
        <w:rPr>
          <w:rFonts w:ascii="Times New Roman" w:hAnsi="Times New Roman" w:eastAsia="Times New Roman"/>
          <w:position w:val="8"/>
          <w:sz w:val="15"/>
        </w:rPr>
        <w:t>2</w:t>
      </w:r>
      <w:r>
        <w:rPr/>
        <w:t>，评价范围见附图。</w:t>
      </w:r>
    </w:p>
    <w:p>
      <w:pPr>
        <w:pStyle w:val="Heading3"/>
        <w:numPr>
          <w:ilvl w:val="2"/>
          <w:numId w:val="16"/>
        </w:numPr>
        <w:tabs>
          <w:tab w:pos="1177" w:val="left" w:leader="none"/>
        </w:tabs>
        <w:spacing w:line="357" w:lineRule="exact" w:before="0" w:after="0"/>
        <w:ind w:left="1176" w:right="0" w:hanging="699"/>
        <w:jc w:val="left"/>
      </w:pPr>
      <w:bookmarkStart w:name="2.5.4 声环境" w:id="66"/>
      <w:bookmarkEnd w:id="66"/>
      <w:r>
        <w:rPr>
          <w:b w:val="0"/>
        </w:rPr>
      </w:r>
      <w:bookmarkStart w:name="2.5.4 声环境" w:id="67"/>
      <w:bookmarkEnd w:id="67"/>
      <w:r>
        <w:rPr/>
        <w:t>声环境</w:t>
      </w:r>
    </w:p>
    <w:p>
      <w:pPr>
        <w:pStyle w:val="BodyText"/>
        <w:spacing w:before="186"/>
        <w:ind w:left="958"/>
      </w:pPr>
      <w:r>
        <w:rPr/>
        <w:t>本工程工业场区边界外 </w:t>
      </w:r>
      <w:r>
        <w:rPr>
          <w:rFonts w:ascii="Times New Roman" w:eastAsia="Times New Roman"/>
        </w:rPr>
        <w:t>200m</w:t>
      </w:r>
      <w:r>
        <w:rPr/>
        <w:t>。评价范围图见图。</w:t>
      </w:r>
    </w:p>
    <w:p>
      <w:pPr>
        <w:pStyle w:val="Heading3"/>
        <w:numPr>
          <w:ilvl w:val="2"/>
          <w:numId w:val="16"/>
        </w:numPr>
        <w:tabs>
          <w:tab w:pos="1108" w:val="left" w:leader="none"/>
        </w:tabs>
        <w:spacing w:line="240" w:lineRule="auto" w:before="161" w:after="0"/>
        <w:ind w:left="1107" w:right="0" w:hanging="630"/>
        <w:jc w:val="left"/>
      </w:pPr>
      <w:bookmarkStart w:name="2.5.5生态环境" w:id="68"/>
      <w:bookmarkEnd w:id="68"/>
      <w:r>
        <w:rPr>
          <w:b w:val="0"/>
        </w:rPr>
      </w:r>
      <w:bookmarkStart w:name="2.5.5生态环境" w:id="69"/>
      <w:bookmarkEnd w:id="69"/>
      <w:r>
        <w:rPr/>
        <w:t>生态环境</w:t>
      </w:r>
    </w:p>
    <w:p>
      <w:pPr>
        <w:pStyle w:val="BodyText"/>
        <w:spacing w:before="185"/>
        <w:ind w:left="958"/>
      </w:pPr>
      <w:r>
        <w:rPr/>
        <w:t>井田境界及其周边 </w:t>
      </w:r>
      <w:r>
        <w:rPr>
          <w:rFonts w:ascii="Times New Roman" w:eastAsia="Times New Roman"/>
        </w:rPr>
        <w:t>500m </w:t>
      </w:r>
      <w:r>
        <w:rPr/>
        <w:t>范围内，评价范围图见附图。</w:t>
      </w:r>
    </w:p>
    <w:p>
      <w:pPr>
        <w:pStyle w:val="Heading3"/>
        <w:numPr>
          <w:ilvl w:val="2"/>
          <w:numId w:val="16"/>
        </w:numPr>
        <w:tabs>
          <w:tab w:pos="1108" w:val="left" w:leader="none"/>
        </w:tabs>
        <w:spacing w:line="240" w:lineRule="auto" w:before="159" w:after="0"/>
        <w:ind w:left="1107" w:right="0" w:hanging="630"/>
        <w:jc w:val="left"/>
      </w:pPr>
      <w:bookmarkStart w:name="2.5.6土壤环境" w:id="70"/>
      <w:bookmarkEnd w:id="70"/>
      <w:r>
        <w:rPr>
          <w:b w:val="0"/>
        </w:rPr>
      </w:r>
      <w:bookmarkStart w:name="2.5.6土壤环境" w:id="71"/>
      <w:bookmarkEnd w:id="71"/>
      <w:r>
        <w:rPr/>
        <w:t>土壤环境</w:t>
      </w:r>
    </w:p>
    <w:p>
      <w:pPr>
        <w:pStyle w:val="BodyText"/>
        <w:spacing w:before="185"/>
        <w:ind w:left="958"/>
        <w:rPr>
          <w:rFonts w:ascii="Times New Roman" w:eastAsia="Times New Roman"/>
        </w:rPr>
      </w:pPr>
      <w:r>
        <w:rPr/>
        <w:t>井田开采区以井田范围外扩</w:t>
      </w:r>
      <w:r>
        <w:rPr>
          <w:rFonts w:ascii="Times New Roman" w:eastAsia="Times New Roman"/>
        </w:rPr>
        <w:t>1km </w:t>
      </w:r>
      <w:r>
        <w:rPr/>
        <w:t>为评价范围；工业场地评价范围以场地外扩</w:t>
      </w:r>
      <w:r>
        <w:rPr>
          <w:rFonts w:ascii="Times New Roman" w:eastAsia="Times New Roman"/>
        </w:rPr>
        <w:t>0.05km</w:t>
      </w:r>
    </w:p>
    <w:p>
      <w:pPr>
        <w:pStyle w:val="BodyText"/>
        <w:spacing w:before="161"/>
        <w:ind w:left="478"/>
      </w:pPr>
      <w:r>
        <w:rPr/>
        <w:t>为评价范围。评价范围见附图。</w:t>
      </w:r>
    </w:p>
    <w:p>
      <w:pPr>
        <w:pStyle w:val="Heading2"/>
        <w:numPr>
          <w:ilvl w:val="1"/>
          <w:numId w:val="16"/>
        </w:numPr>
        <w:tabs>
          <w:tab w:pos="1004" w:val="left" w:leader="none"/>
        </w:tabs>
        <w:spacing w:line="240" w:lineRule="auto" w:before="160" w:after="0"/>
        <w:ind w:left="1004" w:right="0" w:hanging="526"/>
        <w:jc w:val="left"/>
      </w:pPr>
      <w:bookmarkStart w:name="2.6 控制污染与环境保护目标" w:id="72"/>
      <w:bookmarkEnd w:id="72"/>
      <w:r>
        <w:rPr>
          <w:b w:val="0"/>
        </w:rPr>
      </w:r>
      <w:bookmarkStart w:name="_bookmark12" w:id="73"/>
      <w:bookmarkEnd w:id="73"/>
      <w:r>
        <w:rPr>
          <w:b w:val="0"/>
        </w:rPr>
      </w:r>
      <w:bookmarkStart w:name="_bookmark12" w:id="74"/>
      <w:bookmarkEnd w:id="74"/>
      <w:r>
        <w:rPr/>
        <w:t>控制污染与环境保护目标</w:t>
      </w:r>
    </w:p>
    <w:p>
      <w:pPr>
        <w:pStyle w:val="BodyText"/>
        <w:spacing w:line="364" w:lineRule="auto" w:before="197"/>
        <w:ind w:left="475" w:right="375" w:firstLine="480"/>
      </w:pPr>
      <w:r>
        <w:rPr/>
        <w:t>本评价区内无国家、省、市级自然保护区，但为了保护本项目所在区域环境空气、生态、地下水质量及受纳水体安邦河，应贯彻污染源治理</w:t>
      </w:r>
      <w:r>
        <w:rPr>
          <w:rFonts w:ascii="Times New Roman" w:hAnsi="Times New Roman" w:eastAsia="Times New Roman"/>
        </w:rPr>
        <w:t>“</w:t>
      </w:r>
      <w:r>
        <w:rPr/>
        <w:t>以新带老</w:t>
      </w:r>
      <w:r>
        <w:rPr>
          <w:rFonts w:ascii="Times New Roman" w:hAnsi="Times New Roman" w:eastAsia="Times New Roman"/>
        </w:rPr>
        <w:t>”</w:t>
      </w:r>
      <w:r>
        <w:rPr/>
        <w:t>、</w:t>
      </w:r>
      <w:r>
        <w:rPr>
          <w:rFonts w:ascii="Times New Roman" w:hAnsi="Times New Roman" w:eastAsia="Times New Roman"/>
        </w:rPr>
        <w:t>“</w:t>
      </w:r>
      <w:r>
        <w:rPr/>
        <w:t>达标排放</w:t>
      </w:r>
      <w:r>
        <w:rPr>
          <w:rFonts w:ascii="Times New Roman" w:hAnsi="Times New Roman" w:eastAsia="Times New Roman"/>
        </w:rPr>
        <w:t>”</w:t>
      </w:r>
      <w:r>
        <w:rPr/>
        <w:t>、</w:t>
      </w:r>
      <w:r>
        <w:rPr>
          <w:rFonts w:ascii="Times New Roman" w:hAnsi="Times New Roman" w:eastAsia="Times New Roman"/>
        </w:rPr>
        <w:t>“</w:t>
      </w:r>
      <w:r>
        <w:rPr/>
        <w:t>总量控制</w:t>
      </w:r>
      <w:r>
        <w:rPr>
          <w:rFonts w:ascii="Times New Roman" w:hAnsi="Times New Roman" w:eastAsia="Times New Roman"/>
        </w:rPr>
        <w:t>”</w:t>
      </w:r>
      <w:r>
        <w:rPr/>
        <w:t>、</w:t>
      </w:r>
      <w:r>
        <w:rPr>
          <w:rFonts w:ascii="Times New Roman" w:hAnsi="Times New Roman" w:eastAsia="Times New Roman"/>
        </w:rPr>
        <w:t>“</w:t>
      </w:r>
      <w:r>
        <w:rPr/>
        <w:t>清洁生产</w:t>
      </w:r>
      <w:r>
        <w:rPr>
          <w:rFonts w:ascii="Times New Roman" w:hAnsi="Times New Roman" w:eastAsia="Times New Roman"/>
        </w:rPr>
        <w:t>”</w:t>
      </w:r>
      <w:r>
        <w:rPr/>
        <w:t>的原则，提出切实可行的污染防治方案，使本工程投产后所排烟尘及污水能达到浓度控制标准与污染物总量控制要求，以减少对纳污环境的污染负荷。</w:t>
      </w:r>
    </w:p>
    <w:p>
      <w:pPr>
        <w:pStyle w:val="BodyText"/>
        <w:ind w:left="898"/>
      </w:pPr>
      <w:r>
        <w:rPr/>
        <w:t>本工程主要的环境保护目标见表 </w:t>
      </w:r>
      <w:r>
        <w:rPr>
          <w:rFonts w:ascii="Times New Roman" w:eastAsia="Times New Roman"/>
        </w:rPr>
        <w:t>2.6-1</w:t>
      </w:r>
      <w:r>
        <w:rPr/>
        <w:t>。</w:t>
      </w:r>
    </w:p>
    <w:p>
      <w:pPr>
        <w:pStyle w:val="Heading4"/>
        <w:tabs>
          <w:tab w:pos="1046" w:val="left" w:leader="none"/>
        </w:tabs>
        <w:spacing w:before="158" w:after="2"/>
        <w:ind w:left="7"/>
        <w:jc w:val="center"/>
      </w:pPr>
      <w:r>
        <w:rPr/>
        <w:t>表</w:t>
      </w:r>
      <w:r>
        <w:rPr>
          <w:spacing w:val="-62"/>
        </w:rPr>
        <w:t> </w:t>
      </w:r>
      <w:r>
        <w:rPr>
          <w:rFonts w:ascii="Times New Roman" w:eastAsia="Times New Roman"/>
        </w:rPr>
        <w:t>2.6-1</w:t>
        <w:tab/>
      </w:r>
      <w:r>
        <w:rPr/>
        <w:t>环境保护目标一览表</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663"/>
        <w:gridCol w:w="2105"/>
        <w:gridCol w:w="1186"/>
        <w:gridCol w:w="2873"/>
      </w:tblGrid>
      <w:tr>
        <w:trPr>
          <w:trHeight w:val="545" w:hRule="atLeast"/>
        </w:trPr>
        <w:tc>
          <w:tcPr>
            <w:tcW w:w="1289" w:type="dxa"/>
          </w:tcPr>
          <w:p>
            <w:pPr>
              <w:pStyle w:val="TableParagraph"/>
              <w:spacing w:before="135"/>
              <w:ind w:right="215"/>
              <w:jc w:val="right"/>
              <w:rPr>
                <w:sz w:val="21"/>
              </w:rPr>
            </w:pPr>
            <w:r>
              <w:rPr>
                <w:w w:val="95"/>
                <w:sz w:val="21"/>
              </w:rPr>
              <w:t>影响因素</w:t>
            </w:r>
          </w:p>
        </w:tc>
        <w:tc>
          <w:tcPr>
            <w:tcW w:w="1663" w:type="dxa"/>
          </w:tcPr>
          <w:p>
            <w:pPr>
              <w:pStyle w:val="TableParagraph"/>
              <w:spacing w:before="135"/>
              <w:ind w:left="180" w:right="173"/>
              <w:rPr>
                <w:sz w:val="21"/>
              </w:rPr>
            </w:pPr>
            <w:r>
              <w:rPr>
                <w:sz w:val="21"/>
              </w:rPr>
              <w:t>环境保护目标</w:t>
            </w:r>
          </w:p>
        </w:tc>
        <w:tc>
          <w:tcPr>
            <w:tcW w:w="2105" w:type="dxa"/>
          </w:tcPr>
          <w:p>
            <w:pPr>
              <w:pStyle w:val="TableParagraph"/>
              <w:spacing w:before="1"/>
              <w:ind w:left="86" w:right="78"/>
              <w:rPr>
                <w:sz w:val="21"/>
              </w:rPr>
            </w:pPr>
            <w:r>
              <w:rPr>
                <w:sz w:val="21"/>
              </w:rPr>
              <w:t>距工业广场方位、距</w:t>
            </w:r>
          </w:p>
          <w:p>
            <w:pPr>
              <w:pStyle w:val="TableParagraph"/>
              <w:spacing w:line="253" w:lineRule="exact" w:before="2"/>
              <w:ind w:left="86" w:right="78"/>
              <w:rPr>
                <w:sz w:val="21"/>
              </w:rPr>
            </w:pPr>
            <w:r>
              <w:rPr>
                <w:sz w:val="21"/>
              </w:rPr>
              <w:t>离（</w:t>
            </w:r>
            <w:r>
              <w:rPr>
                <w:rFonts w:ascii="Times New Roman" w:eastAsia="Times New Roman"/>
                <w:sz w:val="21"/>
              </w:rPr>
              <w:t>m</w:t>
            </w:r>
            <w:r>
              <w:rPr>
                <w:sz w:val="21"/>
              </w:rPr>
              <w:t>）</w:t>
            </w:r>
          </w:p>
        </w:tc>
        <w:tc>
          <w:tcPr>
            <w:tcW w:w="1186" w:type="dxa"/>
          </w:tcPr>
          <w:p>
            <w:pPr>
              <w:pStyle w:val="TableParagraph"/>
              <w:spacing w:before="1"/>
              <w:ind w:left="278"/>
              <w:jc w:val="left"/>
              <w:rPr>
                <w:sz w:val="21"/>
              </w:rPr>
            </w:pPr>
            <w:r>
              <w:rPr>
                <w:sz w:val="21"/>
              </w:rPr>
              <w:t>受影响</w:t>
            </w:r>
          </w:p>
          <w:p>
            <w:pPr>
              <w:pStyle w:val="TableParagraph"/>
              <w:spacing w:line="253" w:lineRule="exact" w:before="2"/>
              <w:ind w:left="381"/>
              <w:jc w:val="left"/>
              <w:rPr>
                <w:sz w:val="21"/>
              </w:rPr>
            </w:pPr>
            <w:r>
              <w:rPr>
                <w:sz w:val="21"/>
              </w:rPr>
              <w:t>人群</w:t>
            </w:r>
          </w:p>
        </w:tc>
        <w:tc>
          <w:tcPr>
            <w:tcW w:w="2873" w:type="dxa"/>
          </w:tcPr>
          <w:p>
            <w:pPr>
              <w:pStyle w:val="TableParagraph"/>
              <w:spacing w:before="135"/>
              <w:ind w:left="113" w:right="109"/>
              <w:rPr>
                <w:sz w:val="21"/>
              </w:rPr>
            </w:pPr>
            <w:r>
              <w:rPr>
                <w:sz w:val="21"/>
              </w:rPr>
              <w:t>控制标准</w:t>
            </w:r>
          </w:p>
        </w:tc>
      </w:tr>
      <w:tr>
        <w:trPr>
          <w:trHeight w:val="479" w:hRule="atLeast"/>
        </w:trPr>
        <w:tc>
          <w:tcPr>
            <w:tcW w:w="1289" w:type="dxa"/>
          </w:tcPr>
          <w:p>
            <w:pPr>
              <w:pStyle w:val="TableParagraph"/>
              <w:spacing w:before="106"/>
              <w:ind w:right="215"/>
              <w:jc w:val="right"/>
              <w:rPr>
                <w:sz w:val="21"/>
              </w:rPr>
            </w:pPr>
            <w:r>
              <w:rPr>
                <w:w w:val="95"/>
                <w:sz w:val="21"/>
              </w:rPr>
              <w:t>环境空气</w:t>
            </w:r>
          </w:p>
        </w:tc>
        <w:tc>
          <w:tcPr>
            <w:tcW w:w="1663" w:type="dxa"/>
          </w:tcPr>
          <w:p>
            <w:pPr>
              <w:pStyle w:val="TableParagraph"/>
              <w:spacing w:before="106"/>
              <w:ind w:left="180" w:right="173"/>
              <w:rPr>
                <w:sz w:val="21"/>
              </w:rPr>
            </w:pPr>
            <w:r>
              <w:rPr>
                <w:sz w:val="21"/>
              </w:rPr>
              <w:t>东兴村</w:t>
            </w:r>
          </w:p>
        </w:tc>
        <w:tc>
          <w:tcPr>
            <w:tcW w:w="2105" w:type="dxa"/>
          </w:tcPr>
          <w:p>
            <w:pPr>
              <w:pStyle w:val="TableParagraph"/>
              <w:spacing w:before="120"/>
              <w:ind w:left="621"/>
              <w:jc w:val="left"/>
              <w:rPr>
                <w:rFonts w:ascii="Times New Roman"/>
                <w:sz w:val="21"/>
              </w:rPr>
            </w:pPr>
            <w:r>
              <w:rPr>
                <w:rFonts w:ascii="Times New Roman"/>
                <w:sz w:val="21"/>
              </w:rPr>
              <w:t>NWW750</w:t>
            </w:r>
          </w:p>
        </w:tc>
        <w:tc>
          <w:tcPr>
            <w:tcW w:w="1186" w:type="dxa"/>
          </w:tcPr>
          <w:p>
            <w:pPr>
              <w:pStyle w:val="TableParagraph"/>
              <w:spacing w:before="106"/>
              <w:ind w:left="304"/>
              <w:jc w:val="left"/>
              <w:rPr>
                <w:sz w:val="21"/>
              </w:rPr>
            </w:pPr>
            <w:r>
              <w:rPr>
                <w:rFonts w:ascii="Times New Roman" w:eastAsia="Times New Roman"/>
                <w:sz w:val="21"/>
              </w:rPr>
              <w:t>965 </w:t>
            </w:r>
            <w:r>
              <w:rPr>
                <w:sz w:val="21"/>
              </w:rPr>
              <w:t>人</w:t>
            </w:r>
          </w:p>
        </w:tc>
        <w:tc>
          <w:tcPr>
            <w:tcW w:w="2873" w:type="dxa"/>
          </w:tcPr>
          <w:p>
            <w:pPr>
              <w:pStyle w:val="TableParagraph"/>
              <w:spacing w:before="106"/>
              <w:ind w:left="115" w:right="109"/>
              <w:rPr>
                <w:sz w:val="21"/>
              </w:rPr>
            </w:pPr>
            <w:r>
              <w:rPr>
                <w:sz w:val="21"/>
              </w:rPr>
              <w:t>《环境空气质量标准》</w:t>
            </w:r>
          </w:p>
        </w:tc>
      </w:tr>
    </w:tbl>
    <w:p>
      <w:pPr>
        <w:spacing w:after="0"/>
        <w:rPr>
          <w:sz w:val="21"/>
        </w:rPr>
        <w:sectPr>
          <w:pgSz w:w="11910" w:h="16840"/>
          <w:pgMar w:header="0" w:footer="913" w:top="136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663"/>
        <w:gridCol w:w="2105"/>
        <w:gridCol w:w="1186"/>
        <w:gridCol w:w="2873"/>
      </w:tblGrid>
      <w:tr>
        <w:trPr>
          <w:trHeight w:val="480" w:hRule="atLeast"/>
        </w:trPr>
        <w:tc>
          <w:tcPr>
            <w:tcW w:w="1289" w:type="dxa"/>
            <w:vMerge w:val="restart"/>
          </w:tcPr>
          <w:p>
            <w:pPr>
              <w:pStyle w:val="TableParagraph"/>
              <w:jc w:val="left"/>
              <w:rPr>
                <w:rFonts w:ascii="Times New Roman"/>
                <w:sz w:val="20"/>
              </w:rPr>
            </w:pPr>
          </w:p>
        </w:tc>
        <w:tc>
          <w:tcPr>
            <w:tcW w:w="1663" w:type="dxa"/>
          </w:tcPr>
          <w:p>
            <w:pPr>
              <w:pStyle w:val="TableParagraph"/>
              <w:spacing w:before="105"/>
              <w:ind w:left="180" w:right="173"/>
              <w:rPr>
                <w:sz w:val="21"/>
              </w:rPr>
            </w:pPr>
            <w:r>
              <w:rPr>
                <w:sz w:val="21"/>
              </w:rPr>
              <w:t>东升村</w:t>
            </w:r>
          </w:p>
        </w:tc>
        <w:tc>
          <w:tcPr>
            <w:tcW w:w="2105" w:type="dxa"/>
          </w:tcPr>
          <w:p>
            <w:pPr>
              <w:pStyle w:val="TableParagraph"/>
              <w:spacing w:before="119"/>
              <w:ind w:left="84" w:right="78"/>
              <w:rPr>
                <w:rFonts w:ascii="Times New Roman"/>
                <w:sz w:val="21"/>
              </w:rPr>
            </w:pPr>
            <w:r>
              <w:rPr>
                <w:rFonts w:ascii="Times New Roman"/>
                <w:sz w:val="21"/>
              </w:rPr>
              <w:t>W1600</w:t>
            </w:r>
          </w:p>
        </w:tc>
        <w:tc>
          <w:tcPr>
            <w:tcW w:w="1186" w:type="dxa"/>
          </w:tcPr>
          <w:p>
            <w:pPr>
              <w:pStyle w:val="TableParagraph"/>
              <w:spacing w:before="105"/>
              <w:ind w:left="177" w:right="168"/>
              <w:rPr>
                <w:sz w:val="21"/>
              </w:rPr>
            </w:pPr>
            <w:r>
              <w:rPr>
                <w:rFonts w:ascii="Times New Roman" w:eastAsia="Times New Roman"/>
                <w:sz w:val="21"/>
              </w:rPr>
              <w:t>1100 </w:t>
            </w:r>
            <w:r>
              <w:rPr>
                <w:sz w:val="21"/>
              </w:rPr>
              <w:t>人</w:t>
            </w:r>
          </w:p>
        </w:tc>
        <w:tc>
          <w:tcPr>
            <w:tcW w:w="2873" w:type="dxa"/>
            <w:vMerge w:val="restart"/>
          </w:tcPr>
          <w:p>
            <w:pPr>
              <w:pStyle w:val="TableParagraph"/>
              <w:ind w:left="285"/>
              <w:jc w:val="left"/>
              <w:rPr>
                <w:sz w:val="21"/>
              </w:rPr>
            </w:pPr>
            <w:r>
              <w:rPr>
                <w:rFonts w:ascii="Times New Roman" w:eastAsia="Times New Roman"/>
                <w:sz w:val="21"/>
              </w:rPr>
              <w:t>GB3095-2012 </w:t>
            </w:r>
            <w:r>
              <w:rPr>
                <w:sz w:val="21"/>
              </w:rPr>
              <w:t>中二级标准</w:t>
            </w:r>
          </w:p>
        </w:tc>
      </w:tr>
      <w:tr>
        <w:trPr>
          <w:trHeight w:val="481" w:hRule="atLeast"/>
        </w:trPr>
        <w:tc>
          <w:tcPr>
            <w:tcW w:w="1289" w:type="dxa"/>
            <w:vMerge/>
            <w:tcBorders>
              <w:top w:val="nil"/>
            </w:tcBorders>
          </w:tcPr>
          <w:p>
            <w:pPr>
              <w:rPr>
                <w:sz w:val="2"/>
                <w:szCs w:val="2"/>
              </w:rPr>
            </w:pPr>
          </w:p>
        </w:tc>
        <w:tc>
          <w:tcPr>
            <w:tcW w:w="1663" w:type="dxa"/>
          </w:tcPr>
          <w:p>
            <w:pPr>
              <w:pStyle w:val="TableParagraph"/>
              <w:spacing w:before="104"/>
              <w:ind w:left="178" w:right="173"/>
              <w:rPr>
                <w:sz w:val="21"/>
              </w:rPr>
            </w:pPr>
            <w:r>
              <w:rPr>
                <w:sz w:val="21"/>
              </w:rPr>
              <w:t>博爱园小区</w:t>
            </w:r>
          </w:p>
        </w:tc>
        <w:tc>
          <w:tcPr>
            <w:tcW w:w="2105" w:type="dxa"/>
          </w:tcPr>
          <w:p>
            <w:pPr>
              <w:pStyle w:val="TableParagraph"/>
              <w:spacing w:before="118"/>
              <w:ind w:left="84" w:right="78"/>
              <w:rPr>
                <w:rFonts w:ascii="Times New Roman"/>
                <w:sz w:val="21"/>
              </w:rPr>
            </w:pPr>
            <w:r>
              <w:rPr>
                <w:rFonts w:ascii="Times New Roman"/>
                <w:sz w:val="21"/>
              </w:rPr>
              <w:t>W1732</w:t>
            </w:r>
          </w:p>
        </w:tc>
        <w:tc>
          <w:tcPr>
            <w:tcW w:w="1186" w:type="dxa"/>
          </w:tcPr>
          <w:p>
            <w:pPr>
              <w:pStyle w:val="TableParagraph"/>
              <w:spacing w:before="104"/>
              <w:ind w:left="177" w:right="170"/>
              <w:rPr>
                <w:sz w:val="21"/>
              </w:rPr>
            </w:pPr>
            <w:r>
              <w:rPr>
                <w:rFonts w:ascii="Times New Roman" w:eastAsia="Times New Roman"/>
                <w:sz w:val="21"/>
              </w:rPr>
              <w:t>17000 </w:t>
            </w:r>
            <w:r>
              <w:rPr>
                <w:sz w:val="21"/>
              </w:rPr>
              <w:t>人</w:t>
            </w:r>
          </w:p>
        </w:tc>
        <w:tc>
          <w:tcPr>
            <w:tcW w:w="2873" w:type="dxa"/>
            <w:vMerge/>
            <w:tcBorders>
              <w:top w:val="nil"/>
            </w:tcBorders>
          </w:tcPr>
          <w:p>
            <w:pPr>
              <w:rPr>
                <w:sz w:val="2"/>
                <w:szCs w:val="2"/>
              </w:rPr>
            </w:pPr>
          </w:p>
        </w:tc>
      </w:tr>
      <w:tr>
        <w:trPr>
          <w:trHeight w:val="545" w:hRule="atLeast"/>
        </w:trPr>
        <w:tc>
          <w:tcPr>
            <w:tcW w:w="1289" w:type="dxa"/>
          </w:tcPr>
          <w:p>
            <w:pPr>
              <w:pStyle w:val="TableParagraph"/>
              <w:spacing w:before="136"/>
              <w:ind w:left="97" w:right="92"/>
              <w:rPr>
                <w:sz w:val="21"/>
              </w:rPr>
            </w:pPr>
            <w:r>
              <w:rPr>
                <w:sz w:val="21"/>
              </w:rPr>
              <w:t>地下水环境</w:t>
            </w:r>
          </w:p>
        </w:tc>
        <w:tc>
          <w:tcPr>
            <w:tcW w:w="4954" w:type="dxa"/>
            <w:gridSpan w:val="3"/>
          </w:tcPr>
          <w:p>
            <w:pPr>
              <w:pStyle w:val="TableParagraph"/>
              <w:spacing w:before="136"/>
              <w:ind w:left="1636"/>
              <w:jc w:val="left"/>
              <w:rPr>
                <w:sz w:val="21"/>
              </w:rPr>
            </w:pPr>
            <w:r>
              <w:rPr>
                <w:sz w:val="21"/>
              </w:rPr>
              <w:t>矿区范围内地下水</w:t>
            </w:r>
          </w:p>
        </w:tc>
        <w:tc>
          <w:tcPr>
            <w:tcW w:w="2873" w:type="dxa"/>
          </w:tcPr>
          <w:p>
            <w:pPr>
              <w:pStyle w:val="TableParagraph"/>
              <w:spacing w:before="2"/>
              <w:ind w:left="118" w:right="109"/>
              <w:rPr>
                <w:sz w:val="21"/>
              </w:rPr>
            </w:pPr>
            <w:r>
              <w:rPr>
                <w:sz w:val="21"/>
              </w:rPr>
              <w:t>《地下水质量标准》</w:t>
            </w:r>
          </w:p>
          <w:p>
            <w:pPr>
              <w:pStyle w:val="TableParagraph"/>
              <w:spacing w:line="252" w:lineRule="exact" w:before="2"/>
              <w:ind w:left="118" w:right="109"/>
              <w:rPr>
                <w:sz w:val="21"/>
              </w:rPr>
            </w:pPr>
            <w:r>
              <w:rPr>
                <w:rFonts w:ascii="Times New Roman" w:hAnsi="Times New Roman" w:eastAsia="Times New Roman"/>
                <w:sz w:val="21"/>
              </w:rPr>
              <w:t>GB/T14848-2017 </w:t>
            </w:r>
            <w:r>
              <w:rPr>
                <w:sz w:val="21"/>
              </w:rPr>
              <w:t>中Ⅲ类标准</w:t>
            </w:r>
          </w:p>
        </w:tc>
      </w:tr>
      <w:tr>
        <w:trPr>
          <w:trHeight w:val="742" w:hRule="atLeast"/>
        </w:trPr>
        <w:tc>
          <w:tcPr>
            <w:tcW w:w="1289" w:type="dxa"/>
          </w:tcPr>
          <w:p>
            <w:pPr>
              <w:pStyle w:val="TableParagraph"/>
              <w:spacing w:before="3"/>
              <w:jc w:val="left"/>
              <w:rPr>
                <w:b/>
                <w:sz w:val="18"/>
              </w:rPr>
            </w:pPr>
          </w:p>
          <w:p>
            <w:pPr>
              <w:pStyle w:val="TableParagraph"/>
              <w:ind w:left="97" w:right="90"/>
              <w:rPr>
                <w:sz w:val="21"/>
              </w:rPr>
            </w:pPr>
            <w:r>
              <w:rPr>
                <w:sz w:val="21"/>
              </w:rPr>
              <w:t>声环境</w:t>
            </w:r>
          </w:p>
        </w:tc>
        <w:tc>
          <w:tcPr>
            <w:tcW w:w="3768" w:type="dxa"/>
            <w:gridSpan w:val="2"/>
          </w:tcPr>
          <w:p>
            <w:pPr>
              <w:pStyle w:val="TableParagraph"/>
              <w:spacing w:before="3"/>
              <w:jc w:val="left"/>
              <w:rPr>
                <w:b/>
                <w:sz w:val="18"/>
              </w:rPr>
            </w:pPr>
          </w:p>
          <w:p>
            <w:pPr>
              <w:pStyle w:val="TableParagraph"/>
              <w:ind w:left="856"/>
              <w:jc w:val="left"/>
              <w:rPr>
                <w:sz w:val="21"/>
              </w:rPr>
            </w:pPr>
            <w:r>
              <w:rPr>
                <w:sz w:val="21"/>
              </w:rPr>
              <w:t>厂界周边 </w:t>
            </w:r>
            <w:r>
              <w:rPr>
                <w:rFonts w:ascii="Times New Roman" w:eastAsia="Times New Roman"/>
                <w:sz w:val="21"/>
              </w:rPr>
              <w:t>200m </w:t>
            </w:r>
            <w:r>
              <w:rPr>
                <w:sz w:val="21"/>
              </w:rPr>
              <w:t>范围内</w:t>
            </w:r>
          </w:p>
        </w:tc>
        <w:tc>
          <w:tcPr>
            <w:tcW w:w="1186" w:type="dxa"/>
          </w:tcPr>
          <w:p>
            <w:pPr>
              <w:pStyle w:val="TableParagraph"/>
              <w:spacing w:before="4"/>
              <w:jc w:val="left"/>
              <w:rPr>
                <w:b/>
                <w:sz w:val="19"/>
              </w:rPr>
            </w:pPr>
          </w:p>
          <w:p>
            <w:pPr>
              <w:pStyle w:val="TableParagraph"/>
              <w:ind w:left="174" w:right="170"/>
              <w:rPr>
                <w:rFonts w:ascii="Times New Roman" w:hAnsi="Times New Roman"/>
                <w:sz w:val="21"/>
              </w:rPr>
            </w:pPr>
            <w:r>
              <w:rPr>
                <w:rFonts w:ascii="Times New Roman" w:hAnsi="Times New Roman"/>
                <w:sz w:val="21"/>
              </w:rPr>
              <w:t>——</w:t>
            </w:r>
          </w:p>
        </w:tc>
        <w:tc>
          <w:tcPr>
            <w:tcW w:w="2873" w:type="dxa"/>
          </w:tcPr>
          <w:p>
            <w:pPr>
              <w:pStyle w:val="TableParagraph"/>
              <w:spacing w:before="97"/>
              <w:ind w:left="118" w:right="109"/>
              <w:rPr>
                <w:sz w:val="21"/>
              </w:rPr>
            </w:pPr>
            <w:r>
              <w:rPr>
                <w:sz w:val="21"/>
              </w:rPr>
              <w:t>《声环境质量标准》</w:t>
            </w:r>
          </w:p>
          <w:p>
            <w:pPr>
              <w:pStyle w:val="TableParagraph"/>
              <w:spacing w:before="5"/>
              <w:ind w:left="118" w:right="109"/>
              <w:rPr>
                <w:sz w:val="21"/>
              </w:rPr>
            </w:pPr>
            <w:r>
              <w:rPr>
                <w:sz w:val="21"/>
              </w:rPr>
              <w:t>（</w:t>
            </w:r>
            <w:r>
              <w:rPr>
                <w:rFonts w:ascii="Times New Roman" w:eastAsia="Times New Roman"/>
                <w:sz w:val="21"/>
              </w:rPr>
              <w:t>GB3096-2008</w:t>
            </w:r>
            <w:r>
              <w:rPr>
                <w:sz w:val="21"/>
              </w:rPr>
              <w:t>）</w:t>
            </w:r>
            <w:r>
              <w:rPr>
                <w:rFonts w:ascii="Times New Roman" w:eastAsia="Times New Roman"/>
                <w:sz w:val="21"/>
              </w:rPr>
              <w:t>2 </w:t>
            </w:r>
            <w:r>
              <w:rPr>
                <w:sz w:val="21"/>
              </w:rPr>
              <w:t>类标准</w:t>
            </w:r>
          </w:p>
        </w:tc>
      </w:tr>
      <w:tr>
        <w:trPr>
          <w:trHeight w:val="543" w:hRule="atLeast"/>
        </w:trPr>
        <w:tc>
          <w:tcPr>
            <w:tcW w:w="1289" w:type="dxa"/>
          </w:tcPr>
          <w:p>
            <w:pPr>
              <w:pStyle w:val="TableParagraph"/>
              <w:spacing w:before="135"/>
              <w:ind w:left="97" w:right="92"/>
              <w:rPr>
                <w:sz w:val="21"/>
              </w:rPr>
            </w:pPr>
            <w:r>
              <w:rPr>
                <w:sz w:val="21"/>
              </w:rPr>
              <w:t>地表水环境</w:t>
            </w:r>
          </w:p>
        </w:tc>
        <w:tc>
          <w:tcPr>
            <w:tcW w:w="1663" w:type="dxa"/>
          </w:tcPr>
          <w:p>
            <w:pPr>
              <w:pStyle w:val="TableParagraph"/>
              <w:spacing w:before="135"/>
              <w:ind w:left="180" w:right="173"/>
              <w:rPr>
                <w:sz w:val="21"/>
              </w:rPr>
            </w:pPr>
            <w:r>
              <w:rPr>
                <w:sz w:val="21"/>
              </w:rPr>
              <w:t>安邦河</w:t>
            </w:r>
          </w:p>
        </w:tc>
        <w:tc>
          <w:tcPr>
            <w:tcW w:w="2105" w:type="dxa"/>
          </w:tcPr>
          <w:p>
            <w:pPr>
              <w:pStyle w:val="TableParagraph"/>
              <w:spacing w:before="149"/>
              <w:ind w:left="86" w:right="77"/>
              <w:rPr>
                <w:rFonts w:ascii="Times New Roman"/>
                <w:sz w:val="21"/>
              </w:rPr>
            </w:pPr>
            <w:r>
              <w:rPr>
                <w:rFonts w:ascii="Times New Roman"/>
                <w:sz w:val="21"/>
              </w:rPr>
              <w:t>W2930</w:t>
            </w:r>
          </w:p>
        </w:tc>
        <w:tc>
          <w:tcPr>
            <w:tcW w:w="1186" w:type="dxa"/>
          </w:tcPr>
          <w:p>
            <w:pPr>
              <w:pStyle w:val="TableParagraph"/>
              <w:spacing w:before="149"/>
              <w:ind w:left="10"/>
              <w:rPr>
                <w:rFonts w:ascii="Times New Roman"/>
                <w:sz w:val="21"/>
              </w:rPr>
            </w:pPr>
            <w:r>
              <w:rPr>
                <w:rFonts w:ascii="Times New Roman"/>
                <w:w w:val="99"/>
                <w:sz w:val="21"/>
              </w:rPr>
              <w:t>/</w:t>
            </w:r>
          </w:p>
        </w:tc>
        <w:tc>
          <w:tcPr>
            <w:tcW w:w="2873" w:type="dxa"/>
          </w:tcPr>
          <w:p>
            <w:pPr>
              <w:pStyle w:val="TableParagraph"/>
              <w:ind w:left="280"/>
              <w:jc w:val="left"/>
              <w:rPr>
                <w:sz w:val="21"/>
              </w:rPr>
            </w:pPr>
            <w:r>
              <w:rPr>
                <w:sz w:val="21"/>
              </w:rPr>
              <w:t>《地表水环境质量标准》</w:t>
            </w:r>
          </w:p>
          <w:p>
            <w:pPr>
              <w:pStyle w:val="TableParagraph"/>
              <w:spacing w:line="252" w:lineRule="exact" w:before="2"/>
              <w:ind w:left="205"/>
              <w:jc w:val="left"/>
              <w:rPr>
                <w:sz w:val="21"/>
              </w:rPr>
            </w:pPr>
            <w:r>
              <w:rPr>
                <w:sz w:val="21"/>
              </w:rPr>
              <w:t>（</w:t>
            </w:r>
            <w:r>
              <w:rPr>
                <w:rFonts w:ascii="Times New Roman" w:hAnsi="Times New Roman" w:eastAsia="Times New Roman"/>
                <w:sz w:val="21"/>
              </w:rPr>
              <w:t>GB3838-2002</w:t>
            </w:r>
            <w:r>
              <w:rPr>
                <w:sz w:val="21"/>
              </w:rPr>
              <w:t>）Ⅲ类标准</w:t>
            </w:r>
          </w:p>
        </w:tc>
      </w:tr>
      <w:tr>
        <w:trPr>
          <w:trHeight w:val="817" w:hRule="atLeast"/>
        </w:trPr>
        <w:tc>
          <w:tcPr>
            <w:tcW w:w="1289" w:type="dxa"/>
          </w:tcPr>
          <w:p>
            <w:pPr>
              <w:pStyle w:val="TableParagraph"/>
              <w:spacing w:before="3"/>
              <w:jc w:val="left"/>
              <w:rPr>
                <w:b/>
                <w:sz w:val="21"/>
              </w:rPr>
            </w:pPr>
          </w:p>
          <w:p>
            <w:pPr>
              <w:pStyle w:val="TableParagraph"/>
              <w:ind w:left="97" w:right="90"/>
              <w:rPr>
                <w:sz w:val="21"/>
              </w:rPr>
            </w:pPr>
            <w:r>
              <w:rPr>
                <w:sz w:val="21"/>
              </w:rPr>
              <w:t>土壤</w:t>
            </w:r>
          </w:p>
        </w:tc>
        <w:tc>
          <w:tcPr>
            <w:tcW w:w="4954" w:type="dxa"/>
            <w:gridSpan w:val="3"/>
          </w:tcPr>
          <w:p>
            <w:pPr>
              <w:pStyle w:val="TableParagraph"/>
              <w:spacing w:before="3"/>
              <w:jc w:val="left"/>
              <w:rPr>
                <w:b/>
                <w:sz w:val="21"/>
              </w:rPr>
            </w:pPr>
          </w:p>
          <w:p>
            <w:pPr>
              <w:pStyle w:val="TableParagraph"/>
              <w:ind w:left="1135"/>
              <w:jc w:val="left"/>
              <w:rPr>
                <w:sz w:val="21"/>
              </w:rPr>
            </w:pPr>
            <w:r>
              <w:rPr>
                <w:sz w:val="21"/>
              </w:rPr>
              <w:t>工业广场外 </w:t>
            </w:r>
            <w:r>
              <w:rPr>
                <w:rFonts w:ascii="Times New Roman" w:eastAsia="Times New Roman"/>
                <w:sz w:val="21"/>
              </w:rPr>
              <w:t>200m </w:t>
            </w:r>
            <w:r>
              <w:rPr>
                <w:sz w:val="21"/>
              </w:rPr>
              <w:t>范围内耕地</w:t>
            </w:r>
          </w:p>
        </w:tc>
        <w:tc>
          <w:tcPr>
            <w:tcW w:w="2873" w:type="dxa"/>
          </w:tcPr>
          <w:p>
            <w:pPr>
              <w:pStyle w:val="TableParagraph"/>
              <w:spacing w:line="242" w:lineRule="auto" w:before="1"/>
              <w:ind w:left="124" w:right="113"/>
              <w:rPr>
                <w:sz w:val="21"/>
              </w:rPr>
            </w:pPr>
            <w:r>
              <w:rPr>
                <w:sz w:val="21"/>
              </w:rPr>
              <w:t>《土壤环境质量 农用地土壤污染风险管控标准》</w:t>
            </w:r>
          </w:p>
          <w:p>
            <w:pPr>
              <w:pStyle w:val="TableParagraph"/>
              <w:spacing w:line="251" w:lineRule="exact" w:before="1"/>
              <w:ind w:left="118" w:right="109"/>
              <w:rPr>
                <w:sz w:val="21"/>
              </w:rPr>
            </w:pPr>
            <w:r>
              <w:rPr>
                <w:sz w:val="21"/>
              </w:rPr>
              <w:t>（</w:t>
            </w:r>
            <w:r>
              <w:rPr>
                <w:rFonts w:ascii="Times New Roman" w:eastAsia="Times New Roman"/>
                <w:sz w:val="21"/>
              </w:rPr>
              <w:t>GB15618-2018</w:t>
            </w:r>
            <w:r>
              <w:rPr>
                <w:sz w:val="21"/>
              </w:rPr>
              <w:t>）</w:t>
            </w:r>
          </w:p>
        </w:tc>
      </w:tr>
      <w:tr>
        <w:trPr>
          <w:trHeight w:val="480" w:hRule="atLeast"/>
        </w:trPr>
        <w:tc>
          <w:tcPr>
            <w:tcW w:w="1289" w:type="dxa"/>
          </w:tcPr>
          <w:p>
            <w:pPr>
              <w:pStyle w:val="TableParagraph"/>
              <w:spacing w:before="105"/>
              <w:ind w:left="97" w:right="92"/>
              <w:rPr>
                <w:sz w:val="21"/>
              </w:rPr>
            </w:pPr>
            <w:r>
              <w:rPr>
                <w:sz w:val="21"/>
              </w:rPr>
              <w:t>生态环境</w:t>
            </w:r>
          </w:p>
        </w:tc>
        <w:tc>
          <w:tcPr>
            <w:tcW w:w="7827" w:type="dxa"/>
            <w:gridSpan w:val="4"/>
          </w:tcPr>
          <w:p>
            <w:pPr>
              <w:pStyle w:val="TableParagraph"/>
              <w:spacing w:before="105"/>
              <w:ind w:left="1941"/>
              <w:jc w:val="left"/>
              <w:rPr>
                <w:sz w:val="21"/>
              </w:rPr>
            </w:pPr>
            <w:r>
              <w:rPr>
                <w:sz w:val="21"/>
              </w:rPr>
              <w:t>全井田及井田境界外 </w:t>
            </w:r>
            <w:r>
              <w:rPr>
                <w:rFonts w:ascii="Times New Roman" w:eastAsia="Times New Roman"/>
                <w:sz w:val="21"/>
              </w:rPr>
              <w:t>500m </w:t>
            </w:r>
            <w:r>
              <w:rPr>
                <w:sz w:val="21"/>
              </w:rPr>
              <w:t>范围内地表植被</w:t>
            </w:r>
          </w:p>
        </w:tc>
      </w:tr>
    </w:tbl>
    <w:p>
      <w:pPr>
        <w:spacing w:after="0"/>
        <w:jc w:val="left"/>
        <w:rPr>
          <w:sz w:val="21"/>
        </w:rPr>
        <w:sectPr>
          <w:pgSz w:w="11910" w:h="16840"/>
          <w:pgMar w:header="0" w:footer="913" w:top="1400" w:bottom="1100" w:left="940" w:right="940"/>
        </w:sectPr>
      </w:pPr>
    </w:p>
    <w:p>
      <w:pPr>
        <w:pStyle w:val="BodyText"/>
        <w:rPr>
          <w:b/>
          <w:sz w:val="32"/>
        </w:rPr>
      </w:pPr>
    </w:p>
    <w:p>
      <w:pPr>
        <w:pStyle w:val="BodyText"/>
        <w:spacing w:before="11"/>
        <w:rPr>
          <w:b/>
          <w:sz w:val="25"/>
        </w:rPr>
      </w:pPr>
    </w:p>
    <w:p>
      <w:pPr>
        <w:pStyle w:val="ListParagraph"/>
        <w:numPr>
          <w:ilvl w:val="1"/>
          <w:numId w:val="17"/>
        </w:numPr>
        <w:tabs>
          <w:tab w:pos="928" w:val="left" w:leader="none"/>
        </w:tabs>
        <w:spacing w:line="240" w:lineRule="auto" w:before="1" w:after="0"/>
        <w:ind w:left="927" w:right="0" w:hanging="450"/>
        <w:jc w:val="left"/>
        <w:rPr>
          <w:b/>
          <w:sz w:val="30"/>
        </w:rPr>
      </w:pPr>
      <w:bookmarkStart w:name="3.1原有工程概况" w:id="75"/>
      <w:bookmarkEnd w:id="75"/>
      <w:r>
        <w:rPr/>
      </w:r>
      <w:bookmarkStart w:name="_bookmark13" w:id="76"/>
      <w:bookmarkEnd w:id="76"/>
      <w:r>
        <w:rPr/>
      </w:r>
      <w:bookmarkStart w:name="_bookmark13" w:id="77"/>
      <w:bookmarkEnd w:id="77"/>
      <w:r>
        <w:rPr>
          <w:b/>
          <w:spacing w:val="-4"/>
          <w:sz w:val="30"/>
        </w:rPr>
        <w:t>原有工程概况</w:t>
      </w:r>
    </w:p>
    <w:p>
      <w:pPr>
        <w:pStyle w:val="Heading1"/>
        <w:numPr>
          <w:ilvl w:val="0"/>
          <w:numId w:val="5"/>
        </w:numPr>
        <w:tabs>
          <w:tab w:pos="889" w:val="left" w:leader="none"/>
        </w:tabs>
        <w:spacing w:line="240" w:lineRule="auto" w:before="41" w:after="0"/>
        <w:ind w:left="888" w:right="0" w:hanging="543"/>
        <w:jc w:val="left"/>
      </w:pPr>
      <w:bookmarkStart w:name="3．项目概况与工程分析" w:id="78"/>
      <w:bookmarkEnd w:id="78"/>
      <w:r>
        <w:rPr>
          <w:b w:val="0"/>
        </w:rPr>
      </w:r>
      <w:bookmarkStart w:name="_bookmark14" w:id="79"/>
      <w:bookmarkEnd w:id="79"/>
      <w:r>
        <w:rPr>
          <w:b w:val="0"/>
        </w:rPr>
      </w:r>
      <w:bookmarkStart w:name="_bookmark14" w:id="80"/>
      <w:bookmarkEnd w:id="80"/>
      <w:r>
        <w:rPr>
          <w:w w:val="99"/>
        </w:rPr>
        <w:br w:type="column"/>
      </w:r>
      <w:r>
        <w:rPr/>
        <w:t>项目概况与工程分析</w:t>
      </w:r>
    </w:p>
    <w:p>
      <w:pPr>
        <w:spacing w:after="0" w:line="240" w:lineRule="auto"/>
        <w:jc w:val="left"/>
        <w:sectPr>
          <w:pgSz w:w="11910" w:h="16840"/>
          <w:pgMar w:header="0" w:footer="913" w:top="1360" w:bottom="1100" w:left="940" w:right="940"/>
          <w:cols w:num="2" w:equalWidth="0">
            <w:col w:w="2732" w:space="40"/>
            <w:col w:w="7258"/>
          </w:cols>
        </w:sectPr>
      </w:pPr>
    </w:p>
    <w:p>
      <w:pPr>
        <w:pStyle w:val="BodyText"/>
        <w:spacing w:before="11"/>
        <w:rPr>
          <w:b/>
          <w:sz w:val="9"/>
        </w:rPr>
      </w:pPr>
    </w:p>
    <w:p>
      <w:pPr>
        <w:pStyle w:val="ListParagraph"/>
        <w:numPr>
          <w:ilvl w:val="2"/>
          <w:numId w:val="17"/>
        </w:numPr>
        <w:tabs>
          <w:tab w:pos="1108" w:val="left" w:leader="none"/>
        </w:tabs>
        <w:spacing w:line="240" w:lineRule="auto" w:before="73" w:after="0"/>
        <w:ind w:left="1107" w:right="0" w:hanging="630"/>
        <w:jc w:val="both"/>
        <w:rPr>
          <w:b/>
          <w:sz w:val="28"/>
        </w:rPr>
      </w:pPr>
      <w:bookmarkStart w:name="3.1.1双鸭山市东盛矿业集团有限公司矿区概况" w:id="81"/>
      <w:bookmarkEnd w:id="81"/>
      <w:r>
        <w:rPr/>
      </w:r>
      <w:bookmarkStart w:name="3.1.1双鸭山市东盛矿业集团有限公司矿区概况" w:id="82"/>
      <w:bookmarkEnd w:id="82"/>
      <w:r>
        <w:rPr>
          <w:b/>
          <w:sz w:val="28"/>
        </w:rPr>
        <w:t>双鸭山市东盛矿业集团有限公司矿区概况</w:t>
      </w:r>
    </w:p>
    <w:p>
      <w:pPr>
        <w:pStyle w:val="BodyText"/>
        <w:spacing w:line="364" w:lineRule="auto" w:before="185"/>
        <w:ind w:left="478" w:right="425" w:firstLine="420"/>
        <w:jc w:val="both"/>
      </w:pPr>
      <w:r>
        <w:rPr/>
        <w:t>东盛煤矿是一家私营煤矿企业，主要经营范围为原煤生产与销售。东盛煤矿行政区划属岭东区管辖，隶属关系区属。东盛煤矿</w:t>
      </w:r>
      <w:r>
        <w:rPr>
          <w:rFonts w:ascii="Times New Roman" w:eastAsia="Times New Roman"/>
        </w:rPr>
        <w:t>1996</w:t>
      </w:r>
      <w:r>
        <w:rPr/>
        <w:t>年注册，经批准建设至今已有约</w:t>
      </w:r>
      <w:r>
        <w:rPr>
          <w:rFonts w:ascii="Times New Roman" w:eastAsia="Times New Roman"/>
        </w:rPr>
        <w:t>22</w:t>
      </w:r>
      <w:r>
        <w:rPr/>
        <w:t>年。矿井批准开采</w:t>
      </w:r>
      <w:r>
        <w:rPr>
          <w:rFonts w:ascii="Times New Roman" w:eastAsia="Times New Roman"/>
        </w:rPr>
        <w:t>10</w:t>
      </w:r>
      <w:r>
        <w:rPr/>
        <w:t>、</w:t>
      </w:r>
      <w:r>
        <w:rPr>
          <w:rFonts w:ascii="Times New Roman" w:eastAsia="Times New Roman"/>
        </w:rPr>
        <w:t>15</w:t>
      </w:r>
      <w:r>
        <w:rPr/>
        <w:t>、</w:t>
      </w:r>
      <w:r>
        <w:rPr>
          <w:rFonts w:ascii="Times New Roman" w:eastAsia="Times New Roman"/>
        </w:rPr>
        <w:t>20</w:t>
      </w:r>
      <w:r>
        <w:rPr/>
        <w:t>号共三个煤层，核定生产能力为</w:t>
      </w:r>
      <w:r>
        <w:rPr>
          <w:rFonts w:ascii="Times New Roman" w:eastAsia="Times New Roman"/>
        </w:rPr>
        <w:t>4</w:t>
      </w:r>
      <w:r>
        <w:rPr/>
        <w:t>万</w:t>
      </w:r>
      <w:r>
        <w:rPr>
          <w:rFonts w:ascii="Times New Roman" w:eastAsia="Times New Roman"/>
        </w:rPr>
        <w:t>t/a</w:t>
      </w:r>
      <w:r>
        <w:rPr/>
        <w:t>。东盛原界拐点坐标见表</w:t>
      </w:r>
      <w:r>
        <w:rPr>
          <w:rFonts w:ascii="Times New Roman" w:eastAsia="Times New Roman"/>
        </w:rPr>
        <w:t>3.1-1</w:t>
      </w:r>
      <w:r>
        <w:rPr/>
        <w:t>，源丰原界拐点坐标见表</w:t>
      </w:r>
      <w:r>
        <w:rPr>
          <w:rFonts w:ascii="Times New Roman" w:eastAsia="Times New Roman"/>
        </w:rPr>
        <w:t>3.1-2</w:t>
      </w:r>
      <w:r>
        <w:rPr/>
        <w:t>。</w:t>
      </w:r>
    </w:p>
    <w:p>
      <w:pPr>
        <w:pStyle w:val="Heading4"/>
        <w:spacing w:line="305" w:lineRule="exact"/>
        <w:ind w:left="3533"/>
        <w:jc w:val="both"/>
      </w:pPr>
      <w:r>
        <w:rPr/>
        <w:t>表 </w:t>
      </w:r>
      <w:r>
        <w:rPr>
          <w:rFonts w:ascii="Times New Roman" w:eastAsia="Times New Roman"/>
        </w:rPr>
        <w:t>3.1-1  </w:t>
      </w:r>
      <w:r>
        <w:rPr/>
        <w:t>东盛原界拐点坐标</w:t>
      </w:r>
    </w:p>
    <w:p>
      <w:pPr>
        <w:pStyle w:val="BodyText"/>
        <w:spacing w:before="9"/>
        <w:rPr>
          <w:b/>
          <w:sz w:val="21"/>
        </w:rPr>
      </w:pPr>
    </w:p>
    <w:tbl>
      <w:tblPr>
        <w:tblW w:w="0" w:type="auto"/>
        <w:jc w:val="left"/>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656"/>
        <w:gridCol w:w="1602"/>
        <w:gridCol w:w="1737"/>
        <w:gridCol w:w="633"/>
        <w:gridCol w:w="1602"/>
        <w:gridCol w:w="1738"/>
      </w:tblGrid>
      <w:tr>
        <w:trPr>
          <w:trHeight w:val="545" w:hRule="atLeast"/>
        </w:trPr>
        <w:tc>
          <w:tcPr>
            <w:tcW w:w="787" w:type="dxa"/>
          </w:tcPr>
          <w:p>
            <w:pPr>
              <w:pStyle w:val="TableParagraph"/>
              <w:spacing w:before="135"/>
              <w:ind w:left="181"/>
              <w:jc w:val="left"/>
              <w:rPr>
                <w:sz w:val="21"/>
              </w:rPr>
            </w:pPr>
            <w:r>
              <w:rPr>
                <w:sz w:val="21"/>
              </w:rPr>
              <w:t>煤层</w:t>
            </w:r>
          </w:p>
        </w:tc>
        <w:tc>
          <w:tcPr>
            <w:tcW w:w="656" w:type="dxa"/>
          </w:tcPr>
          <w:p>
            <w:pPr>
              <w:pStyle w:val="TableParagraph"/>
              <w:spacing w:before="135"/>
              <w:ind w:left="95" w:right="90"/>
              <w:rPr>
                <w:sz w:val="21"/>
              </w:rPr>
            </w:pPr>
            <w:r>
              <w:rPr>
                <w:sz w:val="21"/>
              </w:rPr>
              <w:t>点号</w:t>
            </w:r>
          </w:p>
        </w:tc>
        <w:tc>
          <w:tcPr>
            <w:tcW w:w="1602" w:type="dxa"/>
          </w:tcPr>
          <w:p>
            <w:pPr>
              <w:pStyle w:val="TableParagraph"/>
              <w:spacing w:before="135"/>
              <w:ind w:left="7"/>
              <w:rPr>
                <w:sz w:val="21"/>
              </w:rPr>
            </w:pPr>
            <w:r>
              <w:rPr>
                <w:w w:val="99"/>
                <w:sz w:val="21"/>
              </w:rPr>
              <w:t>X</w:t>
            </w:r>
          </w:p>
        </w:tc>
        <w:tc>
          <w:tcPr>
            <w:tcW w:w="1737" w:type="dxa"/>
          </w:tcPr>
          <w:p>
            <w:pPr>
              <w:pStyle w:val="TableParagraph"/>
              <w:spacing w:before="135"/>
              <w:ind w:left="9"/>
              <w:rPr>
                <w:sz w:val="21"/>
              </w:rPr>
            </w:pPr>
            <w:r>
              <w:rPr>
                <w:w w:val="99"/>
                <w:sz w:val="21"/>
              </w:rPr>
              <w:t>Y</w:t>
            </w:r>
          </w:p>
        </w:tc>
        <w:tc>
          <w:tcPr>
            <w:tcW w:w="633" w:type="dxa"/>
          </w:tcPr>
          <w:p>
            <w:pPr>
              <w:pStyle w:val="TableParagraph"/>
              <w:spacing w:before="1"/>
              <w:ind w:left="211"/>
              <w:jc w:val="left"/>
              <w:rPr>
                <w:sz w:val="21"/>
              </w:rPr>
            </w:pPr>
            <w:r>
              <w:rPr>
                <w:w w:val="99"/>
                <w:sz w:val="21"/>
              </w:rPr>
              <w:t>点</w:t>
            </w:r>
          </w:p>
          <w:p>
            <w:pPr>
              <w:pStyle w:val="TableParagraph"/>
              <w:spacing w:line="253" w:lineRule="exact" w:before="2"/>
              <w:ind w:left="211"/>
              <w:jc w:val="left"/>
              <w:rPr>
                <w:sz w:val="21"/>
              </w:rPr>
            </w:pPr>
            <w:r>
              <w:rPr>
                <w:w w:val="99"/>
                <w:sz w:val="21"/>
              </w:rPr>
              <w:t>号</w:t>
            </w:r>
          </w:p>
        </w:tc>
        <w:tc>
          <w:tcPr>
            <w:tcW w:w="1602" w:type="dxa"/>
          </w:tcPr>
          <w:p>
            <w:pPr>
              <w:pStyle w:val="TableParagraph"/>
              <w:spacing w:before="135"/>
              <w:ind w:left="7"/>
              <w:rPr>
                <w:sz w:val="21"/>
              </w:rPr>
            </w:pPr>
            <w:r>
              <w:rPr>
                <w:w w:val="99"/>
                <w:sz w:val="21"/>
              </w:rPr>
              <w:t>X</w:t>
            </w:r>
          </w:p>
        </w:tc>
        <w:tc>
          <w:tcPr>
            <w:tcW w:w="1738" w:type="dxa"/>
          </w:tcPr>
          <w:p>
            <w:pPr>
              <w:pStyle w:val="TableParagraph"/>
              <w:spacing w:before="135"/>
              <w:ind w:left="8"/>
              <w:rPr>
                <w:sz w:val="21"/>
              </w:rPr>
            </w:pPr>
            <w:r>
              <w:rPr>
                <w:w w:val="99"/>
                <w:sz w:val="21"/>
              </w:rPr>
              <w:t>Y</w:t>
            </w:r>
          </w:p>
        </w:tc>
      </w:tr>
      <w:tr>
        <w:trPr>
          <w:trHeight w:val="378" w:hRule="atLeast"/>
        </w:trPr>
        <w:tc>
          <w:tcPr>
            <w:tcW w:w="787" w:type="dxa"/>
            <w:vMerge w:val="restart"/>
          </w:tcPr>
          <w:p>
            <w:pPr>
              <w:pStyle w:val="TableParagraph"/>
              <w:spacing w:before="4"/>
              <w:jc w:val="left"/>
              <w:rPr>
                <w:b/>
                <w:sz w:val="19"/>
              </w:rPr>
            </w:pPr>
          </w:p>
          <w:p>
            <w:pPr>
              <w:pStyle w:val="TableParagraph"/>
              <w:ind w:left="267" w:right="260"/>
              <w:rPr>
                <w:sz w:val="21"/>
              </w:rPr>
            </w:pPr>
            <w:r>
              <w:rPr>
                <w:sz w:val="21"/>
              </w:rPr>
              <w:t>10</w:t>
            </w:r>
          </w:p>
        </w:tc>
        <w:tc>
          <w:tcPr>
            <w:tcW w:w="656" w:type="dxa"/>
          </w:tcPr>
          <w:p>
            <w:pPr>
              <w:pStyle w:val="TableParagraph"/>
              <w:spacing w:before="53"/>
              <w:ind w:left="9"/>
              <w:rPr>
                <w:sz w:val="21"/>
              </w:rPr>
            </w:pPr>
            <w:r>
              <w:rPr>
                <w:w w:val="99"/>
                <w:sz w:val="21"/>
              </w:rPr>
              <w:t>1</w:t>
            </w:r>
          </w:p>
        </w:tc>
        <w:tc>
          <w:tcPr>
            <w:tcW w:w="1602" w:type="dxa"/>
          </w:tcPr>
          <w:p>
            <w:pPr>
              <w:pStyle w:val="TableParagraph"/>
              <w:spacing w:before="53"/>
              <w:ind w:left="254" w:right="247"/>
              <w:rPr>
                <w:sz w:val="21"/>
              </w:rPr>
            </w:pPr>
            <w:r>
              <w:rPr>
                <w:sz w:val="21"/>
              </w:rPr>
              <w:t>5159120.19</w:t>
            </w:r>
          </w:p>
        </w:tc>
        <w:tc>
          <w:tcPr>
            <w:tcW w:w="1737" w:type="dxa"/>
          </w:tcPr>
          <w:p>
            <w:pPr>
              <w:pStyle w:val="TableParagraph"/>
              <w:spacing w:before="53"/>
              <w:ind w:left="270" w:right="261"/>
              <w:rPr>
                <w:sz w:val="21"/>
              </w:rPr>
            </w:pPr>
            <w:r>
              <w:rPr>
                <w:sz w:val="21"/>
              </w:rPr>
              <w:t>44436777.56</w:t>
            </w:r>
          </w:p>
        </w:tc>
        <w:tc>
          <w:tcPr>
            <w:tcW w:w="633" w:type="dxa"/>
          </w:tcPr>
          <w:p>
            <w:pPr>
              <w:pStyle w:val="TableParagraph"/>
              <w:spacing w:before="53"/>
              <w:ind w:right="252"/>
              <w:jc w:val="right"/>
              <w:rPr>
                <w:sz w:val="21"/>
              </w:rPr>
            </w:pPr>
            <w:r>
              <w:rPr>
                <w:w w:val="99"/>
                <w:sz w:val="21"/>
              </w:rPr>
              <w:t>3</w:t>
            </w:r>
          </w:p>
        </w:tc>
        <w:tc>
          <w:tcPr>
            <w:tcW w:w="1602" w:type="dxa"/>
          </w:tcPr>
          <w:p>
            <w:pPr>
              <w:pStyle w:val="TableParagraph"/>
              <w:spacing w:before="53"/>
              <w:ind w:left="254" w:right="247"/>
              <w:rPr>
                <w:sz w:val="21"/>
              </w:rPr>
            </w:pPr>
            <w:r>
              <w:rPr>
                <w:sz w:val="21"/>
              </w:rPr>
              <w:t>5160257.20</w:t>
            </w:r>
          </w:p>
        </w:tc>
        <w:tc>
          <w:tcPr>
            <w:tcW w:w="1738" w:type="dxa"/>
          </w:tcPr>
          <w:p>
            <w:pPr>
              <w:pStyle w:val="TableParagraph"/>
              <w:spacing w:before="53"/>
              <w:ind w:left="270" w:right="262"/>
              <w:rPr>
                <w:sz w:val="21"/>
              </w:rPr>
            </w:pPr>
            <w:r>
              <w:rPr>
                <w:sz w:val="21"/>
              </w:rPr>
              <w:t>44437397.56</w:t>
            </w:r>
          </w:p>
        </w:tc>
      </w:tr>
      <w:tr>
        <w:trPr>
          <w:trHeight w:val="378" w:hRule="atLeast"/>
        </w:trPr>
        <w:tc>
          <w:tcPr>
            <w:tcW w:w="787" w:type="dxa"/>
            <w:vMerge/>
            <w:tcBorders>
              <w:top w:val="nil"/>
            </w:tcBorders>
          </w:tcPr>
          <w:p>
            <w:pPr>
              <w:rPr>
                <w:sz w:val="2"/>
                <w:szCs w:val="2"/>
              </w:rPr>
            </w:pPr>
          </w:p>
        </w:tc>
        <w:tc>
          <w:tcPr>
            <w:tcW w:w="656" w:type="dxa"/>
          </w:tcPr>
          <w:p>
            <w:pPr>
              <w:pStyle w:val="TableParagraph"/>
              <w:spacing w:before="53"/>
              <w:ind w:left="9"/>
              <w:rPr>
                <w:sz w:val="21"/>
              </w:rPr>
            </w:pPr>
            <w:r>
              <w:rPr>
                <w:w w:val="99"/>
                <w:sz w:val="21"/>
              </w:rPr>
              <w:t>2</w:t>
            </w:r>
          </w:p>
        </w:tc>
        <w:tc>
          <w:tcPr>
            <w:tcW w:w="1602" w:type="dxa"/>
          </w:tcPr>
          <w:p>
            <w:pPr>
              <w:pStyle w:val="TableParagraph"/>
              <w:spacing w:before="53"/>
              <w:ind w:left="254" w:right="247"/>
              <w:rPr>
                <w:sz w:val="21"/>
              </w:rPr>
            </w:pPr>
            <w:r>
              <w:rPr>
                <w:sz w:val="21"/>
              </w:rPr>
              <w:t>5160312.19</w:t>
            </w:r>
          </w:p>
        </w:tc>
        <w:tc>
          <w:tcPr>
            <w:tcW w:w="1737" w:type="dxa"/>
          </w:tcPr>
          <w:p>
            <w:pPr>
              <w:pStyle w:val="TableParagraph"/>
              <w:spacing w:before="53"/>
              <w:ind w:left="270" w:right="261"/>
              <w:rPr>
                <w:sz w:val="21"/>
              </w:rPr>
            </w:pPr>
            <w:r>
              <w:rPr>
                <w:sz w:val="21"/>
              </w:rPr>
              <w:t>44436559.56</w:t>
            </w:r>
          </w:p>
        </w:tc>
        <w:tc>
          <w:tcPr>
            <w:tcW w:w="3973" w:type="dxa"/>
            <w:gridSpan w:val="3"/>
          </w:tcPr>
          <w:p>
            <w:pPr>
              <w:pStyle w:val="TableParagraph"/>
              <w:spacing w:before="53"/>
              <w:ind w:left="777"/>
              <w:jc w:val="left"/>
              <w:rPr>
                <w:sz w:val="21"/>
              </w:rPr>
            </w:pPr>
            <w:r>
              <w:rPr>
                <w:sz w:val="21"/>
              </w:rPr>
              <w:t>开采深度：从 20m 至-180m</w:t>
            </w:r>
          </w:p>
        </w:tc>
      </w:tr>
      <w:tr>
        <w:trPr>
          <w:trHeight w:val="378" w:hRule="atLeast"/>
        </w:trPr>
        <w:tc>
          <w:tcPr>
            <w:tcW w:w="787" w:type="dxa"/>
            <w:vMerge w:val="restart"/>
          </w:tcPr>
          <w:p>
            <w:pPr>
              <w:pStyle w:val="TableParagraph"/>
              <w:spacing w:before="10"/>
              <w:jc w:val="left"/>
              <w:rPr>
                <w:b/>
                <w:sz w:val="19"/>
              </w:rPr>
            </w:pPr>
          </w:p>
          <w:p>
            <w:pPr>
              <w:pStyle w:val="TableParagraph"/>
              <w:spacing w:before="1"/>
              <w:ind w:left="107"/>
              <w:jc w:val="left"/>
              <w:rPr>
                <w:sz w:val="21"/>
              </w:rPr>
            </w:pPr>
            <w:r>
              <w:rPr>
                <w:sz w:val="21"/>
              </w:rPr>
              <w:t>15</w:t>
            </w:r>
            <w:r>
              <w:rPr>
                <w:spacing w:val="-58"/>
                <w:sz w:val="21"/>
              </w:rPr>
              <w:t>、</w:t>
            </w:r>
            <w:r>
              <w:rPr>
                <w:sz w:val="21"/>
              </w:rPr>
              <w:t>20</w:t>
            </w:r>
          </w:p>
        </w:tc>
        <w:tc>
          <w:tcPr>
            <w:tcW w:w="656" w:type="dxa"/>
          </w:tcPr>
          <w:p>
            <w:pPr>
              <w:pStyle w:val="TableParagraph"/>
              <w:spacing w:before="55"/>
              <w:ind w:left="9"/>
              <w:rPr>
                <w:sz w:val="21"/>
              </w:rPr>
            </w:pPr>
            <w:r>
              <w:rPr>
                <w:w w:val="99"/>
                <w:sz w:val="21"/>
              </w:rPr>
              <w:t>1</w:t>
            </w:r>
          </w:p>
        </w:tc>
        <w:tc>
          <w:tcPr>
            <w:tcW w:w="1602" w:type="dxa"/>
          </w:tcPr>
          <w:p>
            <w:pPr>
              <w:pStyle w:val="TableParagraph"/>
              <w:spacing w:before="55"/>
              <w:ind w:left="254" w:right="247"/>
              <w:rPr>
                <w:sz w:val="21"/>
              </w:rPr>
            </w:pPr>
            <w:r>
              <w:rPr>
                <w:sz w:val="21"/>
              </w:rPr>
              <w:t>5159120.19</w:t>
            </w:r>
          </w:p>
        </w:tc>
        <w:tc>
          <w:tcPr>
            <w:tcW w:w="1737" w:type="dxa"/>
          </w:tcPr>
          <w:p>
            <w:pPr>
              <w:pStyle w:val="TableParagraph"/>
              <w:spacing w:before="55"/>
              <w:ind w:left="270" w:right="261"/>
              <w:rPr>
                <w:sz w:val="21"/>
              </w:rPr>
            </w:pPr>
            <w:r>
              <w:rPr>
                <w:sz w:val="21"/>
              </w:rPr>
              <w:t>44436777.56</w:t>
            </w:r>
          </w:p>
        </w:tc>
        <w:tc>
          <w:tcPr>
            <w:tcW w:w="633" w:type="dxa"/>
          </w:tcPr>
          <w:p>
            <w:pPr>
              <w:pStyle w:val="TableParagraph"/>
              <w:spacing w:before="55"/>
              <w:ind w:right="252"/>
              <w:jc w:val="right"/>
              <w:rPr>
                <w:sz w:val="21"/>
              </w:rPr>
            </w:pPr>
            <w:r>
              <w:rPr>
                <w:w w:val="99"/>
                <w:sz w:val="21"/>
              </w:rPr>
              <w:t>3</w:t>
            </w:r>
          </w:p>
        </w:tc>
        <w:tc>
          <w:tcPr>
            <w:tcW w:w="1602" w:type="dxa"/>
          </w:tcPr>
          <w:p>
            <w:pPr>
              <w:pStyle w:val="TableParagraph"/>
              <w:spacing w:before="55"/>
              <w:ind w:left="254" w:right="247"/>
              <w:rPr>
                <w:sz w:val="21"/>
              </w:rPr>
            </w:pPr>
            <w:r>
              <w:rPr>
                <w:sz w:val="21"/>
              </w:rPr>
              <w:t>5160257.20</w:t>
            </w:r>
          </w:p>
        </w:tc>
        <w:tc>
          <w:tcPr>
            <w:tcW w:w="1738" w:type="dxa"/>
          </w:tcPr>
          <w:p>
            <w:pPr>
              <w:pStyle w:val="TableParagraph"/>
              <w:spacing w:before="55"/>
              <w:ind w:left="270" w:right="262"/>
              <w:rPr>
                <w:sz w:val="21"/>
              </w:rPr>
            </w:pPr>
            <w:r>
              <w:rPr>
                <w:sz w:val="21"/>
              </w:rPr>
              <w:t>44437397.56</w:t>
            </w:r>
          </w:p>
        </w:tc>
      </w:tr>
      <w:tr>
        <w:trPr>
          <w:trHeight w:val="393" w:hRule="atLeast"/>
        </w:trPr>
        <w:tc>
          <w:tcPr>
            <w:tcW w:w="787" w:type="dxa"/>
            <w:vMerge/>
            <w:tcBorders>
              <w:top w:val="nil"/>
            </w:tcBorders>
          </w:tcPr>
          <w:p>
            <w:pPr>
              <w:rPr>
                <w:sz w:val="2"/>
                <w:szCs w:val="2"/>
              </w:rPr>
            </w:pPr>
          </w:p>
        </w:tc>
        <w:tc>
          <w:tcPr>
            <w:tcW w:w="656" w:type="dxa"/>
          </w:tcPr>
          <w:p>
            <w:pPr>
              <w:pStyle w:val="TableParagraph"/>
              <w:spacing w:before="62"/>
              <w:ind w:left="9"/>
              <w:rPr>
                <w:sz w:val="21"/>
              </w:rPr>
            </w:pPr>
            <w:r>
              <w:rPr>
                <w:w w:val="99"/>
                <w:sz w:val="21"/>
              </w:rPr>
              <w:t>2</w:t>
            </w:r>
          </w:p>
        </w:tc>
        <w:tc>
          <w:tcPr>
            <w:tcW w:w="1602" w:type="dxa"/>
          </w:tcPr>
          <w:p>
            <w:pPr>
              <w:pStyle w:val="TableParagraph"/>
              <w:spacing w:before="62"/>
              <w:ind w:left="254" w:right="247"/>
              <w:rPr>
                <w:sz w:val="21"/>
              </w:rPr>
            </w:pPr>
            <w:r>
              <w:rPr>
                <w:sz w:val="21"/>
              </w:rPr>
              <w:t>5160312.19</w:t>
            </w:r>
          </w:p>
        </w:tc>
        <w:tc>
          <w:tcPr>
            <w:tcW w:w="1737" w:type="dxa"/>
          </w:tcPr>
          <w:p>
            <w:pPr>
              <w:pStyle w:val="TableParagraph"/>
              <w:spacing w:before="62"/>
              <w:ind w:left="270" w:right="261"/>
              <w:rPr>
                <w:sz w:val="21"/>
              </w:rPr>
            </w:pPr>
            <w:r>
              <w:rPr>
                <w:sz w:val="21"/>
              </w:rPr>
              <w:t>44436559.56</w:t>
            </w:r>
          </w:p>
        </w:tc>
        <w:tc>
          <w:tcPr>
            <w:tcW w:w="3973" w:type="dxa"/>
            <w:gridSpan w:val="3"/>
          </w:tcPr>
          <w:p>
            <w:pPr>
              <w:pStyle w:val="TableParagraph"/>
              <w:spacing w:before="62"/>
              <w:ind w:left="777"/>
              <w:jc w:val="left"/>
              <w:rPr>
                <w:sz w:val="21"/>
              </w:rPr>
            </w:pPr>
            <w:r>
              <w:rPr>
                <w:sz w:val="21"/>
              </w:rPr>
              <w:t>开采深度：从 20m 至-200m</w:t>
            </w:r>
          </w:p>
        </w:tc>
      </w:tr>
    </w:tbl>
    <w:p>
      <w:pPr>
        <w:pStyle w:val="BodyText"/>
        <w:spacing w:before="7"/>
        <w:rPr>
          <w:b/>
          <w:sz w:val="28"/>
        </w:rPr>
      </w:pPr>
    </w:p>
    <w:p>
      <w:pPr>
        <w:spacing w:before="0"/>
        <w:ind w:left="3622" w:right="0" w:firstLine="0"/>
        <w:jc w:val="both"/>
        <w:rPr>
          <w:b/>
          <w:sz w:val="24"/>
        </w:rPr>
      </w:pPr>
      <w:r>
        <w:rPr>
          <w:b/>
          <w:sz w:val="24"/>
        </w:rPr>
        <w:t>表 </w:t>
      </w:r>
      <w:r>
        <w:rPr>
          <w:rFonts w:ascii="Times New Roman" w:eastAsia="Times New Roman"/>
          <w:b/>
          <w:sz w:val="24"/>
        </w:rPr>
        <w:t>3.1-2 </w:t>
      </w:r>
      <w:r>
        <w:rPr>
          <w:b/>
          <w:sz w:val="24"/>
        </w:rPr>
        <w:t>源丰原界拐点坐标</w:t>
      </w:r>
    </w:p>
    <w:tbl>
      <w:tblPr>
        <w:tblW w:w="0" w:type="auto"/>
        <w:jc w:val="left"/>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673"/>
        <w:gridCol w:w="1647"/>
        <w:gridCol w:w="1786"/>
        <w:gridCol w:w="651"/>
        <w:gridCol w:w="1647"/>
        <w:gridCol w:w="1791"/>
      </w:tblGrid>
      <w:tr>
        <w:trPr>
          <w:trHeight w:val="545" w:hRule="atLeast"/>
        </w:trPr>
        <w:tc>
          <w:tcPr>
            <w:tcW w:w="530" w:type="dxa"/>
          </w:tcPr>
          <w:p>
            <w:pPr>
              <w:pStyle w:val="TableParagraph"/>
              <w:ind w:left="159"/>
              <w:jc w:val="left"/>
              <w:rPr>
                <w:sz w:val="21"/>
              </w:rPr>
            </w:pPr>
            <w:r>
              <w:rPr>
                <w:w w:val="99"/>
                <w:sz w:val="21"/>
              </w:rPr>
              <w:t>煤</w:t>
            </w:r>
          </w:p>
          <w:p>
            <w:pPr>
              <w:pStyle w:val="TableParagraph"/>
              <w:spacing w:line="251" w:lineRule="exact" w:before="4"/>
              <w:ind w:left="159"/>
              <w:jc w:val="left"/>
              <w:rPr>
                <w:sz w:val="21"/>
              </w:rPr>
            </w:pPr>
            <w:r>
              <w:rPr>
                <w:w w:val="99"/>
                <w:sz w:val="21"/>
              </w:rPr>
              <w:t>层</w:t>
            </w:r>
          </w:p>
        </w:tc>
        <w:tc>
          <w:tcPr>
            <w:tcW w:w="673" w:type="dxa"/>
          </w:tcPr>
          <w:p>
            <w:pPr>
              <w:pStyle w:val="TableParagraph"/>
              <w:spacing w:before="136"/>
              <w:ind w:left="105" w:right="98"/>
              <w:rPr>
                <w:sz w:val="21"/>
              </w:rPr>
            </w:pPr>
            <w:r>
              <w:rPr>
                <w:sz w:val="21"/>
              </w:rPr>
              <w:t>点号</w:t>
            </w:r>
          </w:p>
        </w:tc>
        <w:tc>
          <w:tcPr>
            <w:tcW w:w="1647" w:type="dxa"/>
          </w:tcPr>
          <w:p>
            <w:pPr>
              <w:pStyle w:val="TableParagraph"/>
              <w:spacing w:before="136"/>
              <w:ind w:left="9"/>
              <w:rPr>
                <w:sz w:val="21"/>
              </w:rPr>
            </w:pPr>
            <w:r>
              <w:rPr>
                <w:w w:val="99"/>
                <w:sz w:val="21"/>
              </w:rPr>
              <w:t>X</w:t>
            </w:r>
          </w:p>
        </w:tc>
        <w:tc>
          <w:tcPr>
            <w:tcW w:w="1786" w:type="dxa"/>
          </w:tcPr>
          <w:p>
            <w:pPr>
              <w:pStyle w:val="TableParagraph"/>
              <w:spacing w:before="136"/>
              <w:ind w:left="8"/>
              <w:rPr>
                <w:sz w:val="21"/>
              </w:rPr>
            </w:pPr>
            <w:r>
              <w:rPr>
                <w:w w:val="99"/>
                <w:sz w:val="21"/>
              </w:rPr>
              <w:t>Y</w:t>
            </w:r>
          </w:p>
        </w:tc>
        <w:tc>
          <w:tcPr>
            <w:tcW w:w="651" w:type="dxa"/>
          </w:tcPr>
          <w:p>
            <w:pPr>
              <w:pStyle w:val="TableParagraph"/>
              <w:spacing w:before="136"/>
              <w:ind w:left="93" w:right="88"/>
              <w:rPr>
                <w:sz w:val="21"/>
              </w:rPr>
            </w:pPr>
            <w:r>
              <w:rPr>
                <w:sz w:val="21"/>
              </w:rPr>
              <w:t>点号</w:t>
            </w:r>
          </w:p>
        </w:tc>
        <w:tc>
          <w:tcPr>
            <w:tcW w:w="1647" w:type="dxa"/>
          </w:tcPr>
          <w:p>
            <w:pPr>
              <w:pStyle w:val="TableParagraph"/>
              <w:spacing w:before="136"/>
              <w:ind w:left="10"/>
              <w:rPr>
                <w:sz w:val="21"/>
              </w:rPr>
            </w:pPr>
            <w:r>
              <w:rPr>
                <w:w w:val="99"/>
                <w:sz w:val="21"/>
              </w:rPr>
              <w:t>X</w:t>
            </w:r>
          </w:p>
        </w:tc>
        <w:tc>
          <w:tcPr>
            <w:tcW w:w="1791" w:type="dxa"/>
          </w:tcPr>
          <w:p>
            <w:pPr>
              <w:pStyle w:val="TableParagraph"/>
              <w:spacing w:before="136"/>
              <w:ind w:left="9"/>
              <w:rPr>
                <w:sz w:val="21"/>
              </w:rPr>
            </w:pPr>
            <w:r>
              <w:rPr>
                <w:w w:val="99"/>
                <w:sz w:val="21"/>
              </w:rPr>
              <w:t>Y</w:t>
            </w:r>
          </w:p>
        </w:tc>
      </w:tr>
      <w:tr>
        <w:trPr>
          <w:trHeight w:val="307" w:hRule="atLeast"/>
        </w:trPr>
        <w:tc>
          <w:tcPr>
            <w:tcW w:w="530" w:type="dxa"/>
            <w:vMerge w:val="restart"/>
          </w:tcPr>
          <w:p>
            <w:pPr>
              <w:pStyle w:val="TableParagraph"/>
              <w:spacing w:before="6"/>
              <w:jc w:val="left"/>
              <w:rPr>
                <w:b/>
                <w:sz w:val="15"/>
              </w:rPr>
            </w:pPr>
          </w:p>
          <w:p>
            <w:pPr>
              <w:pStyle w:val="TableParagraph"/>
              <w:ind w:left="159"/>
              <w:jc w:val="left"/>
              <w:rPr>
                <w:sz w:val="21"/>
              </w:rPr>
            </w:pPr>
            <w:r>
              <w:rPr>
                <w:sz w:val="21"/>
              </w:rPr>
              <w:t>10</w:t>
            </w:r>
          </w:p>
        </w:tc>
        <w:tc>
          <w:tcPr>
            <w:tcW w:w="673" w:type="dxa"/>
          </w:tcPr>
          <w:p>
            <w:pPr>
              <w:pStyle w:val="TableParagraph"/>
              <w:spacing w:before="18"/>
              <w:ind w:left="10"/>
              <w:rPr>
                <w:sz w:val="21"/>
              </w:rPr>
            </w:pPr>
            <w:r>
              <w:rPr>
                <w:w w:val="99"/>
                <w:sz w:val="21"/>
              </w:rPr>
              <w:t>1</w:t>
            </w:r>
          </w:p>
        </w:tc>
        <w:tc>
          <w:tcPr>
            <w:tcW w:w="1647" w:type="dxa"/>
          </w:tcPr>
          <w:p>
            <w:pPr>
              <w:pStyle w:val="TableParagraph"/>
              <w:spacing w:before="18"/>
              <w:ind w:left="276" w:right="268"/>
              <w:rPr>
                <w:sz w:val="21"/>
              </w:rPr>
            </w:pPr>
            <w:r>
              <w:rPr>
                <w:sz w:val="21"/>
              </w:rPr>
              <w:t>5162170.19</w:t>
            </w:r>
          </w:p>
        </w:tc>
        <w:tc>
          <w:tcPr>
            <w:tcW w:w="1786" w:type="dxa"/>
          </w:tcPr>
          <w:p>
            <w:pPr>
              <w:pStyle w:val="TableParagraph"/>
              <w:spacing w:before="18"/>
              <w:ind w:right="95"/>
              <w:jc w:val="right"/>
              <w:rPr>
                <w:sz w:val="21"/>
              </w:rPr>
            </w:pPr>
            <w:r>
              <w:rPr>
                <w:w w:val="95"/>
                <w:sz w:val="21"/>
              </w:rPr>
              <w:t>44437002.56</w:t>
            </w:r>
          </w:p>
        </w:tc>
        <w:tc>
          <w:tcPr>
            <w:tcW w:w="651" w:type="dxa"/>
          </w:tcPr>
          <w:p>
            <w:pPr>
              <w:pStyle w:val="TableParagraph"/>
              <w:spacing w:before="18"/>
              <w:ind w:left="9"/>
              <w:rPr>
                <w:sz w:val="21"/>
              </w:rPr>
            </w:pPr>
            <w:r>
              <w:rPr>
                <w:w w:val="99"/>
                <w:sz w:val="21"/>
              </w:rPr>
              <w:t>3</w:t>
            </w:r>
          </w:p>
        </w:tc>
        <w:tc>
          <w:tcPr>
            <w:tcW w:w="1647" w:type="dxa"/>
          </w:tcPr>
          <w:p>
            <w:pPr>
              <w:pStyle w:val="TableParagraph"/>
              <w:spacing w:before="18"/>
              <w:ind w:left="277" w:right="267"/>
              <w:rPr>
                <w:sz w:val="21"/>
              </w:rPr>
            </w:pPr>
            <w:r>
              <w:rPr>
                <w:sz w:val="21"/>
              </w:rPr>
              <w:t>5160490.18</w:t>
            </w:r>
          </w:p>
        </w:tc>
        <w:tc>
          <w:tcPr>
            <w:tcW w:w="1791" w:type="dxa"/>
          </w:tcPr>
          <w:p>
            <w:pPr>
              <w:pStyle w:val="TableParagraph"/>
              <w:spacing w:before="18"/>
              <w:ind w:left="317"/>
              <w:jc w:val="left"/>
              <w:rPr>
                <w:sz w:val="21"/>
              </w:rPr>
            </w:pPr>
            <w:r>
              <w:rPr>
                <w:sz w:val="21"/>
              </w:rPr>
              <w:t>44437807.56</w:t>
            </w:r>
          </w:p>
        </w:tc>
      </w:tr>
      <w:tr>
        <w:trPr>
          <w:trHeight w:val="348" w:hRule="atLeast"/>
        </w:trPr>
        <w:tc>
          <w:tcPr>
            <w:tcW w:w="530" w:type="dxa"/>
            <w:vMerge/>
            <w:tcBorders>
              <w:top w:val="nil"/>
            </w:tcBorders>
          </w:tcPr>
          <w:p>
            <w:pPr>
              <w:rPr>
                <w:sz w:val="2"/>
                <w:szCs w:val="2"/>
              </w:rPr>
            </w:pPr>
          </w:p>
        </w:tc>
        <w:tc>
          <w:tcPr>
            <w:tcW w:w="673" w:type="dxa"/>
          </w:tcPr>
          <w:p>
            <w:pPr>
              <w:pStyle w:val="TableParagraph"/>
              <w:spacing w:before="39"/>
              <w:ind w:left="10"/>
              <w:rPr>
                <w:sz w:val="21"/>
              </w:rPr>
            </w:pPr>
            <w:r>
              <w:rPr>
                <w:w w:val="99"/>
                <w:sz w:val="21"/>
              </w:rPr>
              <w:t>2</w:t>
            </w:r>
          </w:p>
        </w:tc>
        <w:tc>
          <w:tcPr>
            <w:tcW w:w="1647" w:type="dxa"/>
          </w:tcPr>
          <w:p>
            <w:pPr>
              <w:pStyle w:val="TableParagraph"/>
              <w:spacing w:before="39"/>
              <w:ind w:left="276" w:right="268"/>
              <w:rPr>
                <w:sz w:val="21"/>
              </w:rPr>
            </w:pPr>
            <w:r>
              <w:rPr>
                <w:sz w:val="21"/>
              </w:rPr>
              <w:t>5162170.19</w:t>
            </w:r>
          </w:p>
        </w:tc>
        <w:tc>
          <w:tcPr>
            <w:tcW w:w="1786" w:type="dxa"/>
          </w:tcPr>
          <w:p>
            <w:pPr>
              <w:pStyle w:val="TableParagraph"/>
              <w:spacing w:before="39"/>
              <w:ind w:right="95"/>
              <w:jc w:val="right"/>
              <w:rPr>
                <w:sz w:val="21"/>
              </w:rPr>
            </w:pPr>
            <w:r>
              <w:rPr>
                <w:w w:val="95"/>
                <w:sz w:val="21"/>
              </w:rPr>
              <w:t>44437807.56</w:t>
            </w:r>
          </w:p>
        </w:tc>
        <w:tc>
          <w:tcPr>
            <w:tcW w:w="651" w:type="dxa"/>
          </w:tcPr>
          <w:p>
            <w:pPr>
              <w:pStyle w:val="TableParagraph"/>
              <w:spacing w:before="39"/>
              <w:ind w:left="9"/>
              <w:rPr>
                <w:sz w:val="21"/>
              </w:rPr>
            </w:pPr>
            <w:r>
              <w:rPr>
                <w:w w:val="99"/>
                <w:sz w:val="21"/>
              </w:rPr>
              <w:t>4</w:t>
            </w:r>
          </w:p>
        </w:tc>
        <w:tc>
          <w:tcPr>
            <w:tcW w:w="1647" w:type="dxa"/>
          </w:tcPr>
          <w:p>
            <w:pPr>
              <w:pStyle w:val="TableParagraph"/>
              <w:spacing w:before="39"/>
              <w:ind w:left="277" w:right="267"/>
              <w:rPr>
                <w:sz w:val="21"/>
              </w:rPr>
            </w:pPr>
            <w:r>
              <w:rPr>
                <w:sz w:val="21"/>
              </w:rPr>
              <w:t>5160490.18</w:t>
            </w:r>
          </w:p>
        </w:tc>
        <w:tc>
          <w:tcPr>
            <w:tcW w:w="1791" w:type="dxa"/>
          </w:tcPr>
          <w:p>
            <w:pPr>
              <w:pStyle w:val="TableParagraph"/>
              <w:spacing w:before="39"/>
              <w:ind w:left="528"/>
              <w:jc w:val="left"/>
              <w:rPr>
                <w:sz w:val="21"/>
              </w:rPr>
            </w:pPr>
            <w:r>
              <w:rPr>
                <w:sz w:val="21"/>
              </w:rPr>
              <w:t>44437002.56</w:t>
            </w:r>
          </w:p>
        </w:tc>
      </w:tr>
      <w:tr>
        <w:trPr>
          <w:trHeight w:val="349" w:hRule="atLeast"/>
        </w:trPr>
        <w:tc>
          <w:tcPr>
            <w:tcW w:w="8725" w:type="dxa"/>
            <w:gridSpan w:val="7"/>
          </w:tcPr>
          <w:p>
            <w:pPr>
              <w:pStyle w:val="TableParagraph"/>
              <w:spacing w:before="40"/>
              <w:ind w:left="3029" w:right="3020"/>
              <w:rPr>
                <w:sz w:val="21"/>
              </w:rPr>
            </w:pPr>
            <w:r>
              <w:rPr>
                <w:sz w:val="21"/>
              </w:rPr>
              <w:t>开采深度：从 280m 至-150m</w:t>
            </w:r>
          </w:p>
        </w:tc>
      </w:tr>
    </w:tbl>
    <w:p>
      <w:pPr>
        <w:pStyle w:val="BodyText"/>
        <w:spacing w:before="6"/>
        <w:rPr>
          <w:b/>
          <w:sz w:val="28"/>
        </w:rPr>
      </w:pPr>
    </w:p>
    <w:p>
      <w:pPr>
        <w:pStyle w:val="ListParagraph"/>
        <w:numPr>
          <w:ilvl w:val="2"/>
          <w:numId w:val="17"/>
        </w:numPr>
        <w:tabs>
          <w:tab w:pos="1108" w:val="left" w:leader="none"/>
        </w:tabs>
        <w:spacing w:line="240" w:lineRule="auto" w:before="0" w:after="0"/>
        <w:ind w:left="1107" w:right="0" w:hanging="630"/>
        <w:jc w:val="both"/>
        <w:rPr>
          <w:b/>
          <w:sz w:val="28"/>
        </w:rPr>
      </w:pPr>
      <w:bookmarkStart w:name="3.1.2双鸭山市东盛矿业集团有限公司开发简史" w:id="83"/>
      <w:bookmarkEnd w:id="83"/>
      <w:r>
        <w:rPr/>
      </w:r>
      <w:bookmarkStart w:name="3.1.2双鸭山市东盛矿业集团有限公司开发简史" w:id="84"/>
      <w:bookmarkEnd w:id="84"/>
      <w:r>
        <w:rPr>
          <w:b/>
          <w:sz w:val="28"/>
        </w:rPr>
        <w:t>双鸭山市东盛矿业集团有限公司开发简史</w:t>
      </w:r>
    </w:p>
    <w:p>
      <w:pPr>
        <w:pStyle w:val="BodyText"/>
        <w:spacing w:line="364" w:lineRule="auto" w:before="185"/>
        <w:ind w:left="478" w:right="473" w:firstLine="480"/>
        <w:jc w:val="both"/>
      </w:pPr>
      <w:r>
        <w:rPr>
          <w:spacing w:val="-4"/>
        </w:rPr>
        <w:t>双鸭山市东盛矿业集团集团有限公司 </w:t>
      </w:r>
      <w:r>
        <w:rPr>
          <w:rFonts w:ascii="Times New Roman" w:eastAsia="Times New Roman"/>
        </w:rPr>
        <w:t>1996</w:t>
      </w:r>
      <w:r>
        <w:rPr>
          <w:rFonts w:ascii="Times New Roman" w:eastAsia="Times New Roman"/>
          <w:spacing w:val="3"/>
        </w:rPr>
        <w:t> </w:t>
      </w:r>
      <w:r>
        <w:rPr>
          <w:spacing w:val="-5"/>
        </w:rPr>
        <w:t>年建井投产，设计生产能力 </w:t>
      </w:r>
      <w:r>
        <w:rPr>
          <w:rFonts w:ascii="Times New Roman" w:eastAsia="Times New Roman"/>
        </w:rPr>
        <w:t>4</w:t>
      </w:r>
      <w:r>
        <w:rPr>
          <w:rFonts w:ascii="Times New Roman" w:eastAsia="Times New Roman"/>
          <w:spacing w:val="1"/>
        </w:rPr>
        <w:t> </w:t>
      </w:r>
      <w:r>
        <w:rPr/>
        <w:t>万吨</w:t>
      </w:r>
      <w:r>
        <w:rPr>
          <w:rFonts w:ascii="Times New Roman" w:eastAsia="Times New Roman"/>
        </w:rPr>
        <w:t>/</w:t>
      </w:r>
      <w:r>
        <w:rPr>
          <w:spacing w:val="-7"/>
        </w:rPr>
        <w:t>年， </w:t>
      </w:r>
      <w:r>
        <w:rPr>
          <w:spacing w:val="-9"/>
        </w:rPr>
        <w:t>核定生产能力 </w:t>
      </w:r>
      <w:r>
        <w:rPr>
          <w:rFonts w:ascii="Times New Roman" w:eastAsia="Times New Roman"/>
        </w:rPr>
        <w:t>4</w:t>
      </w:r>
      <w:r>
        <w:rPr>
          <w:rFonts w:ascii="Times New Roman" w:eastAsia="Times New Roman"/>
          <w:spacing w:val="1"/>
        </w:rPr>
        <w:t> </w:t>
      </w:r>
      <w:r>
        <w:rPr/>
        <w:t>万吨</w:t>
      </w:r>
      <w:r>
        <w:rPr>
          <w:rFonts w:ascii="Times New Roman" w:eastAsia="Times New Roman"/>
        </w:rPr>
        <w:t>/</w:t>
      </w:r>
      <w:r>
        <w:rPr>
          <w:spacing w:val="-7"/>
        </w:rPr>
        <w:t>年。矿井批准开采 </w:t>
      </w:r>
      <w:r>
        <w:rPr>
          <w:rFonts w:ascii="Times New Roman" w:eastAsia="Times New Roman"/>
        </w:rPr>
        <w:t>10</w:t>
      </w:r>
      <w:r>
        <w:rPr/>
        <w:t>、</w:t>
      </w:r>
      <w:r>
        <w:rPr>
          <w:rFonts w:ascii="Times New Roman" w:eastAsia="Times New Roman"/>
        </w:rPr>
        <w:t>15</w:t>
      </w:r>
      <w:r>
        <w:rPr/>
        <w:t>、</w:t>
      </w:r>
      <w:r>
        <w:rPr>
          <w:rFonts w:ascii="Times New Roman" w:eastAsia="Times New Roman"/>
        </w:rPr>
        <w:t>20</w:t>
      </w:r>
      <w:r>
        <w:rPr>
          <w:rFonts w:ascii="Times New Roman" w:eastAsia="Times New Roman"/>
          <w:spacing w:val="1"/>
        </w:rPr>
        <w:t> </w:t>
      </w:r>
      <w:r>
        <w:rPr>
          <w:spacing w:val="-2"/>
        </w:rPr>
        <w:t>号共三个煤层。开拓方式为片盘斜</w:t>
      </w:r>
      <w:r>
        <w:rPr>
          <w:spacing w:val="-9"/>
        </w:rPr>
        <w:t>井，布置有主井、风井两条井筒。通风方式为中央并列式，通风方法为抽出式，其中主</w:t>
      </w:r>
      <w:r>
        <w:rPr>
          <w:spacing w:val="-2"/>
        </w:rPr>
        <w:t>井入风，风井回风。该矿井已于</w:t>
      </w:r>
      <w:r>
        <w:rPr>
          <w:rFonts w:ascii="Times New Roman" w:eastAsia="Times New Roman"/>
        </w:rPr>
        <w:t>-110m</w:t>
      </w:r>
      <w:r>
        <w:rPr>
          <w:rFonts w:ascii="Times New Roman" w:eastAsia="Times New Roman"/>
          <w:spacing w:val="-4"/>
        </w:rPr>
        <w:t> </w:t>
      </w:r>
      <w:r>
        <w:rPr>
          <w:spacing w:val="-12"/>
        </w:rPr>
        <w:t>水平揭露 </w:t>
      </w:r>
      <w:r>
        <w:rPr>
          <w:rFonts w:ascii="Times New Roman" w:eastAsia="Times New Roman"/>
        </w:rPr>
        <w:t>20</w:t>
      </w:r>
      <w:r>
        <w:rPr>
          <w:rFonts w:ascii="Times New Roman" w:eastAsia="Times New Roman"/>
          <w:spacing w:val="-2"/>
        </w:rPr>
        <w:t> </w:t>
      </w:r>
      <w:r>
        <w:rPr>
          <w:spacing w:val="-13"/>
        </w:rPr>
        <w:t>煤层，沿 </w:t>
      </w:r>
      <w:r>
        <w:rPr>
          <w:rFonts w:ascii="Times New Roman" w:eastAsia="Times New Roman"/>
        </w:rPr>
        <w:t>20</w:t>
      </w:r>
      <w:r>
        <w:rPr>
          <w:rFonts w:ascii="Times New Roman" w:eastAsia="Times New Roman"/>
          <w:spacing w:val="-2"/>
        </w:rPr>
        <w:t> </w:t>
      </w:r>
      <w:r>
        <w:rPr>
          <w:spacing w:val="-2"/>
        </w:rPr>
        <w:t>层施工了部分水平运输</w:t>
      </w:r>
    </w:p>
    <w:p>
      <w:pPr>
        <w:pStyle w:val="BodyText"/>
        <w:spacing w:line="305" w:lineRule="exact"/>
        <w:ind w:left="478"/>
        <w:jc w:val="both"/>
        <w:rPr>
          <w:rFonts w:ascii="Times New Roman" w:eastAsia="Times New Roman"/>
        </w:rPr>
      </w:pPr>
      <w:r>
        <w:rPr>
          <w:spacing w:val="-11"/>
        </w:rPr>
        <w:t>及回风大巷、上山区及下山区运输、回风上下山，但尚未形成各安全生产系统。从 </w:t>
      </w:r>
      <w:r>
        <w:rPr>
          <w:rFonts w:ascii="Times New Roman" w:eastAsia="Times New Roman"/>
        </w:rPr>
        <w:t>2010</w:t>
      </w:r>
    </w:p>
    <w:p>
      <w:pPr>
        <w:pStyle w:val="BodyText"/>
        <w:spacing w:line="364" w:lineRule="auto" w:before="158"/>
        <w:ind w:left="958" w:right="477" w:hanging="480"/>
        <w:rPr>
          <w:rFonts w:ascii="Times New Roman" w:eastAsia="Times New Roman"/>
        </w:rPr>
      </w:pPr>
      <w:r>
        <w:rPr>
          <w:spacing w:val="-8"/>
        </w:rPr>
        <w:t>年至 </w:t>
      </w:r>
      <w:r>
        <w:rPr>
          <w:rFonts w:ascii="Times New Roman" w:eastAsia="Times New Roman"/>
        </w:rPr>
        <w:t>2019</w:t>
      </w:r>
      <w:r>
        <w:rPr>
          <w:rFonts w:ascii="Times New Roman" w:eastAsia="Times New Roman"/>
          <w:spacing w:val="38"/>
        </w:rPr>
        <w:t> </w:t>
      </w:r>
      <w:r>
        <w:rPr/>
        <w:t>年东盛煤矿由于证照不全及资金紧缺一直处于半停产状态至今没有生产。被</w:t>
      </w:r>
      <w:r>
        <w:rPr>
          <w:spacing w:val="-12"/>
        </w:rPr>
        <w:t>整合矿井为源丰煤矿，原批准开采 </w:t>
      </w:r>
      <w:r>
        <w:rPr>
          <w:rFonts w:ascii="Times New Roman" w:eastAsia="Times New Roman"/>
        </w:rPr>
        <w:t>5</w:t>
      </w:r>
      <w:r>
        <w:rPr>
          <w:spacing w:val="-72"/>
        </w:rPr>
        <w:t>、</w:t>
      </w:r>
      <w:r>
        <w:rPr>
          <w:rFonts w:ascii="Times New Roman" w:eastAsia="Times New Roman"/>
        </w:rPr>
        <w:t>10 </w:t>
      </w:r>
      <w:r>
        <w:rPr>
          <w:spacing w:val="-30"/>
        </w:rPr>
        <w:t>及 </w:t>
      </w:r>
      <w:r>
        <w:rPr>
          <w:rFonts w:ascii="Times New Roman" w:eastAsia="Times New Roman"/>
        </w:rPr>
        <w:t>20 </w:t>
      </w:r>
      <w:r>
        <w:rPr>
          <w:spacing w:val="-23"/>
        </w:rPr>
        <w:t>号煤层。于 </w:t>
      </w:r>
      <w:r>
        <w:rPr>
          <w:rFonts w:ascii="Times New Roman" w:eastAsia="Times New Roman"/>
        </w:rPr>
        <w:t>2002</w:t>
      </w:r>
      <w:r>
        <w:rPr>
          <w:rFonts w:ascii="Times New Roman" w:eastAsia="Times New Roman"/>
          <w:spacing w:val="1"/>
        </w:rPr>
        <w:t> </w:t>
      </w:r>
      <w:r>
        <w:rPr>
          <w:spacing w:val="-4"/>
        </w:rPr>
        <w:t>年开工建设，</w:t>
      </w:r>
      <w:r>
        <w:rPr>
          <w:rFonts w:ascii="Times New Roman" w:eastAsia="Times New Roman"/>
          <w:spacing w:val="-19"/>
        </w:rPr>
        <w:t>2006</w:t>
      </w:r>
    </w:p>
    <w:p>
      <w:pPr>
        <w:pStyle w:val="BodyText"/>
        <w:spacing w:line="306" w:lineRule="exact"/>
        <w:ind w:left="478"/>
      </w:pPr>
      <w:r>
        <w:rPr/>
        <w:t>年关闭。至今一直没有进行生产。</w:t>
      </w:r>
    </w:p>
    <w:p>
      <w:pPr>
        <w:spacing w:after="0" w:line="306" w:lineRule="exact"/>
        <w:sectPr>
          <w:type w:val="continuous"/>
          <w:pgSz w:w="11910" w:h="16840"/>
          <w:pgMar w:top="1580" w:bottom="280" w:left="940" w:right="940"/>
        </w:sectPr>
      </w:pPr>
    </w:p>
    <w:p>
      <w:pPr>
        <w:pStyle w:val="ListParagraph"/>
        <w:numPr>
          <w:ilvl w:val="2"/>
          <w:numId w:val="17"/>
        </w:numPr>
        <w:tabs>
          <w:tab w:pos="1108" w:val="left" w:leader="none"/>
        </w:tabs>
        <w:spacing w:line="240" w:lineRule="auto" w:before="42" w:after="0"/>
        <w:ind w:left="1107" w:right="0" w:hanging="630"/>
        <w:jc w:val="left"/>
        <w:rPr>
          <w:b/>
          <w:sz w:val="28"/>
        </w:rPr>
      </w:pPr>
      <w:bookmarkStart w:name="3.1.3现有工程情况" w:id="85"/>
      <w:bookmarkEnd w:id="85"/>
      <w:r>
        <w:rPr/>
      </w:r>
      <w:bookmarkStart w:name="3.1.3现有工程情况" w:id="86"/>
      <w:bookmarkEnd w:id="86"/>
      <w:r>
        <w:rPr>
          <w:b/>
          <w:sz w:val="28"/>
        </w:rPr>
        <w:t>现有工程情况</w:t>
      </w:r>
    </w:p>
    <w:p>
      <w:pPr>
        <w:pStyle w:val="BodyText"/>
        <w:spacing w:before="185"/>
        <w:ind w:left="958"/>
      </w:pPr>
      <w:r>
        <w:rPr/>
        <w:t>目前，矿井所有采掘系统、地面辅助系统均保持完好，具体项目组成一览表见表</w:t>
      </w:r>
    </w:p>
    <w:p>
      <w:pPr>
        <w:pStyle w:val="BodyText"/>
        <w:spacing w:before="158"/>
        <w:ind w:left="478"/>
      </w:pPr>
      <w:r>
        <w:rPr>
          <w:rFonts w:ascii="Times New Roman" w:eastAsia="Times New Roman"/>
        </w:rPr>
        <w:t>3.1-3</w:t>
      </w:r>
      <w:r>
        <w:rPr/>
        <w:t>。</w:t>
      </w:r>
    </w:p>
    <w:p>
      <w:pPr>
        <w:pStyle w:val="Heading4"/>
        <w:tabs>
          <w:tab w:pos="1061" w:val="left" w:leader="none"/>
        </w:tabs>
        <w:spacing w:before="161"/>
        <w:ind w:left="21"/>
        <w:jc w:val="center"/>
      </w:pPr>
      <w:r>
        <w:rPr/>
        <w:t>表</w:t>
      </w:r>
      <w:r>
        <w:rPr>
          <w:spacing w:val="-62"/>
        </w:rPr>
        <w:t> </w:t>
      </w:r>
      <w:r>
        <w:rPr>
          <w:rFonts w:ascii="Times New Roman" w:eastAsia="Times New Roman"/>
        </w:rPr>
        <w:t>3.1-3</w:t>
        <w:tab/>
      </w:r>
      <w:r>
        <w:rPr/>
        <w:t>双鸭山市东盛矿业集团有限公司现有工程组成一览表</w:t>
      </w:r>
    </w:p>
    <w:p>
      <w:pPr>
        <w:pStyle w:val="BodyText"/>
        <w:spacing w:before="4"/>
        <w:rPr>
          <w:b/>
          <w:sz w:val="12"/>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
        <w:gridCol w:w="455"/>
        <w:gridCol w:w="529"/>
        <w:gridCol w:w="1841"/>
        <w:gridCol w:w="5945"/>
      </w:tblGrid>
      <w:tr>
        <w:trPr>
          <w:trHeight w:val="1090" w:hRule="atLeast"/>
        </w:trPr>
        <w:tc>
          <w:tcPr>
            <w:tcW w:w="455" w:type="dxa"/>
          </w:tcPr>
          <w:p>
            <w:pPr>
              <w:pStyle w:val="TableParagraph"/>
              <w:spacing w:line="242" w:lineRule="auto" w:before="1"/>
              <w:ind w:left="122" w:right="111"/>
              <w:jc w:val="both"/>
              <w:rPr>
                <w:sz w:val="21"/>
              </w:rPr>
            </w:pPr>
            <w:r>
              <w:rPr>
                <w:sz w:val="21"/>
              </w:rPr>
              <w:t>工业广</w:t>
            </w:r>
          </w:p>
          <w:p>
            <w:pPr>
              <w:pStyle w:val="TableParagraph"/>
              <w:spacing w:line="253" w:lineRule="exact" w:before="1"/>
              <w:ind w:left="122"/>
              <w:jc w:val="left"/>
              <w:rPr>
                <w:sz w:val="21"/>
              </w:rPr>
            </w:pPr>
            <w:r>
              <w:rPr>
                <w:w w:val="99"/>
                <w:sz w:val="21"/>
              </w:rPr>
              <w:t>场</w:t>
            </w:r>
          </w:p>
        </w:tc>
        <w:tc>
          <w:tcPr>
            <w:tcW w:w="984" w:type="dxa"/>
            <w:gridSpan w:val="2"/>
          </w:tcPr>
          <w:p>
            <w:pPr>
              <w:pStyle w:val="TableParagraph"/>
              <w:spacing w:before="3"/>
              <w:jc w:val="left"/>
              <w:rPr>
                <w:b/>
                <w:sz w:val="21"/>
              </w:rPr>
            </w:pPr>
          </w:p>
          <w:p>
            <w:pPr>
              <w:pStyle w:val="TableParagraph"/>
              <w:spacing w:line="244" w:lineRule="auto"/>
              <w:ind w:left="279" w:right="274"/>
              <w:jc w:val="left"/>
              <w:rPr>
                <w:sz w:val="21"/>
              </w:rPr>
            </w:pPr>
            <w:r>
              <w:rPr>
                <w:sz w:val="21"/>
              </w:rPr>
              <w:t>工程类别</w:t>
            </w:r>
          </w:p>
        </w:tc>
        <w:tc>
          <w:tcPr>
            <w:tcW w:w="1841" w:type="dxa"/>
          </w:tcPr>
          <w:p>
            <w:pPr>
              <w:pStyle w:val="TableParagraph"/>
              <w:jc w:val="left"/>
              <w:rPr>
                <w:b/>
                <w:sz w:val="20"/>
              </w:rPr>
            </w:pPr>
          </w:p>
          <w:p>
            <w:pPr>
              <w:pStyle w:val="TableParagraph"/>
              <w:spacing w:before="153"/>
              <w:ind w:left="161" w:right="158"/>
              <w:rPr>
                <w:sz w:val="21"/>
              </w:rPr>
            </w:pPr>
            <w:r>
              <w:rPr>
                <w:sz w:val="21"/>
              </w:rPr>
              <w:t>单项工程</w:t>
            </w:r>
          </w:p>
        </w:tc>
        <w:tc>
          <w:tcPr>
            <w:tcW w:w="5945" w:type="dxa"/>
          </w:tcPr>
          <w:p>
            <w:pPr>
              <w:pStyle w:val="TableParagraph"/>
              <w:jc w:val="left"/>
              <w:rPr>
                <w:b/>
                <w:sz w:val="20"/>
              </w:rPr>
            </w:pPr>
          </w:p>
          <w:p>
            <w:pPr>
              <w:pStyle w:val="TableParagraph"/>
              <w:spacing w:before="153"/>
              <w:ind w:left="2740" w:right="2735"/>
              <w:rPr>
                <w:sz w:val="21"/>
              </w:rPr>
            </w:pPr>
            <w:r>
              <w:rPr>
                <w:sz w:val="21"/>
              </w:rPr>
              <w:t>现状</w:t>
            </w:r>
          </w:p>
        </w:tc>
      </w:tr>
      <w:tr>
        <w:trPr>
          <w:trHeight w:val="817" w:hRule="atLeast"/>
        </w:trPr>
        <w:tc>
          <w:tcPr>
            <w:tcW w:w="45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2"/>
              <w:jc w:val="left"/>
              <w:rPr>
                <w:b/>
                <w:sz w:val="16"/>
              </w:rPr>
            </w:pPr>
          </w:p>
          <w:p>
            <w:pPr>
              <w:pStyle w:val="TableParagraph"/>
              <w:spacing w:line="266" w:lineRule="auto"/>
              <w:ind w:left="122" w:right="111"/>
              <w:jc w:val="both"/>
              <w:rPr>
                <w:sz w:val="21"/>
              </w:rPr>
            </w:pPr>
            <w:r>
              <w:rPr>
                <w:sz w:val="21"/>
              </w:rPr>
              <w:t>东盛工业广场</w:t>
            </w:r>
          </w:p>
        </w:tc>
        <w:tc>
          <w:tcPr>
            <w:tcW w:w="455" w:type="dxa"/>
            <w:vMerge w:val="restart"/>
          </w:tcPr>
          <w:p>
            <w:pPr>
              <w:pStyle w:val="TableParagraph"/>
              <w:jc w:val="left"/>
              <w:rPr>
                <w:b/>
                <w:sz w:val="20"/>
              </w:rPr>
            </w:pPr>
          </w:p>
          <w:p>
            <w:pPr>
              <w:pStyle w:val="TableParagraph"/>
              <w:spacing w:line="266" w:lineRule="auto" w:before="150"/>
              <w:ind w:left="121" w:right="112"/>
              <w:jc w:val="both"/>
              <w:rPr>
                <w:sz w:val="21"/>
              </w:rPr>
            </w:pPr>
            <w:r>
              <w:rPr>
                <w:sz w:val="21"/>
              </w:rPr>
              <w:t>主体工程</w:t>
            </w:r>
          </w:p>
        </w:tc>
        <w:tc>
          <w:tcPr>
            <w:tcW w:w="529" w:type="dxa"/>
            <w:vMerge w:val="restart"/>
          </w:tcPr>
          <w:p>
            <w:pPr>
              <w:pStyle w:val="TableParagraph"/>
              <w:jc w:val="left"/>
              <w:rPr>
                <w:b/>
                <w:sz w:val="20"/>
              </w:rPr>
            </w:pPr>
          </w:p>
          <w:p>
            <w:pPr>
              <w:pStyle w:val="TableParagraph"/>
              <w:spacing w:line="266" w:lineRule="auto" w:before="150"/>
              <w:ind w:left="158" w:right="149"/>
              <w:jc w:val="both"/>
              <w:rPr>
                <w:sz w:val="21"/>
              </w:rPr>
            </w:pPr>
            <w:r>
              <w:rPr>
                <w:sz w:val="21"/>
              </w:rPr>
              <w:t>矿井工程</w:t>
            </w:r>
          </w:p>
        </w:tc>
        <w:tc>
          <w:tcPr>
            <w:tcW w:w="1841" w:type="dxa"/>
          </w:tcPr>
          <w:p>
            <w:pPr>
              <w:pStyle w:val="TableParagraph"/>
              <w:spacing w:before="4"/>
              <w:jc w:val="left"/>
              <w:rPr>
                <w:b/>
                <w:sz w:val="22"/>
              </w:rPr>
            </w:pPr>
          </w:p>
          <w:p>
            <w:pPr>
              <w:pStyle w:val="TableParagraph"/>
              <w:ind w:left="142" w:right="158"/>
              <w:rPr>
                <w:sz w:val="21"/>
              </w:rPr>
            </w:pPr>
            <w:r>
              <w:rPr>
                <w:sz w:val="21"/>
              </w:rPr>
              <w:t>主井</w:t>
            </w:r>
          </w:p>
        </w:tc>
        <w:tc>
          <w:tcPr>
            <w:tcW w:w="5945" w:type="dxa"/>
          </w:tcPr>
          <w:p>
            <w:pPr>
              <w:pStyle w:val="TableParagraph"/>
              <w:spacing w:line="242" w:lineRule="auto"/>
              <w:ind w:left="106" w:right="-15"/>
              <w:jc w:val="left"/>
              <w:rPr>
                <w:sz w:val="21"/>
              </w:rPr>
            </w:pPr>
            <w:r>
              <w:rPr>
                <w:spacing w:val="-11"/>
                <w:sz w:val="21"/>
              </w:rPr>
              <w:t>井筒标高 </w:t>
            </w:r>
            <w:r>
              <w:rPr>
                <w:rFonts w:ascii="Times New Roman" w:hAnsi="Times New Roman" w:eastAsia="Times New Roman"/>
                <w:spacing w:val="-9"/>
                <w:sz w:val="21"/>
              </w:rPr>
              <w:t>216.30m</w:t>
            </w:r>
            <w:r>
              <w:rPr>
                <w:spacing w:val="-16"/>
                <w:sz w:val="21"/>
              </w:rPr>
              <w:t>，，斜长 </w:t>
            </w:r>
            <w:r>
              <w:rPr>
                <w:rFonts w:ascii="Times New Roman" w:hAnsi="Times New Roman" w:eastAsia="Times New Roman"/>
                <w:spacing w:val="-8"/>
                <w:sz w:val="21"/>
              </w:rPr>
              <w:t>858m</w:t>
            </w:r>
            <w:r>
              <w:rPr>
                <w:spacing w:val="-12"/>
                <w:sz w:val="21"/>
              </w:rPr>
              <w:t>，井筒倾角 </w:t>
            </w:r>
            <w:r>
              <w:rPr>
                <w:rFonts w:ascii="Times New Roman" w:hAnsi="Times New Roman" w:eastAsia="Times New Roman"/>
                <w:spacing w:val="-10"/>
                <w:sz w:val="21"/>
              </w:rPr>
              <w:t>24°</w:t>
            </w:r>
            <w:r>
              <w:rPr>
                <w:spacing w:val="-13"/>
                <w:sz w:val="21"/>
              </w:rPr>
              <w:t>，净断面 </w:t>
            </w:r>
            <w:r>
              <w:rPr>
                <w:rFonts w:ascii="Times New Roman" w:hAnsi="Times New Roman" w:eastAsia="Times New Roman"/>
                <w:sz w:val="21"/>
              </w:rPr>
              <w:t>5.9m</w:t>
            </w:r>
            <w:r>
              <w:rPr>
                <w:rFonts w:ascii="Times New Roman" w:hAnsi="Times New Roman" w:eastAsia="Times New Roman"/>
                <w:position w:val="7"/>
                <w:sz w:val="13"/>
              </w:rPr>
              <w:t>2</w:t>
            </w:r>
            <w:r>
              <w:rPr>
                <w:sz w:val="21"/>
              </w:rPr>
              <w:t>， 采用锚喷支护方式。主井负担矿井的煤炭提升、材料的下放、</w:t>
            </w:r>
          </w:p>
          <w:p>
            <w:pPr>
              <w:pStyle w:val="TableParagraph"/>
              <w:spacing w:line="253" w:lineRule="exact"/>
              <w:ind w:left="106"/>
              <w:jc w:val="left"/>
              <w:rPr>
                <w:sz w:val="21"/>
              </w:rPr>
            </w:pPr>
            <w:r>
              <w:rPr>
                <w:sz w:val="21"/>
              </w:rPr>
              <w:t>人员运送、矸石排放等，兼做矿井的安全出口。</w:t>
            </w:r>
          </w:p>
        </w:tc>
      </w:tr>
      <w:tr>
        <w:trPr>
          <w:trHeight w:val="572"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529" w:type="dxa"/>
            <w:vMerge/>
            <w:tcBorders>
              <w:top w:val="nil"/>
            </w:tcBorders>
          </w:tcPr>
          <w:p>
            <w:pPr>
              <w:rPr>
                <w:sz w:val="2"/>
                <w:szCs w:val="2"/>
              </w:rPr>
            </w:pPr>
          </w:p>
        </w:tc>
        <w:tc>
          <w:tcPr>
            <w:tcW w:w="1841" w:type="dxa"/>
          </w:tcPr>
          <w:p>
            <w:pPr>
              <w:pStyle w:val="TableParagraph"/>
              <w:spacing w:before="165"/>
              <w:ind w:left="142" w:right="158"/>
              <w:rPr>
                <w:sz w:val="21"/>
              </w:rPr>
            </w:pPr>
            <w:r>
              <w:rPr>
                <w:sz w:val="21"/>
              </w:rPr>
              <w:t>副井（风井）</w:t>
            </w:r>
          </w:p>
        </w:tc>
        <w:tc>
          <w:tcPr>
            <w:tcW w:w="5945" w:type="dxa"/>
          </w:tcPr>
          <w:p>
            <w:pPr>
              <w:pStyle w:val="TableParagraph"/>
              <w:spacing w:line="270" w:lineRule="atLeast" w:before="12"/>
              <w:ind w:left="106" w:right="-15"/>
              <w:jc w:val="left"/>
              <w:rPr>
                <w:sz w:val="21"/>
              </w:rPr>
            </w:pPr>
            <w:r>
              <w:rPr>
                <w:spacing w:val="-11"/>
                <w:sz w:val="21"/>
              </w:rPr>
              <w:t>井筒标高 </w:t>
            </w:r>
            <w:r>
              <w:rPr>
                <w:rFonts w:ascii="Times New Roman" w:hAnsi="Times New Roman" w:eastAsia="Times New Roman"/>
                <w:spacing w:val="-9"/>
                <w:sz w:val="21"/>
              </w:rPr>
              <w:t>214.22m</w:t>
            </w:r>
            <w:r>
              <w:rPr>
                <w:spacing w:val="-16"/>
                <w:sz w:val="21"/>
              </w:rPr>
              <w:t>，，斜长 </w:t>
            </w:r>
            <w:r>
              <w:rPr>
                <w:rFonts w:ascii="Times New Roman" w:hAnsi="Times New Roman" w:eastAsia="Times New Roman"/>
                <w:spacing w:val="-8"/>
                <w:sz w:val="21"/>
              </w:rPr>
              <w:t>826m</w:t>
            </w:r>
            <w:r>
              <w:rPr>
                <w:spacing w:val="-12"/>
                <w:sz w:val="21"/>
              </w:rPr>
              <w:t>，井筒倾角 </w:t>
            </w:r>
            <w:r>
              <w:rPr>
                <w:rFonts w:ascii="Times New Roman" w:hAnsi="Times New Roman" w:eastAsia="Times New Roman"/>
                <w:spacing w:val="-10"/>
                <w:sz w:val="21"/>
              </w:rPr>
              <w:t>24°</w:t>
            </w:r>
            <w:r>
              <w:rPr>
                <w:spacing w:val="-13"/>
                <w:sz w:val="21"/>
              </w:rPr>
              <w:t>，净断面 </w:t>
            </w:r>
            <w:r>
              <w:rPr>
                <w:rFonts w:ascii="Times New Roman" w:hAnsi="Times New Roman" w:eastAsia="Times New Roman"/>
                <w:sz w:val="21"/>
              </w:rPr>
              <w:t>5.9m</w:t>
            </w:r>
            <w:r>
              <w:rPr>
                <w:rFonts w:ascii="Times New Roman" w:hAnsi="Times New Roman" w:eastAsia="Times New Roman"/>
                <w:position w:val="7"/>
                <w:sz w:val="13"/>
              </w:rPr>
              <w:t>2</w:t>
            </w:r>
            <w:r>
              <w:rPr>
                <w:sz w:val="21"/>
              </w:rPr>
              <w:t>， 采用锚喷支护方式。副井为矿井的通风之用。</w:t>
            </w:r>
          </w:p>
        </w:tc>
      </w:tr>
      <w:tr>
        <w:trPr>
          <w:trHeight w:val="544"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529" w:type="dxa"/>
            <w:vMerge/>
            <w:tcBorders>
              <w:top w:val="nil"/>
            </w:tcBorders>
          </w:tcPr>
          <w:p>
            <w:pPr>
              <w:rPr>
                <w:sz w:val="2"/>
                <w:szCs w:val="2"/>
              </w:rPr>
            </w:pPr>
          </w:p>
        </w:tc>
        <w:tc>
          <w:tcPr>
            <w:tcW w:w="1841" w:type="dxa"/>
          </w:tcPr>
          <w:p>
            <w:pPr>
              <w:pStyle w:val="TableParagraph"/>
              <w:spacing w:before="136"/>
              <w:ind w:left="163" w:right="158"/>
              <w:rPr>
                <w:sz w:val="21"/>
              </w:rPr>
            </w:pPr>
            <w:r>
              <w:rPr>
                <w:sz w:val="21"/>
              </w:rPr>
              <w:t>掘进矸排矸系统</w:t>
            </w:r>
          </w:p>
        </w:tc>
        <w:tc>
          <w:tcPr>
            <w:tcW w:w="5945" w:type="dxa"/>
          </w:tcPr>
          <w:p>
            <w:pPr>
              <w:pStyle w:val="TableParagraph"/>
              <w:spacing w:line="268" w:lineRule="exact"/>
              <w:ind w:left="106"/>
              <w:jc w:val="left"/>
              <w:rPr>
                <w:sz w:val="21"/>
              </w:rPr>
            </w:pPr>
            <w:r>
              <w:rPr>
                <w:sz w:val="21"/>
              </w:rPr>
              <w:t>采用一台装载机将矸石装入汽车外运，主要用于修路和工业场</w:t>
            </w:r>
          </w:p>
          <w:p>
            <w:pPr>
              <w:pStyle w:val="TableParagraph"/>
              <w:spacing w:line="251" w:lineRule="exact" w:before="4"/>
              <w:ind w:left="106"/>
              <w:jc w:val="left"/>
              <w:rPr>
                <w:sz w:val="21"/>
              </w:rPr>
            </w:pPr>
            <w:r>
              <w:rPr>
                <w:sz w:val="21"/>
              </w:rPr>
              <w:t>地的平整，剩余部分临时起堆用于填充塌陷区及制砖。</w:t>
            </w:r>
          </w:p>
        </w:tc>
      </w:tr>
      <w:tr>
        <w:trPr>
          <w:trHeight w:val="697" w:hRule="atLeast"/>
        </w:trPr>
        <w:tc>
          <w:tcPr>
            <w:tcW w:w="455" w:type="dxa"/>
            <w:vMerge/>
            <w:tcBorders>
              <w:top w:val="nil"/>
            </w:tcBorders>
          </w:tcPr>
          <w:p>
            <w:pPr>
              <w:rPr>
                <w:sz w:val="2"/>
                <w:szCs w:val="2"/>
              </w:rPr>
            </w:pPr>
          </w:p>
        </w:tc>
        <w:tc>
          <w:tcPr>
            <w:tcW w:w="455" w:type="dxa"/>
            <w:vMerge w:val="restart"/>
          </w:tcPr>
          <w:p>
            <w:pPr>
              <w:pStyle w:val="TableParagraph"/>
              <w:jc w:val="left"/>
              <w:rPr>
                <w:b/>
                <w:sz w:val="20"/>
              </w:rPr>
            </w:pPr>
          </w:p>
          <w:p>
            <w:pPr>
              <w:pStyle w:val="TableParagraph"/>
              <w:spacing w:before="10"/>
              <w:jc w:val="left"/>
              <w:rPr>
                <w:b/>
                <w:sz w:val="26"/>
              </w:rPr>
            </w:pPr>
          </w:p>
          <w:p>
            <w:pPr>
              <w:pStyle w:val="TableParagraph"/>
              <w:spacing w:line="266" w:lineRule="auto"/>
              <w:ind w:left="121" w:right="112"/>
              <w:jc w:val="both"/>
              <w:rPr>
                <w:sz w:val="21"/>
              </w:rPr>
            </w:pPr>
            <w:r>
              <w:rPr>
                <w:sz w:val="21"/>
              </w:rPr>
              <w:t>辅助生产系统</w:t>
            </w:r>
          </w:p>
        </w:tc>
        <w:tc>
          <w:tcPr>
            <w:tcW w:w="2370" w:type="dxa"/>
            <w:gridSpan w:val="2"/>
          </w:tcPr>
          <w:p>
            <w:pPr>
              <w:pStyle w:val="TableParagraph"/>
              <w:spacing w:before="12"/>
              <w:jc w:val="left"/>
              <w:rPr>
                <w:b/>
                <w:sz w:val="17"/>
              </w:rPr>
            </w:pPr>
          </w:p>
          <w:p>
            <w:pPr>
              <w:pStyle w:val="TableParagraph"/>
              <w:ind w:left="554"/>
              <w:jc w:val="left"/>
              <w:rPr>
                <w:sz w:val="21"/>
              </w:rPr>
            </w:pPr>
            <w:r>
              <w:rPr>
                <w:sz w:val="21"/>
              </w:rPr>
              <w:t>矿井辅助设施</w:t>
            </w:r>
          </w:p>
        </w:tc>
        <w:tc>
          <w:tcPr>
            <w:tcW w:w="5945" w:type="dxa"/>
          </w:tcPr>
          <w:p>
            <w:pPr>
              <w:pStyle w:val="TableParagraph"/>
              <w:spacing w:line="266" w:lineRule="auto" w:before="79"/>
              <w:ind w:left="106" w:right="97"/>
              <w:jc w:val="left"/>
              <w:rPr>
                <w:sz w:val="21"/>
              </w:rPr>
            </w:pPr>
            <w:r>
              <w:rPr>
                <w:sz w:val="21"/>
              </w:rPr>
              <w:t>机修间、材料库、火药库、日用生活消防水池泵房等辅助生产设施</w:t>
            </w:r>
          </w:p>
        </w:tc>
      </w:tr>
      <w:tr>
        <w:trPr>
          <w:trHeight w:val="816"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4"/>
              <w:jc w:val="left"/>
              <w:rPr>
                <w:b/>
                <w:sz w:val="21"/>
              </w:rPr>
            </w:pPr>
          </w:p>
          <w:p>
            <w:pPr>
              <w:pStyle w:val="TableParagraph"/>
              <w:ind w:left="659"/>
              <w:jc w:val="left"/>
              <w:rPr>
                <w:sz w:val="21"/>
              </w:rPr>
            </w:pPr>
            <w:r>
              <w:rPr>
                <w:sz w:val="21"/>
              </w:rPr>
              <w:t>采暖锅炉房</w:t>
            </w:r>
          </w:p>
        </w:tc>
        <w:tc>
          <w:tcPr>
            <w:tcW w:w="5945" w:type="dxa"/>
          </w:tcPr>
          <w:p>
            <w:pPr>
              <w:pStyle w:val="TableParagraph"/>
              <w:spacing w:line="270" w:lineRule="atLeast" w:before="1"/>
              <w:ind w:left="106" w:right="85"/>
              <w:jc w:val="both"/>
              <w:rPr>
                <w:sz w:val="21"/>
              </w:rPr>
            </w:pPr>
            <w:r>
              <w:rPr>
                <w:rFonts w:ascii="Times New Roman" w:hAnsi="Times New Roman" w:eastAsia="Times New Roman"/>
                <w:w w:val="99"/>
                <w:sz w:val="21"/>
              </w:rPr>
              <w:t>1</w:t>
            </w:r>
            <w:r>
              <w:rPr>
                <w:rFonts w:ascii="Times New Roman" w:hAnsi="Times New Roman" w:eastAsia="Times New Roman"/>
                <w:spacing w:val="-21"/>
                <w:sz w:val="21"/>
              </w:rPr>
              <w:t> </w:t>
            </w:r>
            <w:r>
              <w:rPr>
                <w:spacing w:val="31"/>
                <w:w w:val="99"/>
                <w:sz w:val="21"/>
              </w:rPr>
              <w:t>台</w:t>
            </w:r>
            <w:r>
              <w:rPr>
                <w:rFonts w:ascii="Times New Roman" w:hAnsi="Times New Roman" w:eastAsia="Times New Roman"/>
                <w:w w:val="99"/>
                <w:sz w:val="21"/>
              </w:rPr>
              <w:t>D</w:t>
            </w:r>
            <w:r>
              <w:rPr>
                <w:rFonts w:ascii="Times New Roman" w:hAnsi="Times New Roman" w:eastAsia="Times New Roman"/>
                <w:spacing w:val="-1"/>
                <w:w w:val="99"/>
                <w:sz w:val="21"/>
              </w:rPr>
              <w:t>ZL</w:t>
            </w: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1"/>
                <w:w w:val="99"/>
                <w:sz w:val="21"/>
              </w:rPr>
              <w:t>7</w:t>
            </w:r>
            <w:r>
              <w:rPr>
                <w:rFonts w:ascii="Times New Roman" w:hAnsi="Times New Roman" w:eastAsia="Times New Roman"/>
                <w:w w:val="99"/>
                <w:sz w:val="21"/>
              </w:rPr>
              <w:t>-</w:t>
            </w:r>
            <w:r>
              <w:rPr>
                <w:rFonts w:ascii="Times New Roman" w:hAnsi="Times New Roman" w:eastAsia="Times New Roman"/>
                <w:spacing w:val="1"/>
                <w:w w:val="99"/>
                <w:sz w:val="21"/>
              </w:rPr>
              <w:t>95</w:t>
            </w:r>
            <w:r>
              <w:rPr>
                <w:rFonts w:ascii="Times New Roman" w:hAnsi="Times New Roman" w:eastAsia="Times New Roman"/>
                <w:spacing w:val="-1"/>
                <w:w w:val="99"/>
                <w:sz w:val="21"/>
              </w:rPr>
              <w:t>/</w:t>
            </w:r>
            <w:r>
              <w:rPr>
                <w:rFonts w:ascii="Times New Roman" w:hAnsi="Times New Roman" w:eastAsia="Times New Roman"/>
                <w:spacing w:val="1"/>
                <w:w w:val="99"/>
                <w:sz w:val="21"/>
              </w:rPr>
              <w:t>70</w:t>
            </w:r>
            <w:r>
              <w:rPr>
                <w:rFonts w:ascii="Times New Roman" w:hAnsi="Times New Roman" w:eastAsia="Times New Roman"/>
                <w:spacing w:val="-3"/>
                <w:w w:val="99"/>
                <w:sz w:val="21"/>
              </w:rPr>
              <w:t>-</w:t>
            </w:r>
            <w:r>
              <w:rPr>
                <w:rFonts w:ascii="Times New Roman" w:hAnsi="Times New Roman" w:eastAsia="Times New Roman"/>
                <w:spacing w:val="2"/>
                <w:w w:val="99"/>
                <w:sz w:val="21"/>
              </w:rPr>
              <w:t>A</w:t>
            </w:r>
            <w:r>
              <w:rPr>
                <w:spacing w:val="-25"/>
                <w:w w:val="99"/>
                <w:sz w:val="21"/>
              </w:rPr>
              <w:t>Ⅲ型锅炉</w:t>
            </w:r>
            <w:r>
              <w:rPr>
                <w:spacing w:val="-1"/>
                <w:w w:val="99"/>
                <w:sz w:val="21"/>
              </w:rPr>
              <w:t>（</w:t>
            </w:r>
            <w:r>
              <w:rPr>
                <w:spacing w:val="2"/>
                <w:w w:val="99"/>
                <w:sz w:val="21"/>
              </w:rPr>
              <w:t>冬季用</w:t>
            </w:r>
            <w:r>
              <w:rPr>
                <w:spacing w:val="-104"/>
                <w:w w:val="99"/>
                <w:sz w:val="21"/>
              </w:rPr>
              <w:t>），</w:t>
            </w:r>
            <w:r>
              <w:rPr>
                <w:rFonts w:ascii="Times New Roman" w:hAnsi="Times New Roman" w:eastAsia="Times New Roman"/>
                <w:w w:val="99"/>
                <w:sz w:val="21"/>
              </w:rPr>
              <w:t>1</w:t>
            </w:r>
            <w:r>
              <w:rPr>
                <w:rFonts w:ascii="Times New Roman" w:hAnsi="Times New Roman" w:eastAsia="Times New Roman"/>
                <w:spacing w:val="-23"/>
                <w:sz w:val="21"/>
              </w:rPr>
              <w:t> </w:t>
            </w:r>
            <w:r>
              <w:rPr>
                <w:spacing w:val="31"/>
                <w:w w:val="99"/>
                <w:sz w:val="21"/>
              </w:rPr>
              <w:t>台</w:t>
            </w:r>
            <w:r>
              <w:rPr>
                <w:rFonts w:ascii="Times New Roman" w:hAnsi="Times New Roman" w:eastAsia="Times New Roman"/>
                <w:w w:val="99"/>
                <w:sz w:val="21"/>
              </w:rPr>
              <w:t>D</w:t>
            </w:r>
            <w:r>
              <w:rPr>
                <w:rFonts w:ascii="Times New Roman" w:hAnsi="Times New Roman" w:eastAsia="Times New Roman"/>
                <w:spacing w:val="-1"/>
                <w:w w:val="99"/>
                <w:sz w:val="21"/>
              </w:rPr>
              <w:t>ZL</w:t>
            </w:r>
            <w:r>
              <w:rPr>
                <w:rFonts w:ascii="Times New Roman" w:hAnsi="Times New Roman" w:eastAsia="Times New Roman"/>
                <w:spacing w:val="1"/>
                <w:w w:val="99"/>
                <w:sz w:val="21"/>
              </w:rPr>
              <w:t>0</w:t>
            </w:r>
            <w:r>
              <w:rPr>
                <w:rFonts w:ascii="Times New Roman" w:hAnsi="Times New Roman" w:eastAsia="Times New Roman"/>
                <w:w w:val="99"/>
                <w:sz w:val="21"/>
              </w:rPr>
              <w:t>.</w:t>
            </w:r>
            <w:r>
              <w:rPr>
                <w:rFonts w:ascii="Times New Roman" w:hAnsi="Times New Roman" w:eastAsia="Times New Roman"/>
                <w:spacing w:val="1"/>
                <w:w w:val="99"/>
                <w:sz w:val="21"/>
              </w:rPr>
              <w:t>35</w:t>
            </w:r>
            <w:r>
              <w:rPr>
                <w:rFonts w:ascii="Times New Roman" w:hAnsi="Times New Roman" w:eastAsia="Times New Roman"/>
                <w:w w:val="99"/>
                <w:sz w:val="21"/>
              </w:rPr>
              <w:t>-</w:t>
            </w:r>
            <w:r>
              <w:rPr>
                <w:rFonts w:ascii="Times New Roman" w:hAnsi="Times New Roman" w:eastAsia="Times New Roman"/>
                <w:spacing w:val="1"/>
                <w:w w:val="99"/>
                <w:sz w:val="21"/>
              </w:rPr>
              <w:t>95</w:t>
            </w:r>
            <w:r>
              <w:rPr>
                <w:rFonts w:ascii="Times New Roman" w:hAnsi="Times New Roman" w:eastAsia="Times New Roman"/>
                <w:spacing w:val="-1"/>
                <w:w w:val="99"/>
                <w:sz w:val="21"/>
              </w:rPr>
              <w:t>/</w:t>
            </w:r>
            <w:r>
              <w:rPr>
                <w:rFonts w:ascii="Times New Roman" w:hAnsi="Times New Roman" w:eastAsia="Times New Roman"/>
                <w:spacing w:val="1"/>
                <w:w w:val="99"/>
                <w:sz w:val="21"/>
              </w:rPr>
              <w:t>70</w:t>
            </w:r>
            <w:r>
              <w:rPr>
                <w:rFonts w:ascii="Times New Roman" w:hAnsi="Times New Roman" w:eastAsia="Times New Roman"/>
                <w:spacing w:val="-3"/>
                <w:w w:val="99"/>
                <w:sz w:val="21"/>
              </w:rPr>
              <w:t>-</w:t>
            </w:r>
            <w:r>
              <w:rPr>
                <w:rFonts w:ascii="Times New Roman" w:hAnsi="Times New Roman" w:eastAsia="Times New Roman"/>
                <w:spacing w:val="5"/>
                <w:w w:val="99"/>
                <w:sz w:val="21"/>
              </w:rPr>
              <w:t>A</w:t>
            </w:r>
            <w:r>
              <w:rPr>
                <w:w w:val="99"/>
                <w:sz w:val="21"/>
              </w:rPr>
              <w:t>Ⅲ</w:t>
            </w:r>
            <w:r>
              <w:rPr>
                <w:sz w:val="21"/>
              </w:rPr>
              <w:t>型锅炉（夏季用），</w:t>
            </w:r>
            <w:r>
              <w:rPr>
                <w:spacing w:val="-10"/>
                <w:sz w:val="21"/>
              </w:rPr>
              <w:t>烟囱高度为 </w:t>
            </w:r>
            <w:r>
              <w:rPr>
                <w:rFonts w:ascii="Times New Roman" w:hAnsi="Times New Roman" w:eastAsia="Times New Roman"/>
                <w:sz w:val="21"/>
              </w:rPr>
              <w:t>25m</w:t>
            </w:r>
            <w:r>
              <w:rPr>
                <w:spacing w:val="-12"/>
                <w:sz w:val="21"/>
              </w:rPr>
              <w:t>，内径为 </w:t>
            </w:r>
            <w:r>
              <w:rPr>
                <w:rFonts w:ascii="Times New Roman" w:hAnsi="Times New Roman" w:eastAsia="Times New Roman"/>
                <w:sz w:val="21"/>
              </w:rPr>
              <w:t>0.8m</w:t>
            </w:r>
            <w:r>
              <w:rPr>
                <w:sz w:val="21"/>
              </w:rPr>
              <w:t>。配套多管除尘器。</w:t>
            </w:r>
          </w:p>
        </w:tc>
      </w:tr>
      <w:tr>
        <w:trPr>
          <w:trHeight w:val="698"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7"/>
              <w:jc w:val="left"/>
              <w:rPr>
                <w:b/>
                <w:sz w:val="16"/>
              </w:rPr>
            </w:pPr>
          </w:p>
          <w:p>
            <w:pPr>
              <w:pStyle w:val="TableParagraph"/>
              <w:ind w:left="448"/>
              <w:jc w:val="left"/>
              <w:rPr>
                <w:sz w:val="21"/>
              </w:rPr>
            </w:pPr>
            <w:r>
              <w:rPr>
                <w:sz w:val="21"/>
              </w:rPr>
              <w:t>副井井筒锅炉房</w:t>
            </w:r>
          </w:p>
        </w:tc>
        <w:tc>
          <w:tcPr>
            <w:tcW w:w="5945" w:type="dxa"/>
          </w:tcPr>
          <w:p>
            <w:pPr>
              <w:pStyle w:val="TableParagraph"/>
              <w:spacing w:line="242" w:lineRule="auto" w:before="77"/>
              <w:ind w:left="106" w:right="94"/>
              <w:jc w:val="left"/>
              <w:rPr>
                <w:sz w:val="21"/>
              </w:rPr>
            </w:pPr>
            <w:r>
              <w:rPr>
                <w:rFonts w:ascii="Times New Roman" w:eastAsia="Times New Roman"/>
                <w:sz w:val="21"/>
              </w:rPr>
              <w:t>1WRFZ2.1 </w:t>
            </w:r>
            <w:r>
              <w:rPr>
                <w:sz w:val="21"/>
              </w:rPr>
              <w:t>型热风炉，配套多管除尘器，烟囱高度 </w:t>
            </w:r>
            <w:r>
              <w:rPr>
                <w:rFonts w:ascii="Times New Roman" w:eastAsia="Times New Roman"/>
                <w:sz w:val="21"/>
              </w:rPr>
              <w:t>30m</w:t>
            </w:r>
            <w:r>
              <w:rPr>
                <w:sz w:val="21"/>
              </w:rPr>
              <w:t>，内径为 </w:t>
            </w:r>
            <w:r>
              <w:rPr>
                <w:rFonts w:ascii="Times New Roman" w:eastAsia="Times New Roman"/>
                <w:sz w:val="21"/>
              </w:rPr>
              <w:t>0.8m</w:t>
            </w:r>
            <w:r>
              <w:rPr>
                <w:sz w:val="21"/>
              </w:rPr>
              <w:t>。</w:t>
            </w:r>
          </w:p>
        </w:tc>
      </w:tr>
      <w:tr>
        <w:trPr>
          <w:trHeight w:val="697"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7"/>
              <w:jc w:val="left"/>
              <w:rPr>
                <w:b/>
                <w:sz w:val="16"/>
              </w:rPr>
            </w:pPr>
          </w:p>
          <w:p>
            <w:pPr>
              <w:pStyle w:val="TableParagraph"/>
              <w:ind w:left="659"/>
              <w:jc w:val="left"/>
              <w:rPr>
                <w:sz w:val="21"/>
              </w:rPr>
            </w:pPr>
            <w:r>
              <w:rPr>
                <w:sz w:val="21"/>
              </w:rPr>
              <w:t>临时排矸场</w:t>
            </w:r>
          </w:p>
        </w:tc>
        <w:tc>
          <w:tcPr>
            <w:tcW w:w="5945" w:type="dxa"/>
          </w:tcPr>
          <w:p>
            <w:pPr>
              <w:pStyle w:val="TableParagraph"/>
              <w:spacing w:before="7"/>
              <w:jc w:val="left"/>
              <w:rPr>
                <w:b/>
                <w:sz w:val="16"/>
              </w:rPr>
            </w:pPr>
          </w:p>
          <w:p>
            <w:pPr>
              <w:pStyle w:val="TableParagraph"/>
              <w:ind w:left="106"/>
              <w:jc w:val="left"/>
              <w:rPr>
                <w:sz w:val="21"/>
              </w:rPr>
            </w:pPr>
            <w:r>
              <w:rPr>
                <w:sz w:val="21"/>
              </w:rPr>
              <w:t>临时排矸场占地面积 </w:t>
            </w:r>
            <w:r>
              <w:rPr>
                <w:rFonts w:ascii="Times New Roman" w:eastAsia="Times New Roman"/>
                <w:sz w:val="21"/>
              </w:rPr>
              <w:t>0.1hm</w:t>
            </w:r>
            <w:r>
              <w:rPr>
                <w:rFonts w:ascii="Times New Roman" w:eastAsia="Times New Roman"/>
                <w:position w:val="7"/>
                <w:sz w:val="13"/>
              </w:rPr>
              <w:t>2</w:t>
            </w:r>
            <w:r>
              <w:rPr>
                <w:sz w:val="21"/>
              </w:rPr>
              <w:t>。</w:t>
            </w:r>
          </w:p>
        </w:tc>
      </w:tr>
      <w:tr>
        <w:trPr>
          <w:trHeight w:val="603" w:hRule="atLeast"/>
        </w:trPr>
        <w:tc>
          <w:tcPr>
            <w:tcW w:w="455" w:type="dxa"/>
            <w:vMerge/>
            <w:tcBorders>
              <w:top w:val="nil"/>
            </w:tcBorders>
          </w:tcPr>
          <w:p>
            <w:pPr>
              <w:rPr>
                <w:sz w:val="2"/>
                <w:szCs w:val="2"/>
              </w:rPr>
            </w:pPr>
          </w:p>
        </w:tc>
        <w:tc>
          <w:tcPr>
            <w:tcW w:w="455" w:type="dxa"/>
            <w:vMerge w:val="restart"/>
          </w:tcPr>
          <w:p>
            <w:pPr>
              <w:pStyle w:val="TableParagraph"/>
              <w:spacing w:line="266" w:lineRule="auto" w:before="29"/>
              <w:ind w:left="121" w:right="112"/>
              <w:jc w:val="both"/>
              <w:rPr>
                <w:sz w:val="21"/>
              </w:rPr>
            </w:pPr>
            <w:r>
              <w:rPr>
                <w:sz w:val="21"/>
              </w:rPr>
              <w:t>储运工</w:t>
            </w:r>
          </w:p>
          <w:p>
            <w:pPr>
              <w:pStyle w:val="TableParagraph"/>
              <w:spacing w:line="250" w:lineRule="exact" w:before="4"/>
              <w:ind w:left="121"/>
              <w:jc w:val="left"/>
              <w:rPr>
                <w:sz w:val="21"/>
              </w:rPr>
            </w:pPr>
            <w:r>
              <w:rPr>
                <w:w w:val="99"/>
                <w:sz w:val="21"/>
              </w:rPr>
              <w:t>程</w:t>
            </w:r>
          </w:p>
        </w:tc>
        <w:tc>
          <w:tcPr>
            <w:tcW w:w="2370" w:type="dxa"/>
            <w:gridSpan w:val="2"/>
          </w:tcPr>
          <w:p>
            <w:pPr>
              <w:pStyle w:val="TableParagraph"/>
              <w:spacing w:before="166"/>
              <w:ind w:left="322" w:right="316"/>
              <w:rPr>
                <w:sz w:val="21"/>
              </w:rPr>
            </w:pPr>
            <w:r>
              <w:rPr>
                <w:sz w:val="21"/>
              </w:rPr>
              <w:t>储煤场</w:t>
            </w:r>
          </w:p>
        </w:tc>
        <w:tc>
          <w:tcPr>
            <w:tcW w:w="5945" w:type="dxa"/>
          </w:tcPr>
          <w:p>
            <w:pPr>
              <w:pStyle w:val="TableParagraph"/>
              <w:spacing w:line="244" w:lineRule="auto" w:before="29"/>
              <w:ind w:left="106" w:right="94"/>
              <w:jc w:val="left"/>
              <w:rPr>
                <w:sz w:val="21"/>
              </w:rPr>
            </w:pPr>
            <w:r>
              <w:rPr>
                <w:rFonts w:ascii="Times New Roman" w:eastAsia="Times New Roman"/>
                <w:sz w:val="21"/>
              </w:rPr>
              <w:t>1 </w:t>
            </w:r>
            <w:r>
              <w:rPr>
                <w:spacing w:val="-6"/>
                <w:sz w:val="21"/>
              </w:rPr>
              <w:t>座临时储煤场，占地面积 </w:t>
            </w:r>
            <w:r>
              <w:rPr>
                <w:rFonts w:ascii="Times New Roman" w:eastAsia="Times New Roman"/>
                <w:sz w:val="21"/>
              </w:rPr>
              <w:t>0.2hm</w:t>
            </w:r>
            <w:r>
              <w:rPr>
                <w:rFonts w:ascii="Times New Roman" w:eastAsia="Times New Roman"/>
                <w:position w:val="7"/>
                <w:sz w:val="13"/>
              </w:rPr>
              <w:t>2</w:t>
            </w:r>
            <w:r>
              <w:rPr>
                <w:spacing w:val="-12"/>
                <w:sz w:val="21"/>
              </w:rPr>
              <w:t>，总储量 </w:t>
            </w:r>
            <w:r>
              <w:rPr>
                <w:rFonts w:ascii="Times New Roman" w:eastAsia="Times New Roman"/>
                <w:sz w:val="21"/>
              </w:rPr>
              <w:t>5000 </w:t>
            </w:r>
            <w:r>
              <w:rPr>
                <w:spacing w:val="-2"/>
                <w:sz w:val="21"/>
              </w:rPr>
              <w:t>吨。储煤场周围建设防风抑尘网，将储煤场建成封闭储煤场。</w:t>
            </w:r>
          </w:p>
        </w:tc>
      </w:tr>
      <w:tr>
        <w:trPr>
          <w:trHeight w:val="586"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157"/>
              <w:ind w:left="322" w:right="316"/>
              <w:rPr>
                <w:sz w:val="21"/>
              </w:rPr>
            </w:pPr>
            <w:r>
              <w:rPr>
                <w:sz w:val="21"/>
              </w:rPr>
              <w:t>公路</w:t>
            </w:r>
          </w:p>
        </w:tc>
        <w:tc>
          <w:tcPr>
            <w:tcW w:w="5945" w:type="dxa"/>
          </w:tcPr>
          <w:p>
            <w:pPr>
              <w:pStyle w:val="TableParagraph"/>
              <w:spacing w:line="270" w:lineRule="atLeast" w:before="19"/>
              <w:ind w:left="106" w:right="97"/>
              <w:jc w:val="left"/>
              <w:rPr>
                <w:sz w:val="21"/>
              </w:rPr>
            </w:pPr>
            <w:r>
              <w:rPr>
                <w:sz w:val="21"/>
              </w:rPr>
              <w:t>双鸭山市通往岭东区公路从矿区的西侧通过，对公路至井口的简易砂石路进行硬化，长 </w:t>
            </w:r>
            <w:r>
              <w:rPr>
                <w:rFonts w:ascii="Times New Roman" w:eastAsia="Times New Roman"/>
                <w:sz w:val="21"/>
              </w:rPr>
              <w:t>2.5km</w:t>
            </w:r>
            <w:r>
              <w:rPr>
                <w:sz w:val="21"/>
              </w:rPr>
              <w:t>。</w:t>
            </w:r>
          </w:p>
        </w:tc>
      </w:tr>
      <w:tr>
        <w:trPr>
          <w:trHeight w:val="1090" w:hRule="atLeast"/>
        </w:trPr>
        <w:tc>
          <w:tcPr>
            <w:tcW w:w="455" w:type="dxa"/>
            <w:vMerge/>
            <w:tcBorders>
              <w:top w:val="nil"/>
            </w:tcBorders>
          </w:tcPr>
          <w:p>
            <w:pPr>
              <w:rPr>
                <w:sz w:val="2"/>
                <w:szCs w:val="2"/>
              </w:rPr>
            </w:pPr>
          </w:p>
        </w:tc>
        <w:tc>
          <w:tcPr>
            <w:tcW w:w="45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20"/>
              </w:rPr>
            </w:pPr>
          </w:p>
          <w:p>
            <w:pPr>
              <w:pStyle w:val="TableParagraph"/>
              <w:spacing w:line="266" w:lineRule="auto"/>
              <w:ind w:left="121" w:right="112"/>
              <w:jc w:val="both"/>
              <w:rPr>
                <w:sz w:val="21"/>
              </w:rPr>
            </w:pPr>
            <w:r>
              <w:rPr>
                <w:sz w:val="21"/>
              </w:rPr>
              <w:t>公用工程</w:t>
            </w:r>
          </w:p>
        </w:tc>
        <w:tc>
          <w:tcPr>
            <w:tcW w:w="2370" w:type="dxa"/>
            <w:gridSpan w:val="2"/>
          </w:tcPr>
          <w:p>
            <w:pPr>
              <w:pStyle w:val="TableParagraph"/>
              <w:jc w:val="left"/>
              <w:rPr>
                <w:b/>
                <w:sz w:val="20"/>
              </w:rPr>
            </w:pPr>
          </w:p>
          <w:p>
            <w:pPr>
              <w:pStyle w:val="TableParagraph"/>
              <w:spacing w:before="152"/>
              <w:ind w:left="322" w:right="316"/>
              <w:rPr>
                <w:sz w:val="21"/>
              </w:rPr>
            </w:pPr>
            <w:r>
              <w:rPr>
                <w:sz w:val="21"/>
              </w:rPr>
              <w:t>供电</w:t>
            </w:r>
          </w:p>
        </w:tc>
        <w:tc>
          <w:tcPr>
            <w:tcW w:w="5945" w:type="dxa"/>
          </w:tcPr>
          <w:p>
            <w:pPr>
              <w:pStyle w:val="TableParagraph"/>
              <w:spacing w:line="242" w:lineRule="auto"/>
              <w:ind w:left="106" w:right="70"/>
              <w:jc w:val="both"/>
              <w:rPr>
                <w:sz w:val="21"/>
              </w:rPr>
            </w:pPr>
            <w:r>
              <w:rPr>
                <w:sz w:val="21"/>
              </w:rPr>
              <w:t>该矿井采用双回路供电，一回路来自东九变电所甲线，电压等</w:t>
            </w:r>
            <w:r>
              <w:rPr>
                <w:spacing w:val="-20"/>
                <w:sz w:val="21"/>
              </w:rPr>
              <w:t>级为 </w:t>
            </w:r>
            <w:r>
              <w:rPr>
                <w:rFonts w:ascii="Times New Roman" w:eastAsia="Times New Roman"/>
                <w:sz w:val="21"/>
              </w:rPr>
              <w:t>10KV</w:t>
            </w:r>
            <w:r>
              <w:rPr>
                <w:spacing w:val="-3"/>
                <w:sz w:val="21"/>
              </w:rPr>
              <w:t>，另一路来自东四变电所乙线，电压等级为 </w:t>
            </w:r>
            <w:r>
              <w:rPr>
                <w:rFonts w:ascii="Times New Roman" w:eastAsia="Times New Roman"/>
                <w:sz w:val="21"/>
              </w:rPr>
              <w:t>10KV</w:t>
            </w:r>
            <w:r>
              <w:rPr>
                <w:sz w:val="21"/>
              </w:rPr>
              <w:t>， </w:t>
            </w:r>
            <w:r>
              <w:rPr>
                <w:spacing w:val="-19"/>
                <w:sz w:val="21"/>
              </w:rPr>
              <w:t>安设 </w:t>
            </w:r>
            <w:r>
              <w:rPr>
                <w:rFonts w:ascii="Times New Roman" w:eastAsia="Times New Roman"/>
                <w:sz w:val="21"/>
              </w:rPr>
              <w:t>S9-315/10KV/0.4 </w:t>
            </w:r>
            <w:r>
              <w:rPr>
                <w:spacing w:val="-11"/>
                <w:sz w:val="21"/>
              </w:rPr>
              <w:t>型变压器 </w:t>
            </w:r>
            <w:r>
              <w:rPr>
                <w:rFonts w:ascii="Times New Roman" w:eastAsia="Times New Roman"/>
                <w:sz w:val="21"/>
              </w:rPr>
              <w:t>2 </w:t>
            </w:r>
            <w:r>
              <w:rPr>
                <w:spacing w:val="-9"/>
                <w:sz w:val="21"/>
              </w:rPr>
              <w:t>台，供井下作业，入井电缆为</w:t>
            </w:r>
          </w:p>
          <w:p>
            <w:pPr>
              <w:pStyle w:val="TableParagraph"/>
              <w:spacing w:line="251" w:lineRule="exact" w:before="3"/>
              <w:ind w:left="106"/>
              <w:jc w:val="left"/>
              <w:rPr>
                <w:sz w:val="21"/>
              </w:rPr>
            </w:pPr>
            <w:r>
              <w:rPr>
                <w:rFonts w:ascii="Times New Roman" w:eastAsia="Times New Roman"/>
                <w:sz w:val="21"/>
              </w:rPr>
              <w:t>70mm</w:t>
            </w:r>
            <w:r>
              <w:rPr>
                <w:rFonts w:ascii="Times New Roman" w:eastAsia="Times New Roman"/>
                <w:position w:val="7"/>
                <w:sz w:val="13"/>
              </w:rPr>
              <w:t>2</w:t>
            </w:r>
            <w:r>
              <w:rPr>
                <w:sz w:val="21"/>
              </w:rPr>
              <w:t>，双回路电源入井。</w:t>
            </w:r>
          </w:p>
        </w:tc>
      </w:tr>
      <w:tr>
        <w:trPr>
          <w:trHeight w:val="545"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134"/>
              <w:ind w:left="765"/>
              <w:jc w:val="left"/>
              <w:rPr>
                <w:sz w:val="21"/>
              </w:rPr>
            </w:pPr>
            <w:r>
              <w:rPr>
                <w:sz w:val="21"/>
              </w:rPr>
              <w:t>供水水源</w:t>
            </w:r>
          </w:p>
        </w:tc>
        <w:tc>
          <w:tcPr>
            <w:tcW w:w="5945" w:type="dxa"/>
          </w:tcPr>
          <w:p>
            <w:pPr>
              <w:pStyle w:val="TableParagraph"/>
              <w:spacing w:line="269" w:lineRule="exact"/>
              <w:ind w:left="106"/>
              <w:jc w:val="left"/>
              <w:rPr>
                <w:sz w:val="21"/>
              </w:rPr>
            </w:pPr>
            <w:r>
              <w:rPr>
                <w:sz w:val="21"/>
              </w:rPr>
              <w:t>本矿井生活用水为水源井以及部分处理后回用的矿井涌水，生</w:t>
            </w:r>
          </w:p>
          <w:p>
            <w:pPr>
              <w:pStyle w:val="TableParagraph"/>
              <w:spacing w:line="252" w:lineRule="exact" w:before="4"/>
              <w:ind w:left="106"/>
              <w:jc w:val="left"/>
              <w:rPr>
                <w:sz w:val="21"/>
              </w:rPr>
            </w:pPr>
            <w:r>
              <w:rPr>
                <w:sz w:val="21"/>
              </w:rPr>
              <w:t>产用水为处理后回用的矿井涌水。</w:t>
            </w:r>
          </w:p>
        </w:tc>
      </w:tr>
      <w:tr>
        <w:trPr>
          <w:trHeight w:val="544"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135"/>
              <w:ind w:left="322" w:right="316"/>
              <w:rPr>
                <w:sz w:val="21"/>
              </w:rPr>
            </w:pPr>
            <w:r>
              <w:rPr>
                <w:sz w:val="21"/>
              </w:rPr>
              <w:t>通讯</w:t>
            </w:r>
          </w:p>
        </w:tc>
        <w:tc>
          <w:tcPr>
            <w:tcW w:w="5945" w:type="dxa"/>
          </w:tcPr>
          <w:p>
            <w:pPr>
              <w:pStyle w:val="TableParagraph"/>
              <w:spacing w:line="268" w:lineRule="exact"/>
              <w:ind w:left="106"/>
              <w:jc w:val="left"/>
              <w:rPr>
                <w:sz w:val="21"/>
              </w:rPr>
            </w:pPr>
            <w:r>
              <w:rPr>
                <w:sz w:val="21"/>
              </w:rPr>
              <w:t>本矿区通讯已接入中国网通、中国电信，矿区亦属中国移动和</w:t>
            </w:r>
          </w:p>
          <w:p>
            <w:pPr>
              <w:pStyle w:val="TableParagraph"/>
              <w:spacing w:line="251" w:lineRule="exact" w:before="4"/>
              <w:ind w:left="106"/>
              <w:jc w:val="left"/>
              <w:rPr>
                <w:sz w:val="21"/>
              </w:rPr>
            </w:pPr>
            <w:r>
              <w:rPr>
                <w:sz w:val="21"/>
              </w:rPr>
              <w:t>中国联通无线网络覆盖区。</w:t>
            </w:r>
          </w:p>
        </w:tc>
      </w:tr>
      <w:tr>
        <w:trPr>
          <w:trHeight w:val="607"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167"/>
              <w:ind w:left="765"/>
              <w:jc w:val="left"/>
              <w:rPr>
                <w:sz w:val="21"/>
              </w:rPr>
            </w:pPr>
            <w:r>
              <w:rPr>
                <w:sz w:val="21"/>
              </w:rPr>
              <w:t>排水线路</w:t>
            </w:r>
          </w:p>
        </w:tc>
        <w:tc>
          <w:tcPr>
            <w:tcW w:w="5945" w:type="dxa"/>
          </w:tcPr>
          <w:p>
            <w:pPr>
              <w:pStyle w:val="TableParagraph"/>
              <w:spacing w:line="242" w:lineRule="auto" w:before="33"/>
              <w:ind w:left="106" w:right="97"/>
              <w:jc w:val="left"/>
              <w:rPr>
                <w:sz w:val="21"/>
              </w:rPr>
            </w:pPr>
            <w:r>
              <w:rPr>
                <w:sz w:val="21"/>
              </w:rPr>
              <w:t>排水采用生产、生活污废水场外合流系统，污水处理后排至安邦河。</w:t>
            </w:r>
          </w:p>
        </w:tc>
      </w:tr>
      <w:tr>
        <w:trPr>
          <w:trHeight w:val="381"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gridSpan w:val="2"/>
          </w:tcPr>
          <w:p>
            <w:pPr>
              <w:pStyle w:val="TableParagraph"/>
              <w:spacing w:before="54"/>
              <w:ind w:left="448"/>
              <w:jc w:val="left"/>
              <w:rPr>
                <w:sz w:val="21"/>
              </w:rPr>
            </w:pPr>
            <w:r>
              <w:rPr>
                <w:sz w:val="21"/>
              </w:rPr>
              <w:t>行政与公共设施</w:t>
            </w:r>
          </w:p>
        </w:tc>
        <w:tc>
          <w:tcPr>
            <w:tcW w:w="5945" w:type="dxa"/>
          </w:tcPr>
          <w:p>
            <w:pPr>
              <w:pStyle w:val="TableParagraph"/>
              <w:spacing w:before="54"/>
              <w:ind w:left="106"/>
              <w:jc w:val="left"/>
              <w:rPr>
                <w:sz w:val="21"/>
              </w:rPr>
            </w:pPr>
            <w:r>
              <w:rPr>
                <w:sz w:val="21"/>
              </w:rPr>
              <w:t>办公楼、浴室、食堂、车库等场区设施等。</w:t>
            </w:r>
          </w:p>
        </w:tc>
      </w:tr>
      <w:tr>
        <w:trPr>
          <w:trHeight w:val="382" w:hRule="atLeast"/>
        </w:trPr>
        <w:tc>
          <w:tcPr>
            <w:tcW w:w="455" w:type="dxa"/>
            <w:vMerge w:val="restart"/>
          </w:tcPr>
          <w:p>
            <w:pPr>
              <w:pStyle w:val="TableParagraph"/>
              <w:spacing w:line="266" w:lineRule="auto" w:before="29"/>
              <w:ind w:left="122" w:right="111"/>
              <w:jc w:val="both"/>
              <w:rPr>
                <w:sz w:val="21"/>
              </w:rPr>
            </w:pPr>
            <w:r>
              <w:rPr>
                <w:sz w:val="21"/>
              </w:rPr>
              <w:t>源丰工</w:t>
            </w:r>
          </w:p>
          <w:p>
            <w:pPr>
              <w:pStyle w:val="TableParagraph"/>
              <w:spacing w:line="248" w:lineRule="exact" w:before="4"/>
              <w:ind w:left="122"/>
              <w:jc w:val="left"/>
              <w:rPr>
                <w:sz w:val="21"/>
              </w:rPr>
            </w:pPr>
            <w:r>
              <w:rPr>
                <w:w w:val="99"/>
                <w:sz w:val="21"/>
              </w:rPr>
              <w:t>业</w:t>
            </w:r>
          </w:p>
        </w:tc>
        <w:tc>
          <w:tcPr>
            <w:tcW w:w="455" w:type="dxa"/>
            <w:vMerge w:val="restart"/>
          </w:tcPr>
          <w:p>
            <w:pPr>
              <w:pStyle w:val="TableParagraph"/>
              <w:spacing w:line="266" w:lineRule="auto" w:before="29"/>
              <w:ind w:left="121" w:right="112"/>
              <w:jc w:val="both"/>
              <w:rPr>
                <w:sz w:val="21"/>
              </w:rPr>
            </w:pPr>
            <w:r>
              <w:rPr>
                <w:sz w:val="21"/>
              </w:rPr>
              <w:t>主体工</w:t>
            </w:r>
          </w:p>
          <w:p>
            <w:pPr>
              <w:pStyle w:val="TableParagraph"/>
              <w:spacing w:line="248" w:lineRule="exact" w:before="4"/>
              <w:ind w:left="121"/>
              <w:jc w:val="left"/>
              <w:rPr>
                <w:sz w:val="21"/>
              </w:rPr>
            </w:pPr>
            <w:r>
              <w:rPr>
                <w:w w:val="99"/>
                <w:sz w:val="21"/>
              </w:rPr>
              <w:t>程</w:t>
            </w:r>
          </w:p>
        </w:tc>
        <w:tc>
          <w:tcPr>
            <w:tcW w:w="529" w:type="dxa"/>
            <w:vMerge w:val="restart"/>
          </w:tcPr>
          <w:p>
            <w:pPr>
              <w:pStyle w:val="TableParagraph"/>
              <w:spacing w:line="266" w:lineRule="auto" w:before="29"/>
              <w:ind w:left="160" w:right="147"/>
              <w:jc w:val="both"/>
              <w:rPr>
                <w:sz w:val="21"/>
              </w:rPr>
            </w:pPr>
            <w:r>
              <w:rPr>
                <w:sz w:val="21"/>
              </w:rPr>
              <w:t>矿井工</w:t>
            </w:r>
          </w:p>
          <w:p>
            <w:pPr>
              <w:pStyle w:val="TableParagraph"/>
              <w:spacing w:line="248" w:lineRule="exact" w:before="4"/>
              <w:ind w:left="160"/>
              <w:jc w:val="left"/>
              <w:rPr>
                <w:sz w:val="21"/>
              </w:rPr>
            </w:pPr>
            <w:r>
              <w:rPr>
                <w:w w:val="99"/>
                <w:sz w:val="21"/>
              </w:rPr>
              <w:t>程</w:t>
            </w:r>
          </w:p>
        </w:tc>
        <w:tc>
          <w:tcPr>
            <w:tcW w:w="1841" w:type="dxa"/>
          </w:tcPr>
          <w:p>
            <w:pPr>
              <w:pStyle w:val="TableParagraph"/>
              <w:spacing w:before="70"/>
              <w:ind w:left="147" w:right="158"/>
              <w:rPr>
                <w:sz w:val="21"/>
              </w:rPr>
            </w:pPr>
            <w:r>
              <w:rPr>
                <w:sz w:val="21"/>
              </w:rPr>
              <w:t>主井</w:t>
            </w:r>
          </w:p>
        </w:tc>
        <w:tc>
          <w:tcPr>
            <w:tcW w:w="5945" w:type="dxa"/>
          </w:tcPr>
          <w:p>
            <w:pPr>
              <w:pStyle w:val="TableParagraph"/>
              <w:spacing w:before="70"/>
              <w:ind w:left="106"/>
              <w:jc w:val="left"/>
              <w:rPr>
                <w:sz w:val="21"/>
              </w:rPr>
            </w:pPr>
            <w:r>
              <w:rPr>
                <w:sz w:val="21"/>
              </w:rPr>
              <w:t>标高 </w:t>
            </w:r>
            <w:r>
              <w:rPr>
                <w:rFonts w:ascii="Times New Roman" w:hAnsi="Times New Roman" w:eastAsia="Times New Roman"/>
                <w:sz w:val="21"/>
              </w:rPr>
              <w:t>216.30 </w:t>
            </w:r>
            <w:r>
              <w:rPr>
                <w:sz w:val="21"/>
              </w:rPr>
              <w:t>米，沿北东方向，坡度 </w:t>
            </w:r>
            <w:r>
              <w:rPr>
                <w:rFonts w:ascii="Times New Roman" w:hAnsi="Times New Roman" w:eastAsia="Times New Roman"/>
                <w:sz w:val="21"/>
              </w:rPr>
              <w:t>23</w:t>
            </w:r>
            <w:r>
              <w:rPr>
                <w:sz w:val="21"/>
              </w:rPr>
              <w:t>°，斜长 </w:t>
            </w:r>
            <w:r>
              <w:rPr>
                <w:rFonts w:ascii="Times New Roman" w:hAnsi="Times New Roman" w:eastAsia="Times New Roman"/>
                <w:sz w:val="21"/>
              </w:rPr>
              <w:t>858 </w:t>
            </w:r>
            <w:r>
              <w:rPr>
                <w:sz w:val="21"/>
              </w:rPr>
              <w:t>米</w:t>
            </w:r>
          </w:p>
        </w:tc>
      </w:tr>
      <w:tr>
        <w:trPr>
          <w:trHeight w:val="806"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529" w:type="dxa"/>
            <w:vMerge/>
            <w:tcBorders>
              <w:top w:val="nil"/>
            </w:tcBorders>
          </w:tcPr>
          <w:p>
            <w:pPr>
              <w:rPr>
                <w:sz w:val="2"/>
                <w:szCs w:val="2"/>
              </w:rPr>
            </w:pPr>
          </w:p>
        </w:tc>
        <w:tc>
          <w:tcPr>
            <w:tcW w:w="1841" w:type="dxa"/>
          </w:tcPr>
          <w:p>
            <w:pPr>
              <w:pStyle w:val="TableParagraph"/>
              <w:spacing w:before="1"/>
              <w:jc w:val="left"/>
              <w:rPr>
                <w:b/>
                <w:sz w:val="22"/>
              </w:rPr>
            </w:pPr>
          </w:p>
          <w:p>
            <w:pPr>
              <w:pStyle w:val="TableParagraph"/>
              <w:ind w:left="147" w:right="158"/>
              <w:rPr>
                <w:sz w:val="21"/>
              </w:rPr>
            </w:pPr>
            <w:r>
              <w:rPr>
                <w:sz w:val="21"/>
              </w:rPr>
              <w:t>风井</w:t>
            </w:r>
          </w:p>
        </w:tc>
        <w:tc>
          <w:tcPr>
            <w:tcW w:w="5945" w:type="dxa"/>
          </w:tcPr>
          <w:p>
            <w:pPr>
              <w:pStyle w:val="TableParagraph"/>
              <w:spacing w:before="12"/>
              <w:jc w:val="left"/>
              <w:rPr>
                <w:b/>
                <w:sz w:val="20"/>
              </w:rPr>
            </w:pPr>
          </w:p>
          <w:p>
            <w:pPr>
              <w:pStyle w:val="TableParagraph"/>
              <w:ind w:left="106"/>
              <w:jc w:val="left"/>
              <w:rPr>
                <w:sz w:val="21"/>
              </w:rPr>
            </w:pPr>
            <w:r>
              <w:rPr>
                <w:sz w:val="21"/>
              </w:rPr>
              <w:t>标高 </w:t>
            </w:r>
            <w:r>
              <w:rPr>
                <w:rFonts w:ascii="Times New Roman" w:hAnsi="Times New Roman" w:eastAsia="Times New Roman"/>
                <w:sz w:val="21"/>
              </w:rPr>
              <w:t>214.22 </w:t>
            </w:r>
            <w:r>
              <w:rPr>
                <w:sz w:val="21"/>
              </w:rPr>
              <w:t>米，沿北东方向，坡度</w:t>
            </w:r>
            <w:r>
              <w:rPr>
                <w:rFonts w:ascii="Times New Roman" w:hAnsi="Times New Roman" w:eastAsia="Times New Roman"/>
                <w:sz w:val="21"/>
              </w:rPr>
              <w:t>-4°</w:t>
            </w:r>
            <w:r>
              <w:rPr>
                <w:sz w:val="21"/>
              </w:rPr>
              <w:t>，斜长 </w:t>
            </w:r>
            <w:r>
              <w:rPr>
                <w:rFonts w:ascii="Times New Roman" w:hAnsi="Times New Roman" w:eastAsia="Times New Roman"/>
                <w:sz w:val="21"/>
              </w:rPr>
              <w:t>826 </w:t>
            </w:r>
            <w:r>
              <w:rPr>
                <w:sz w:val="21"/>
              </w:rPr>
              <w:t>米</w:t>
            </w:r>
          </w:p>
        </w:tc>
      </w:tr>
    </w:tbl>
    <w:p>
      <w:pPr>
        <w:spacing w:after="0"/>
        <w:jc w:val="left"/>
        <w:rPr>
          <w:sz w:val="21"/>
        </w:rPr>
        <w:sectPr>
          <w:pgSz w:w="11910" w:h="16840"/>
          <w:pgMar w:header="0" w:footer="913" w:top="1360" w:bottom="1180" w:left="940" w:right="940"/>
        </w:sect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
        <w:gridCol w:w="455"/>
        <w:gridCol w:w="2370"/>
        <w:gridCol w:w="5945"/>
      </w:tblGrid>
      <w:tr>
        <w:trPr>
          <w:trHeight w:val="600" w:hRule="atLeast"/>
        </w:trPr>
        <w:tc>
          <w:tcPr>
            <w:tcW w:w="455" w:type="dxa"/>
            <w:vMerge w:val="restart"/>
          </w:tcPr>
          <w:p>
            <w:pPr>
              <w:pStyle w:val="TableParagraph"/>
              <w:spacing w:line="266" w:lineRule="auto" w:before="31"/>
              <w:ind w:left="122" w:right="111"/>
              <w:jc w:val="left"/>
              <w:rPr>
                <w:sz w:val="21"/>
              </w:rPr>
            </w:pPr>
            <w:r>
              <w:rPr>
                <w:sz w:val="21"/>
              </w:rPr>
              <w:t>广场</w:t>
            </w:r>
          </w:p>
        </w:tc>
        <w:tc>
          <w:tcPr>
            <w:tcW w:w="455" w:type="dxa"/>
            <w:vMerge w:val="restart"/>
          </w:tcPr>
          <w:p>
            <w:pPr>
              <w:pStyle w:val="TableParagraph"/>
              <w:spacing w:line="300" w:lineRule="atLeast"/>
              <w:ind w:left="121" w:right="112"/>
              <w:jc w:val="both"/>
              <w:rPr>
                <w:sz w:val="21"/>
              </w:rPr>
            </w:pPr>
            <w:r>
              <w:rPr>
                <w:sz w:val="21"/>
              </w:rPr>
              <w:t>辅助生产系统</w:t>
            </w:r>
          </w:p>
        </w:tc>
        <w:tc>
          <w:tcPr>
            <w:tcW w:w="2370" w:type="dxa"/>
          </w:tcPr>
          <w:p>
            <w:pPr>
              <w:pStyle w:val="TableParagraph"/>
              <w:spacing w:before="180"/>
              <w:ind w:left="322" w:right="316"/>
              <w:rPr>
                <w:sz w:val="21"/>
              </w:rPr>
            </w:pPr>
            <w:r>
              <w:rPr>
                <w:sz w:val="21"/>
              </w:rPr>
              <w:t>矿井辅助设施</w:t>
            </w:r>
          </w:p>
        </w:tc>
        <w:tc>
          <w:tcPr>
            <w:tcW w:w="5945" w:type="dxa"/>
          </w:tcPr>
          <w:p>
            <w:pPr>
              <w:pStyle w:val="TableParagraph"/>
              <w:spacing w:line="300" w:lineRule="atLeast"/>
              <w:ind w:left="106" w:right="-15"/>
              <w:jc w:val="left"/>
              <w:rPr>
                <w:sz w:val="21"/>
              </w:rPr>
            </w:pPr>
            <w:r>
              <w:rPr>
                <w:spacing w:val="-5"/>
                <w:sz w:val="21"/>
              </w:rPr>
              <w:t>空压机站、日用消防水泵房、设备材料库、修理车间、器材库、器材棚、油脂库、木材加工房、变电所等辅助生产设施。</w:t>
            </w:r>
          </w:p>
        </w:tc>
      </w:tr>
      <w:tr>
        <w:trPr>
          <w:trHeight w:val="60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165"/>
              <w:ind w:left="324" w:right="316"/>
              <w:rPr>
                <w:sz w:val="21"/>
              </w:rPr>
            </w:pPr>
            <w:r>
              <w:rPr>
                <w:sz w:val="21"/>
              </w:rPr>
              <w:t>采暖、洗浴锅炉房</w:t>
            </w:r>
          </w:p>
        </w:tc>
        <w:tc>
          <w:tcPr>
            <w:tcW w:w="5945" w:type="dxa"/>
          </w:tcPr>
          <w:p>
            <w:pPr>
              <w:pStyle w:val="TableParagraph"/>
              <w:spacing w:line="300" w:lineRule="atLeast"/>
              <w:ind w:left="106" w:right="90"/>
              <w:jc w:val="left"/>
              <w:rPr>
                <w:sz w:val="21"/>
              </w:rPr>
            </w:pPr>
            <w:r>
              <w:rPr>
                <w:rFonts w:ascii="Times New Roman" w:eastAsia="Times New Roman"/>
                <w:sz w:val="21"/>
              </w:rPr>
              <w:t>1 </w:t>
            </w:r>
            <w:r>
              <w:rPr>
                <w:spacing w:val="-25"/>
                <w:sz w:val="21"/>
              </w:rPr>
              <w:t>台 </w:t>
            </w:r>
            <w:r>
              <w:rPr>
                <w:rFonts w:ascii="Times New Roman" w:eastAsia="Times New Roman"/>
                <w:sz w:val="21"/>
              </w:rPr>
              <w:t>0.7MW </w:t>
            </w:r>
            <w:r>
              <w:rPr>
                <w:sz w:val="21"/>
              </w:rPr>
              <w:t>锅炉，</w:t>
            </w:r>
            <w:r>
              <w:rPr>
                <w:rFonts w:ascii="Times New Roman" w:eastAsia="Times New Roman"/>
                <w:sz w:val="21"/>
              </w:rPr>
              <w:t>1 </w:t>
            </w:r>
            <w:r>
              <w:rPr>
                <w:spacing w:val="-26"/>
                <w:sz w:val="21"/>
              </w:rPr>
              <w:t>台 </w:t>
            </w:r>
            <w:r>
              <w:rPr>
                <w:rFonts w:ascii="Times New Roman" w:eastAsia="Times New Roman"/>
                <w:sz w:val="21"/>
              </w:rPr>
              <w:t>0.35MW </w:t>
            </w:r>
            <w:r>
              <w:rPr>
                <w:spacing w:val="-6"/>
                <w:sz w:val="21"/>
              </w:rPr>
              <w:t>锅炉，烟囱高度为 </w:t>
            </w:r>
            <w:r>
              <w:rPr>
                <w:rFonts w:ascii="Times New Roman" w:eastAsia="Times New Roman"/>
                <w:sz w:val="21"/>
              </w:rPr>
              <w:t>25m</w:t>
            </w:r>
            <w:r>
              <w:rPr>
                <w:sz w:val="21"/>
              </w:rPr>
              <w:t>，内径</w:t>
            </w:r>
            <w:r>
              <w:rPr>
                <w:spacing w:val="-26"/>
                <w:sz w:val="21"/>
              </w:rPr>
              <w:t>为 </w:t>
            </w:r>
            <w:r>
              <w:rPr>
                <w:rFonts w:ascii="Times New Roman" w:eastAsia="Times New Roman"/>
                <w:sz w:val="21"/>
              </w:rPr>
              <w:t>0.8m</w:t>
            </w:r>
            <w:r>
              <w:rPr>
                <w:sz w:val="21"/>
              </w:rPr>
              <w:t>。无除尘设施。</w:t>
            </w:r>
          </w:p>
        </w:tc>
      </w:tr>
      <w:tr>
        <w:trPr>
          <w:trHeight w:val="58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169"/>
              <w:ind w:left="324" w:right="316"/>
              <w:rPr>
                <w:sz w:val="21"/>
              </w:rPr>
            </w:pPr>
            <w:r>
              <w:rPr>
                <w:sz w:val="21"/>
              </w:rPr>
              <w:t>热风炉房</w:t>
            </w:r>
          </w:p>
        </w:tc>
        <w:tc>
          <w:tcPr>
            <w:tcW w:w="5945" w:type="dxa"/>
          </w:tcPr>
          <w:p>
            <w:pPr>
              <w:pStyle w:val="TableParagraph"/>
              <w:spacing w:before="169"/>
              <w:ind w:left="106" w:right="-15"/>
              <w:jc w:val="left"/>
              <w:rPr>
                <w:sz w:val="21"/>
              </w:rPr>
            </w:pPr>
            <w:r>
              <w:rPr>
                <w:rFonts w:ascii="Times New Roman" w:eastAsia="Times New Roman"/>
                <w:sz w:val="21"/>
              </w:rPr>
              <w:t>1</w:t>
            </w:r>
            <w:r>
              <w:rPr>
                <w:rFonts w:ascii="Times New Roman" w:eastAsia="Times New Roman"/>
                <w:spacing w:val="-3"/>
                <w:sz w:val="21"/>
              </w:rPr>
              <w:t> </w:t>
            </w:r>
            <w:r>
              <w:rPr>
                <w:spacing w:val="-28"/>
                <w:sz w:val="21"/>
              </w:rPr>
              <w:t>台 </w:t>
            </w:r>
            <w:r>
              <w:rPr>
                <w:rFonts w:ascii="Times New Roman" w:eastAsia="Times New Roman"/>
                <w:sz w:val="21"/>
              </w:rPr>
              <w:t>2.1MW</w:t>
            </w:r>
            <w:r>
              <w:rPr>
                <w:rFonts w:ascii="Times New Roman" w:eastAsia="Times New Roman"/>
                <w:spacing w:val="-2"/>
                <w:sz w:val="21"/>
              </w:rPr>
              <w:t> </w:t>
            </w:r>
            <w:r>
              <w:rPr>
                <w:spacing w:val="-13"/>
                <w:sz w:val="21"/>
              </w:rPr>
              <w:t>热风炉，烟囱高度 </w:t>
            </w:r>
            <w:r>
              <w:rPr>
                <w:rFonts w:ascii="Times New Roman" w:eastAsia="Times New Roman"/>
                <w:spacing w:val="-15"/>
                <w:sz w:val="21"/>
              </w:rPr>
              <w:t>15m</w:t>
            </w:r>
            <w:r>
              <w:rPr>
                <w:spacing w:val="-16"/>
                <w:sz w:val="21"/>
              </w:rPr>
              <w:t>，内径为 </w:t>
            </w:r>
            <w:r>
              <w:rPr>
                <w:rFonts w:ascii="Times New Roman" w:eastAsia="Times New Roman"/>
                <w:sz w:val="21"/>
              </w:rPr>
              <w:t>0.6m</w:t>
            </w:r>
            <w:r>
              <w:rPr>
                <w:spacing w:val="-10"/>
                <w:sz w:val="21"/>
              </w:rPr>
              <w:t>。无除尘设施。</w:t>
            </w:r>
          </w:p>
        </w:tc>
      </w:tr>
      <w:tr>
        <w:trPr>
          <w:trHeight w:val="600" w:hRule="atLeast"/>
        </w:trPr>
        <w:tc>
          <w:tcPr>
            <w:tcW w:w="455" w:type="dxa"/>
            <w:vMerge/>
            <w:tcBorders>
              <w:top w:val="nil"/>
            </w:tcBorders>
          </w:tcPr>
          <w:p>
            <w:pPr>
              <w:rPr>
                <w:sz w:val="2"/>
                <w:szCs w:val="2"/>
              </w:rPr>
            </w:pPr>
          </w:p>
        </w:tc>
        <w:tc>
          <w:tcPr>
            <w:tcW w:w="455" w:type="dxa"/>
            <w:vMerge w:val="restart"/>
          </w:tcPr>
          <w:p>
            <w:pPr>
              <w:pStyle w:val="TableParagraph"/>
              <w:spacing w:line="300" w:lineRule="atLeast"/>
              <w:ind w:left="121" w:right="112"/>
              <w:jc w:val="both"/>
              <w:rPr>
                <w:sz w:val="21"/>
              </w:rPr>
            </w:pPr>
            <w:r>
              <w:rPr>
                <w:sz w:val="21"/>
              </w:rPr>
              <w:t>储运工程</w:t>
            </w:r>
          </w:p>
        </w:tc>
        <w:tc>
          <w:tcPr>
            <w:tcW w:w="2370" w:type="dxa"/>
          </w:tcPr>
          <w:p>
            <w:pPr>
              <w:pStyle w:val="TableParagraph"/>
              <w:spacing w:before="179"/>
              <w:ind w:left="322" w:right="316"/>
              <w:rPr>
                <w:sz w:val="21"/>
              </w:rPr>
            </w:pPr>
            <w:r>
              <w:rPr>
                <w:sz w:val="21"/>
              </w:rPr>
              <w:t>公路</w:t>
            </w:r>
          </w:p>
        </w:tc>
        <w:tc>
          <w:tcPr>
            <w:tcW w:w="5945" w:type="dxa"/>
          </w:tcPr>
          <w:p>
            <w:pPr>
              <w:pStyle w:val="TableParagraph"/>
              <w:spacing w:line="300" w:lineRule="atLeast"/>
              <w:ind w:left="106" w:right="97"/>
              <w:jc w:val="left"/>
              <w:rPr>
                <w:sz w:val="21"/>
              </w:rPr>
            </w:pPr>
            <w:r>
              <w:rPr>
                <w:sz w:val="21"/>
              </w:rPr>
              <w:t>矿区至高等级公路有简易砂石路连接，路面标准满足生产运输的需要。</w:t>
            </w:r>
          </w:p>
        </w:tc>
      </w:tr>
      <w:tr>
        <w:trPr>
          <w:trHeight w:val="59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174"/>
              <w:ind w:left="322" w:right="316"/>
              <w:rPr>
                <w:sz w:val="21"/>
              </w:rPr>
            </w:pPr>
            <w:r>
              <w:rPr>
                <w:sz w:val="21"/>
              </w:rPr>
              <w:t>储煤场</w:t>
            </w:r>
          </w:p>
        </w:tc>
        <w:tc>
          <w:tcPr>
            <w:tcW w:w="5945" w:type="dxa"/>
          </w:tcPr>
          <w:p>
            <w:pPr>
              <w:pStyle w:val="TableParagraph"/>
              <w:spacing w:before="174"/>
              <w:ind w:left="106"/>
              <w:jc w:val="left"/>
              <w:rPr>
                <w:sz w:val="21"/>
              </w:rPr>
            </w:pPr>
            <w:r>
              <w:rPr>
                <w:sz w:val="21"/>
              </w:rPr>
              <w:t>露天储煤场。</w:t>
            </w:r>
          </w:p>
        </w:tc>
      </w:tr>
      <w:tr>
        <w:trPr>
          <w:trHeight w:val="1200" w:hRule="atLeast"/>
        </w:trPr>
        <w:tc>
          <w:tcPr>
            <w:tcW w:w="455" w:type="dxa"/>
            <w:vMerge/>
            <w:tcBorders>
              <w:top w:val="nil"/>
            </w:tcBorders>
          </w:tcPr>
          <w:p>
            <w:pPr>
              <w:rPr>
                <w:sz w:val="2"/>
                <w:szCs w:val="2"/>
              </w:rPr>
            </w:pPr>
          </w:p>
        </w:tc>
        <w:tc>
          <w:tcPr>
            <w:tcW w:w="45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66" w:lineRule="auto" w:before="160"/>
              <w:ind w:left="121" w:right="112"/>
              <w:jc w:val="both"/>
              <w:rPr>
                <w:sz w:val="21"/>
              </w:rPr>
            </w:pPr>
            <w:r>
              <w:rPr>
                <w:sz w:val="21"/>
              </w:rPr>
              <w:t>公用工程</w:t>
            </w:r>
          </w:p>
        </w:tc>
        <w:tc>
          <w:tcPr>
            <w:tcW w:w="2370" w:type="dxa"/>
          </w:tcPr>
          <w:p>
            <w:pPr>
              <w:pStyle w:val="TableParagraph"/>
              <w:jc w:val="left"/>
              <w:rPr>
                <w:b/>
                <w:sz w:val="20"/>
              </w:rPr>
            </w:pPr>
          </w:p>
          <w:p>
            <w:pPr>
              <w:pStyle w:val="TableParagraph"/>
              <w:spacing w:before="5"/>
              <w:jc w:val="left"/>
              <w:rPr>
                <w:b/>
                <w:sz w:val="17"/>
              </w:rPr>
            </w:pPr>
          </w:p>
          <w:p>
            <w:pPr>
              <w:pStyle w:val="TableParagraph"/>
              <w:ind w:left="322" w:right="316"/>
              <w:rPr>
                <w:sz w:val="21"/>
              </w:rPr>
            </w:pPr>
            <w:r>
              <w:rPr>
                <w:sz w:val="21"/>
              </w:rPr>
              <w:t>供电</w:t>
            </w:r>
          </w:p>
        </w:tc>
        <w:tc>
          <w:tcPr>
            <w:tcW w:w="5945" w:type="dxa"/>
          </w:tcPr>
          <w:p>
            <w:pPr>
              <w:pStyle w:val="TableParagraph"/>
              <w:spacing w:line="300" w:lineRule="exact"/>
              <w:ind w:left="106" w:right="92"/>
              <w:jc w:val="both"/>
              <w:rPr>
                <w:sz w:val="21"/>
              </w:rPr>
            </w:pPr>
            <w:r>
              <w:rPr>
                <w:sz w:val="21"/>
              </w:rPr>
              <w:t>矿井供电现有双回路电源，分别引自双矿集团供电公司岭东变</w:t>
            </w:r>
            <w:r>
              <w:rPr>
                <w:spacing w:val="-9"/>
                <w:sz w:val="21"/>
              </w:rPr>
              <w:t>电所东三线路、东四线路，电压等级 </w:t>
            </w:r>
            <w:r>
              <w:rPr>
                <w:rFonts w:ascii="Times New Roman" w:eastAsia="Times New Roman"/>
                <w:sz w:val="21"/>
              </w:rPr>
              <w:t>10 </w:t>
            </w:r>
            <w:r>
              <w:rPr>
                <w:rFonts w:ascii="Times New Roman" w:eastAsia="Times New Roman"/>
                <w:spacing w:val="-8"/>
                <w:sz w:val="21"/>
              </w:rPr>
              <w:t>kV</w:t>
            </w:r>
            <w:r>
              <w:rPr>
                <w:spacing w:val="-6"/>
                <w:sz w:val="21"/>
              </w:rPr>
              <w:t>，供电电源可靠。采</w:t>
            </w:r>
            <w:r>
              <w:rPr>
                <w:spacing w:val="-3"/>
                <w:sz w:val="21"/>
              </w:rPr>
              <w:t>用双回路砼杆架设架空线 </w:t>
            </w:r>
            <w:r>
              <w:rPr>
                <w:rFonts w:ascii="Times New Roman" w:eastAsia="Times New Roman"/>
                <w:sz w:val="21"/>
              </w:rPr>
              <w:t>LGJ-120mm</w:t>
            </w:r>
            <w:r>
              <w:rPr>
                <w:rFonts w:ascii="Times New Roman" w:eastAsia="Times New Roman"/>
                <w:position w:val="7"/>
                <w:sz w:val="13"/>
              </w:rPr>
              <w:t>2 </w:t>
            </w:r>
            <w:r>
              <w:rPr>
                <w:spacing w:val="3"/>
                <w:sz w:val="21"/>
              </w:rPr>
              <w:t>至矿井变电所，供电距</w:t>
            </w:r>
            <w:r>
              <w:rPr>
                <w:spacing w:val="-24"/>
                <w:sz w:val="21"/>
              </w:rPr>
              <w:t>离 </w:t>
            </w:r>
            <w:r>
              <w:rPr>
                <w:rFonts w:ascii="Times New Roman" w:eastAsia="Times New Roman"/>
                <w:sz w:val="21"/>
              </w:rPr>
              <w:t>3km</w:t>
            </w:r>
            <w:r>
              <w:rPr>
                <w:sz w:val="21"/>
              </w:rPr>
              <w:t>，变电所及供电线路满足矿井扩容需要。</w:t>
            </w:r>
          </w:p>
        </w:tc>
      </w:tr>
      <w:tr>
        <w:trPr>
          <w:trHeight w:val="60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1"/>
              <w:jc w:val="left"/>
              <w:rPr>
                <w:b/>
                <w:sz w:val="14"/>
              </w:rPr>
            </w:pPr>
          </w:p>
          <w:p>
            <w:pPr>
              <w:pStyle w:val="TableParagraph"/>
              <w:spacing w:before="1"/>
              <w:ind w:left="324" w:right="316"/>
              <w:rPr>
                <w:sz w:val="21"/>
              </w:rPr>
            </w:pPr>
            <w:r>
              <w:rPr>
                <w:sz w:val="21"/>
              </w:rPr>
              <w:t>供水水源</w:t>
            </w:r>
          </w:p>
        </w:tc>
        <w:tc>
          <w:tcPr>
            <w:tcW w:w="5945" w:type="dxa"/>
          </w:tcPr>
          <w:p>
            <w:pPr>
              <w:pStyle w:val="TableParagraph"/>
              <w:spacing w:line="300" w:lineRule="exact"/>
              <w:ind w:left="106" w:right="97"/>
              <w:jc w:val="left"/>
              <w:rPr>
                <w:sz w:val="21"/>
              </w:rPr>
            </w:pPr>
            <w:r>
              <w:rPr>
                <w:sz w:val="21"/>
              </w:rPr>
              <w:t>本矿井生活用水为水源井以及部分处理后回用的矿井涌水，生产用水为处理后回用的矿井涌水。</w:t>
            </w:r>
          </w:p>
        </w:tc>
      </w:tr>
      <w:tr>
        <w:trPr>
          <w:trHeight w:val="120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jc w:val="left"/>
              <w:rPr>
                <w:b/>
                <w:sz w:val="20"/>
              </w:rPr>
            </w:pPr>
          </w:p>
          <w:p>
            <w:pPr>
              <w:pStyle w:val="TableParagraph"/>
              <w:spacing w:before="6"/>
              <w:jc w:val="left"/>
              <w:rPr>
                <w:b/>
                <w:sz w:val="17"/>
              </w:rPr>
            </w:pPr>
          </w:p>
          <w:p>
            <w:pPr>
              <w:pStyle w:val="TableParagraph"/>
              <w:ind w:left="322" w:right="316"/>
              <w:rPr>
                <w:sz w:val="21"/>
              </w:rPr>
            </w:pPr>
            <w:r>
              <w:rPr>
                <w:sz w:val="21"/>
              </w:rPr>
              <w:t>通讯</w:t>
            </w:r>
          </w:p>
        </w:tc>
        <w:tc>
          <w:tcPr>
            <w:tcW w:w="5945" w:type="dxa"/>
          </w:tcPr>
          <w:p>
            <w:pPr>
              <w:pStyle w:val="TableParagraph"/>
              <w:spacing w:line="266" w:lineRule="auto" w:before="29"/>
              <w:ind w:left="106" w:right="-15"/>
              <w:jc w:val="both"/>
              <w:rPr>
                <w:sz w:val="21"/>
              </w:rPr>
            </w:pPr>
            <w:r>
              <w:rPr>
                <w:spacing w:val="-3"/>
                <w:sz w:val="21"/>
              </w:rPr>
              <w:t>本矿井位于岭东区长胜乡东兴村境内，随着当前电信业的发展， </w:t>
            </w:r>
            <w:r>
              <w:rPr>
                <w:spacing w:val="-7"/>
                <w:sz w:val="21"/>
              </w:rPr>
              <w:t>移动、联通、网通的全面覆盖，矿井行政通讯依托当地市话网， </w:t>
            </w:r>
            <w:r>
              <w:rPr>
                <w:spacing w:val="-13"/>
                <w:sz w:val="21"/>
              </w:rPr>
              <w:t>由地方配置。矿井内部通信设 </w:t>
            </w:r>
            <w:r>
              <w:rPr>
                <w:rFonts w:ascii="Times New Roman" w:eastAsia="Times New Roman"/>
                <w:sz w:val="21"/>
              </w:rPr>
              <w:t>1 </w:t>
            </w:r>
            <w:r>
              <w:rPr>
                <w:spacing w:val="-28"/>
                <w:sz w:val="21"/>
              </w:rPr>
              <w:t>台 </w:t>
            </w:r>
            <w:r>
              <w:rPr>
                <w:rFonts w:ascii="Times New Roman" w:eastAsia="Times New Roman"/>
                <w:sz w:val="21"/>
              </w:rPr>
              <w:t>64 </w:t>
            </w:r>
            <w:r>
              <w:rPr>
                <w:sz w:val="21"/>
              </w:rPr>
              <w:t>门程控交换机作为行政用</w:t>
            </w:r>
          </w:p>
          <w:p>
            <w:pPr>
              <w:pStyle w:val="TableParagraph"/>
              <w:spacing w:line="250" w:lineRule="exact" w:before="4"/>
              <w:ind w:left="106"/>
              <w:jc w:val="left"/>
              <w:rPr>
                <w:sz w:val="21"/>
              </w:rPr>
            </w:pPr>
            <w:r>
              <w:rPr>
                <w:sz w:val="21"/>
              </w:rPr>
              <w:t>与调度总机。通信条件便利。</w:t>
            </w:r>
          </w:p>
        </w:tc>
      </w:tr>
      <w:tr>
        <w:trPr>
          <w:trHeight w:val="600"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1"/>
              <w:jc w:val="left"/>
              <w:rPr>
                <w:b/>
                <w:sz w:val="14"/>
              </w:rPr>
            </w:pPr>
          </w:p>
          <w:p>
            <w:pPr>
              <w:pStyle w:val="TableParagraph"/>
              <w:ind w:left="324" w:right="316"/>
              <w:rPr>
                <w:sz w:val="21"/>
              </w:rPr>
            </w:pPr>
            <w:r>
              <w:rPr>
                <w:sz w:val="21"/>
              </w:rPr>
              <w:t>排水线路</w:t>
            </w:r>
          </w:p>
        </w:tc>
        <w:tc>
          <w:tcPr>
            <w:tcW w:w="5945" w:type="dxa"/>
          </w:tcPr>
          <w:p>
            <w:pPr>
              <w:pStyle w:val="TableParagraph"/>
              <w:spacing w:before="29"/>
              <w:ind w:left="106"/>
              <w:jc w:val="left"/>
              <w:rPr>
                <w:sz w:val="21"/>
              </w:rPr>
            </w:pPr>
            <w:r>
              <w:rPr>
                <w:sz w:val="21"/>
              </w:rPr>
              <w:t>排水采用生产、生活污废水场外合流系统，污水处理后排至安</w:t>
            </w:r>
          </w:p>
          <w:p>
            <w:pPr>
              <w:pStyle w:val="TableParagraph"/>
              <w:spacing w:line="251" w:lineRule="exact" w:before="31"/>
              <w:ind w:left="106"/>
              <w:jc w:val="left"/>
              <w:rPr>
                <w:sz w:val="21"/>
              </w:rPr>
            </w:pPr>
            <w:r>
              <w:rPr>
                <w:sz w:val="21"/>
              </w:rPr>
              <w:t>邦河。</w:t>
            </w:r>
          </w:p>
        </w:tc>
      </w:tr>
      <w:tr>
        <w:trPr>
          <w:trHeight w:val="382" w:hRule="atLeast"/>
        </w:trPr>
        <w:tc>
          <w:tcPr>
            <w:tcW w:w="455" w:type="dxa"/>
            <w:vMerge/>
            <w:tcBorders>
              <w:top w:val="nil"/>
            </w:tcBorders>
          </w:tcPr>
          <w:p>
            <w:pPr>
              <w:rPr>
                <w:sz w:val="2"/>
                <w:szCs w:val="2"/>
              </w:rPr>
            </w:pPr>
          </w:p>
        </w:tc>
        <w:tc>
          <w:tcPr>
            <w:tcW w:w="455" w:type="dxa"/>
            <w:vMerge/>
            <w:tcBorders>
              <w:top w:val="nil"/>
            </w:tcBorders>
          </w:tcPr>
          <w:p>
            <w:pPr>
              <w:rPr>
                <w:sz w:val="2"/>
                <w:szCs w:val="2"/>
              </w:rPr>
            </w:pPr>
          </w:p>
        </w:tc>
        <w:tc>
          <w:tcPr>
            <w:tcW w:w="2370" w:type="dxa"/>
          </w:tcPr>
          <w:p>
            <w:pPr>
              <w:pStyle w:val="TableParagraph"/>
              <w:spacing w:before="72"/>
              <w:ind w:left="322" w:right="316"/>
              <w:rPr>
                <w:sz w:val="21"/>
              </w:rPr>
            </w:pPr>
            <w:r>
              <w:rPr>
                <w:sz w:val="21"/>
              </w:rPr>
              <w:t>行政与公共设施</w:t>
            </w:r>
          </w:p>
        </w:tc>
        <w:tc>
          <w:tcPr>
            <w:tcW w:w="5945" w:type="dxa"/>
          </w:tcPr>
          <w:p>
            <w:pPr>
              <w:pStyle w:val="TableParagraph"/>
              <w:spacing w:before="72"/>
              <w:ind w:left="106"/>
              <w:jc w:val="left"/>
              <w:rPr>
                <w:sz w:val="21"/>
              </w:rPr>
            </w:pPr>
            <w:r>
              <w:rPr>
                <w:sz w:val="21"/>
              </w:rPr>
              <w:t>综合办公室、更衣室等场区设施等。</w:t>
            </w:r>
          </w:p>
        </w:tc>
      </w:tr>
    </w:tbl>
    <w:p>
      <w:pPr>
        <w:pStyle w:val="Heading2"/>
        <w:numPr>
          <w:ilvl w:val="1"/>
          <w:numId w:val="17"/>
        </w:numPr>
        <w:tabs>
          <w:tab w:pos="1004" w:val="left" w:leader="none"/>
        </w:tabs>
        <w:spacing w:line="240" w:lineRule="auto" w:before="3" w:after="0"/>
        <w:ind w:left="1004" w:right="0" w:hanging="526"/>
        <w:jc w:val="left"/>
      </w:pPr>
      <w:bookmarkStart w:name="3.2 改扩建生产项目概况" w:id="87"/>
      <w:bookmarkEnd w:id="87"/>
      <w:r>
        <w:rPr>
          <w:b w:val="0"/>
        </w:rPr>
      </w:r>
      <w:bookmarkStart w:name="_bookmark15" w:id="88"/>
      <w:bookmarkEnd w:id="88"/>
      <w:r>
        <w:rPr>
          <w:b w:val="0"/>
        </w:rPr>
      </w:r>
      <w:bookmarkStart w:name="_bookmark15" w:id="89"/>
      <w:bookmarkEnd w:id="89"/>
      <w:r>
        <w:rPr/>
        <w:t>改扩建生产项目概况</w:t>
      </w:r>
    </w:p>
    <w:p>
      <w:pPr>
        <w:pStyle w:val="ListParagraph"/>
        <w:numPr>
          <w:ilvl w:val="2"/>
          <w:numId w:val="17"/>
        </w:numPr>
        <w:tabs>
          <w:tab w:pos="1318" w:val="left" w:leader="none"/>
          <w:tab w:pos="1319" w:val="left" w:leader="none"/>
        </w:tabs>
        <w:spacing w:line="240" w:lineRule="auto" w:before="199" w:after="0"/>
        <w:ind w:left="1318" w:right="0" w:hanging="841"/>
        <w:jc w:val="left"/>
        <w:rPr>
          <w:b/>
          <w:sz w:val="28"/>
        </w:rPr>
      </w:pPr>
      <w:bookmarkStart w:name="3.2.1  项目名称、建设规模、建设性质与建设地点" w:id="90"/>
      <w:bookmarkEnd w:id="90"/>
      <w:r>
        <w:rPr/>
      </w:r>
      <w:bookmarkStart w:name="3.2.1  项目名称、建设规模、建设性质与建设地点" w:id="91"/>
      <w:bookmarkEnd w:id="91"/>
      <w:r>
        <w:rPr>
          <w:b/>
          <w:sz w:val="28"/>
        </w:rPr>
        <w:t>项目名称、建设规模、建设性质与建设地点</w:t>
      </w:r>
    </w:p>
    <w:p>
      <w:pPr>
        <w:pStyle w:val="ListParagraph"/>
        <w:numPr>
          <w:ilvl w:val="3"/>
          <w:numId w:val="17"/>
        </w:numPr>
        <w:tabs>
          <w:tab w:pos="1560" w:val="left" w:leader="none"/>
        </w:tabs>
        <w:spacing w:line="240" w:lineRule="auto" w:before="186" w:after="0"/>
        <w:ind w:left="1559" w:right="0" w:hanging="602"/>
        <w:jc w:val="left"/>
        <w:rPr>
          <w:sz w:val="24"/>
        </w:rPr>
      </w:pPr>
      <w:r>
        <w:rPr>
          <w:sz w:val="24"/>
        </w:rPr>
        <w:t>项目名称：双鸭山市东盛矿业集团有限公司资源整合项目</w:t>
      </w:r>
    </w:p>
    <w:p>
      <w:pPr>
        <w:pStyle w:val="ListParagraph"/>
        <w:numPr>
          <w:ilvl w:val="3"/>
          <w:numId w:val="17"/>
        </w:numPr>
        <w:tabs>
          <w:tab w:pos="1560" w:val="left" w:leader="none"/>
        </w:tabs>
        <w:spacing w:line="240" w:lineRule="auto" w:before="158" w:after="0"/>
        <w:ind w:left="1559" w:right="0" w:hanging="602"/>
        <w:jc w:val="left"/>
        <w:rPr>
          <w:rFonts w:ascii="Times New Roman" w:eastAsia="Times New Roman"/>
          <w:sz w:val="24"/>
        </w:rPr>
      </w:pPr>
      <w:r>
        <w:rPr>
          <w:sz w:val="24"/>
        </w:rPr>
        <w:t>建设规模：</w:t>
      </w:r>
      <w:r>
        <w:rPr>
          <w:rFonts w:ascii="Times New Roman" w:eastAsia="Times New Roman"/>
          <w:sz w:val="24"/>
        </w:rPr>
        <w:t>30 </w:t>
      </w:r>
      <w:r>
        <w:rPr>
          <w:spacing w:val="-30"/>
          <w:sz w:val="24"/>
        </w:rPr>
        <w:t>万 </w:t>
      </w:r>
      <w:r>
        <w:rPr>
          <w:rFonts w:ascii="Times New Roman" w:eastAsia="Times New Roman"/>
          <w:sz w:val="24"/>
        </w:rPr>
        <w:t>t/a</w:t>
      </w:r>
    </w:p>
    <w:p>
      <w:pPr>
        <w:pStyle w:val="ListParagraph"/>
        <w:numPr>
          <w:ilvl w:val="3"/>
          <w:numId w:val="17"/>
        </w:numPr>
        <w:tabs>
          <w:tab w:pos="1560" w:val="left" w:leader="none"/>
        </w:tabs>
        <w:spacing w:line="240" w:lineRule="auto" w:before="160" w:after="0"/>
        <w:ind w:left="1559" w:right="0" w:hanging="602"/>
        <w:jc w:val="left"/>
        <w:rPr>
          <w:sz w:val="24"/>
        </w:rPr>
      </w:pPr>
      <w:r>
        <w:rPr>
          <w:sz w:val="24"/>
        </w:rPr>
        <w:t>建设性质：改扩建</w:t>
      </w:r>
    </w:p>
    <w:p>
      <w:pPr>
        <w:pStyle w:val="ListParagraph"/>
        <w:numPr>
          <w:ilvl w:val="3"/>
          <w:numId w:val="17"/>
        </w:numPr>
        <w:tabs>
          <w:tab w:pos="1564" w:val="left" w:leader="none"/>
        </w:tabs>
        <w:spacing w:line="364" w:lineRule="auto" w:before="158" w:after="0"/>
        <w:ind w:left="478" w:right="476" w:firstLine="480"/>
        <w:jc w:val="left"/>
        <w:rPr>
          <w:rFonts w:ascii="Times New Roman" w:eastAsia="Times New Roman"/>
          <w:sz w:val="24"/>
        </w:rPr>
      </w:pPr>
      <w:r>
        <w:rPr>
          <w:sz w:val="24"/>
        </w:rPr>
        <w:t>建设地点：双鸭山市东盛矿业集团有限公司整合矿区范围位于双鸭山市岭东</w:t>
      </w:r>
      <w:r>
        <w:rPr>
          <w:spacing w:val="-7"/>
          <w:sz w:val="24"/>
        </w:rPr>
        <w:t>区长胜乡东兴村南 </w:t>
      </w:r>
      <w:r>
        <w:rPr>
          <w:rFonts w:ascii="Times New Roman" w:eastAsia="Times New Roman"/>
          <w:sz w:val="24"/>
        </w:rPr>
        <w:t>2.5km</w:t>
      </w:r>
    </w:p>
    <w:p>
      <w:pPr>
        <w:pStyle w:val="ListParagraph"/>
        <w:numPr>
          <w:ilvl w:val="3"/>
          <w:numId w:val="17"/>
        </w:numPr>
        <w:tabs>
          <w:tab w:pos="1560" w:val="left" w:leader="none"/>
        </w:tabs>
        <w:spacing w:line="306" w:lineRule="exact" w:before="0" w:after="0"/>
        <w:ind w:left="1559" w:right="0" w:hanging="602"/>
        <w:jc w:val="left"/>
        <w:rPr>
          <w:sz w:val="24"/>
        </w:rPr>
      </w:pPr>
      <w:r>
        <w:rPr>
          <w:sz w:val="24"/>
        </w:rPr>
        <w:t>建设单位：双鸭山市东盛矿业集团有限公司</w:t>
      </w:r>
    </w:p>
    <w:p>
      <w:pPr>
        <w:pStyle w:val="Heading3"/>
        <w:numPr>
          <w:ilvl w:val="2"/>
          <w:numId w:val="17"/>
        </w:numPr>
        <w:tabs>
          <w:tab w:pos="1318" w:val="left" w:leader="none"/>
          <w:tab w:pos="1319" w:val="left" w:leader="none"/>
        </w:tabs>
        <w:spacing w:line="240" w:lineRule="auto" w:before="162" w:after="0"/>
        <w:ind w:left="1318" w:right="0" w:hanging="841"/>
        <w:jc w:val="left"/>
      </w:pPr>
      <w:bookmarkStart w:name="3.2.2  项目建设的必要性" w:id="92"/>
      <w:bookmarkEnd w:id="92"/>
      <w:r>
        <w:rPr>
          <w:b w:val="0"/>
        </w:rPr>
      </w:r>
      <w:bookmarkStart w:name="3.2.2  项目建设的必要性" w:id="93"/>
      <w:bookmarkEnd w:id="93"/>
      <w:r>
        <w:rPr/>
        <w:t>项目建设的必要性</w:t>
      </w:r>
    </w:p>
    <w:p>
      <w:pPr>
        <w:pStyle w:val="BodyText"/>
        <w:spacing w:line="364" w:lineRule="auto" w:before="185"/>
        <w:ind w:left="478" w:right="425" w:firstLine="480"/>
        <w:jc w:val="both"/>
      </w:pPr>
      <w:r>
        <w:rPr>
          <w:rFonts w:ascii="Times New Roman" w:eastAsia="Times New Roman"/>
        </w:rPr>
        <w:t>1</w:t>
      </w:r>
      <w:r>
        <w:rPr/>
        <w:t>、目前，我国正处于煤炭产业结构调整的关键时期，针对当前煤炭产业存在的突</w:t>
      </w:r>
      <w:r>
        <w:rPr>
          <w:spacing w:val="-6"/>
        </w:rPr>
        <w:t>出矛盾，为了加快煤炭工业结构的调整，引导煤炭工业持续快速健康的发展，根据国务院颁发的《国务院办公厅关于进一步加强煤矿安全生产工作的意见》（国办发〔</w:t>
      </w:r>
      <w:r>
        <w:rPr>
          <w:rFonts w:ascii="Times New Roman" w:eastAsia="Times New Roman"/>
          <w:spacing w:val="-6"/>
        </w:rPr>
        <w:t>2013</w:t>
      </w:r>
      <w:r>
        <w:rPr>
          <w:spacing w:val="-16"/>
        </w:rPr>
        <w:t>〕</w:t>
      </w:r>
      <w:r>
        <w:rPr>
          <w:rFonts w:ascii="Times New Roman" w:eastAsia="Times New Roman"/>
        </w:rPr>
        <w:t>99 </w:t>
      </w:r>
      <w:r>
        <w:rPr/>
        <w:t>号</w:t>
      </w:r>
      <w:r>
        <w:rPr>
          <w:spacing w:val="-39"/>
        </w:rPr>
        <w:t>）</w:t>
      </w:r>
      <w:r>
        <w:rPr>
          <w:spacing w:val="-9"/>
        </w:rPr>
        <w:t>、国家安全监管总局颁发的《国家安全监管总局等十二部门关于加快落后小煤矿关闭退出工作的通知》</w:t>
      </w:r>
      <w:r>
        <w:rPr>
          <w:rFonts w:ascii="Times New Roman" w:eastAsia="Times New Roman"/>
        </w:rPr>
        <w:t>(</w:t>
      </w:r>
      <w:r>
        <w:rPr>
          <w:spacing w:val="-2"/>
        </w:rPr>
        <w:t>安监总煤监〔</w:t>
      </w:r>
      <w:r>
        <w:rPr>
          <w:rFonts w:ascii="Times New Roman" w:eastAsia="Times New Roman"/>
        </w:rPr>
        <w:t>2014</w:t>
      </w:r>
      <w:r>
        <w:rPr>
          <w:spacing w:val="-5"/>
        </w:rPr>
        <w:t>〕</w:t>
      </w:r>
      <w:r>
        <w:rPr>
          <w:rFonts w:ascii="Times New Roman" w:eastAsia="Times New Roman"/>
        </w:rPr>
        <w:t>44 </w:t>
      </w:r>
      <w:r>
        <w:rPr/>
        <w:t>号</w:t>
      </w:r>
      <w:r>
        <w:rPr>
          <w:rFonts w:ascii="Times New Roman" w:eastAsia="Times New Roman"/>
        </w:rPr>
        <w:t>)</w:t>
      </w:r>
      <w:r>
        <w:rPr>
          <w:spacing w:val="-3"/>
        </w:rPr>
        <w:t>、黑龙江省政府发布的《黑龙江省人</w:t>
      </w:r>
    </w:p>
    <w:p>
      <w:pPr>
        <w:spacing w:after="0" w:line="364" w:lineRule="auto"/>
        <w:jc w:val="both"/>
        <w:sectPr>
          <w:pgSz w:w="11910" w:h="16840"/>
          <w:pgMar w:header="0" w:footer="913" w:top="1400" w:bottom="1180" w:left="940" w:right="940"/>
        </w:sectPr>
      </w:pPr>
    </w:p>
    <w:p>
      <w:pPr>
        <w:pStyle w:val="BodyText"/>
        <w:spacing w:line="364" w:lineRule="auto" w:before="61"/>
        <w:ind w:left="478" w:right="357"/>
      </w:pPr>
      <w:r>
        <w:rPr>
          <w:spacing w:val="-2"/>
        </w:rPr>
        <w:t>民政府办公厅关于黑龙江煤矿整顿关闭工作的指导意见》</w:t>
      </w:r>
      <w:r>
        <w:rPr/>
        <w:t>（</w:t>
      </w:r>
      <w:r>
        <w:rPr>
          <w:spacing w:val="-5"/>
        </w:rPr>
        <w:t>黑政办法【</w:t>
      </w:r>
      <w:r>
        <w:rPr>
          <w:rFonts w:ascii="Times New Roman" w:hAnsi="Times New Roman" w:eastAsia="Times New Roman"/>
        </w:rPr>
        <w:t>201399</w:t>
      </w:r>
      <w:r>
        <w:rPr>
          <w:rFonts w:ascii="Times New Roman" w:hAnsi="Times New Roman" w:eastAsia="Times New Roman"/>
          <w:spacing w:val="-1"/>
        </w:rPr>
        <w:t> </w:t>
      </w:r>
      <w:r>
        <w:rPr>
          <w:spacing w:val="-11"/>
        </w:rPr>
        <w:t>号】</w:t>
      </w:r>
      <w:r>
        <w:rPr>
          <w:spacing w:val="-22"/>
        </w:rPr>
        <w:t>）</w:t>
      </w:r>
      <w:r>
        <w:rPr/>
        <w:t>等</w:t>
      </w:r>
      <w:r>
        <w:rPr>
          <w:spacing w:val="-13"/>
        </w:rPr>
        <w:t>文件的有关精神，双鸭山市按照全省矿产资源统一要求，针对地方煤矿规模小、数量多、</w:t>
      </w:r>
      <w:r>
        <w:rPr/>
        <w:t>布局不合理的状况，从矿产资源和实际开发利用现状出发，编制了《资源整合方案》， </w:t>
      </w:r>
      <w:r>
        <w:rPr>
          <w:spacing w:val="-3"/>
        </w:rPr>
        <w:t>重新调整和划定了矿产资源的开采区、限采区和禁采区，进一步明确这次资源整合的总</w:t>
      </w:r>
      <w:r>
        <w:rPr>
          <w:spacing w:val="-5"/>
        </w:rPr>
        <w:t>体要求和目标。在资源整合过程中，按照</w:t>
      </w:r>
      <w:r>
        <w:rPr>
          <w:rFonts w:ascii="Times New Roman" w:hAnsi="Times New Roman" w:eastAsia="Times New Roman"/>
        </w:rPr>
        <w:t>“</w:t>
      </w:r>
      <w:r>
        <w:rPr>
          <w:spacing w:val="-2"/>
        </w:rPr>
        <w:t>鼓励一批、限制一批、关闭一批</w:t>
      </w:r>
      <w:r>
        <w:rPr>
          <w:rFonts w:ascii="Times New Roman" w:hAnsi="Times New Roman" w:eastAsia="Times New Roman"/>
        </w:rPr>
        <w:t>”</w:t>
      </w:r>
      <w:r>
        <w:rPr>
          <w:spacing w:val="-2"/>
        </w:rPr>
        <w:t>的原则，有</w:t>
      </w:r>
      <w:r>
        <w:rPr>
          <w:spacing w:val="-8"/>
        </w:rPr>
        <w:t>计划、有步骤地扎实推进。对储量大、易于规划、适合规模开采和有发展前景的煤矿实</w:t>
      </w:r>
      <w:r>
        <w:rPr>
          <w:spacing w:val="-6"/>
        </w:rPr>
        <w:t>施整合，鼓励集约利用，做大做强。按照</w:t>
      </w:r>
      <w:r>
        <w:rPr>
          <w:rFonts w:ascii="Times New Roman" w:hAnsi="Times New Roman" w:eastAsia="Times New Roman"/>
        </w:rPr>
        <w:t>“</w:t>
      </w:r>
      <w:r>
        <w:rPr>
          <w:spacing w:val="-1"/>
        </w:rPr>
        <w:t>以小并大、以优并劣</w:t>
      </w:r>
      <w:r>
        <w:rPr>
          <w:rFonts w:ascii="Times New Roman" w:hAnsi="Times New Roman" w:eastAsia="Times New Roman"/>
        </w:rPr>
        <w:t>”</w:t>
      </w:r>
      <w:r>
        <w:rPr>
          <w:spacing w:val="-2"/>
        </w:rPr>
        <w:t>原则，实施矿山资源整</w:t>
      </w:r>
      <w:r>
        <w:rPr>
          <w:spacing w:val="-7"/>
        </w:rPr>
        <w:t>合，减少矿井数量，提高生产规模。改扩建后的矿井只保留一个法人主体，一套生产系统，达到国家和省有关规定的标准。</w:t>
      </w:r>
    </w:p>
    <w:p>
      <w:pPr>
        <w:pStyle w:val="BodyText"/>
        <w:spacing w:line="364" w:lineRule="auto"/>
        <w:ind w:left="478" w:right="477" w:firstLine="480"/>
        <w:jc w:val="both"/>
      </w:pPr>
      <w:r>
        <w:rPr>
          <w:rFonts w:ascii="Times New Roman" w:eastAsia="Times New Roman"/>
        </w:rPr>
        <w:t>2</w:t>
      </w:r>
      <w:r>
        <w:rPr/>
        <w:t>、本项目符合国家的一系列的产业调整措施，为积极推进国家产业政策的落实起</w:t>
      </w:r>
      <w:r>
        <w:rPr>
          <w:spacing w:val="-7"/>
        </w:rPr>
        <w:t>到了推动作用。此外，通过本次改扩建，增加矿井年生产能力，可加大对矿产资源的回收利用，可以使分散式生产转换为集约式生产，能够极大地降低电能的消耗，可以极大</w:t>
      </w:r>
      <w:r>
        <w:rPr/>
        <w:t>地促进循环经济的发展。</w:t>
      </w:r>
    </w:p>
    <w:p>
      <w:pPr>
        <w:pStyle w:val="BodyText"/>
        <w:spacing w:line="364" w:lineRule="auto"/>
        <w:ind w:left="478" w:right="425" w:firstLine="480"/>
        <w:jc w:val="right"/>
      </w:pPr>
      <w:r>
        <w:rPr>
          <w:rFonts w:ascii="Times New Roman" w:eastAsia="Times New Roman"/>
        </w:rPr>
        <w:t>3</w:t>
      </w:r>
      <w:r>
        <w:rPr/>
        <w:t>、东盛煤矿资源整合批准开采煤层煤种以弱粘煤为主。低硫，特低磷，低－高热</w:t>
      </w:r>
      <w:r>
        <w:rPr>
          <w:spacing w:val="-7"/>
        </w:rPr>
        <w:t>值，经洗选后可用做炼焦配煤，也可用做动力用煤。煤炭销售市场前景广阔。本项目的</w:t>
      </w:r>
      <w:r>
        <w:rPr>
          <w:spacing w:val="-8"/>
        </w:rPr>
        <w:t>实施，有利于当地财政收入的增加，因此有利于工薪阶层增加收入。因项目建设所导致</w:t>
      </w:r>
      <w:r>
        <w:rPr>
          <w:spacing w:val="-10"/>
        </w:rPr>
        <w:t>的从业人员的增加，其消费、娱乐等的需求，必将带动二、三产业的发展，使从事这些</w:t>
      </w:r>
      <w:r>
        <w:rPr>
          <w:spacing w:val="-14"/>
        </w:rPr>
        <w:t>行业的当地居民增加收入。从整体方面来说，项目的建成，有利于企业本身的发展，有</w:t>
      </w:r>
      <w:r>
        <w:rPr>
          <w:spacing w:val="-2"/>
        </w:rPr>
        <w:t>利于带动周边企业的发展，有利于带动当地经济的发展，有利于当地居民的经济发展。</w:t>
      </w:r>
      <w:r>
        <w:rPr>
          <w:spacing w:val="-7"/>
        </w:rPr>
        <w:t>综上所述，从自身因素到社会需求，双鸭山市东盛矿业集团有限公司进行资源整合</w:t>
      </w:r>
    </w:p>
    <w:p>
      <w:pPr>
        <w:pStyle w:val="BodyText"/>
        <w:spacing w:line="305" w:lineRule="exact"/>
        <w:ind w:left="478"/>
      </w:pPr>
      <w:r>
        <w:rPr/>
        <w:t>生产建设都是十分必要的。</w:t>
      </w:r>
    </w:p>
    <w:p>
      <w:pPr>
        <w:pStyle w:val="Heading3"/>
        <w:numPr>
          <w:ilvl w:val="2"/>
          <w:numId w:val="17"/>
        </w:numPr>
        <w:tabs>
          <w:tab w:pos="1318" w:val="left" w:leader="none"/>
          <w:tab w:pos="1319" w:val="left" w:leader="none"/>
        </w:tabs>
        <w:spacing w:line="240" w:lineRule="auto" w:before="152" w:after="0"/>
        <w:ind w:left="1318" w:right="0" w:hanging="841"/>
        <w:jc w:val="left"/>
      </w:pPr>
      <w:bookmarkStart w:name="3.2.3  项目建设外部条件" w:id="94"/>
      <w:bookmarkEnd w:id="94"/>
      <w:r>
        <w:rPr>
          <w:b w:val="0"/>
        </w:rPr>
      </w:r>
      <w:bookmarkStart w:name="3.2.3  项目建设外部条件" w:id="95"/>
      <w:bookmarkEnd w:id="95"/>
      <w:r>
        <w:rPr/>
        <w:t>项目建设外部条件</w:t>
      </w:r>
    </w:p>
    <w:p>
      <w:pPr>
        <w:pStyle w:val="BodyText"/>
        <w:spacing w:before="186"/>
        <w:ind w:left="958"/>
      </w:pPr>
      <w:r>
        <w:rPr>
          <w:rFonts w:ascii="Times New Roman" w:eastAsia="Times New Roman"/>
        </w:rPr>
        <w:t>1</w:t>
      </w:r>
      <w:r>
        <w:rPr/>
        <w:t>、运输</w:t>
      </w:r>
    </w:p>
    <w:p>
      <w:pPr>
        <w:pStyle w:val="BodyText"/>
        <w:spacing w:line="364" w:lineRule="auto" w:before="158"/>
        <w:ind w:left="478" w:right="477" w:firstLine="480"/>
      </w:pPr>
      <w:r>
        <w:rPr>
          <w:spacing w:val="-8"/>
        </w:rPr>
        <w:t>公路：东盛煤矿位于双鸭山市岭东区长胜乡东兴村南，距岭东区居住区 </w:t>
      </w:r>
      <w:r>
        <w:rPr>
          <w:rFonts w:ascii="Times New Roman" w:eastAsia="Times New Roman"/>
          <w:spacing w:val="-5"/>
        </w:rPr>
        <w:t>2km</w:t>
      </w:r>
      <w:r>
        <w:rPr>
          <w:spacing w:val="-8"/>
        </w:rPr>
        <w:t>，矿区</w:t>
      </w:r>
      <w:r>
        <w:rPr/>
        <w:t>至高等级公路有简易砂石路连接，路面标准满足生产运输的需要。</w:t>
      </w:r>
    </w:p>
    <w:p>
      <w:pPr>
        <w:pStyle w:val="BodyText"/>
        <w:spacing w:line="362" w:lineRule="auto" w:before="1"/>
        <w:ind w:left="478" w:right="357" w:firstLine="480"/>
      </w:pPr>
      <w:r>
        <w:rPr>
          <w:spacing w:val="-10"/>
        </w:rPr>
        <w:t>铁路：该矿井距双鸭山火车站有 </w:t>
      </w:r>
      <w:r>
        <w:rPr>
          <w:rFonts w:ascii="Times New Roman" w:eastAsia="Times New Roman"/>
        </w:rPr>
        <w:t>6.5km</w:t>
      </w:r>
      <w:r>
        <w:rPr>
          <w:spacing w:val="-11"/>
        </w:rPr>
        <w:t>。该矿井为小型矿井，考虑铺设铁路专用线， </w:t>
      </w:r>
      <w:r>
        <w:rPr/>
        <w:t>在技术经济上并不可行。可考虑先以汽车运输至车站货场，再经火车发往各地。</w:t>
      </w:r>
    </w:p>
    <w:p>
      <w:pPr>
        <w:pStyle w:val="BodyText"/>
        <w:spacing w:before="5"/>
        <w:ind w:left="958"/>
      </w:pPr>
      <w:r>
        <w:rPr>
          <w:rFonts w:ascii="Times New Roman" w:eastAsia="Times New Roman"/>
        </w:rPr>
        <w:t>2</w:t>
      </w:r>
      <w:r>
        <w:rPr/>
        <w:t>、供电</w:t>
      </w:r>
    </w:p>
    <w:p>
      <w:pPr>
        <w:pStyle w:val="BodyText"/>
        <w:spacing w:line="364" w:lineRule="auto" w:before="158"/>
        <w:ind w:left="478" w:right="411" w:firstLine="480"/>
      </w:pPr>
      <w:r>
        <w:rPr/>
        <w:t>矿井供电现有双回路电源，分别引自双矿集团供电公司岭东变电所东三线路、东四线路，电压等级 </w:t>
      </w:r>
      <w:r>
        <w:rPr>
          <w:rFonts w:ascii="Times New Roman" w:eastAsia="Times New Roman"/>
        </w:rPr>
        <w:t>10kV</w:t>
      </w:r>
      <w:r>
        <w:rPr/>
        <w:t>，供电电源可靠。采用双回路砼杆架设架空线 </w:t>
      </w:r>
      <w:r>
        <w:rPr>
          <w:rFonts w:ascii="Times New Roman" w:eastAsia="Times New Roman"/>
        </w:rPr>
        <w:t>LGJ-120mm</w:t>
      </w:r>
      <w:r>
        <w:rPr>
          <w:rFonts w:ascii="Times New Roman" w:eastAsia="Times New Roman"/>
          <w:position w:val="8"/>
          <w:sz w:val="15"/>
        </w:rPr>
        <w:t>2 </w:t>
      </w:r>
      <w:r>
        <w:rPr/>
        <w:t>至矿</w:t>
      </w:r>
    </w:p>
    <w:p>
      <w:pPr>
        <w:spacing w:after="0" w:line="364" w:lineRule="auto"/>
        <w:sectPr>
          <w:pgSz w:w="11910" w:h="16840"/>
          <w:pgMar w:header="0" w:footer="913" w:top="1340" w:bottom="1180" w:left="940" w:right="940"/>
        </w:sectPr>
      </w:pPr>
    </w:p>
    <w:p>
      <w:pPr>
        <w:pStyle w:val="BodyText"/>
        <w:spacing w:line="362" w:lineRule="auto" w:before="61"/>
        <w:ind w:left="958" w:right="2512" w:hanging="480"/>
      </w:pPr>
      <w:r>
        <w:rPr/>
        <w:t>井变电所，供电距离 </w:t>
      </w:r>
      <w:r>
        <w:rPr>
          <w:rFonts w:ascii="Times New Roman" w:eastAsia="Times New Roman"/>
        </w:rPr>
        <w:t>3km</w:t>
      </w:r>
      <w:r>
        <w:rPr/>
        <w:t>，变电所及供电线路满足矿井扩容需要。</w:t>
      </w:r>
      <w:r>
        <w:rPr>
          <w:rFonts w:ascii="Times New Roman" w:eastAsia="Times New Roman"/>
        </w:rPr>
        <w:t>3</w:t>
      </w:r>
      <w:r>
        <w:rPr/>
        <w:t>、供水</w:t>
      </w:r>
    </w:p>
    <w:p>
      <w:pPr>
        <w:pStyle w:val="BodyText"/>
        <w:spacing w:before="5"/>
        <w:ind w:left="958"/>
      </w:pPr>
      <w:r>
        <w:rPr/>
        <w:t>矿区生活用水由该矿自有水源井供水，消防、消尘、生产用水采用井下水在地面</w:t>
      </w:r>
    </w:p>
    <w:p>
      <w:pPr>
        <w:pStyle w:val="BodyText"/>
        <w:spacing w:before="161"/>
        <w:ind w:left="478"/>
      </w:pPr>
      <w:r>
        <w:rPr>
          <w:rFonts w:ascii="Times New Roman" w:eastAsia="Times New Roman"/>
        </w:rPr>
        <w:t>300m</w:t>
      </w:r>
      <w:r>
        <w:rPr>
          <w:rFonts w:ascii="Times New Roman" w:eastAsia="Times New Roman"/>
          <w:position w:val="8"/>
          <w:sz w:val="15"/>
        </w:rPr>
        <w:t>3</w:t>
      </w:r>
      <w:r>
        <w:rPr>
          <w:rFonts w:ascii="Times New Roman" w:eastAsia="Times New Roman"/>
          <w:spacing w:val="3"/>
          <w:position w:val="8"/>
          <w:sz w:val="15"/>
        </w:rPr>
        <w:t> </w:t>
      </w:r>
      <w:r>
        <w:rPr/>
        <w:t>水池沉淀处理后使用。</w:t>
      </w:r>
    </w:p>
    <w:p>
      <w:pPr>
        <w:pStyle w:val="Heading3"/>
        <w:numPr>
          <w:ilvl w:val="2"/>
          <w:numId w:val="17"/>
        </w:numPr>
        <w:tabs>
          <w:tab w:pos="1177" w:val="left" w:leader="none"/>
        </w:tabs>
        <w:spacing w:line="240" w:lineRule="auto" w:before="158" w:after="0"/>
        <w:ind w:left="1176" w:right="0" w:hanging="699"/>
        <w:jc w:val="left"/>
      </w:pPr>
      <w:r>
        <w:rPr>
          <w:spacing w:val="-1"/>
          <w:w w:val="95"/>
        </w:rPr>
        <w:t>项目组成</w:t>
      </w:r>
    </w:p>
    <w:p>
      <w:pPr>
        <w:pStyle w:val="BodyText"/>
        <w:spacing w:line="364" w:lineRule="auto" w:before="186"/>
        <w:ind w:left="478" w:right="477" w:firstLine="480"/>
        <w:jc w:val="both"/>
      </w:pPr>
      <w:r>
        <w:rPr>
          <w:spacing w:val="-4"/>
        </w:rPr>
        <w:t>本矿井改扩建工程主要内容为矿井的开采系统、通风系统、地面供电系统、给排水</w:t>
      </w:r>
      <w:r>
        <w:rPr>
          <w:spacing w:val="-8"/>
        </w:rPr>
        <w:t>系统、地面消防系统等各系统的改造和完善，增加了相应的地面建、构筑物。本项目组</w:t>
      </w:r>
      <w:r>
        <w:rPr>
          <w:spacing w:val="-12"/>
        </w:rPr>
        <w:t>成详见表 </w:t>
      </w:r>
      <w:r>
        <w:rPr>
          <w:rFonts w:ascii="Times New Roman" w:eastAsia="Times New Roman"/>
        </w:rPr>
        <w:t>3.2-1</w:t>
      </w:r>
      <w:r>
        <w:rPr/>
        <w:t>。</w:t>
      </w:r>
    </w:p>
    <w:p>
      <w:pPr>
        <w:pStyle w:val="Heading4"/>
        <w:spacing w:line="307" w:lineRule="exact"/>
        <w:ind w:left="1613"/>
        <w:jc w:val="both"/>
      </w:pPr>
      <w:r>
        <w:rPr>
          <w:spacing w:val="-31"/>
        </w:rPr>
        <w:t>表 </w:t>
      </w:r>
      <w:r>
        <w:rPr>
          <w:rFonts w:ascii="Times New Roman" w:eastAsia="Times New Roman"/>
        </w:rPr>
        <w:t>3.2-1</w:t>
      </w:r>
      <w:r>
        <w:rPr>
          <w:rFonts w:ascii="Times New Roman" w:eastAsia="Times New Roman"/>
          <w:spacing w:val="59"/>
        </w:rPr>
        <w:t> </w:t>
      </w:r>
      <w:r>
        <w:rPr/>
        <w:t>双鸭山市东盛矿业集团有限公司改扩建项目组成一览表</w:t>
      </w:r>
    </w:p>
    <w:p>
      <w:pPr>
        <w:pStyle w:val="BodyText"/>
        <w:spacing w:before="3"/>
        <w:rPr>
          <w:b/>
          <w:sz w:val="12"/>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
        <w:gridCol w:w="408"/>
        <w:gridCol w:w="472"/>
        <w:gridCol w:w="1333"/>
        <w:gridCol w:w="5652"/>
        <w:gridCol w:w="951"/>
      </w:tblGrid>
      <w:tr>
        <w:trPr>
          <w:trHeight w:val="1088" w:hRule="atLeast"/>
        </w:trPr>
        <w:tc>
          <w:tcPr>
            <w:tcW w:w="408" w:type="dxa"/>
          </w:tcPr>
          <w:p>
            <w:pPr>
              <w:pStyle w:val="TableParagraph"/>
              <w:spacing w:line="242" w:lineRule="auto"/>
              <w:ind w:left="108" w:right="78"/>
              <w:jc w:val="both"/>
              <w:rPr>
                <w:sz w:val="21"/>
              </w:rPr>
            </w:pPr>
            <w:r>
              <w:rPr>
                <w:sz w:val="21"/>
              </w:rPr>
              <w:t>工业广</w:t>
            </w:r>
          </w:p>
          <w:p>
            <w:pPr>
              <w:pStyle w:val="TableParagraph"/>
              <w:spacing w:line="251" w:lineRule="exact" w:before="2"/>
              <w:ind w:left="108"/>
              <w:jc w:val="left"/>
              <w:rPr>
                <w:sz w:val="21"/>
              </w:rPr>
            </w:pPr>
            <w:r>
              <w:rPr>
                <w:w w:val="99"/>
                <w:sz w:val="21"/>
              </w:rPr>
              <w:t>场</w:t>
            </w:r>
          </w:p>
        </w:tc>
        <w:tc>
          <w:tcPr>
            <w:tcW w:w="880" w:type="dxa"/>
            <w:gridSpan w:val="2"/>
          </w:tcPr>
          <w:p>
            <w:pPr>
              <w:pStyle w:val="TableParagraph"/>
              <w:spacing w:before="3"/>
              <w:jc w:val="left"/>
              <w:rPr>
                <w:b/>
                <w:sz w:val="21"/>
              </w:rPr>
            </w:pPr>
          </w:p>
          <w:p>
            <w:pPr>
              <w:pStyle w:val="TableParagraph"/>
              <w:spacing w:line="242" w:lineRule="auto"/>
              <w:ind w:left="230" w:right="219"/>
              <w:jc w:val="left"/>
              <w:rPr>
                <w:sz w:val="21"/>
              </w:rPr>
            </w:pPr>
            <w:r>
              <w:rPr>
                <w:sz w:val="21"/>
              </w:rPr>
              <w:t>工程类别</w:t>
            </w:r>
          </w:p>
        </w:tc>
        <w:tc>
          <w:tcPr>
            <w:tcW w:w="1333" w:type="dxa"/>
          </w:tcPr>
          <w:p>
            <w:pPr>
              <w:pStyle w:val="TableParagraph"/>
              <w:jc w:val="left"/>
              <w:rPr>
                <w:b/>
                <w:sz w:val="20"/>
              </w:rPr>
            </w:pPr>
          </w:p>
          <w:p>
            <w:pPr>
              <w:pStyle w:val="TableParagraph"/>
              <w:spacing w:before="151"/>
              <w:ind w:left="224" w:right="218"/>
              <w:rPr>
                <w:sz w:val="21"/>
              </w:rPr>
            </w:pPr>
            <w:r>
              <w:rPr>
                <w:sz w:val="21"/>
              </w:rPr>
              <w:t>单项工程</w:t>
            </w:r>
          </w:p>
        </w:tc>
        <w:tc>
          <w:tcPr>
            <w:tcW w:w="5652" w:type="dxa"/>
          </w:tcPr>
          <w:p>
            <w:pPr>
              <w:pStyle w:val="TableParagraph"/>
              <w:jc w:val="left"/>
              <w:rPr>
                <w:b/>
                <w:sz w:val="20"/>
              </w:rPr>
            </w:pPr>
          </w:p>
          <w:p>
            <w:pPr>
              <w:pStyle w:val="TableParagraph"/>
              <w:spacing w:before="151"/>
              <w:ind w:left="2383" w:right="2378"/>
              <w:rPr>
                <w:sz w:val="21"/>
              </w:rPr>
            </w:pPr>
            <w:r>
              <w:rPr>
                <w:sz w:val="21"/>
              </w:rPr>
              <w:t>项目概况</w:t>
            </w:r>
          </w:p>
        </w:tc>
        <w:tc>
          <w:tcPr>
            <w:tcW w:w="951" w:type="dxa"/>
          </w:tcPr>
          <w:p>
            <w:pPr>
              <w:pStyle w:val="TableParagraph"/>
              <w:jc w:val="left"/>
              <w:rPr>
                <w:b/>
                <w:sz w:val="20"/>
              </w:rPr>
            </w:pPr>
          </w:p>
          <w:p>
            <w:pPr>
              <w:pStyle w:val="TableParagraph"/>
              <w:spacing w:before="151"/>
              <w:ind w:right="257"/>
              <w:jc w:val="right"/>
              <w:rPr>
                <w:sz w:val="21"/>
              </w:rPr>
            </w:pPr>
            <w:r>
              <w:rPr>
                <w:w w:val="95"/>
                <w:sz w:val="21"/>
              </w:rPr>
              <w:t>备注</w:t>
            </w:r>
          </w:p>
        </w:tc>
      </w:tr>
      <w:tr>
        <w:trPr>
          <w:trHeight w:val="900" w:hRule="atLeast"/>
        </w:trPr>
        <w:tc>
          <w:tcPr>
            <w:tcW w:w="40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7"/>
              </w:rPr>
            </w:pPr>
          </w:p>
          <w:p>
            <w:pPr>
              <w:pStyle w:val="TableParagraph"/>
              <w:spacing w:line="266" w:lineRule="auto"/>
              <w:ind w:left="108" w:right="78"/>
              <w:jc w:val="both"/>
              <w:rPr>
                <w:sz w:val="21"/>
              </w:rPr>
            </w:pPr>
            <w:r>
              <w:rPr>
                <w:sz w:val="21"/>
              </w:rPr>
              <w:t>工业广场</w:t>
            </w:r>
          </w:p>
        </w:tc>
        <w:tc>
          <w:tcPr>
            <w:tcW w:w="40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28"/>
              </w:rPr>
            </w:pPr>
          </w:p>
          <w:p>
            <w:pPr>
              <w:pStyle w:val="TableParagraph"/>
              <w:spacing w:line="266" w:lineRule="auto"/>
              <w:ind w:left="108" w:right="78"/>
              <w:jc w:val="both"/>
              <w:rPr>
                <w:sz w:val="21"/>
              </w:rPr>
            </w:pPr>
            <w:r>
              <w:rPr>
                <w:sz w:val="21"/>
              </w:rPr>
              <w:t>主体工程</w:t>
            </w:r>
          </w:p>
        </w:tc>
        <w:tc>
          <w:tcPr>
            <w:tcW w:w="472"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28"/>
              </w:rPr>
            </w:pPr>
          </w:p>
          <w:p>
            <w:pPr>
              <w:pStyle w:val="TableParagraph"/>
              <w:spacing w:line="266" w:lineRule="auto"/>
              <w:ind w:left="129" w:right="121"/>
              <w:jc w:val="both"/>
              <w:rPr>
                <w:sz w:val="21"/>
              </w:rPr>
            </w:pPr>
            <w:r>
              <w:rPr>
                <w:sz w:val="21"/>
              </w:rPr>
              <w:t>矿井工程</w:t>
            </w:r>
          </w:p>
        </w:tc>
        <w:tc>
          <w:tcPr>
            <w:tcW w:w="1333" w:type="dxa"/>
          </w:tcPr>
          <w:p>
            <w:pPr>
              <w:pStyle w:val="TableParagraph"/>
              <w:spacing w:before="10"/>
              <w:jc w:val="left"/>
              <w:rPr>
                <w:b/>
                <w:sz w:val="25"/>
              </w:rPr>
            </w:pPr>
          </w:p>
          <w:p>
            <w:pPr>
              <w:pStyle w:val="TableParagraph"/>
              <w:ind w:left="206" w:right="218"/>
              <w:rPr>
                <w:sz w:val="21"/>
              </w:rPr>
            </w:pPr>
            <w:r>
              <w:rPr>
                <w:sz w:val="21"/>
              </w:rPr>
              <w:t>主井</w:t>
            </w:r>
          </w:p>
        </w:tc>
        <w:tc>
          <w:tcPr>
            <w:tcW w:w="5652" w:type="dxa"/>
          </w:tcPr>
          <w:p>
            <w:pPr>
              <w:pStyle w:val="TableParagraph"/>
              <w:spacing w:line="300" w:lineRule="exact"/>
              <w:ind w:left="108" w:right="95"/>
              <w:jc w:val="both"/>
              <w:rPr>
                <w:sz w:val="21"/>
              </w:rPr>
            </w:pPr>
            <w:r>
              <w:rPr>
                <w:spacing w:val="-8"/>
                <w:sz w:val="21"/>
              </w:rPr>
              <w:t>井口标高 </w:t>
            </w:r>
            <w:r>
              <w:rPr>
                <w:rFonts w:ascii="Times New Roman" w:hAnsi="Times New Roman" w:eastAsia="Times New Roman"/>
                <w:sz w:val="21"/>
              </w:rPr>
              <w:t>218.5m</w:t>
            </w:r>
            <w:r>
              <w:rPr>
                <w:spacing w:val="-11"/>
                <w:sz w:val="21"/>
              </w:rPr>
              <w:t>，倾角 </w:t>
            </w:r>
            <w:r>
              <w:rPr>
                <w:rFonts w:ascii="Times New Roman" w:hAnsi="Times New Roman" w:eastAsia="Times New Roman"/>
                <w:spacing w:val="2"/>
                <w:sz w:val="21"/>
              </w:rPr>
              <w:t>25°</w:t>
            </w:r>
            <w:r>
              <w:rPr>
                <w:spacing w:val="-11"/>
                <w:sz w:val="21"/>
              </w:rPr>
              <w:t>，斜长 </w:t>
            </w:r>
            <w:r>
              <w:rPr>
                <w:rFonts w:ascii="Times New Roman" w:hAnsi="Times New Roman" w:eastAsia="Times New Roman"/>
                <w:sz w:val="21"/>
              </w:rPr>
              <w:t>880m</w:t>
            </w:r>
            <w:r>
              <w:rPr>
                <w:spacing w:val="3"/>
                <w:sz w:val="21"/>
              </w:rPr>
              <w:t>。主井装备一台钢</w:t>
            </w:r>
            <w:r>
              <w:rPr>
                <w:spacing w:val="-1"/>
                <w:w w:val="95"/>
                <w:sz w:val="21"/>
              </w:rPr>
              <w:t>丝绳芯皮带运输机担负运煤，井筒内敷设洒水、压风管路并 </w:t>
            </w:r>
            <w:r>
              <w:rPr>
                <w:spacing w:val="-1"/>
                <w:sz w:val="21"/>
              </w:rPr>
              <w:t>兼作矿井的安全出口，为本井辅助进入风井。</w:t>
            </w:r>
          </w:p>
        </w:tc>
        <w:tc>
          <w:tcPr>
            <w:tcW w:w="951" w:type="dxa"/>
          </w:tcPr>
          <w:p>
            <w:pPr>
              <w:pStyle w:val="TableParagraph"/>
              <w:spacing w:before="10"/>
              <w:jc w:val="left"/>
              <w:rPr>
                <w:b/>
                <w:sz w:val="25"/>
              </w:rPr>
            </w:pPr>
          </w:p>
          <w:p>
            <w:pPr>
              <w:pStyle w:val="TableParagraph"/>
              <w:ind w:right="257"/>
              <w:jc w:val="right"/>
              <w:rPr>
                <w:sz w:val="21"/>
              </w:rPr>
            </w:pPr>
            <w:r>
              <w:rPr>
                <w:w w:val="95"/>
                <w:sz w:val="21"/>
              </w:rPr>
              <w:t>新建</w:t>
            </w:r>
          </w:p>
        </w:tc>
      </w:tr>
      <w:tr>
        <w:trPr>
          <w:trHeight w:val="150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472" w:type="dxa"/>
            <w:vMerge/>
            <w:tcBorders>
              <w:top w:val="nil"/>
            </w:tcBorders>
          </w:tcPr>
          <w:p>
            <w:pPr>
              <w:rPr>
                <w:sz w:val="2"/>
                <w:szCs w:val="2"/>
              </w:rPr>
            </w:pPr>
          </w:p>
        </w:tc>
        <w:tc>
          <w:tcPr>
            <w:tcW w:w="1333" w:type="dxa"/>
          </w:tcPr>
          <w:p>
            <w:pPr>
              <w:pStyle w:val="TableParagraph"/>
              <w:jc w:val="left"/>
              <w:rPr>
                <w:b/>
                <w:sz w:val="20"/>
              </w:rPr>
            </w:pPr>
          </w:p>
          <w:p>
            <w:pPr>
              <w:pStyle w:val="TableParagraph"/>
              <w:spacing w:before="2"/>
              <w:jc w:val="left"/>
              <w:rPr>
                <w:b/>
                <w:sz w:val="29"/>
              </w:rPr>
            </w:pPr>
          </w:p>
          <w:p>
            <w:pPr>
              <w:pStyle w:val="TableParagraph"/>
              <w:ind w:left="206" w:right="218"/>
              <w:rPr>
                <w:sz w:val="21"/>
              </w:rPr>
            </w:pPr>
            <w:r>
              <w:rPr>
                <w:sz w:val="21"/>
              </w:rPr>
              <w:t>副井</w:t>
            </w:r>
          </w:p>
        </w:tc>
        <w:tc>
          <w:tcPr>
            <w:tcW w:w="5652" w:type="dxa"/>
          </w:tcPr>
          <w:p>
            <w:pPr>
              <w:pStyle w:val="TableParagraph"/>
              <w:spacing w:line="300" w:lineRule="exact"/>
              <w:ind w:left="108" w:right="-15"/>
              <w:jc w:val="left"/>
              <w:rPr>
                <w:sz w:val="21"/>
              </w:rPr>
            </w:pPr>
            <w:r>
              <w:rPr>
                <w:spacing w:val="6"/>
                <w:sz w:val="21"/>
              </w:rPr>
              <w:t>利用源丰矿井已有主井改为资源整合后的副井，井口标高</w:t>
            </w:r>
            <w:r>
              <w:rPr>
                <w:rFonts w:ascii="Times New Roman" w:hAnsi="Times New Roman" w:eastAsia="Times New Roman"/>
                <w:spacing w:val="-4"/>
                <w:sz w:val="21"/>
              </w:rPr>
              <w:t>217.6m</w:t>
            </w:r>
            <w:r>
              <w:rPr>
                <w:spacing w:val="-15"/>
                <w:sz w:val="21"/>
              </w:rPr>
              <w:t>，倾角 </w:t>
            </w:r>
            <w:r>
              <w:rPr>
                <w:rFonts w:ascii="Times New Roman" w:hAnsi="Times New Roman" w:eastAsia="Times New Roman"/>
                <w:spacing w:val="-7"/>
                <w:sz w:val="21"/>
              </w:rPr>
              <w:t>23°</w:t>
            </w:r>
            <w:r>
              <w:rPr>
                <w:spacing w:val="-17"/>
                <w:sz w:val="21"/>
              </w:rPr>
              <w:t>，斜长 </w:t>
            </w:r>
            <w:r>
              <w:rPr>
                <w:rFonts w:ascii="Times New Roman" w:hAnsi="Times New Roman" w:eastAsia="Times New Roman"/>
                <w:sz w:val="21"/>
              </w:rPr>
              <w:t>850m</w:t>
            </w:r>
            <w:r>
              <w:rPr>
                <w:spacing w:val="-14"/>
                <w:sz w:val="21"/>
              </w:rPr>
              <w:t>。井筒铺设 </w:t>
            </w:r>
            <w:r>
              <w:rPr>
                <w:rFonts w:ascii="Times New Roman" w:hAnsi="Times New Roman" w:eastAsia="Times New Roman"/>
                <w:sz w:val="21"/>
              </w:rPr>
              <w:t>24kg/m </w:t>
            </w:r>
            <w:r>
              <w:rPr>
                <w:sz w:val="21"/>
              </w:rPr>
              <w:t>异形轨道， 采用单钩串车提升方式，井筒内敷设洒水、压风、电缆等， </w:t>
            </w:r>
            <w:r>
              <w:rPr>
                <w:spacing w:val="-3"/>
                <w:sz w:val="21"/>
              </w:rPr>
              <w:t>担负矸石提升、升降人员、材料设备等提升任务并兼作矿井主要入风井和安全出口。</w:t>
            </w:r>
          </w:p>
        </w:tc>
        <w:tc>
          <w:tcPr>
            <w:tcW w:w="951" w:type="dxa"/>
          </w:tcPr>
          <w:p>
            <w:pPr>
              <w:pStyle w:val="TableParagraph"/>
              <w:spacing w:line="300" w:lineRule="exact"/>
              <w:ind w:left="158" w:right="151"/>
              <w:jc w:val="both"/>
              <w:rPr>
                <w:sz w:val="21"/>
              </w:rPr>
            </w:pPr>
            <w:r>
              <w:rPr>
                <w:sz w:val="21"/>
              </w:rPr>
              <w:t>依托原源丰矿井已有主井并改造</w:t>
            </w:r>
          </w:p>
        </w:tc>
      </w:tr>
      <w:tr>
        <w:trPr>
          <w:trHeight w:val="150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472" w:type="dxa"/>
            <w:vMerge/>
            <w:tcBorders>
              <w:top w:val="nil"/>
            </w:tcBorders>
          </w:tcPr>
          <w:p>
            <w:pPr>
              <w:rPr>
                <w:sz w:val="2"/>
                <w:szCs w:val="2"/>
              </w:rPr>
            </w:pPr>
          </w:p>
        </w:tc>
        <w:tc>
          <w:tcPr>
            <w:tcW w:w="1333" w:type="dxa"/>
          </w:tcPr>
          <w:p>
            <w:pPr>
              <w:pStyle w:val="TableParagraph"/>
              <w:jc w:val="left"/>
              <w:rPr>
                <w:b/>
                <w:sz w:val="20"/>
              </w:rPr>
            </w:pPr>
          </w:p>
          <w:p>
            <w:pPr>
              <w:pStyle w:val="TableParagraph"/>
              <w:spacing w:before="1"/>
              <w:jc w:val="left"/>
              <w:rPr>
                <w:b/>
                <w:sz w:val="29"/>
              </w:rPr>
            </w:pPr>
          </w:p>
          <w:p>
            <w:pPr>
              <w:pStyle w:val="TableParagraph"/>
              <w:spacing w:before="1"/>
              <w:ind w:left="206" w:right="218"/>
              <w:rPr>
                <w:sz w:val="21"/>
              </w:rPr>
            </w:pPr>
            <w:r>
              <w:rPr>
                <w:sz w:val="21"/>
              </w:rPr>
              <w:t>风井</w:t>
            </w:r>
          </w:p>
        </w:tc>
        <w:tc>
          <w:tcPr>
            <w:tcW w:w="5652" w:type="dxa"/>
          </w:tcPr>
          <w:p>
            <w:pPr>
              <w:pStyle w:val="TableParagraph"/>
              <w:spacing w:before="9"/>
              <w:jc w:val="left"/>
              <w:rPr>
                <w:b/>
                <w:sz w:val="25"/>
              </w:rPr>
            </w:pPr>
          </w:p>
          <w:p>
            <w:pPr>
              <w:pStyle w:val="TableParagraph"/>
              <w:spacing w:line="266" w:lineRule="auto"/>
              <w:ind w:left="108" w:right="95"/>
              <w:jc w:val="both"/>
              <w:rPr>
                <w:sz w:val="21"/>
              </w:rPr>
            </w:pPr>
            <w:r>
              <w:rPr>
                <w:w w:val="95"/>
                <w:sz w:val="21"/>
              </w:rPr>
              <w:t>利用源丰矿井已有风井改为资源整合后的风井，井口标高</w:t>
            </w:r>
            <w:r>
              <w:rPr>
                <w:rFonts w:ascii="Times New Roman" w:hAnsi="Times New Roman" w:eastAsia="Times New Roman"/>
                <w:sz w:val="21"/>
              </w:rPr>
              <w:t>214.22m</w:t>
            </w:r>
            <w:r>
              <w:rPr>
                <w:sz w:val="21"/>
              </w:rPr>
              <w:t>，倾角 </w:t>
            </w:r>
            <w:r>
              <w:rPr>
                <w:rFonts w:ascii="Times New Roman" w:hAnsi="Times New Roman" w:eastAsia="Times New Roman"/>
                <w:sz w:val="21"/>
              </w:rPr>
              <w:t>23°</w:t>
            </w:r>
            <w:r>
              <w:rPr>
                <w:sz w:val="21"/>
              </w:rPr>
              <w:t>，斜长 </w:t>
            </w:r>
            <w:r>
              <w:rPr>
                <w:rFonts w:ascii="Times New Roman" w:hAnsi="Times New Roman" w:eastAsia="Times New Roman"/>
                <w:sz w:val="21"/>
              </w:rPr>
              <w:t>840m</w:t>
            </w:r>
            <w:r>
              <w:rPr>
                <w:sz w:val="21"/>
              </w:rPr>
              <w:t>。担负矿井的回风任务，设有行人台阶，兼作矿井的另 </w:t>
            </w:r>
            <w:r>
              <w:rPr>
                <w:rFonts w:ascii="Times New Roman" w:hAnsi="Times New Roman" w:eastAsia="Times New Roman"/>
                <w:sz w:val="21"/>
              </w:rPr>
              <w:t>1 </w:t>
            </w:r>
            <w:r>
              <w:rPr>
                <w:sz w:val="21"/>
              </w:rPr>
              <w:t>个安全出口。</w:t>
            </w:r>
          </w:p>
        </w:tc>
        <w:tc>
          <w:tcPr>
            <w:tcW w:w="951" w:type="dxa"/>
          </w:tcPr>
          <w:p>
            <w:pPr>
              <w:pStyle w:val="TableParagraph"/>
              <w:spacing w:line="266" w:lineRule="auto" w:before="29"/>
              <w:ind w:left="158" w:right="151"/>
              <w:jc w:val="both"/>
              <w:rPr>
                <w:sz w:val="21"/>
              </w:rPr>
            </w:pPr>
            <w:r>
              <w:rPr>
                <w:spacing w:val="-6"/>
                <w:sz w:val="21"/>
              </w:rPr>
              <w:t>依托原源丰矿井已有</w:t>
            </w:r>
            <w:r>
              <w:rPr>
                <w:spacing w:val="-6"/>
                <w:w w:val="95"/>
                <w:sz w:val="21"/>
              </w:rPr>
              <w:t>副井并</w:t>
            </w:r>
          </w:p>
          <w:p>
            <w:pPr>
              <w:pStyle w:val="TableParagraph"/>
              <w:spacing w:line="250" w:lineRule="exact" w:before="6"/>
              <w:ind w:left="264"/>
              <w:jc w:val="left"/>
              <w:rPr>
                <w:sz w:val="21"/>
              </w:rPr>
            </w:pPr>
            <w:r>
              <w:rPr>
                <w:spacing w:val="-1"/>
                <w:w w:val="95"/>
                <w:sz w:val="21"/>
              </w:rPr>
              <w:t>改造</w:t>
            </w:r>
          </w:p>
        </w:tc>
      </w:tr>
      <w:tr>
        <w:trPr>
          <w:trHeight w:val="697" w:hRule="atLeast"/>
        </w:trPr>
        <w:tc>
          <w:tcPr>
            <w:tcW w:w="408" w:type="dxa"/>
            <w:vMerge/>
            <w:tcBorders>
              <w:top w:val="nil"/>
            </w:tcBorders>
          </w:tcPr>
          <w:p>
            <w:pPr>
              <w:rPr>
                <w:sz w:val="2"/>
                <w:szCs w:val="2"/>
              </w:rPr>
            </w:pPr>
          </w:p>
        </w:tc>
        <w:tc>
          <w:tcPr>
            <w:tcW w:w="408" w:type="dxa"/>
            <w:vMerge w:val="restart"/>
          </w:tcPr>
          <w:p>
            <w:pPr>
              <w:pStyle w:val="TableParagraph"/>
              <w:jc w:val="left"/>
              <w:rPr>
                <w:b/>
                <w:sz w:val="20"/>
              </w:rPr>
            </w:pPr>
          </w:p>
          <w:p>
            <w:pPr>
              <w:pStyle w:val="TableParagraph"/>
              <w:jc w:val="left"/>
              <w:rPr>
                <w:b/>
                <w:sz w:val="20"/>
              </w:rPr>
            </w:pPr>
          </w:p>
          <w:p>
            <w:pPr>
              <w:pStyle w:val="TableParagraph"/>
              <w:spacing w:before="11"/>
              <w:jc w:val="left"/>
              <w:rPr>
                <w:b/>
                <w:sz w:val="18"/>
              </w:rPr>
            </w:pPr>
          </w:p>
          <w:p>
            <w:pPr>
              <w:pStyle w:val="TableParagraph"/>
              <w:spacing w:line="266" w:lineRule="auto"/>
              <w:ind w:left="108" w:right="78"/>
              <w:jc w:val="both"/>
              <w:rPr>
                <w:sz w:val="21"/>
              </w:rPr>
            </w:pPr>
            <w:r>
              <w:rPr>
                <w:sz w:val="21"/>
              </w:rPr>
              <w:t>辅助生产系统</w:t>
            </w:r>
          </w:p>
        </w:tc>
        <w:tc>
          <w:tcPr>
            <w:tcW w:w="1805" w:type="dxa"/>
            <w:gridSpan w:val="2"/>
          </w:tcPr>
          <w:p>
            <w:pPr>
              <w:pStyle w:val="TableParagraph"/>
              <w:spacing w:before="10"/>
              <w:jc w:val="left"/>
              <w:rPr>
                <w:b/>
                <w:sz w:val="17"/>
              </w:rPr>
            </w:pPr>
          </w:p>
          <w:p>
            <w:pPr>
              <w:pStyle w:val="TableParagraph"/>
              <w:ind w:left="108"/>
              <w:jc w:val="left"/>
              <w:rPr>
                <w:sz w:val="21"/>
              </w:rPr>
            </w:pPr>
            <w:r>
              <w:rPr>
                <w:sz w:val="21"/>
              </w:rPr>
              <w:t>矿井辅助设施</w:t>
            </w:r>
          </w:p>
        </w:tc>
        <w:tc>
          <w:tcPr>
            <w:tcW w:w="5652" w:type="dxa"/>
          </w:tcPr>
          <w:p>
            <w:pPr>
              <w:pStyle w:val="TableParagraph"/>
              <w:spacing w:line="266" w:lineRule="auto" w:before="79"/>
              <w:ind w:left="108" w:right="-15"/>
              <w:jc w:val="left"/>
              <w:rPr>
                <w:sz w:val="21"/>
              </w:rPr>
            </w:pPr>
            <w:r>
              <w:rPr>
                <w:spacing w:val="-4"/>
                <w:sz w:val="21"/>
              </w:rPr>
              <w:t>空压机站、日用消防水泵房、设备材料库、修理车间、器材</w:t>
            </w:r>
            <w:r>
              <w:rPr>
                <w:spacing w:val="-13"/>
                <w:w w:val="95"/>
                <w:sz w:val="21"/>
              </w:rPr>
              <w:t>库、器材棚、油脂库、木材加工房、变电所等辅助生产设施。</w:t>
            </w:r>
          </w:p>
        </w:tc>
        <w:tc>
          <w:tcPr>
            <w:tcW w:w="951" w:type="dxa"/>
          </w:tcPr>
          <w:p>
            <w:pPr>
              <w:pStyle w:val="TableParagraph"/>
              <w:spacing w:line="266" w:lineRule="auto" w:before="79"/>
              <w:ind w:left="264" w:right="257"/>
              <w:jc w:val="left"/>
              <w:rPr>
                <w:sz w:val="21"/>
              </w:rPr>
            </w:pPr>
            <w:r>
              <w:rPr>
                <w:sz w:val="21"/>
              </w:rPr>
              <w:t>依托原有</w:t>
            </w:r>
          </w:p>
        </w:tc>
      </w:tr>
      <w:tr>
        <w:trPr>
          <w:trHeight w:val="605"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gridSpan w:val="2"/>
          </w:tcPr>
          <w:p>
            <w:pPr>
              <w:pStyle w:val="TableParagraph"/>
              <w:spacing w:before="166"/>
              <w:ind w:left="108"/>
              <w:jc w:val="left"/>
              <w:rPr>
                <w:sz w:val="21"/>
              </w:rPr>
            </w:pPr>
            <w:r>
              <w:rPr>
                <w:sz w:val="21"/>
              </w:rPr>
              <w:t>采暖、洗浴锅炉房</w:t>
            </w:r>
          </w:p>
        </w:tc>
        <w:tc>
          <w:tcPr>
            <w:tcW w:w="5652" w:type="dxa"/>
          </w:tcPr>
          <w:p>
            <w:pPr>
              <w:pStyle w:val="TableParagraph"/>
              <w:spacing w:line="242" w:lineRule="auto" w:before="31"/>
              <w:ind w:left="108" w:right="34"/>
              <w:jc w:val="left"/>
              <w:rPr>
                <w:sz w:val="21"/>
              </w:rPr>
            </w:pPr>
            <w:r>
              <w:rPr>
                <w:sz w:val="21"/>
              </w:rPr>
              <w:t>工业广场锅炉房设置 </w:t>
            </w:r>
            <w:r>
              <w:rPr>
                <w:rFonts w:ascii="Times New Roman" w:eastAsia="Times New Roman"/>
                <w:sz w:val="21"/>
              </w:rPr>
              <w:t>2 </w:t>
            </w:r>
            <w:r>
              <w:rPr>
                <w:sz w:val="21"/>
              </w:rPr>
              <w:t>台 </w:t>
            </w:r>
            <w:r>
              <w:rPr>
                <w:rFonts w:ascii="Times New Roman" w:eastAsia="Times New Roman"/>
                <w:sz w:val="21"/>
              </w:rPr>
              <w:t>2.8MW </w:t>
            </w:r>
            <w:r>
              <w:rPr>
                <w:sz w:val="21"/>
              </w:rPr>
              <w:t>热水锅炉，为工业场地内建、构筑物的采暖及员工洗浴。</w:t>
            </w:r>
          </w:p>
        </w:tc>
        <w:tc>
          <w:tcPr>
            <w:tcW w:w="951" w:type="dxa"/>
          </w:tcPr>
          <w:p>
            <w:pPr>
              <w:pStyle w:val="TableParagraph"/>
              <w:spacing w:before="166"/>
              <w:ind w:right="257"/>
              <w:jc w:val="right"/>
              <w:rPr>
                <w:sz w:val="21"/>
              </w:rPr>
            </w:pPr>
            <w:r>
              <w:rPr>
                <w:w w:val="95"/>
                <w:sz w:val="21"/>
              </w:rPr>
              <w:t>新建</w:t>
            </w:r>
          </w:p>
        </w:tc>
      </w:tr>
      <w:tr>
        <w:trPr>
          <w:trHeight w:val="599"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gridSpan w:val="2"/>
          </w:tcPr>
          <w:p>
            <w:pPr>
              <w:pStyle w:val="TableParagraph"/>
              <w:spacing w:before="179"/>
              <w:ind w:left="482"/>
              <w:jc w:val="left"/>
              <w:rPr>
                <w:sz w:val="21"/>
              </w:rPr>
            </w:pPr>
            <w:r>
              <w:rPr>
                <w:sz w:val="21"/>
              </w:rPr>
              <w:t>热风炉房</w:t>
            </w:r>
          </w:p>
        </w:tc>
        <w:tc>
          <w:tcPr>
            <w:tcW w:w="5652" w:type="dxa"/>
          </w:tcPr>
          <w:p>
            <w:pPr>
              <w:pStyle w:val="TableParagraph"/>
              <w:spacing w:line="242" w:lineRule="auto" w:before="27"/>
              <w:ind w:left="108" w:right="34"/>
              <w:jc w:val="left"/>
              <w:rPr>
                <w:sz w:val="21"/>
              </w:rPr>
            </w:pPr>
            <w:r>
              <w:rPr>
                <w:sz w:val="21"/>
              </w:rPr>
              <w:t>工业广场热风炉房设置 </w:t>
            </w:r>
            <w:r>
              <w:rPr>
                <w:rFonts w:ascii="Times New Roman" w:eastAsia="Times New Roman"/>
                <w:sz w:val="21"/>
              </w:rPr>
              <w:t>1 </w:t>
            </w:r>
            <w:r>
              <w:rPr>
                <w:sz w:val="21"/>
              </w:rPr>
              <w:t>台 </w:t>
            </w:r>
            <w:r>
              <w:rPr>
                <w:rFonts w:ascii="Times New Roman" w:eastAsia="Times New Roman"/>
                <w:sz w:val="21"/>
              </w:rPr>
              <w:t>4.2MW </w:t>
            </w:r>
            <w:r>
              <w:rPr>
                <w:sz w:val="21"/>
              </w:rPr>
              <w:t>热风炉，燃烧生物质燃料，用于井筒防冻。</w:t>
            </w:r>
          </w:p>
        </w:tc>
        <w:tc>
          <w:tcPr>
            <w:tcW w:w="951" w:type="dxa"/>
          </w:tcPr>
          <w:p>
            <w:pPr>
              <w:pStyle w:val="TableParagraph"/>
              <w:spacing w:before="164"/>
              <w:ind w:right="257"/>
              <w:jc w:val="right"/>
              <w:rPr>
                <w:sz w:val="21"/>
              </w:rPr>
            </w:pPr>
            <w:r>
              <w:rPr>
                <w:w w:val="95"/>
                <w:sz w:val="21"/>
              </w:rPr>
              <w:t>新建</w:t>
            </w:r>
          </w:p>
        </w:tc>
      </w:tr>
      <w:tr>
        <w:trPr>
          <w:trHeight w:val="654"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gridSpan w:val="2"/>
          </w:tcPr>
          <w:p>
            <w:pPr>
              <w:pStyle w:val="TableParagraph"/>
              <w:spacing w:before="165"/>
              <w:ind w:left="482"/>
              <w:jc w:val="left"/>
              <w:rPr>
                <w:sz w:val="21"/>
              </w:rPr>
            </w:pPr>
            <w:r>
              <w:rPr>
                <w:sz w:val="21"/>
              </w:rPr>
              <w:t>筛分车间</w:t>
            </w:r>
          </w:p>
        </w:tc>
        <w:tc>
          <w:tcPr>
            <w:tcW w:w="5652" w:type="dxa"/>
          </w:tcPr>
          <w:p>
            <w:pPr>
              <w:pStyle w:val="TableParagraph"/>
              <w:spacing w:before="2"/>
              <w:ind w:left="108"/>
              <w:jc w:val="left"/>
              <w:rPr>
                <w:sz w:val="21"/>
              </w:rPr>
            </w:pPr>
            <w:r>
              <w:rPr>
                <w:sz w:val="21"/>
              </w:rPr>
              <w:t>筛分车间设置一套布袋除尘器，经布袋除尘器收处理后由排</w:t>
            </w:r>
          </w:p>
          <w:p>
            <w:pPr>
              <w:pStyle w:val="TableParagraph"/>
              <w:spacing w:before="55"/>
              <w:ind w:left="108"/>
              <w:jc w:val="left"/>
              <w:rPr>
                <w:rFonts w:ascii="Times New Roman" w:eastAsia="Times New Roman"/>
                <w:sz w:val="21"/>
              </w:rPr>
            </w:pPr>
            <w:r>
              <w:rPr>
                <w:sz w:val="21"/>
              </w:rPr>
              <w:t>气筒排放，除尘器除尘效率 </w:t>
            </w:r>
            <w:r>
              <w:rPr>
                <w:rFonts w:ascii="Times New Roman" w:eastAsia="Times New Roman"/>
                <w:sz w:val="21"/>
              </w:rPr>
              <w:t>99%</w:t>
            </w:r>
          </w:p>
        </w:tc>
        <w:tc>
          <w:tcPr>
            <w:tcW w:w="951" w:type="dxa"/>
          </w:tcPr>
          <w:p>
            <w:pPr>
              <w:pStyle w:val="TableParagraph"/>
              <w:spacing w:before="165"/>
              <w:ind w:right="257"/>
              <w:jc w:val="right"/>
              <w:rPr>
                <w:sz w:val="21"/>
              </w:rPr>
            </w:pPr>
            <w:r>
              <w:rPr>
                <w:w w:val="95"/>
                <w:sz w:val="21"/>
              </w:rPr>
              <w:t>新建</w:t>
            </w:r>
          </w:p>
        </w:tc>
      </w:tr>
      <w:tr>
        <w:trPr>
          <w:trHeight w:val="652"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gridSpan w:val="2"/>
          </w:tcPr>
          <w:p>
            <w:pPr>
              <w:pStyle w:val="TableParagraph"/>
              <w:spacing w:before="163"/>
              <w:ind w:left="585"/>
              <w:jc w:val="left"/>
              <w:rPr>
                <w:sz w:val="21"/>
              </w:rPr>
            </w:pPr>
            <w:r>
              <w:rPr>
                <w:sz w:val="21"/>
              </w:rPr>
              <w:t>炸药库</w:t>
            </w:r>
          </w:p>
        </w:tc>
        <w:tc>
          <w:tcPr>
            <w:tcW w:w="5652" w:type="dxa"/>
          </w:tcPr>
          <w:p>
            <w:pPr>
              <w:pStyle w:val="TableParagraph"/>
              <w:spacing w:before="190"/>
              <w:ind w:left="108"/>
              <w:jc w:val="left"/>
              <w:rPr>
                <w:rFonts w:ascii="Times New Roman" w:eastAsia="Times New Roman"/>
                <w:sz w:val="21"/>
              </w:rPr>
            </w:pPr>
            <w:r>
              <w:rPr>
                <w:sz w:val="21"/>
              </w:rPr>
              <w:t>炸药库库存量约 </w:t>
            </w:r>
            <w:r>
              <w:rPr>
                <w:rFonts w:ascii="Times New Roman" w:eastAsia="Times New Roman"/>
                <w:sz w:val="21"/>
              </w:rPr>
              <w:t>10t</w:t>
            </w:r>
          </w:p>
        </w:tc>
        <w:tc>
          <w:tcPr>
            <w:tcW w:w="951" w:type="dxa"/>
          </w:tcPr>
          <w:p>
            <w:pPr>
              <w:pStyle w:val="TableParagraph"/>
              <w:ind w:left="264"/>
              <w:jc w:val="left"/>
              <w:rPr>
                <w:sz w:val="21"/>
              </w:rPr>
            </w:pPr>
            <w:r>
              <w:rPr>
                <w:spacing w:val="-1"/>
                <w:w w:val="95"/>
                <w:sz w:val="21"/>
              </w:rPr>
              <w:t>依托</w:t>
            </w:r>
          </w:p>
          <w:p>
            <w:pPr>
              <w:pStyle w:val="TableParagraph"/>
              <w:spacing w:before="57"/>
              <w:ind w:left="264"/>
              <w:jc w:val="left"/>
              <w:rPr>
                <w:sz w:val="21"/>
              </w:rPr>
            </w:pPr>
            <w:r>
              <w:rPr>
                <w:spacing w:val="-1"/>
                <w:w w:val="95"/>
                <w:sz w:val="21"/>
              </w:rPr>
              <w:t>原有</w:t>
            </w:r>
          </w:p>
        </w:tc>
      </w:tr>
      <w:tr>
        <w:trPr>
          <w:trHeight w:val="900" w:hRule="atLeast"/>
        </w:trPr>
        <w:tc>
          <w:tcPr>
            <w:tcW w:w="408" w:type="dxa"/>
            <w:vMerge/>
            <w:tcBorders>
              <w:top w:val="nil"/>
            </w:tcBorders>
          </w:tcPr>
          <w:p>
            <w:pPr>
              <w:rPr>
                <w:sz w:val="2"/>
                <w:szCs w:val="2"/>
              </w:rPr>
            </w:pPr>
          </w:p>
        </w:tc>
        <w:tc>
          <w:tcPr>
            <w:tcW w:w="408" w:type="dxa"/>
            <w:vMerge w:val="restart"/>
          </w:tcPr>
          <w:p>
            <w:pPr>
              <w:pStyle w:val="TableParagraph"/>
              <w:spacing w:line="266" w:lineRule="auto" w:before="91"/>
              <w:ind w:left="108" w:right="78"/>
              <w:jc w:val="both"/>
              <w:rPr>
                <w:sz w:val="21"/>
              </w:rPr>
            </w:pPr>
            <w:r>
              <w:rPr>
                <w:sz w:val="21"/>
              </w:rPr>
              <w:t>储运工程</w:t>
            </w:r>
          </w:p>
        </w:tc>
        <w:tc>
          <w:tcPr>
            <w:tcW w:w="1805" w:type="dxa"/>
            <w:gridSpan w:val="2"/>
          </w:tcPr>
          <w:p>
            <w:pPr>
              <w:pStyle w:val="TableParagraph"/>
              <w:spacing w:before="10"/>
              <w:jc w:val="left"/>
              <w:rPr>
                <w:b/>
                <w:sz w:val="25"/>
              </w:rPr>
            </w:pPr>
          </w:p>
          <w:p>
            <w:pPr>
              <w:pStyle w:val="TableParagraph"/>
              <w:ind w:left="145" w:right="140"/>
              <w:rPr>
                <w:sz w:val="21"/>
              </w:rPr>
            </w:pPr>
            <w:r>
              <w:rPr>
                <w:sz w:val="21"/>
              </w:rPr>
              <w:t>公路</w:t>
            </w:r>
          </w:p>
        </w:tc>
        <w:tc>
          <w:tcPr>
            <w:tcW w:w="5652" w:type="dxa"/>
          </w:tcPr>
          <w:p>
            <w:pPr>
              <w:pStyle w:val="TableParagraph"/>
              <w:spacing w:line="300" w:lineRule="atLeast"/>
              <w:ind w:left="108" w:right="98"/>
              <w:jc w:val="both"/>
              <w:rPr>
                <w:sz w:val="21"/>
              </w:rPr>
            </w:pPr>
            <w:r>
              <w:rPr>
                <w:spacing w:val="-2"/>
                <w:w w:val="95"/>
                <w:sz w:val="21"/>
              </w:rPr>
              <w:t>东盛煤矿位于双鸭山市岭东区长胜乡东兴村，距岭东区居住 </w:t>
            </w:r>
            <w:r>
              <w:rPr>
                <w:spacing w:val="-34"/>
                <w:sz w:val="21"/>
              </w:rPr>
              <w:t>区 </w:t>
            </w:r>
            <w:r>
              <w:rPr>
                <w:rFonts w:ascii="Times New Roman" w:eastAsia="Times New Roman"/>
                <w:spacing w:val="-4"/>
                <w:sz w:val="21"/>
              </w:rPr>
              <w:t>2km</w:t>
            </w:r>
            <w:r>
              <w:rPr>
                <w:spacing w:val="-3"/>
                <w:sz w:val="21"/>
              </w:rPr>
              <w:t>，矿区至高等级公路有简易砂石路连接，路面标准满足生产运输的需要。</w:t>
            </w:r>
          </w:p>
        </w:tc>
        <w:tc>
          <w:tcPr>
            <w:tcW w:w="951" w:type="dxa"/>
          </w:tcPr>
          <w:p>
            <w:pPr>
              <w:pStyle w:val="TableParagraph"/>
              <w:spacing w:line="266" w:lineRule="auto" w:before="180"/>
              <w:ind w:left="108" w:right="413"/>
              <w:jc w:val="left"/>
              <w:rPr>
                <w:sz w:val="21"/>
              </w:rPr>
            </w:pPr>
            <w:r>
              <w:rPr>
                <w:sz w:val="21"/>
              </w:rPr>
              <w:t>依托原有</w:t>
            </w:r>
          </w:p>
        </w:tc>
      </w:tr>
      <w:tr>
        <w:trPr>
          <w:trHeight w:val="407"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gridSpan w:val="2"/>
          </w:tcPr>
          <w:p>
            <w:pPr>
              <w:pStyle w:val="TableParagraph"/>
              <w:spacing w:before="86"/>
              <w:ind w:left="145" w:right="140"/>
              <w:rPr>
                <w:sz w:val="21"/>
              </w:rPr>
            </w:pPr>
            <w:r>
              <w:rPr>
                <w:sz w:val="21"/>
              </w:rPr>
              <w:t>煤仓</w:t>
            </w:r>
          </w:p>
        </w:tc>
        <w:tc>
          <w:tcPr>
            <w:tcW w:w="5652" w:type="dxa"/>
          </w:tcPr>
          <w:p>
            <w:pPr>
              <w:pStyle w:val="TableParagraph"/>
              <w:spacing w:before="86"/>
              <w:ind w:left="108"/>
              <w:jc w:val="left"/>
              <w:rPr>
                <w:sz w:val="21"/>
              </w:rPr>
            </w:pPr>
            <w:r>
              <w:rPr>
                <w:sz w:val="21"/>
              </w:rPr>
              <w:t>工业场地东北。</w:t>
            </w:r>
          </w:p>
        </w:tc>
        <w:tc>
          <w:tcPr>
            <w:tcW w:w="951" w:type="dxa"/>
          </w:tcPr>
          <w:p>
            <w:pPr>
              <w:pStyle w:val="TableParagraph"/>
              <w:spacing w:before="86"/>
              <w:ind w:left="108"/>
              <w:jc w:val="left"/>
              <w:rPr>
                <w:sz w:val="21"/>
              </w:rPr>
            </w:pPr>
            <w:r>
              <w:rPr>
                <w:sz w:val="21"/>
              </w:rPr>
              <w:t>新建</w:t>
            </w:r>
          </w:p>
        </w:tc>
      </w:tr>
    </w:tbl>
    <w:p>
      <w:pPr>
        <w:spacing w:after="0"/>
        <w:jc w:val="left"/>
        <w:rPr>
          <w:sz w:val="21"/>
        </w:rPr>
        <w:sectPr>
          <w:pgSz w:w="11910" w:h="16840"/>
          <w:pgMar w:header="0" w:footer="913" w:top="1340" w:bottom="1180" w:left="940" w:right="940"/>
        </w:sect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
        <w:gridCol w:w="408"/>
        <w:gridCol w:w="1805"/>
        <w:gridCol w:w="5652"/>
        <w:gridCol w:w="951"/>
      </w:tblGrid>
      <w:tr>
        <w:trPr>
          <w:trHeight w:val="980" w:hRule="atLeast"/>
        </w:trPr>
        <w:tc>
          <w:tcPr>
            <w:tcW w:w="408" w:type="dxa"/>
            <w:vMerge w:val="restart"/>
          </w:tcPr>
          <w:p>
            <w:pPr>
              <w:pStyle w:val="TableParagraph"/>
              <w:jc w:val="left"/>
              <w:rPr>
                <w:rFonts w:ascii="Times New Roman"/>
                <w:sz w:val="20"/>
              </w:rPr>
            </w:pPr>
          </w:p>
        </w:tc>
        <w:tc>
          <w:tcPr>
            <w:tcW w:w="408" w:type="dxa"/>
            <w:vMerge w:val="restart"/>
          </w:tcPr>
          <w:p>
            <w:pPr>
              <w:pStyle w:val="TableParagraph"/>
              <w:jc w:val="left"/>
              <w:rPr>
                <w:rFonts w:ascii="Times New Roman"/>
                <w:sz w:val="20"/>
              </w:rPr>
            </w:pPr>
          </w:p>
        </w:tc>
        <w:tc>
          <w:tcPr>
            <w:tcW w:w="1805" w:type="dxa"/>
          </w:tcPr>
          <w:p>
            <w:pPr>
              <w:pStyle w:val="TableParagraph"/>
              <w:spacing w:line="290" w:lineRule="auto" w:before="163"/>
              <w:ind w:left="797" w:right="158" w:hanging="632"/>
              <w:jc w:val="left"/>
              <w:rPr>
                <w:sz w:val="21"/>
              </w:rPr>
            </w:pPr>
            <w:r>
              <w:rPr>
                <w:sz w:val="21"/>
              </w:rPr>
              <w:t>矸石临时堆放场地</w:t>
            </w:r>
          </w:p>
        </w:tc>
        <w:tc>
          <w:tcPr>
            <w:tcW w:w="5652" w:type="dxa"/>
          </w:tcPr>
          <w:p>
            <w:pPr>
              <w:pStyle w:val="TableParagraph"/>
              <w:spacing w:line="290" w:lineRule="auto" w:before="163"/>
              <w:ind w:left="1144" w:right="98" w:hanging="1037"/>
              <w:jc w:val="left"/>
              <w:rPr>
                <w:sz w:val="21"/>
              </w:rPr>
            </w:pPr>
            <w:r>
              <w:rPr>
                <w:spacing w:val="-1"/>
                <w:w w:val="99"/>
                <w:sz w:val="21"/>
              </w:rPr>
              <w:t>矸石临时堆放场地占地面积约</w:t>
            </w:r>
            <w:r>
              <w:rPr>
                <w:spacing w:val="-53"/>
                <w:sz w:val="21"/>
              </w:rPr>
              <w:t> </w:t>
            </w:r>
            <w:r>
              <w:rPr>
                <w:rFonts w:ascii="Times New Roman" w:eastAsia="Times New Roman"/>
                <w:spacing w:val="1"/>
                <w:w w:val="99"/>
                <w:sz w:val="21"/>
              </w:rPr>
              <w:t>131</w:t>
            </w:r>
            <w:r>
              <w:rPr>
                <w:rFonts w:ascii="Times New Roman" w:eastAsia="Times New Roman"/>
                <w:spacing w:val="-2"/>
                <w:w w:val="99"/>
                <w:sz w:val="21"/>
              </w:rPr>
              <w:t>3</w:t>
            </w:r>
            <w:r>
              <w:rPr>
                <w:rFonts w:ascii="Times New Roman" w:eastAsia="Times New Roman"/>
                <w:w w:val="99"/>
                <w:sz w:val="21"/>
              </w:rPr>
              <w:t>m</w:t>
            </w:r>
            <w:r>
              <w:rPr>
                <w:rFonts w:ascii="Times New Roman" w:eastAsia="Times New Roman"/>
                <w:spacing w:val="-2"/>
                <w:w w:val="105"/>
                <w:position w:val="7"/>
                <w:sz w:val="13"/>
              </w:rPr>
              <w:t>2</w:t>
            </w:r>
            <w:r>
              <w:rPr>
                <w:spacing w:val="-12"/>
                <w:w w:val="99"/>
                <w:sz w:val="21"/>
              </w:rPr>
              <w:t>，矸石临时堆放场地周</w:t>
            </w:r>
            <w:r>
              <w:rPr>
                <w:spacing w:val="-12"/>
                <w:sz w:val="21"/>
              </w:rPr>
              <w:t>围设置拦矸坝和截流沟，洒水控制。</w:t>
            </w:r>
          </w:p>
        </w:tc>
        <w:tc>
          <w:tcPr>
            <w:tcW w:w="951" w:type="dxa"/>
          </w:tcPr>
          <w:p>
            <w:pPr>
              <w:pStyle w:val="TableParagraph"/>
              <w:spacing w:line="290" w:lineRule="auto"/>
              <w:ind w:left="158" w:right="151"/>
              <w:jc w:val="left"/>
              <w:rPr>
                <w:sz w:val="21"/>
              </w:rPr>
            </w:pPr>
            <w:r>
              <w:rPr>
                <w:spacing w:val="-6"/>
                <w:sz w:val="21"/>
              </w:rPr>
              <w:t>新建拦</w:t>
            </w:r>
            <w:r>
              <w:rPr>
                <w:spacing w:val="-6"/>
                <w:w w:val="95"/>
                <w:sz w:val="21"/>
              </w:rPr>
              <w:t>矸坝和</w:t>
            </w:r>
          </w:p>
          <w:p>
            <w:pPr>
              <w:pStyle w:val="TableParagraph"/>
              <w:spacing w:before="4"/>
              <w:ind w:left="158"/>
              <w:jc w:val="left"/>
              <w:rPr>
                <w:sz w:val="21"/>
              </w:rPr>
            </w:pPr>
            <w:r>
              <w:rPr>
                <w:w w:val="95"/>
                <w:sz w:val="21"/>
              </w:rPr>
              <w:t>截流沟</w:t>
            </w:r>
          </w:p>
        </w:tc>
      </w:tr>
      <w:tr>
        <w:trPr>
          <w:trHeight w:val="41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before="85"/>
              <w:ind w:left="145" w:right="137"/>
              <w:rPr>
                <w:sz w:val="21"/>
              </w:rPr>
            </w:pPr>
            <w:r>
              <w:rPr>
                <w:sz w:val="21"/>
              </w:rPr>
              <w:t>危废暂存间</w:t>
            </w:r>
          </w:p>
        </w:tc>
        <w:tc>
          <w:tcPr>
            <w:tcW w:w="5652" w:type="dxa"/>
          </w:tcPr>
          <w:p>
            <w:pPr>
              <w:pStyle w:val="TableParagraph"/>
              <w:spacing w:before="85"/>
              <w:ind w:left="108"/>
              <w:jc w:val="left"/>
              <w:rPr>
                <w:sz w:val="21"/>
              </w:rPr>
            </w:pPr>
            <w:r>
              <w:rPr>
                <w:sz w:val="21"/>
              </w:rPr>
              <w:t>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c>
          <w:tcPr>
            <w:tcW w:w="951" w:type="dxa"/>
          </w:tcPr>
          <w:p>
            <w:pPr>
              <w:pStyle w:val="TableParagraph"/>
              <w:spacing w:before="85"/>
              <w:ind w:left="243" w:right="238"/>
              <w:rPr>
                <w:sz w:val="21"/>
              </w:rPr>
            </w:pPr>
            <w:r>
              <w:rPr>
                <w:sz w:val="21"/>
              </w:rPr>
              <w:t>新建</w:t>
            </w:r>
          </w:p>
        </w:tc>
      </w:tr>
      <w:tr>
        <w:trPr>
          <w:trHeight w:val="1200" w:hRule="atLeast"/>
        </w:trPr>
        <w:tc>
          <w:tcPr>
            <w:tcW w:w="408" w:type="dxa"/>
            <w:vMerge/>
            <w:tcBorders>
              <w:top w:val="nil"/>
            </w:tcBorders>
          </w:tcPr>
          <w:p>
            <w:pPr>
              <w:rPr>
                <w:sz w:val="2"/>
                <w:szCs w:val="2"/>
              </w:rPr>
            </w:pPr>
          </w:p>
        </w:tc>
        <w:tc>
          <w:tcPr>
            <w:tcW w:w="40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16"/>
              </w:rPr>
            </w:pPr>
          </w:p>
          <w:p>
            <w:pPr>
              <w:pStyle w:val="TableParagraph"/>
              <w:spacing w:line="266" w:lineRule="auto"/>
              <w:ind w:left="108" w:right="78"/>
              <w:jc w:val="both"/>
              <w:rPr>
                <w:sz w:val="21"/>
              </w:rPr>
            </w:pPr>
            <w:r>
              <w:rPr>
                <w:sz w:val="21"/>
              </w:rPr>
              <w:t>公用工程</w:t>
            </w:r>
          </w:p>
        </w:tc>
        <w:tc>
          <w:tcPr>
            <w:tcW w:w="1805" w:type="dxa"/>
          </w:tcPr>
          <w:p>
            <w:pPr>
              <w:pStyle w:val="TableParagraph"/>
              <w:jc w:val="left"/>
              <w:rPr>
                <w:b/>
                <w:sz w:val="20"/>
              </w:rPr>
            </w:pPr>
          </w:p>
          <w:p>
            <w:pPr>
              <w:pStyle w:val="TableParagraph"/>
              <w:spacing w:before="7"/>
              <w:jc w:val="left"/>
              <w:rPr>
                <w:b/>
                <w:sz w:val="17"/>
              </w:rPr>
            </w:pPr>
          </w:p>
          <w:p>
            <w:pPr>
              <w:pStyle w:val="TableParagraph"/>
              <w:ind w:left="145" w:right="140"/>
              <w:rPr>
                <w:sz w:val="21"/>
              </w:rPr>
            </w:pPr>
            <w:r>
              <w:rPr>
                <w:sz w:val="21"/>
              </w:rPr>
              <w:t>供电</w:t>
            </w:r>
          </w:p>
        </w:tc>
        <w:tc>
          <w:tcPr>
            <w:tcW w:w="5652" w:type="dxa"/>
          </w:tcPr>
          <w:p>
            <w:pPr>
              <w:pStyle w:val="TableParagraph"/>
              <w:spacing w:line="300" w:lineRule="exact"/>
              <w:ind w:left="108" w:right="69"/>
              <w:jc w:val="both"/>
              <w:rPr>
                <w:sz w:val="21"/>
              </w:rPr>
            </w:pPr>
            <w:r>
              <w:rPr>
                <w:sz w:val="21"/>
              </w:rPr>
              <w:t>矿井供电现有双回路电源，分别引自双矿集团供电公司岭东变电所东三线路、东四线路，电压等级 </w:t>
            </w:r>
            <w:r>
              <w:rPr>
                <w:rFonts w:ascii="Times New Roman" w:eastAsia="Times New Roman"/>
                <w:sz w:val="21"/>
              </w:rPr>
              <w:t>10 kV</w:t>
            </w:r>
            <w:r>
              <w:rPr>
                <w:sz w:val="21"/>
              </w:rPr>
              <w:t>，供电电源可靠。采用双回路砼杆架设架空线 </w:t>
            </w:r>
            <w:r>
              <w:rPr>
                <w:rFonts w:ascii="Times New Roman" w:eastAsia="Times New Roman"/>
                <w:sz w:val="21"/>
              </w:rPr>
              <w:t>LGJ-120 mm</w:t>
            </w:r>
            <w:r>
              <w:rPr>
                <w:rFonts w:ascii="Times New Roman" w:eastAsia="Times New Roman"/>
                <w:position w:val="7"/>
                <w:sz w:val="13"/>
              </w:rPr>
              <w:t>2 </w:t>
            </w:r>
            <w:r>
              <w:rPr>
                <w:sz w:val="21"/>
              </w:rPr>
              <w:t>至矿井变电所，供电距离 </w:t>
            </w:r>
            <w:r>
              <w:rPr>
                <w:rFonts w:ascii="Times New Roman" w:eastAsia="Times New Roman"/>
                <w:sz w:val="21"/>
              </w:rPr>
              <w:t>3km</w:t>
            </w:r>
            <w:r>
              <w:rPr>
                <w:sz w:val="21"/>
              </w:rPr>
              <w:t>，变电所及供电线路满足矿井扩容需要。</w:t>
            </w:r>
          </w:p>
        </w:tc>
        <w:tc>
          <w:tcPr>
            <w:tcW w:w="951" w:type="dxa"/>
          </w:tcPr>
          <w:p>
            <w:pPr>
              <w:pStyle w:val="TableParagraph"/>
              <w:spacing w:before="9"/>
              <w:jc w:val="left"/>
              <w:rPr>
                <w:b/>
                <w:sz w:val="25"/>
              </w:rPr>
            </w:pPr>
          </w:p>
          <w:p>
            <w:pPr>
              <w:pStyle w:val="TableParagraph"/>
              <w:spacing w:line="266" w:lineRule="auto"/>
              <w:ind w:left="264" w:right="257"/>
              <w:jc w:val="left"/>
              <w:rPr>
                <w:sz w:val="21"/>
              </w:rPr>
            </w:pPr>
            <w:r>
              <w:rPr>
                <w:sz w:val="21"/>
              </w:rPr>
              <w:t>依托原有</w:t>
            </w:r>
          </w:p>
        </w:tc>
      </w:tr>
      <w:tr>
        <w:trPr>
          <w:trHeight w:val="69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before="6"/>
              <w:jc w:val="left"/>
              <w:rPr>
                <w:b/>
                <w:sz w:val="17"/>
              </w:rPr>
            </w:pPr>
          </w:p>
          <w:p>
            <w:pPr>
              <w:pStyle w:val="TableParagraph"/>
              <w:ind w:left="145" w:right="137"/>
              <w:rPr>
                <w:sz w:val="21"/>
              </w:rPr>
            </w:pPr>
            <w:r>
              <w:rPr>
                <w:sz w:val="21"/>
              </w:rPr>
              <w:t>供水水源</w:t>
            </w:r>
          </w:p>
        </w:tc>
        <w:tc>
          <w:tcPr>
            <w:tcW w:w="5652" w:type="dxa"/>
          </w:tcPr>
          <w:p>
            <w:pPr>
              <w:pStyle w:val="TableParagraph"/>
              <w:spacing w:line="300" w:lineRule="atLeast" w:before="44"/>
              <w:ind w:left="108" w:right="74"/>
              <w:jc w:val="left"/>
              <w:rPr>
                <w:sz w:val="21"/>
              </w:rPr>
            </w:pPr>
            <w:r>
              <w:rPr>
                <w:w w:val="95"/>
                <w:sz w:val="21"/>
              </w:rPr>
              <w:t>本矿井生活用水为水源井以及部分处理后回用的矿井涌水， </w:t>
            </w:r>
            <w:r>
              <w:rPr>
                <w:sz w:val="21"/>
              </w:rPr>
              <w:t>生产及其他用水为处理后回用的矿井涌水。</w:t>
            </w:r>
          </w:p>
        </w:tc>
        <w:tc>
          <w:tcPr>
            <w:tcW w:w="951" w:type="dxa"/>
          </w:tcPr>
          <w:p>
            <w:pPr>
              <w:pStyle w:val="TableParagraph"/>
              <w:spacing w:line="300" w:lineRule="atLeast" w:before="44"/>
              <w:ind w:left="264" w:right="257"/>
              <w:jc w:val="left"/>
              <w:rPr>
                <w:sz w:val="21"/>
              </w:rPr>
            </w:pPr>
            <w:r>
              <w:rPr>
                <w:sz w:val="21"/>
              </w:rPr>
              <w:t>依托原有</w:t>
            </w:r>
          </w:p>
        </w:tc>
      </w:tr>
      <w:tr>
        <w:trPr>
          <w:trHeight w:val="120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jc w:val="left"/>
              <w:rPr>
                <w:b/>
                <w:sz w:val="20"/>
              </w:rPr>
            </w:pPr>
          </w:p>
          <w:p>
            <w:pPr>
              <w:pStyle w:val="TableParagraph"/>
              <w:spacing w:before="5"/>
              <w:jc w:val="left"/>
              <w:rPr>
                <w:b/>
                <w:sz w:val="17"/>
              </w:rPr>
            </w:pPr>
          </w:p>
          <w:p>
            <w:pPr>
              <w:pStyle w:val="TableParagraph"/>
              <w:ind w:left="145" w:right="140"/>
              <w:rPr>
                <w:sz w:val="21"/>
              </w:rPr>
            </w:pPr>
            <w:r>
              <w:rPr>
                <w:sz w:val="21"/>
              </w:rPr>
              <w:t>通讯</w:t>
            </w:r>
          </w:p>
        </w:tc>
        <w:tc>
          <w:tcPr>
            <w:tcW w:w="5652" w:type="dxa"/>
          </w:tcPr>
          <w:p>
            <w:pPr>
              <w:pStyle w:val="TableParagraph"/>
              <w:spacing w:line="300" w:lineRule="exact"/>
              <w:ind w:left="108" w:right="95"/>
              <w:jc w:val="both"/>
              <w:rPr>
                <w:sz w:val="21"/>
              </w:rPr>
            </w:pPr>
            <w:r>
              <w:rPr>
                <w:spacing w:val="-2"/>
                <w:w w:val="95"/>
                <w:sz w:val="21"/>
              </w:rPr>
              <w:t>本矿井位于岭东区长胜乡东兴村境内，随着当前电信业的发 </w:t>
            </w:r>
            <w:r>
              <w:rPr>
                <w:spacing w:val="-5"/>
                <w:w w:val="95"/>
                <w:sz w:val="21"/>
              </w:rPr>
              <w:t>展，移动、联通、网通的全面覆盖，矿井行政通讯依托当地 </w:t>
            </w:r>
            <w:r>
              <w:rPr>
                <w:spacing w:val="-2"/>
                <w:sz w:val="21"/>
              </w:rPr>
              <w:t>市话网，由地方配置。矿井内部通信设 </w:t>
            </w:r>
            <w:r>
              <w:rPr>
                <w:rFonts w:ascii="Times New Roman" w:eastAsia="Times New Roman"/>
                <w:sz w:val="21"/>
              </w:rPr>
              <w:t>1 </w:t>
            </w:r>
            <w:r>
              <w:rPr>
                <w:spacing w:val="-28"/>
                <w:sz w:val="21"/>
              </w:rPr>
              <w:t>台 </w:t>
            </w:r>
            <w:r>
              <w:rPr>
                <w:rFonts w:ascii="Times New Roman" w:eastAsia="Times New Roman"/>
                <w:sz w:val="21"/>
              </w:rPr>
              <w:t>64 </w:t>
            </w:r>
            <w:r>
              <w:rPr>
                <w:spacing w:val="3"/>
                <w:sz w:val="21"/>
              </w:rPr>
              <w:t>门程控交换机作为行政用与调度总机。通信条件便利。</w:t>
            </w:r>
          </w:p>
        </w:tc>
        <w:tc>
          <w:tcPr>
            <w:tcW w:w="951" w:type="dxa"/>
          </w:tcPr>
          <w:p>
            <w:pPr>
              <w:pStyle w:val="TableParagraph"/>
              <w:spacing w:before="10"/>
              <w:jc w:val="left"/>
              <w:rPr>
                <w:b/>
                <w:sz w:val="25"/>
              </w:rPr>
            </w:pPr>
          </w:p>
          <w:p>
            <w:pPr>
              <w:pStyle w:val="TableParagraph"/>
              <w:spacing w:line="266" w:lineRule="auto"/>
              <w:ind w:left="264" w:right="257"/>
              <w:jc w:val="left"/>
              <w:rPr>
                <w:sz w:val="21"/>
              </w:rPr>
            </w:pPr>
            <w:r>
              <w:rPr>
                <w:sz w:val="21"/>
              </w:rPr>
              <w:t>依托原有</w:t>
            </w:r>
          </w:p>
        </w:tc>
      </w:tr>
      <w:tr>
        <w:trPr>
          <w:trHeight w:val="60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before="1"/>
              <w:jc w:val="left"/>
              <w:rPr>
                <w:b/>
                <w:sz w:val="14"/>
              </w:rPr>
            </w:pPr>
          </w:p>
          <w:p>
            <w:pPr>
              <w:pStyle w:val="TableParagraph"/>
              <w:spacing w:before="1"/>
              <w:ind w:left="145" w:right="140"/>
              <w:rPr>
                <w:sz w:val="21"/>
              </w:rPr>
            </w:pPr>
            <w:r>
              <w:rPr>
                <w:sz w:val="21"/>
              </w:rPr>
              <w:t>行政与公共设施</w:t>
            </w:r>
          </w:p>
        </w:tc>
        <w:tc>
          <w:tcPr>
            <w:tcW w:w="5652" w:type="dxa"/>
          </w:tcPr>
          <w:p>
            <w:pPr>
              <w:pStyle w:val="TableParagraph"/>
              <w:spacing w:before="1"/>
              <w:jc w:val="left"/>
              <w:rPr>
                <w:b/>
                <w:sz w:val="14"/>
              </w:rPr>
            </w:pPr>
          </w:p>
          <w:p>
            <w:pPr>
              <w:pStyle w:val="TableParagraph"/>
              <w:spacing w:before="1"/>
              <w:ind w:left="108"/>
              <w:jc w:val="left"/>
              <w:rPr>
                <w:sz w:val="21"/>
              </w:rPr>
            </w:pPr>
            <w:r>
              <w:rPr>
                <w:sz w:val="21"/>
              </w:rPr>
              <w:t>综合办公室、更衣室、浴室、食堂等场区设施等。</w:t>
            </w:r>
          </w:p>
        </w:tc>
        <w:tc>
          <w:tcPr>
            <w:tcW w:w="951" w:type="dxa"/>
          </w:tcPr>
          <w:p>
            <w:pPr>
              <w:pStyle w:val="TableParagraph"/>
              <w:spacing w:line="300" w:lineRule="exact"/>
              <w:ind w:left="264" w:right="257"/>
              <w:jc w:val="left"/>
              <w:rPr>
                <w:sz w:val="21"/>
              </w:rPr>
            </w:pPr>
            <w:r>
              <w:rPr>
                <w:sz w:val="21"/>
              </w:rPr>
              <w:t>依托原有</w:t>
            </w:r>
          </w:p>
        </w:tc>
      </w:tr>
      <w:tr>
        <w:trPr>
          <w:trHeight w:val="382"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before="70"/>
              <w:ind w:left="145" w:right="137"/>
              <w:rPr>
                <w:sz w:val="21"/>
              </w:rPr>
            </w:pPr>
            <w:r>
              <w:rPr>
                <w:sz w:val="21"/>
              </w:rPr>
              <w:t>消防水池</w:t>
            </w:r>
          </w:p>
        </w:tc>
        <w:tc>
          <w:tcPr>
            <w:tcW w:w="5652" w:type="dxa"/>
          </w:tcPr>
          <w:p>
            <w:pPr>
              <w:pStyle w:val="TableParagraph"/>
              <w:spacing w:before="70"/>
              <w:ind w:left="108"/>
              <w:jc w:val="left"/>
              <w:rPr>
                <w:rFonts w:ascii="Times New Roman" w:eastAsia="Times New Roman"/>
                <w:sz w:val="13"/>
              </w:rPr>
            </w:pPr>
            <w:r>
              <w:rPr>
                <w:sz w:val="21"/>
              </w:rPr>
              <w:t>地面消防水池 </w:t>
            </w:r>
            <w:r>
              <w:rPr>
                <w:rFonts w:ascii="Times New Roman" w:eastAsia="Times New Roman"/>
                <w:sz w:val="21"/>
              </w:rPr>
              <w:t>300m</w:t>
            </w:r>
            <w:r>
              <w:rPr>
                <w:rFonts w:ascii="Times New Roman" w:eastAsia="Times New Roman"/>
                <w:position w:val="7"/>
                <w:sz w:val="13"/>
              </w:rPr>
              <w:t>3</w:t>
            </w:r>
          </w:p>
        </w:tc>
        <w:tc>
          <w:tcPr>
            <w:tcW w:w="951" w:type="dxa"/>
          </w:tcPr>
          <w:p>
            <w:pPr>
              <w:pStyle w:val="TableParagraph"/>
              <w:spacing w:before="70"/>
              <w:ind w:left="243" w:right="238"/>
              <w:rPr>
                <w:sz w:val="21"/>
              </w:rPr>
            </w:pPr>
            <w:r>
              <w:rPr>
                <w:sz w:val="21"/>
              </w:rPr>
              <w:t>新建</w:t>
            </w:r>
          </w:p>
        </w:tc>
      </w:tr>
      <w:tr>
        <w:trPr>
          <w:trHeight w:val="1200" w:hRule="atLeast"/>
        </w:trPr>
        <w:tc>
          <w:tcPr>
            <w:tcW w:w="408" w:type="dxa"/>
            <w:vMerge/>
            <w:tcBorders>
              <w:top w:val="nil"/>
            </w:tcBorders>
          </w:tcPr>
          <w:p>
            <w:pPr>
              <w:rPr>
                <w:sz w:val="2"/>
                <w:szCs w:val="2"/>
              </w:rPr>
            </w:pPr>
          </w:p>
        </w:tc>
        <w:tc>
          <w:tcPr>
            <w:tcW w:w="408"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6"/>
              <w:jc w:val="left"/>
              <w:rPr>
                <w:b/>
                <w:sz w:val="24"/>
              </w:rPr>
            </w:pPr>
          </w:p>
          <w:p>
            <w:pPr>
              <w:pStyle w:val="TableParagraph"/>
              <w:spacing w:line="338" w:lineRule="auto"/>
              <w:ind w:left="108" w:right="78"/>
              <w:jc w:val="both"/>
              <w:rPr>
                <w:sz w:val="21"/>
              </w:rPr>
            </w:pPr>
            <w:r>
              <w:rPr>
                <w:sz w:val="21"/>
              </w:rPr>
              <w:t>环保工程</w:t>
            </w:r>
          </w:p>
        </w:tc>
        <w:tc>
          <w:tcPr>
            <w:tcW w:w="1805" w:type="dxa"/>
          </w:tcPr>
          <w:p>
            <w:pPr>
              <w:pStyle w:val="TableParagraph"/>
              <w:jc w:val="left"/>
              <w:rPr>
                <w:b/>
                <w:sz w:val="20"/>
              </w:rPr>
            </w:pPr>
          </w:p>
          <w:p>
            <w:pPr>
              <w:pStyle w:val="TableParagraph"/>
              <w:spacing w:before="4"/>
              <w:jc w:val="left"/>
              <w:rPr>
                <w:b/>
                <w:sz w:val="19"/>
              </w:rPr>
            </w:pPr>
          </w:p>
          <w:p>
            <w:pPr>
              <w:pStyle w:val="TableParagraph"/>
              <w:ind w:left="145" w:right="137"/>
              <w:rPr>
                <w:sz w:val="21"/>
              </w:rPr>
            </w:pPr>
            <w:r>
              <w:rPr>
                <w:sz w:val="21"/>
              </w:rPr>
              <w:t>大气工程</w:t>
            </w:r>
          </w:p>
        </w:tc>
        <w:tc>
          <w:tcPr>
            <w:tcW w:w="5652" w:type="dxa"/>
          </w:tcPr>
          <w:p>
            <w:pPr>
              <w:pStyle w:val="TableParagraph"/>
              <w:spacing w:line="300" w:lineRule="atLeast"/>
              <w:ind w:left="108" w:right="-15"/>
              <w:jc w:val="left"/>
              <w:rPr>
                <w:sz w:val="21"/>
              </w:rPr>
            </w:pPr>
            <w:r>
              <w:rPr>
                <w:spacing w:val="-6"/>
                <w:sz w:val="21"/>
              </w:rPr>
              <w:t>工业广场锅炉房设置 </w:t>
            </w:r>
            <w:r>
              <w:rPr>
                <w:rFonts w:ascii="Times New Roman" w:eastAsia="Times New Roman"/>
                <w:sz w:val="21"/>
              </w:rPr>
              <w:t>2 </w:t>
            </w:r>
            <w:r>
              <w:rPr>
                <w:spacing w:val="-26"/>
                <w:sz w:val="21"/>
              </w:rPr>
              <w:t>台 </w:t>
            </w:r>
            <w:r>
              <w:rPr>
                <w:rFonts w:ascii="Times New Roman" w:eastAsia="Times New Roman"/>
                <w:sz w:val="21"/>
              </w:rPr>
              <w:t>2.8MW</w:t>
            </w:r>
            <w:r>
              <w:rPr>
                <w:rFonts w:ascii="Times New Roman" w:eastAsia="Times New Roman"/>
                <w:spacing w:val="4"/>
                <w:sz w:val="21"/>
              </w:rPr>
              <w:t> </w:t>
            </w:r>
            <w:r>
              <w:rPr>
                <w:sz w:val="21"/>
              </w:rPr>
              <w:t>热水锅炉，锅炉燃烧生物</w:t>
            </w:r>
            <w:r>
              <w:rPr>
                <w:spacing w:val="-12"/>
                <w:sz w:val="21"/>
              </w:rPr>
              <w:t>质，烟囱高为 </w:t>
            </w:r>
            <w:r>
              <w:rPr>
                <w:rFonts w:ascii="Times New Roman" w:eastAsia="Times New Roman"/>
                <w:sz w:val="21"/>
              </w:rPr>
              <w:t>35m</w:t>
            </w:r>
            <w:r>
              <w:rPr>
                <w:spacing w:val="-2"/>
                <w:sz w:val="21"/>
              </w:rPr>
              <w:t>，配套布袋除尘器。工业广场热风炉房设</w:t>
            </w:r>
            <w:r>
              <w:rPr>
                <w:spacing w:val="-29"/>
                <w:sz w:val="21"/>
              </w:rPr>
              <w:t>置 </w:t>
            </w:r>
            <w:r>
              <w:rPr>
                <w:rFonts w:ascii="Times New Roman" w:eastAsia="Times New Roman"/>
                <w:sz w:val="21"/>
              </w:rPr>
              <w:t>1</w:t>
            </w:r>
            <w:r>
              <w:rPr>
                <w:rFonts w:ascii="Times New Roman" w:eastAsia="Times New Roman"/>
                <w:spacing w:val="-1"/>
                <w:sz w:val="21"/>
              </w:rPr>
              <w:t> </w:t>
            </w:r>
            <w:r>
              <w:rPr>
                <w:spacing w:val="-28"/>
                <w:sz w:val="21"/>
              </w:rPr>
              <w:t>台 </w:t>
            </w:r>
            <w:r>
              <w:rPr>
                <w:rFonts w:ascii="Times New Roman" w:eastAsia="Times New Roman"/>
                <w:sz w:val="21"/>
              </w:rPr>
              <w:t>4.2MW </w:t>
            </w:r>
            <w:r>
              <w:rPr>
                <w:spacing w:val="-10"/>
                <w:sz w:val="21"/>
              </w:rPr>
              <w:t>热风炉，燃烧生物质燃料，烟囱高度为 </w:t>
            </w:r>
            <w:r>
              <w:rPr>
                <w:rFonts w:ascii="Times New Roman" w:eastAsia="Times New Roman"/>
                <w:sz w:val="21"/>
              </w:rPr>
              <w:t>35m</w:t>
            </w:r>
            <w:r>
              <w:rPr>
                <w:sz w:val="21"/>
              </w:rPr>
              <w:t>， 配套布袋除尘器。</w:t>
            </w:r>
          </w:p>
        </w:tc>
        <w:tc>
          <w:tcPr>
            <w:tcW w:w="951" w:type="dxa"/>
          </w:tcPr>
          <w:p>
            <w:pPr>
              <w:pStyle w:val="TableParagraph"/>
              <w:jc w:val="left"/>
              <w:rPr>
                <w:b/>
                <w:sz w:val="20"/>
              </w:rPr>
            </w:pPr>
          </w:p>
          <w:p>
            <w:pPr>
              <w:pStyle w:val="TableParagraph"/>
              <w:spacing w:before="12"/>
              <w:jc w:val="left"/>
              <w:rPr>
                <w:b/>
                <w:sz w:val="18"/>
              </w:rPr>
            </w:pPr>
          </w:p>
          <w:p>
            <w:pPr>
              <w:pStyle w:val="TableParagraph"/>
              <w:ind w:left="243" w:right="238"/>
              <w:rPr>
                <w:sz w:val="21"/>
              </w:rPr>
            </w:pPr>
            <w:r>
              <w:rPr>
                <w:sz w:val="21"/>
              </w:rPr>
              <w:t>新建</w:t>
            </w:r>
          </w:p>
        </w:tc>
      </w:tr>
      <w:tr>
        <w:trPr>
          <w:trHeight w:val="421"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bottom w:val="nil"/>
            </w:tcBorders>
          </w:tcPr>
          <w:p>
            <w:pPr>
              <w:pStyle w:val="TableParagraph"/>
              <w:jc w:val="left"/>
              <w:rPr>
                <w:rFonts w:ascii="Times New Roman"/>
                <w:sz w:val="20"/>
              </w:rPr>
            </w:pPr>
          </w:p>
        </w:tc>
        <w:tc>
          <w:tcPr>
            <w:tcW w:w="5652" w:type="dxa"/>
            <w:tcBorders>
              <w:bottom w:val="nil"/>
            </w:tcBorders>
          </w:tcPr>
          <w:p>
            <w:pPr>
              <w:pStyle w:val="TableParagraph"/>
              <w:spacing w:before="93"/>
              <w:ind w:left="108"/>
              <w:jc w:val="left"/>
              <w:rPr>
                <w:sz w:val="21"/>
              </w:rPr>
            </w:pPr>
            <w:r>
              <w:rPr>
                <w:spacing w:val="-17"/>
                <w:sz w:val="21"/>
              </w:rPr>
              <w:t>（</w:t>
            </w:r>
            <w:r>
              <w:rPr>
                <w:rFonts w:ascii="Times New Roman" w:eastAsia="Times New Roman"/>
                <w:spacing w:val="-17"/>
                <w:sz w:val="21"/>
              </w:rPr>
              <w:t>1</w:t>
            </w:r>
            <w:r>
              <w:rPr>
                <w:spacing w:val="-17"/>
                <w:sz w:val="21"/>
              </w:rPr>
              <w:t>）</w:t>
            </w:r>
            <w:r>
              <w:rPr>
                <w:spacing w:val="-8"/>
                <w:sz w:val="21"/>
              </w:rPr>
              <w:t>新建处理能力为 </w:t>
            </w:r>
            <w:r>
              <w:rPr>
                <w:rFonts w:ascii="Times New Roman" w:eastAsia="Times New Roman"/>
                <w:sz w:val="21"/>
              </w:rPr>
              <w:t>720m</w:t>
            </w:r>
            <w:r>
              <w:rPr>
                <w:rFonts w:ascii="Times New Roman" w:eastAsia="Times New Roman"/>
                <w:position w:val="7"/>
                <w:sz w:val="13"/>
              </w:rPr>
              <w:t>3</w:t>
            </w:r>
            <w:r>
              <w:rPr>
                <w:rFonts w:ascii="Times New Roman" w:eastAsia="Times New Roman"/>
                <w:sz w:val="21"/>
              </w:rPr>
              <w:t>/d </w:t>
            </w:r>
            <w:r>
              <w:rPr>
                <w:spacing w:val="-7"/>
                <w:sz w:val="21"/>
              </w:rPr>
              <w:t>的矿井水处理站，处理后的井</w:t>
            </w:r>
          </w:p>
        </w:tc>
        <w:tc>
          <w:tcPr>
            <w:tcW w:w="951" w:type="dxa"/>
            <w:tcBorders>
              <w:bottom w:val="nil"/>
            </w:tcBorders>
          </w:tcPr>
          <w:p>
            <w:pPr>
              <w:pStyle w:val="TableParagraph"/>
              <w:jc w:val="left"/>
              <w:rPr>
                <w:rFonts w:ascii="Times New Roman"/>
                <w:sz w:val="20"/>
              </w:rPr>
            </w:pPr>
          </w:p>
        </w:tc>
      </w:tr>
      <w:tr>
        <w:trPr>
          <w:trHeight w:val="362"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bottom w:val="nil"/>
            </w:tcBorders>
          </w:tcPr>
          <w:p>
            <w:pPr>
              <w:pStyle w:val="TableParagraph"/>
              <w:jc w:val="left"/>
              <w:rPr>
                <w:rFonts w:ascii="Times New Roman"/>
                <w:sz w:val="20"/>
              </w:rPr>
            </w:pPr>
          </w:p>
        </w:tc>
        <w:tc>
          <w:tcPr>
            <w:tcW w:w="5652" w:type="dxa"/>
            <w:tcBorders>
              <w:top w:val="nil"/>
              <w:bottom w:val="nil"/>
            </w:tcBorders>
          </w:tcPr>
          <w:p>
            <w:pPr>
              <w:pStyle w:val="TableParagraph"/>
              <w:spacing w:before="43"/>
              <w:ind w:left="108"/>
              <w:jc w:val="left"/>
              <w:rPr>
                <w:sz w:val="21"/>
              </w:rPr>
            </w:pPr>
            <w:r>
              <w:rPr>
                <w:sz w:val="21"/>
              </w:rPr>
              <w:t>下排水水质达到井下消防洒水用水的水质标准，回用于井下</w:t>
            </w:r>
          </w:p>
        </w:tc>
        <w:tc>
          <w:tcPr>
            <w:tcW w:w="951" w:type="dxa"/>
            <w:tcBorders>
              <w:top w:val="nil"/>
              <w:bottom w:val="nil"/>
            </w:tcBorders>
          </w:tcPr>
          <w:p>
            <w:pPr>
              <w:pStyle w:val="TableParagraph"/>
              <w:jc w:val="left"/>
              <w:rPr>
                <w:rFonts w:ascii="Times New Roman"/>
                <w:sz w:val="20"/>
              </w:rPr>
            </w:pPr>
          </w:p>
        </w:tc>
      </w:tr>
      <w:tr>
        <w:trPr>
          <w:trHeight w:val="454"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bottom w:val="nil"/>
            </w:tcBorders>
          </w:tcPr>
          <w:p>
            <w:pPr>
              <w:pStyle w:val="TableParagraph"/>
              <w:spacing w:before="2"/>
              <w:jc w:val="left"/>
              <w:rPr>
                <w:b/>
                <w:sz w:val="17"/>
              </w:rPr>
            </w:pPr>
          </w:p>
          <w:p>
            <w:pPr>
              <w:pStyle w:val="TableParagraph"/>
              <w:spacing w:line="214" w:lineRule="exact"/>
              <w:ind w:left="145" w:right="137"/>
              <w:rPr>
                <w:sz w:val="21"/>
              </w:rPr>
            </w:pPr>
            <w:r>
              <w:rPr>
                <w:sz w:val="21"/>
              </w:rPr>
              <w:t>废水工程</w:t>
            </w:r>
          </w:p>
        </w:tc>
        <w:tc>
          <w:tcPr>
            <w:tcW w:w="5652" w:type="dxa"/>
            <w:tcBorders>
              <w:top w:val="nil"/>
              <w:bottom w:val="nil"/>
            </w:tcBorders>
          </w:tcPr>
          <w:p>
            <w:pPr>
              <w:pStyle w:val="TableParagraph"/>
              <w:spacing w:before="49"/>
              <w:ind w:left="108"/>
              <w:jc w:val="left"/>
              <w:rPr>
                <w:sz w:val="21"/>
              </w:rPr>
            </w:pPr>
            <w:r>
              <w:rPr>
                <w:sz w:val="21"/>
              </w:rPr>
              <w:t>消防洒水、地面生产、消防、防尘洒水、绿化等用水，多余</w:t>
            </w:r>
          </w:p>
        </w:tc>
        <w:tc>
          <w:tcPr>
            <w:tcW w:w="951" w:type="dxa"/>
            <w:tcBorders>
              <w:top w:val="nil"/>
              <w:bottom w:val="nil"/>
            </w:tcBorders>
          </w:tcPr>
          <w:p>
            <w:pPr>
              <w:pStyle w:val="TableParagraph"/>
              <w:spacing w:before="7"/>
              <w:jc w:val="left"/>
              <w:rPr>
                <w:b/>
                <w:sz w:val="16"/>
              </w:rPr>
            </w:pPr>
          </w:p>
          <w:p>
            <w:pPr>
              <w:pStyle w:val="TableParagraph"/>
              <w:spacing w:line="221" w:lineRule="exact" w:before="1"/>
              <w:ind w:left="243" w:right="238"/>
              <w:rPr>
                <w:sz w:val="21"/>
              </w:rPr>
            </w:pPr>
            <w:r>
              <w:rPr>
                <w:sz w:val="21"/>
              </w:rPr>
              <w:t>新建</w:t>
            </w:r>
          </w:p>
        </w:tc>
      </w:tr>
      <w:tr>
        <w:trPr>
          <w:trHeight w:val="27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bottom w:val="nil"/>
            </w:tcBorders>
          </w:tcPr>
          <w:p>
            <w:pPr>
              <w:pStyle w:val="TableParagraph"/>
              <w:jc w:val="left"/>
              <w:rPr>
                <w:rFonts w:ascii="Times New Roman"/>
                <w:sz w:val="20"/>
              </w:rPr>
            </w:pPr>
          </w:p>
        </w:tc>
        <w:tc>
          <w:tcPr>
            <w:tcW w:w="5652" w:type="dxa"/>
            <w:tcBorders>
              <w:top w:val="nil"/>
              <w:bottom w:val="nil"/>
            </w:tcBorders>
          </w:tcPr>
          <w:p>
            <w:pPr>
              <w:pStyle w:val="TableParagraph"/>
              <w:spacing w:line="234" w:lineRule="exact"/>
              <w:ind w:left="108"/>
              <w:jc w:val="left"/>
              <w:rPr>
                <w:sz w:val="21"/>
              </w:rPr>
            </w:pPr>
            <w:r>
              <w:rPr>
                <w:sz w:val="21"/>
              </w:rPr>
              <w:t>部分排放于附近自建鱼塘。</w:t>
            </w:r>
          </w:p>
        </w:tc>
        <w:tc>
          <w:tcPr>
            <w:tcW w:w="951" w:type="dxa"/>
            <w:tcBorders>
              <w:top w:val="nil"/>
              <w:bottom w:val="nil"/>
            </w:tcBorders>
          </w:tcPr>
          <w:p>
            <w:pPr>
              <w:pStyle w:val="TableParagraph"/>
              <w:jc w:val="left"/>
              <w:rPr>
                <w:rFonts w:ascii="Times New Roman"/>
                <w:sz w:val="20"/>
              </w:rPr>
            </w:pPr>
          </w:p>
        </w:tc>
      </w:tr>
      <w:tr>
        <w:trPr>
          <w:trHeight w:val="366"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bottom w:val="nil"/>
            </w:tcBorders>
          </w:tcPr>
          <w:p>
            <w:pPr>
              <w:pStyle w:val="TableParagraph"/>
              <w:jc w:val="left"/>
              <w:rPr>
                <w:rFonts w:ascii="Times New Roman"/>
                <w:sz w:val="20"/>
              </w:rPr>
            </w:pPr>
          </w:p>
        </w:tc>
        <w:tc>
          <w:tcPr>
            <w:tcW w:w="5652" w:type="dxa"/>
            <w:tcBorders>
              <w:top w:val="nil"/>
              <w:bottom w:val="nil"/>
            </w:tcBorders>
          </w:tcPr>
          <w:p>
            <w:pPr>
              <w:pStyle w:val="TableParagraph"/>
              <w:spacing w:before="48"/>
              <w:ind w:left="108"/>
              <w:jc w:val="left"/>
              <w:rPr>
                <w:sz w:val="21"/>
              </w:rPr>
            </w:pPr>
            <w:r>
              <w:rPr>
                <w:spacing w:val="-17"/>
                <w:sz w:val="21"/>
              </w:rPr>
              <w:t>（</w:t>
            </w:r>
            <w:r>
              <w:rPr>
                <w:rFonts w:ascii="Times New Roman" w:eastAsia="Times New Roman"/>
                <w:spacing w:val="-17"/>
                <w:sz w:val="21"/>
              </w:rPr>
              <w:t>2</w:t>
            </w:r>
            <w:r>
              <w:rPr>
                <w:spacing w:val="-17"/>
                <w:sz w:val="21"/>
              </w:rPr>
              <w:t>）</w:t>
            </w:r>
            <w:r>
              <w:rPr>
                <w:spacing w:val="-8"/>
                <w:sz w:val="21"/>
              </w:rPr>
              <w:t>新建处理能力为 </w:t>
            </w:r>
            <w:r>
              <w:rPr>
                <w:rFonts w:ascii="Times New Roman" w:eastAsia="Times New Roman"/>
                <w:sz w:val="21"/>
              </w:rPr>
              <w:t>120m</w:t>
            </w:r>
            <w:r>
              <w:rPr>
                <w:rFonts w:ascii="Times New Roman" w:eastAsia="Times New Roman"/>
                <w:position w:val="7"/>
                <w:sz w:val="13"/>
              </w:rPr>
              <w:t>3</w:t>
            </w:r>
            <w:r>
              <w:rPr>
                <w:rFonts w:ascii="Times New Roman" w:eastAsia="Times New Roman"/>
                <w:sz w:val="21"/>
              </w:rPr>
              <w:t>/d </w:t>
            </w:r>
            <w:r>
              <w:rPr>
                <w:spacing w:val="-6"/>
                <w:sz w:val="21"/>
              </w:rPr>
              <w:t>的生活污水处理站，经处理后</w:t>
            </w:r>
          </w:p>
        </w:tc>
        <w:tc>
          <w:tcPr>
            <w:tcW w:w="951" w:type="dxa"/>
            <w:tcBorders>
              <w:top w:val="nil"/>
              <w:bottom w:val="nil"/>
            </w:tcBorders>
          </w:tcPr>
          <w:p>
            <w:pPr>
              <w:pStyle w:val="TableParagraph"/>
              <w:jc w:val="left"/>
              <w:rPr>
                <w:rFonts w:ascii="Times New Roman"/>
                <w:sz w:val="20"/>
              </w:rPr>
            </w:pPr>
          </w:p>
        </w:tc>
      </w:tr>
      <w:tr>
        <w:trPr>
          <w:trHeight w:val="314"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tcBorders>
          </w:tcPr>
          <w:p>
            <w:pPr>
              <w:pStyle w:val="TableParagraph"/>
              <w:jc w:val="left"/>
              <w:rPr>
                <w:rFonts w:ascii="Times New Roman"/>
                <w:sz w:val="20"/>
              </w:rPr>
            </w:pPr>
          </w:p>
        </w:tc>
        <w:tc>
          <w:tcPr>
            <w:tcW w:w="5652" w:type="dxa"/>
            <w:tcBorders>
              <w:top w:val="nil"/>
            </w:tcBorders>
          </w:tcPr>
          <w:p>
            <w:pPr>
              <w:pStyle w:val="TableParagraph"/>
              <w:spacing w:line="262" w:lineRule="exact" w:before="32"/>
              <w:ind w:left="108"/>
              <w:jc w:val="left"/>
              <w:rPr>
                <w:sz w:val="21"/>
              </w:rPr>
            </w:pPr>
            <w:r>
              <w:rPr>
                <w:sz w:val="21"/>
              </w:rPr>
              <w:t>作为生产、绿化等用水水源，全部回用不外排</w:t>
            </w:r>
          </w:p>
        </w:tc>
        <w:tc>
          <w:tcPr>
            <w:tcW w:w="951" w:type="dxa"/>
            <w:tcBorders>
              <w:top w:val="nil"/>
            </w:tcBorders>
          </w:tcPr>
          <w:p>
            <w:pPr>
              <w:pStyle w:val="TableParagraph"/>
              <w:jc w:val="left"/>
              <w:rPr>
                <w:rFonts w:ascii="Times New Roman"/>
                <w:sz w:val="20"/>
              </w:rPr>
            </w:pPr>
          </w:p>
        </w:tc>
      </w:tr>
      <w:tr>
        <w:trPr>
          <w:trHeight w:val="38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line="266" w:lineRule="exact" w:before="94"/>
              <w:ind w:left="145" w:right="137"/>
              <w:rPr>
                <w:sz w:val="21"/>
              </w:rPr>
            </w:pPr>
            <w:r>
              <w:rPr>
                <w:sz w:val="21"/>
              </w:rPr>
              <w:t>噪声工程</w:t>
            </w:r>
          </w:p>
        </w:tc>
        <w:tc>
          <w:tcPr>
            <w:tcW w:w="5652" w:type="dxa"/>
          </w:tcPr>
          <w:p>
            <w:pPr>
              <w:pStyle w:val="TableParagraph"/>
              <w:spacing w:before="87"/>
              <w:ind w:left="108"/>
              <w:jc w:val="left"/>
              <w:rPr>
                <w:sz w:val="21"/>
              </w:rPr>
            </w:pPr>
            <w:r>
              <w:rPr>
                <w:sz w:val="21"/>
              </w:rPr>
              <w:t>选用低噪音设备，必要的加设隔声罩；主扇配套安装消音器</w:t>
            </w:r>
          </w:p>
        </w:tc>
        <w:tc>
          <w:tcPr>
            <w:tcW w:w="951" w:type="dxa"/>
          </w:tcPr>
          <w:p>
            <w:pPr>
              <w:pStyle w:val="TableParagraph"/>
              <w:spacing w:before="87"/>
              <w:ind w:left="243" w:right="238"/>
              <w:rPr>
                <w:sz w:val="21"/>
              </w:rPr>
            </w:pPr>
            <w:r>
              <w:rPr>
                <w:sz w:val="21"/>
              </w:rPr>
              <w:t>新建</w:t>
            </w:r>
          </w:p>
        </w:tc>
      </w:tr>
      <w:tr>
        <w:trPr>
          <w:trHeight w:val="388"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bottom w:val="nil"/>
            </w:tcBorders>
          </w:tcPr>
          <w:p>
            <w:pPr>
              <w:pStyle w:val="TableParagraph"/>
              <w:jc w:val="left"/>
              <w:rPr>
                <w:rFonts w:ascii="Times New Roman"/>
                <w:sz w:val="20"/>
              </w:rPr>
            </w:pPr>
          </w:p>
        </w:tc>
        <w:tc>
          <w:tcPr>
            <w:tcW w:w="5652" w:type="dxa"/>
            <w:tcBorders>
              <w:bottom w:val="nil"/>
            </w:tcBorders>
          </w:tcPr>
          <w:p>
            <w:pPr>
              <w:pStyle w:val="TableParagraph"/>
              <w:spacing w:before="78"/>
              <w:ind w:left="108"/>
              <w:jc w:val="left"/>
              <w:rPr>
                <w:sz w:val="21"/>
              </w:rPr>
            </w:pPr>
            <w:r>
              <w:rPr>
                <w:sz w:val="21"/>
              </w:rPr>
              <w:t>矸石量较小，可用于平整工业场地、公路的路基石料、或用</w:t>
            </w:r>
          </w:p>
        </w:tc>
        <w:tc>
          <w:tcPr>
            <w:tcW w:w="951" w:type="dxa"/>
            <w:tcBorders>
              <w:bottom w:val="nil"/>
            </w:tcBorders>
          </w:tcPr>
          <w:p>
            <w:pPr>
              <w:pStyle w:val="TableParagraph"/>
              <w:jc w:val="left"/>
              <w:rPr>
                <w:rFonts w:ascii="Times New Roman"/>
                <w:sz w:val="20"/>
              </w:rPr>
            </w:pPr>
          </w:p>
        </w:tc>
      </w:tr>
      <w:tr>
        <w:trPr>
          <w:trHeight w:val="71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bottom w:val="nil"/>
            </w:tcBorders>
          </w:tcPr>
          <w:p>
            <w:pPr>
              <w:pStyle w:val="TableParagraph"/>
              <w:spacing w:before="7"/>
              <w:jc w:val="left"/>
              <w:rPr>
                <w:b/>
                <w:sz w:val="17"/>
              </w:rPr>
            </w:pPr>
          </w:p>
          <w:p>
            <w:pPr>
              <w:pStyle w:val="TableParagraph"/>
              <w:ind w:left="145" w:right="137"/>
              <w:rPr>
                <w:sz w:val="21"/>
              </w:rPr>
            </w:pPr>
            <w:r>
              <w:rPr>
                <w:sz w:val="21"/>
              </w:rPr>
              <w:t>固体废物</w:t>
            </w:r>
          </w:p>
        </w:tc>
        <w:tc>
          <w:tcPr>
            <w:tcW w:w="5652" w:type="dxa"/>
            <w:tcBorders>
              <w:top w:val="nil"/>
              <w:bottom w:val="nil"/>
            </w:tcBorders>
          </w:tcPr>
          <w:p>
            <w:pPr>
              <w:pStyle w:val="TableParagraph"/>
              <w:spacing w:before="40"/>
              <w:ind w:left="108"/>
              <w:jc w:val="left"/>
              <w:rPr>
                <w:sz w:val="21"/>
              </w:rPr>
            </w:pPr>
            <w:r>
              <w:rPr>
                <w:spacing w:val="-3"/>
                <w:w w:val="95"/>
                <w:sz w:val="21"/>
              </w:rPr>
              <w:t>于填沟造田等。锅炉灰渣作为农肥原料外售综合利用。生活</w:t>
            </w:r>
          </w:p>
          <w:p>
            <w:pPr>
              <w:pStyle w:val="TableParagraph"/>
              <w:spacing w:before="91"/>
              <w:ind w:left="108"/>
              <w:jc w:val="left"/>
              <w:rPr>
                <w:sz w:val="21"/>
              </w:rPr>
            </w:pPr>
            <w:r>
              <w:rPr>
                <w:spacing w:val="-2"/>
                <w:w w:val="95"/>
                <w:sz w:val="21"/>
              </w:rPr>
              <w:t>垃圾及污水处理站污泥定期委托环卫部门处理。废机油定期</w:t>
            </w:r>
          </w:p>
        </w:tc>
        <w:tc>
          <w:tcPr>
            <w:tcW w:w="951" w:type="dxa"/>
            <w:tcBorders>
              <w:top w:val="nil"/>
              <w:bottom w:val="nil"/>
            </w:tcBorders>
          </w:tcPr>
          <w:p>
            <w:pPr>
              <w:pStyle w:val="TableParagraph"/>
              <w:spacing w:before="2"/>
              <w:jc w:val="left"/>
              <w:rPr>
                <w:b/>
                <w:sz w:val="17"/>
              </w:rPr>
            </w:pPr>
          </w:p>
          <w:p>
            <w:pPr>
              <w:pStyle w:val="TableParagraph"/>
              <w:ind w:left="243" w:right="238"/>
              <w:rPr>
                <w:sz w:val="21"/>
              </w:rPr>
            </w:pPr>
            <w:r>
              <w:rPr>
                <w:sz w:val="21"/>
              </w:rPr>
              <w:t>新建</w:t>
            </w:r>
          </w:p>
        </w:tc>
      </w:tr>
      <w:tr>
        <w:trPr>
          <w:trHeight w:val="321"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Borders>
              <w:top w:val="nil"/>
            </w:tcBorders>
          </w:tcPr>
          <w:p>
            <w:pPr>
              <w:pStyle w:val="TableParagraph"/>
              <w:jc w:val="left"/>
              <w:rPr>
                <w:rFonts w:ascii="Times New Roman"/>
                <w:sz w:val="20"/>
              </w:rPr>
            </w:pPr>
          </w:p>
        </w:tc>
        <w:tc>
          <w:tcPr>
            <w:tcW w:w="5652" w:type="dxa"/>
            <w:tcBorders>
              <w:top w:val="nil"/>
            </w:tcBorders>
          </w:tcPr>
          <w:p>
            <w:pPr>
              <w:pStyle w:val="TableParagraph"/>
              <w:spacing w:line="261" w:lineRule="exact" w:before="40"/>
              <w:ind w:left="108"/>
              <w:jc w:val="left"/>
              <w:rPr>
                <w:sz w:val="21"/>
              </w:rPr>
            </w:pPr>
            <w:r>
              <w:rPr>
                <w:sz w:val="21"/>
              </w:rPr>
              <w:t>委托有资质单位处置。</w:t>
            </w:r>
          </w:p>
        </w:tc>
        <w:tc>
          <w:tcPr>
            <w:tcW w:w="951" w:type="dxa"/>
            <w:tcBorders>
              <w:top w:val="nil"/>
            </w:tcBorders>
          </w:tcPr>
          <w:p>
            <w:pPr>
              <w:pStyle w:val="TableParagraph"/>
              <w:jc w:val="left"/>
              <w:rPr>
                <w:rFonts w:ascii="Times New Roman"/>
                <w:sz w:val="20"/>
              </w:rPr>
            </w:pPr>
          </w:p>
        </w:tc>
      </w:tr>
      <w:tr>
        <w:trPr>
          <w:trHeight w:val="760" w:hRule="atLeast"/>
        </w:trPr>
        <w:tc>
          <w:tcPr>
            <w:tcW w:w="408" w:type="dxa"/>
            <w:vMerge/>
            <w:tcBorders>
              <w:top w:val="nil"/>
            </w:tcBorders>
          </w:tcPr>
          <w:p>
            <w:pPr>
              <w:rPr>
                <w:sz w:val="2"/>
                <w:szCs w:val="2"/>
              </w:rPr>
            </w:pPr>
          </w:p>
        </w:tc>
        <w:tc>
          <w:tcPr>
            <w:tcW w:w="408" w:type="dxa"/>
            <w:vMerge/>
            <w:tcBorders>
              <w:top w:val="nil"/>
            </w:tcBorders>
          </w:tcPr>
          <w:p>
            <w:pPr>
              <w:rPr>
                <w:sz w:val="2"/>
                <w:szCs w:val="2"/>
              </w:rPr>
            </w:pPr>
          </w:p>
        </w:tc>
        <w:tc>
          <w:tcPr>
            <w:tcW w:w="1805" w:type="dxa"/>
          </w:tcPr>
          <w:p>
            <w:pPr>
              <w:pStyle w:val="TableParagraph"/>
              <w:spacing w:before="2"/>
              <w:jc w:val="left"/>
              <w:rPr>
                <w:b/>
                <w:sz w:val="22"/>
              </w:rPr>
            </w:pPr>
          </w:p>
          <w:p>
            <w:pPr>
              <w:pStyle w:val="TableParagraph"/>
              <w:spacing w:before="1"/>
              <w:ind w:left="145" w:right="137"/>
              <w:rPr>
                <w:sz w:val="21"/>
              </w:rPr>
            </w:pPr>
            <w:r>
              <w:rPr>
                <w:sz w:val="21"/>
              </w:rPr>
              <w:t>生态环境</w:t>
            </w:r>
          </w:p>
        </w:tc>
        <w:tc>
          <w:tcPr>
            <w:tcW w:w="5652" w:type="dxa"/>
          </w:tcPr>
          <w:p>
            <w:pPr>
              <w:pStyle w:val="TableParagraph"/>
              <w:spacing w:line="380" w:lineRule="exact" w:before="1"/>
              <w:ind w:left="108" w:right="98"/>
              <w:jc w:val="left"/>
              <w:rPr>
                <w:sz w:val="21"/>
              </w:rPr>
            </w:pPr>
            <w:r>
              <w:rPr>
                <w:spacing w:val="-2"/>
                <w:w w:val="95"/>
                <w:sz w:val="21"/>
              </w:rPr>
              <w:t>加强办公生活区的场地绿化，加强塌陷区治理措施，加强工 </w:t>
            </w:r>
            <w:r>
              <w:rPr>
                <w:spacing w:val="-2"/>
                <w:sz w:val="21"/>
              </w:rPr>
              <w:t>业场地、运输道路等水土保持措施。</w:t>
            </w:r>
          </w:p>
        </w:tc>
        <w:tc>
          <w:tcPr>
            <w:tcW w:w="951" w:type="dxa"/>
          </w:tcPr>
          <w:p>
            <w:pPr>
              <w:pStyle w:val="TableParagraph"/>
              <w:spacing w:before="8"/>
              <w:jc w:val="left"/>
              <w:rPr>
                <w:b/>
                <w:sz w:val="21"/>
              </w:rPr>
            </w:pPr>
          </w:p>
          <w:p>
            <w:pPr>
              <w:pStyle w:val="TableParagraph"/>
              <w:ind w:left="243" w:right="238"/>
              <w:rPr>
                <w:sz w:val="21"/>
              </w:rPr>
            </w:pPr>
            <w:r>
              <w:rPr>
                <w:sz w:val="21"/>
              </w:rPr>
              <w:t>新建</w:t>
            </w:r>
          </w:p>
        </w:tc>
      </w:tr>
    </w:tbl>
    <w:p>
      <w:pPr>
        <w:pStyle w:val="ListParagraph"/>
        <w:numPr>
          <w:ilvl w:val="2"/>
          <w:numId w:val="17"/>
        </w:numPr>
        <w:tabs>
          <w:tab w:pos="1108" w:val="left" w:leader="none"/>
        </w:tabs>
        <w:spacing w:line="240" w:lineRule="auto" w:before="4" w:after="0"/>
        <w:ind w:left="1107" w:right="0" w:hanging="630"/>
        <w:jc w:val="left"/>
        <w:rPr>
          <w:b/>
          <w:sz w:val="28"/>
        </w:rPr>
      </w:pPr>
      <w:r>
        <w:rPr>
          <w:b/>
          <w:sz w:val="28"/>
        </w:rPr>
        <w:t>地理位置及交通</w:t>
      </w:r>
    </w:p>
    <w:p>
      <w:pPr>
        <w:pStyle w:val="BodyText"/>
        <w:spacing w:before="185"/>
        <w:ind w:left="958"/>
      </w:pPr>
      <w:r>
        <w:rPr/>
        <w:t>双鸭山市东盛矿业集团有限公司整合矿区范围位于双鸭山市岭东区长胜乡东兴村</w:t>
      </w:r>
    </w:p>
    <w:p>
      <w:pPr>
        <w:pStyle w:val="BodyText"/>
        <w:spacing w:before="158"/>
        <w:ind w:left="478"/>
      </w:pPr>
      <w:r>
        <w:rPr>
          <w:rFonts w:ascii="Times New Roman" w:eastAsia="Times New Roman"/>
        </w:rPr>
        <w:t>2.5km</w:t>
      </w:r>
      <w:r>
        <w:rPr/>
        <w:t>，政区隶属于双鸭山市岭东区，地表林地划属双鸭山林业局定国山林场。</w:t>
      </w:r>
    </w:p>
    <w:p>
      <w:pPr>
        <w:pStyle w:val="BodyText"/>
        <w:spacing w:line="364" w:lineRule="auto" w:before="158"/>
        <w:ind w:left="478" w:right="411" w:firstLine="480"/>
      </w:pPr>
      <w:r>
        <w:rPr/>
        <w:t>矿区有简易砂石路通往矿区西侧的环城柏油公路，距双鸭山火车站 </w:t>
      </w:r>
      <w:r>
        <w:rPr>
          <w:rFonts w:ascii="Times New Roman" w:eastAsia="Times New Roman"/>
        </w:rPr>
        <w:t>6.5km</w:t>
      </w:r>
      <w:r>
        <w:rPr/>
        <w:t>，交通条件便利。</w:t>
      </w:r>
    </w:p>
    <w:p>
      <w:pPr>
        <w:spacing w:after="0" w:line="364" w:lineRule="auto"/>
        <w:sectPr>
          <w:pgSz w:w="11910" w:h="16840"/>
          <w:pgMar w:header="0" w:footer="913" w:top="1400" w:bottom="1180" w:left="940" w:right="940"/>
        </w:sectPr>
      </w:pPr>
    </w:p>
    <w:p>
      <w:pPr>
        <w:pStyle w:val="Heading3"/>
        <w:numPr>
          <w:ilvl w:val="2"/>
          <w:numId w:val="17"/>
        </w:numPr>
        <w:tabs>
          <w:tab w:pos="1108" w:val="left" w:leader="none"/>
        </w:tabs>
        <w:spacing w:line="240" w:lineRule="auto" w:before="42" w:after="0"/>
        <w:ind w:left="1107" w:right="0" w:hanging="630"/>
        <w:jc w:val="left"/>
      </w:pPr>
      <w:r>
        <w:rPr/>
        <w:t>产品方案与流向</w:t>
      </w:r>
    </w:p>
    <w:p>
      <w:pPr>
        <w:pStyle w:val="BodyText"/>
        <w:spacing w:line="362" w:lineRule="auto" w:before="185"/>
        <w:ind w:left="478" w:right="425" w:firstLine="480"/>
      </w:pPr>
      <w:r>
        <w:rPr/>
        <w:t>东盛煤矿资源整合批准开采煤层煤种以弱粘煤为主。低硫，特低磷，低－高热值， 经洗选后可用做炼焦配煤，也可用做动力用煤。</w:t>
      </w:r>
    </w:p>
    <w:p>
      <w:pPr>
        <w:pStyle w:val="BodyText"/>
        <w:spacing w:line="364" w:lineRule="auto" w:before="5"/>
        <w:ind w:left="478" w:right="414" w:firstLine="480"/>
      </w:pPr>
      <w:r>
        <w:rPr/>
        <w:t>本矿产品可以原煤销售给焦化及煤炭深加工企业，用来洗选炼焦。亦可直接卖给其他用煤用户。</w:t>
      </w:r>
    </w:p>
    <w:p>
      <w:pPr>
        <w:pStyle w:val="Heading3"/>
        <w:numPr>
          <w:ilvl w:val="2"/>
          <w:numId w:val="17"/>
        </w:numPr>
        <w:tabs>
          <w:tab w:pos="1108" w:val="left" w:leader="none"/>
        </w:tabs>
        <w:spacing w:line="358" w:lineRule="exact" w:before="0" w:after="0"/>
        <w:ind w:left="1107" w:right="0" w:hanging="630"/>
        <w:jc w:val="left"/>
      </w:pPr>
      <w:r>
        <w:rPr/>
        <w:t>项目总平面布置</w:t>
      </w:r>
    </w:p>
    <w:p>
      <w:pPr>
        <w:pStyle w:val="Heading4"/>
        <w:numPr>
          <w:ilvl w:val="3"/>
          <w:numId w:val="18"/>
        </w:numPr>
        <w:tabs>
          <w:tab w:pos="1199" w:val="left" w:leader="none"/>
        </w:tabs>
        <w:spacing w:line="240" w:lineRule="auto" w:before="185" w:after="0"/>
        <w:ind w:left="1198" w:right="0" w:hanging="721"/>
        <w:jc w:val="left"/>
      </w:pPr>
      <w:r>
        <w:rPr/>
        <w:t>项目地面布置</w:t>
      </w:r>
    </w:p>
    <w:p>
      <w:pPr>
        <w:pStyle w:val="BodyText"/>
        <w:spacing w:line="364" w:lineRule="auto" w:before="158"/>
        <w:ind w:left="478" w:right="357" w:firstLine="480"/>
      </w:pPr>
      <w:r>
        <w:rPr>
          <w:spacing w:val="-3"/>
        </w:rPr>
        <w:t>工业场地利用原源丰煤矿工业场地。东盛煤矿为整合主体整合源丰煤矿。利用源丰</w:t>
      </w:r>
      <w:r>
        <w:rPr>
          <w:spacing w:val="-11"/>
        </w:rPr>
        <w:t>工业场地做为资源整合改扩建矿井的主工业场地进行了改造，场内建、构筑物基本齐全， </w:t>
      </w:r>
      <w:r>
        <w:rPr/>
        <w:t>现有的道路布置，分区明确，布局合理，功能齐全。</w:t>
      </w:r>
    </w:p>
    <w:p>
      <w:pPr>
        <w:pStyle w:val="Heading4"/>
        <w:numPr>
          <w:ilvl w:val="3"/>
          <w:numId w:val="18"/>
        </w:numPr>
        <w:tabs>
          <w:tab w:pos="1199" w:val="left" w:leader="none"/>
        </w:tabs>
        <w:spacing w:line="307" w:lineRule="exact" w:before="0" w:after="0"/>
        <w:ind w:left="1198" w:right="0" w:hanging="721"/>
        <w:jc w:val="left"/>
      </w:pPr>
      <w:r>
        <w:rPr/>
        <w:t>工业场地平面布置</w:t>
      </w:r>
    </w:p>
    <w:p>
      <w:pPr>
        <w:pStyle w:val="ListParagraph"/>
        <w:numPr>
          <w:ilvl w:val="4"/>
          <w:numId w:val="18"/>
        </w:numPr>
        <w:tabs>
          <w:tab w:pos="1440" w:val="left" w:leader="none"/>
        </w:tabs>
        <w:spacing w:line="240" w:lineRule="auto" w:before="161" w:after="0"/>
        <w:ind w:left="1439" w:right="0" w:hanging="602"/>
        <w:jc w:val="left"/>
        <w:rPr>
          <w:sz w:val="24"/>
        </w:rPr>
      </w:pPr>
      <w:r>
        <w:rPr>
          <w:sz w:val="24"/>
        </w:rPr>
        <w:t>平面位置的确定</w:t>
      </w:r>
    </w:p>
    <w:p>
      <w:pPr>
        <w:pStyle w:val="BodyText"/>
        <w:spacing w:line="364" w:lineRule="auto" w:before="158"/>
        <w:ind w:left="478" w:right="476" w:firstLine="360"/>
      </w:pPr>
      <w:r>
        <w:rPr/>
        <w:t>工业场地的选址主要依据井下开拓布署、结合地形、地物以及工程地质情况，本着有力生产、方便生活、节约用地、减少压煤的原则确定。</w:t>
      </w:r>
    </w:p>
    <w:p>
      <w:pPr>
        <w:pStyle w:val="ListParagraph"/>
        <w:numPr>
          <w:ilvl w:val="4"/>
          <w:numId w:val="18"/>
        </w:numPr>
        <w:tabs>
          <w:tab w:pos="1440" w:val="left" w:leader="none"/>
        </w:tabs>
        <w:spacing w:line="306" w:lineRule="exact" w:before="0" w:after="0"/>
        <w:ind w:left="1439" w:right="0" w:hanging="602"/>
        <w:jc w:val="left"/>
        <w:rPr>
          <w:sz w:val="24"/>
        </w:rPr>
      </w:pPr>
      <w:r>
        <w:rPr>
          <w:sz w:val="24"/>
        </w:rPr>
        <w:t>平面布置的原则</w:t>
      </w:r>
    </w:p>
    <w:p>
      <w:pPr>
        <w:pStyle w:val="BodyText"/>
        <w:spacing w:line="362" w:lineRule="auto" w:before="161"/>
        <w:ind w:left="478" w:right="357" w:firstLine="480"/>
      </w:pPr>
      <w:r>
        <w:rPr>
          <w:spacing w:val="-13"/>
        </w:rPr>
        <w:t>①在满足矿井开拓、开采条件及地面生产工艺要求的基础上，符合国家现行的防火、</w:t>
      </w:r>
      <w:r>
        <w:rPr/>
        <w:t>安全、卫生、交通运输和环境保护等有关标准的规定。</w:t>
      </w:r>
    </w:p>
    <w:p>
      <w:pPr>
        <w:pStyle w:val="BodyText"/>
        <w:spacing w:line="362" w:lineRule="auto" w:before="5"/>
        <w:ind w:left="478" w:right="420" w:firstLine="480"/>
      </w:pPr>
      <w:r>
        <w:rPr/>
        <w:t>②场内布置功能分区紧凑合理，线路短捷，整齐美观，有利生产，方便生活，便于管理，少占地。</w:t>
      </w:r>
    </w:p>
    <w:p>
      <w:pPr>
        <w:pStyle w:val="BodyText"/>
        <w:spacing w:before="4"/>
        <w:ind w:left="958"/>
      </w:pPr>
      <w:r>
        <w:rPr/>
        <w:t>③在优化地面行政福利和辅助生产设施的同时，充分考虑未来发展的可能性。</w:t>
      </w:r>
    </w:p>
    <w:p>
      <w:pPr>
        <w:pStyle w:val="BodyText"/>
        <w:spacing w:line="362" w:lineRule="auto" w:before="161"/>
        <w:ind w:left="478" w:right="414" w:firstLine="480"/>
      </w:pPr>
      <w:r>
        <w:rPr/>
        <w:t>④建（构）筑物的布置，充分考虑其位置受风向、朝向的影响，为建筑物创造良好的朝向和自然通风条件。加强绿化，保护环境，使工业场地园林化。</w:t>
      </w:r>
    </w:p>
    <w:p>
      <w:pPr>
        <w:pStyle w:val="ListParagraph"/>
        <w:numPr>
          <w:ilvl w:val="4"/>
          <w:numId w:val="18"/>
        </w:numPr>
        <w:tabs>
          <w:tab w:pos="1440" w:val="left" w:leader="none"/>
        </w:tabs>
        <w:spacing w:line="240" w:lineRule="auto" w:before="3" w:after="0"/>
        <w:ind w:left="1439" w:right="0" w:hanging="602"/>
        <w:jc w:val="left"/>
        <w:rPr>
          <w:sz w:val="24"/>
        </w:rPr>
      </w:pPr>
      <w:r>
        <w:rPr>
          <w:sz w:val="24"/>
        </w:rPr>
        <w:t>生产系统的工艺流程及相互关系</w:t>
      </w:r>
    </w:p>
    <w:p>
      <w:pPr>
        <w:pStyle w:val="BodyText"/>
        <w:spacing w:line="364" w:lineRule="auto" w:before="160"/>
        <w:ind w:left="478" w:right="477" w:firstLine="360"/>
        <w:jc w:val="both"/>
      </w:pPr>
      <w:r>
        <w:rPr/>
        <w:t>本矿井工业场地内设有主井、副井、风井三个斜井，主井采用钢丝绳蕊皮带运输机</w:t>
      </w:r>
      <w:r>
        <w:rPr>
          <w:spacing w:val="-8"/>
        </w:rPr>
        <w:t>运输，担负矿井煤炭提升，副井主要担负矸石提升，设备、材料和人员的运送。风井担</w:t>
      </w:r>
      <w:r>
        <w:rPr/>
        <w:t>负回风任务。</w:t>
      </w:r>
    </w:p>
    <w:p>
      <w:pPr>
        <w:pStyle w:val="ListParagraph"/>
        <w:numPr>
          <w:ilvl w:val="4"/>
          <w:numId w:val="18"/>
        </w:numPr>
        <w:tabs>
          <w:tab w:pos="1560" w:val="left" w:leader="none"/>
        </w:tabs>
        <w:spacing w:line="307" w:lineRule="exact" w:before="0" w:after="0"/>
        <w:ind w:left="1559" w:right="0" w:hanging="602"/>
        <w:jc w:val="left"/>
        <w:rPr>
          <w:sz w:val="24"/>
        </w:rPr>
      </w:pPr>
      <w:r>
        <w:rPr>
          <w:sz w:val="24"/>
        </w:rPr>
        <w:t>平面布置</w:t>
      </w:r>
    </w:p>
    <w:p>
      <w:pPr>
        <w:pStyle w:val="BodyText"/>
        <w:spacing w:line="364" w:lineRule="auto" w:before="122"/>
        <w:ind w:left="478" w:right="420" w:firstLine="480"/>
      </w:pPr>
      <w:r>
        <w:rPr/>
        <w:t>主斜井生产区：布置在工业场地东北侧，主斜井井口房旁布置原煤输送机栈桥、筛分车间及储煤仓，煤流路线合理且位于风频最多的下风向，避免对场区造成污染。</w:t>
      </w:r>
    </w:p>
    <w:p>
      <w:pPr>
        <w:spacing w:after="0" w:line="364" w:lineRule="auto"/>
        <w:sectPr>
          <w:pgSz w:w="11910" w:h="16840"/>
          <w:pgMar w:header="0" w:footer="913" w:top="1360" w:bottom="1180" w:left="940" w:right="940"/>
        </w:sectPr>
      </w:pPr>
    </w:p>
    <w:p>
      <w:pPr>
        <w:pStyle w:val="BodyText"/>
        <w:spacing w:line="456" w:lineRule="auto" w:before="41"/>
        <w:ind w:left="898" w:right="905" w:firstLine="60"/>
      </w:pPr>
      <w:r>
        <w:rPr/>
        <w:t>副斜井辅助生产区：布置在主井的西侧，主要布置有热风炉房、空压机房等。回风斜井区：布置在工业场地的西北侧，主要布置有通风机房、变配电室等。</w:t>
      </w:r>
    </w:p>
    <w:p>
      <w:pPr>
        <w:pStyle w:val="BodyText"/>
        <w:spacing w:line="364" w:lineRule="auto" w:before="5"/>
        <w:ind w:left="478" w:right="477" w:firstLine="480"/>
        <w:jc w:val="both"/>
      </w:pPr>
      <w:r>
        <w:rPr>
          <w:spacing w:val="-6"/>
        </w:rPr>
        <w:t>办公生活区：布置在场地的西南部，避开工业场地的主要污染源，该区内外交通方</w:t>
      </w:r>
      <w:r>
        <w:rPr>
          <w:spacing w:val="-8"/>
        </w:rPr>
        <w:t>便，场地内部与各个区域都有道路相连，并构成环形路网。该区主要布置有办公楼、更</w:t>
      </w:r>
      <w:r>
        <w:rPr/>
        <w:t>衣室、浴室、车库等。</w:t>
      </w:r>
    </w:p>
    <w:p>
      <w:pPr>
        <w:pStyle w:val="BodyText"/>
        <w:spacing w:before="120"/>
        <w:ind w:left="958"/>
        <w:jc w:val="both"/>
      </w:pPr>
      <w:r>
        <w:rPr/>
        <w:t>本项目工业广场平面布置图见图 </w:t>
      </w:r>
      <w:r>
        <w:rPr>
          <w:rFonts w:ascii="Times New Roman" w:eastAsia="Times New Roman"/>
        </w:rPr>
        <w:t>3.2-1</w:t>
      </w:r>
      <w:r>
        <w:rPr/>
        <w:t>。</w:t>
      </w:r>
    </w:p>
    <w:p>
      <w:pPr>
        <w:pStyle w:val="BodyText"/>
        <w:spacing w:before="12"/>
        <w:rPr>
          <w:sz w:val="15"/>
        </w:rPr>
      </w:pPr>
      <w:r>
        <w:rPr/>
        <w:drawing>
          <wp:anchor distT="0" distB="0" distL="0" distR="0" allowOverlap="1" layoutInCell="1" locked="0" behindDoc="0" simplePos="0" relativeHeight="8">
            <wp:simplePos x="0" y="0"/>
            <wp:positionH relativeFrom="page">
              <wp:posOffset>1242254</wp:posOffset>
            </wp:positionH>
            <wp:positionV relativeFrom="paragraph">
              <wp:posOffset>154604</wp:posOffset>
            </wp:positionV>
            <wp:extent cx="4482130" cy="3754374"/>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4482130" cy="3754374"/>
                    </a:xfrm>
                    <a:prstGeom prst="rect">
                      <a:avLst/>
                    </a:prstGeom>
                  </pic:spPr>
                </pic:pic>
              </a:graphicData>
            </a:graphic>
          </wp:anchor>
        </w:drawing>
      </w:r>
    </w:p>
    <w:p>
      <w:pPr>
        <w:pStyle w:val="BodyText"/>
        <w:spacing w:before="9"/>
        <w:rPr>
          <w:sz w:val="9"/>
        </w:rPr>
      </w:pPr>
    </w:p>
    <w:p>
      <w:pPr>
        <w:spacing w:after="0"/>
        <w:rPr>
          <w:sz w:val="9"/>
        </w:rPr>
        <w:sectPr>
          <w:footerReference w:type="default" r:id="rId10"/>
          <w:pgSz w:w="11910" w:h="16840"/>
          <w:pgMar w:footer="913" w:header="0" w:top="1360" w:bottom="1100" w:left="940" w:right="940"/>
          <w:pgNumType w:start="30"/>
        </w:sectPr>
      </w:pPr>
    </w:p>
    <w:p>
      <w:pPr>
        <w:pStyle w:val="BodyText"/>
        <w:spacing w:before="7"/>
        <w:rPr>
          <w:sz w:val="42"/>
        </w:rPr>
      </w:pPr>
    </w:p>
    <w:p>
      <w:pPr>
        <w:pStyle w:val="Heading3"/>
        <w:numPr>
          <w:ilvl w:val="2"/>
          <w:numId w:val="17"/>
        </w:numPr>
        <w:tabs>
          <w:tab w:pos="1108" w:val="left" w:leader="none"/>
        </w:tabs>
        <w:spacing w:line="240" w:lineRule="auto" w:before="0" w:after="0"/>
        <w:ind w:left="1107" w:right="0" w:hanging="630"/>
        <w:jc w:val="left"/>
      </w:pPr>
      <w:r>
        <w:rPr>
          <w:spacing w:val="-4"/>
        </w:rPr>
        <w:t>地面运输</w:t>
      </w:r>
    </w:p>
    <w:p>
      <w:pPr>
        <w:pStyle w:val="Heading4"/>
        <w:spacing w:before="76"/>
        <w:ind w:left="151"/>
      </w:pPr>
      <w:r>
        <w:rPr>
          <w:b w:val="0"/>
        </w:rPr>
        <w:br w:type="column"/>
      </w:r>
      <w:r>
        <w:rPr/>
        <w:t>图 </w:t>
      </w:r>
      <w:r>
        <w:rPr>
          <w:rFonts w:ascii="Times New Roman" w:eastAsia="Times New Roman"/>
        </w:rPr>
        <w:t>3.2-1 </w:t>
      </w:r>
      <w:r>
        <w:rPr/>
        <w:t>双鸭山市东盛矿业集团有限公司工业广场</w:t>
      </w:r>
    </w:p>
    <w:p>
      <w:pPr>
        <w:spacing w:after="0"/>
        <w:sectPr>
          <w:type w:val="continuous"/>
          <w:pgSz w:w="11910" w:h="16840"/>
          <w:pgMar w:top="1580" w:bottom="280" w:left="940" w:right="940"/>
          <w:cols w:num="2" w:equalWidth="0">
            <w:col w:w="2231" w:space="40"/>
            <w:col w:w="7759"/>
          </w:cols>
        </w:sectPr>
      </w:pPr>
    </w:p>
    <w:p>
      <w:pPr>
        <w:pStyle w:val="BodyText"/>
        <w:spacing w:before="6"/>
        <w:rPr>
          <w:b/>
          <w:sz w:val="8"/>
        </w:rPr>
      </w:pPr>
    </w:p>
    <w:p>
      <w:pPr>
        <w:pStyle w:val="ListParagraph"/>
        <w:numPr>
          <w:ilvl w:val="0"/>
          <w:numId w:val="19"/>
        </w:numPr>
        <w:tabs>
          <w:tab w:pos="1560" w:val="left" w:leader="none"/>
        </w:tabs>
        <w:spacing w:line="240" w:lineRule="auto" w:before="77" w:after="0"/>
        <w:ind w:left="1559" w:right="0" w:hanging="602"/>
        <w:jc w:val="left"/>
        <w:rPr>
          <w:sz w:val="24"/>
        </w:rPr>
      </w:pPr>
      <w:r>
        <w:rPr>
          <w:sz w:val="24"/>
        </w:rPr>
        <w:t>运输方式：产品煤采用公路运输为主。</w:t>
      </w:r>
    </w:p>
    <w:p>
      <w:pPr>
        <w:pStyle w:val="ListParagraph"/>
        <w:numPr>
          <w:ilvl w:val="0"/>
          <w:numId w:val="19"/>
        </w:numPr>
        <w:tabs>
          <w:tab w:pos="1560" w:val="left" w:leader="none"/>
        </w:tabs>
        <w:spacing w:line="240" w:lineRule="auto" w:before="158" w:after="0"/>
        <w:ind w:left="1559" w:right="0" w:hanging="602"/>
        <w:jc w:val="left"/>
        <w:rPr>
          <w:sz w:val="24"/>
        </w:rPr>
      </w:pPr>
      <w:r>
        <w:rPr>
          <w:sz w:val="24"/>
        </w:rPr>
        <w:t>厂外道路</w:t>
      </w:r>
    </w:p>
    <w:p>
      <w:pPr>
        <w:pStyle w:val="BodyText"/>
        <w:spacing w:line="362" w:lineRule="auto" w:before="161"/>
        <w:ind w:left="478" w:right="414" w:firstLine="480"/>
      </w:pPr>
      <w:r>
        <w:rPr/>
        <w:t>本矿井对外运输的主要为公路运输，矿区至高等级公路有简易砂石路连接，路面标准满足生产运输的需要。</w:t>
      </w:r>
    </w:p>
    <w:p>
      <w:pPr>
        <w:pStyle w:val="ListParagraph"/>
        <w:numPr>
          <w:ilvl w:val="0"/>
          <w:numId w:val="19"/>
        </w:numPr>
        <w:tabs>
          <w:tab w:pos="1560" w:val="left" w:leader="none"/>
        </w:tabs>
        <w:spacing w:line="240" w:lineRule="auto" w:before="4" w:after="0"/>
        <w:ind w:left="1559" w:right="0" w:hanging="602"/>
        <w:jc w:val="left"/>
        <w:rPr>
          <w:sz w:val="24"/>
        </w:rPr>
      </w:pPr>
      <w:r>
        <w:rPr>
          <w:sz w:val="24"/>
        </w:rPr>
        <w:t>场内运输</w:t>
      </w:r>
    </w:p>
    <w:p>
      <w:pPr>
        <w:pStyle w:val="BodyText"/>
        <w:spacing w:line="364" w:lineRule="auto" w:before="159"/>
        <w:ind w:left="478" w:right="357" w:firstLine="480"/>
      </w:pPr>
      <w:r>
        <w:rPr>
          <w:spacing w:val="-3"/>
        </w:rPr>
        <w:t>副井辅助生产区场地运输采用窄轨铁路运输。井上、下所需材料、矸石等运输由窄</w:t>
      </w:r>
      <w:r>
        <w:rPr>
          <w:spacing w:val="-16"/>
        </w:rPr>
        <w:t>轨铁路完成。地面其它材料的运进、运出、人员进出、煤炭外运等主要由汽车运输完成。</w:t>
      </w:r>
    </w:p>
    <w:p>
      <w:pPr>
        <w:pStyle w:val="BodyText"/>
        <w:spacing w:line="306" w:lineRule="exact"/>
        <w:ind w:left="958"/>
      </w:pPr>
      <w:r>
        <w:rPr>
          <w:spacing w:val="-6"/>
        </w:rPr>
        <w:t>窄轨铁路运输：副斜井与器材棚、器材库、设备库、机加电修车间、木材加工房及</w:t>
      </w:r>
    </w:p>
    <w:p>
      <w:pPr>
        <w:spacing w:after="0" w:line="306" w:lineRule="exact"/>
        <w:sectPr>
          <w:type w:val="continuous"/>
          <w:pgSz w:w="11910" w:h="16840"/>
          <w:pgMar w:top="1580" w:bottom="280" w:left="940" w:right="940"/>
        </w:sectPr>
      </w:pPr>
    </w:p>
    <w:p>
      <w:pPr>
        <w:pStyle w:val="BodyText"/>
        <w:spacing w:before="41"/>
        <w:ind w:left="478"/>
      </w:pPr>
      <w:r>
        <w:rPr/>
        <w:t>支护材料场地均有窄轨铁路连通。</w:t>
      </w:r>
    </w:p>
    <w:p>
      <w:pPr>
        <w:pStyle w:val="BodyText"/>
        <w:spacing w:line="364" w:lineRule="auto" w:before="158"/>
        <w:ind w:left="478" w:right="399" w:firstLine="480"/>
      </w:pPr>
      <w:r>
        <w:rPr/>
        <w:t>窄轨铁路技术特征：轨距为 </w:t>
      </w:r>
      <w:r>
        <w:rPr>
          <w:rFonts w:ascii="Times New Roman" w:eastAsia="Times New Roman"/>
        </w:rPr>
        <w:t>600mm</w:t>
      </w:r>
      <w:r>
        <w:rPr/>
        <w:t>，轨型为 </w:t>
      </w:r>
      <w:r>
        <w:rPr>
          <w:rFonts w:ascii="Times New Roman" w:eastAsia="Times New Roman"/>
        </w:rPr>
        <w:t>30kg/m</w:t>
      </w:r>
      <w:r>
        <w:rPr/>
        <w:t>，钢筋混凝土轨枕，窄轨铁路道岔为 </w:t>
      </w:r>
      <w:r>
        <w:rPr>
          <w:rFonts w:ascii="Times New Roman" w:eastAsia="Times New Roman"/>
        </w:rPr>
        <w:t>ZDK622</w:t>
      </w:r>
      <w:r>
        <w:rPr/>
        <w:t>－</w:t>
      </w:r>
      <w:r>
        <w:rPr>
          <w:rFonts w:ascii="Times New Roman" w:eastAsia="Times New Roman"/>
        </w:rPr>
        <w:t>4</w:t>
      </w:r>
      <w:r>
        <w:rPr/>
        <w:t>－</w:t>
      </w:r>
      <w:r>
        <w:rPr>
          <w:rFonts w:ascii="Times New Roman" w:eastAsia="Times New Roman"/>
        </w:rPr>
        <w:t>12</w:t>
      </w:r>
      <w:r>
        <w:rPr/>
        <w:t>，共 </w:t>
      </w:r>
      <w:r>
        <w:rPr>
          <w:rFonts w:ascii="Times New Roman" w:eastAsia="Times New Roman"/>
        </w:rPr>
        <w:t>8 </w:t>
      </w:r>
      <w:r>
        <w:rPr/>
        <w:t>组。窄轨铁路线路长度为 </w:t>
      </w:r>
      <w:r>
        <w:rPr>
          <w:rFonts w:ascii="Times New Roman" w:eastAsia="Times New Roman"/>
        </w:rPr>
        <w:t>180m</w:t>
      </w:r>
      <w:r>
        <w:rPr/>
        <w:t>。</w:t>
      </w:r>
    </w:p>
    <w:p>
      <w:pPr>
        <w:pStyle w:val="BodyText"/>
        <w:spacing w:line="364" w:lineRule="auto" w:before="1"/>
        <w:ind w:left="478" w:right="353" w:firstLine="480"/>
      </w:pPr>
      <w:r>
        <w:rPr>
          <w:spacing w:val="-13"/>
        </w:rPr>
        <w:t>道路运输：主要集中在主斜井生产区及办公区场地。结合地形地势，考虑道路用途， </w:t>
      </w:r>
      <w:r>
        <w:rPr>
          <w:spacing w:val="-3"/>
        </w:rPr>
        <w:t>便于消防、生产运输。场地内道路路面宽度分别为 </w:t>
      </w:r>
      <w:r>
        <w:rPr>
          <w:rFonts w:ascii="Times New Roman" w:eastAsia="Times New Roman"/>
        </w:rPr>
        <w:t>7m</w:t>
      </w:r>
      <w:r>
        <w:rPr/>
        <w:t>、</w:t>
      </w:r>
      <w:r>
        <w:rPr>
          <w:rFonts w:ascii="Times New Roman" w:eastAsia="Times New Roman"/>
          <w:spacing w:val="2"/>
        </w:rPr>
        <w:t>4m</w:t>
      </w:r>
      <w:r>
        <w:rPr>
          <w:spacing w:val="-6"/>
        </w:rPr>
        <w:t>。主干道路面宽度 </w:t>
      </w:r>
      <w:r>
        <w:rPr>
          <w:rFonts w:ascii="Times New Roman" w:eastAsia="Times New Roman"/>
        </w:rPr>
        <w:t>7m</w:t>
      </w:r>
      <w:r>
        <w:rPr/>
        <w:t>，辅</w:t>
      </w:r>
      <w:r>
        <w:rPr>
          <w:spacing w:val="-8"/>
        </w:rPr>
        <w:t>助道路路面宽度 </w:t>
      </w:r>
      <w:r>
        <w:rPr>
          <w:rFonts w:ascii="Times New Roman" w:eastAsia="Times New Roman"/>
        </w:rPr>
        <w:t>5m</w:t>
      </w:r>
      <w:r>
        <w:rPr>
          <w:spacing w:val="-3"/>
        </w:rPr>
        <w:t>。路面结构为：</w:t>
      </w:r>
      <w:r>
        <w:rPr>
          <w:rFonts w:ascii="Times New Roman" w:eastAsia="Times New Roman"/>
        </w:rPr>
        <w:t>C30</w:t>
      </w:r>
      <w:r>
        <w:rPr>
          <w:rFonts w:ascii="Times New Roman" w:eastAsia="Times New Roman"/>
          <w:spacing w:val="-4"/>
        </w:rPr>
        <w:t> </w:t>
      </w:r>
      <w:r>
        <w:rPr>
          <w:spacing w:val="-8"/>
        </w:rPr>
        <w:t>水泥混凝土面层 </w:t>
      </w:r>
      <w:r>
        <w:rPr>
          <w:rFonts w:ascii="Times New Roman" w:eastAsia="Times New Roman"/>
        </w:rPr>
        <w:t>20cm</w:t>
      </w:r>
      <w:r>
        <w:rPr>
          <w:spacing w:val="-8"/>
        </w:rPr>
        <w:t>，水泥碎石稳定层 </w:t>
      </w:r>
      <w:r>
        <w:rPr>
          <w:rFonts w:ascii="Times New Roman" w:eastAsia="Times New Roman"/>
        </w:rPr>
        <w:t>25cm</w:t>
      </w:r>
      <w:r>
        <w:rPr>
          <w:spacing w:val="-13"/>
        </w:rPr>
        <w:t>。</w:t>
      </w:r>
      <w:r>
        <w:rPr/>
        <w:t>硬化场地结构同道路结构，加固场地结构为三合土结构。</w:t>
      </w:r>
    </w:p>
    <w:p>
      <w:pPr>
        <w:pStyle w:val="Heading3"/>
        <w:numPr>
          <w:ilvl w:val="2"/>
          <w:numId w:val="17"/>
        </w:numPr>
        <w:tabs>
          <w:tab w:pos="1319" w:val="left" w:leader="none"/>
        </w:tabs>
        <w:spacing w:line="357" w:lineRule="exact" w:before="0" w:after="0"/>
        <w:ind w:left="1318" w:right="0" w:hanging="841"/>
        <w:jc w:val="both"/>
      </w:pPr>
      <w:r>
        <w:rPr/>
        <w:t>劳动组织与定员</w:t>
      </w:r>
    </w:p>
    <w:p>
      <w:pPr>
        <w:pStyle w:val="BodyText"/>
        <w:spacing w:line="364" w:lineRule="auto" w:before="186"/>
        <w:ind w:left="478" w:right="473" w:firstLine="480"/>
        <w:jc w:val="both"/>
      </w:pPr>
      <w:r>
        <w:rPr>
          <w:spacing w:val="-7"/>
        </w:rPr>
        <w:t>全矿在籍职工总数 </w:t>
      </w:r>
      <w:r>
        <w:rPr>
          <w:rFonts w:ascii="Times New Roman" w:eastAsia="Times New Roman"/>
        </w:rPr>
        <w:t>363 </w:t>
      </w:r>
      <w:r>
        <w:rPr>
          <w:spacing w:val="-10"/>
        </w:rPr>
        <w:t>人，其中原煤生产人员在籍人数 </w:t>
      </w:r>
      <w:r>
        <w:rPr>
          <w:rFonts w:ascii="Times New Roman" w:eastAsia="Times New Roman"/>
        </w:rPr>
        <w:t>330 </w:t>
      </w:r>
      <w:r>
        <w:rPr>
          <w:spacing w:val="-6"/>
        </w:rPr>
        <w:t>人，占全矿在籍职工总</w:t>
      </w:r>
      <w:r>
        <w:rPr>
          <w:spacing w:val="-15"/>
        </w:rPr>
        <w:t>人数的 </w:t>
      </w:r>
      <w:r>
        <w:rPr>
          <w:rFonts w:ascii="Times New Roman" w:eastAsia="Times New Roman"/>
        </w:rPr>
        <w:t>91%</w:t>
      </w:r>
      <w:r>
        <w:rPr>
          <w:spacing w:val="-8"/>
        </w:rPr>
        <w:t>。管理人员占原煤生产人员的 </w:t>
      </w:r>
      <w:r>
        <w:rPr>
          <w:rFonts w:ascii="Times New Roman" w:eastAsia="Times New Roman"/>
          <w:spacing w:val="-4"/>
        </w:rPr>
        <w:t>4.9%</w:t>
      </w:r>
      <w:r>
        <w:rPr>
          <w:spacing w:val="-7"/>
        </w:rPr>
        <w:t>，服务人员占原煤生产人员的 </w:t>
      </w:r>
      <w:r>
        <w:rPr>
          <w:rFonts w:ascii="Times New Roman" w:eastAsia="Times New Roman"/>
          <w:spacing w:val="-6"/>
        </w:rPr>
        <w:t>2%</w:t>
      </w:r>
      <w:r>
        <w:rPr>
          <w:spacing w:val="-7"/>
        </w:rPr>
        <w:t>，其他</w:t>
      </w:r>
      <w:r>
        <w:rPr>
          <w:spacing w:val="-6"/>
        </w:rPr>
        <w:t>人员占原煤生产人员的 </w:t>
      </w:r>
      <w:r>
        <w:rPr>
          <w:rFonts w:ascii="Times New Roman" w:eastAsia="Times New Roman"/>
        </w:rPr>
        <w:t>1.4%</w:t>
      </w:r>
      <w:r>
        <w:rPr>
          <w:spacing w:val="-7"/>
        </w:rPr>
        <w:t>。劳动定员详见表 </w:t>
      </w:r>
      <w:r>
        <w:rPr>
          <w:rFonts w:ascii="Times New Roman" w:eastAsia="Times New Roman"/>
        </w:rPr>
        <w:t>3.2-2</w:t>
      </w:r>
      <w:r>
        <w:rPr/>
        <w:t>。</w:t>
      </w:r>
    </w:p>
    <w:p>
      <w:pPr>
        <w:pStyle w:val="Heading4"/>
        <w:spacing w:line="304" w:lineRule="exact" w:after="3"/>
        <w:ind w:left="3593"/>
        <w:jc w:val="both"/>
      </w:pPr>
      <w:r>
        <w:rPr/>
        <w:t>表 </w:t>
      </w:r>
      <w:r>
        <w:rPr>
          <w:rFonts w:ascii="Times New Roman" w:eastAsia="Times New Roman"/>
        </w:rPr>
        <w:t>3.2-2  </w:t>
      </w:r>
      <w:r>
        <w:rPr/>
        <w:t>劳动定员汇总表</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8"/>
        <w:gridCol w:w="1920"/>
        <w:gridCol w:w="929"/>
        <w:gridCol w:w="929"/>
        <w:gridCol w:w="929"/>
        <w:gridCol w:w="929"/>
        <w:gridCol w:w="929"/>
        <w:gridCol w:w="802"/>
        <w:gridCol w:w="127"/>
        <w:gridCol w:w="934"/>
      </w:tblGrid>
      <w:tr>
        <w:trPr>
          <w:trHeight w:val="300" w:hRule="atLeast"/>
        </w:trPr>
        <w:tc>
          <w:tcPr>
            <w:tcW w:w="688" w:type="dxa"/>
            <w:vMerge w:val="restart"/>
          </w:tcPr>
          <w:p>
            <w:pPr>
              <w:pStyle w:val="TableParagraph"/>
              <w:spacing w:before="168"/>
              <w:ind w:left="134"/>
              <w:jc w:val="left"/>
              <w:rPr>
                <w:sz w:val="21"/>
              </w:rPr>
            </w:pPr>
            <w:r>
              <w:rPr>
                <w:sz w:val="21"/>
              </w:rPr>
              <w:t>序号</w:t>
            </w:r>
          </w:p>
        </w:tc>
        <w:tc>
          <w:tcPr>
            <w:tcW w:w="1920" w:type="dxa"/>
            <w:vMerge w:val="restart"/>
          </w:tcPr>
          <w:p>
            <w:pPr>
              <w:pStyle w:val="TableParagraph"/>
              <w:spacing w:line="244" w:lineRule="auto" w:before="31"/>
              <w:ind w:left="749" w:right="740"/>
              <w:rPr>
                <w:sz w:val="21"/>
              </w:rPr>
            </w:pPr>
            <w:r>
              <w:rPr>
                <w:sz w:val="21"/>
              </w:rPr>
              <w:t>人员类别</w:t>
            </w:r>
          </w:p>
        </w:tc>
        <w:tc>
          <w:tcPr>
            <w:tcW w:w="4645" w:type="dxa"/>
            <w:gridSpan w:val="5"/>
          </w:tcPr>
          <w:p>
            <w:pPr>
              <w:pStyle w:val="TableParagraph"/>
              <w:spacing w:line="266" w:lineRule="exact" w:before="14"/>
              <w:ind w:left="1855" w:right="1899"/>
              <w:rPr>
                <w:sz w:val="21"/>
              </w:rPr>
            </w:pPr>
            <w:r>
              <w:rPr>
                <w:sz w:val="21"/>
              </w:rPr>
              <w:t>出勤人数</w:t>
            </w:r>
          </w:p>
        </w:tc>
        <w:tc>
          <w:tcPr>
            <w:tcW w:w="802" w:type="dxa"/>
          </w:tcPr>
          <w:p>
            <w:pPr>
              <w:pStyle w:val="TableParagraph"/>
              <w:spacing w:line="266" w:lineRule="exact" w:before="14"/>
              <w:ind w:left="163"/>
              <w:jc w:val="left"/>
              <w:rPr>
                <w:sz w:val="21"/>
              </w:rPr>
            </w:pPr>
            <w:r>
              <w:rPr>
                <w:sz w:val="21"/>
              </w:rPr>
              <w:t>在籍</w:t>
            </w:r>
          </w:p>
        </w:tc>
        <w:tc>
          <w:tcPr>
            <w:tcW w:w="1061" w:type="dxa"/>
            <w:gridSpan w:val="2"/>
          </w:tcPr>
          <w:p>
            <w:pPr>
              <w:pStyle w:val="TableParagraph"/>
              <w:spacing w:line="266" w:lineRule="exact" w:before="14"/>
              <w:ind w:left="318"/>
              <w:jc w:val="left"/>
              <w:rPr>
                <w:sz w:val="21"/>
              </w:rPr>
            </w:pPr>
            <w:r>
              <w:rPr>
                <w:sz w:val="21"/>
              </w:rPr>
              <w:t>在籍</w:t>
            </w:r>
          </w:p>
        </w:tc>
      </w:tr>
      <w:tr>
        <w:trPr>
          <w:trHeight w:val="300" w:hRule="atLeast"/>
        </w:trPr>
        <w:tc>
          <w:tcPr>
            <w:tcW w:w="688" w:type="dxa"/>
            <w:vMerge/>
            <w:tcBorders>
              <w:top w:val="nil"/>
            </w:tcBorders>
          </w:tcPr>
          <w:p>
            <w:pPr>
              <w:rPr>
                <w:sz w:val="2"/>
                <w:szCs w:val="2"/>
              </w:rPr>
            </w:pPr>
          </w:p>
        </w:tc>
        <w:tc>
          <w:tcPr>
            <w:tcW w:w="1920" w:type="dxa"/>
            <w:vMerge/>
            <w:tcBorders>
              <w:top w:val="nil"/>
            </w:tcBorders>
          </w:tcPr>
          <w:p>
            <w:pPr>
              <w:rPr>
                <w:sz w:val="2"/>
                <w:szCs w:val="2"/>
              </w:rPr>
            </w:pPr>
          </w:p>
        </w:tc>
        <w:tc>
          <w:tcPr>
            <w:tcW w:w="929" w:type="dxa"/>
          </w:tcPr>
          <w:p>
            <w:pPr>
              <w:pStyle w:val="TableParagraph"/>
              <w:spacing w:line="266" w:lineRule="exact" w:before="13"/>
              <w:ind w:left="229" w:right="225"/>
              <w:rPr>
                <w:sz w:val="21"/>
              </w:rPr>
            </w:pPr>
            <w:r>
              <w:rPr>
                <w:sz w:val="21"/>
              </w:rPr>
              <w:t>一班</w:t>
            </w:r>
          </w:p>
        </w:tc>
        <w:tc>
          <w:tcPr>
            <w:tcW w:w="929" w:type="dxa"/>
          </w:tcPr>
          <w:p>
            <w:pPr>
              <w:pStyle w:val="TableParagraph"/>
              <w:spacing w:line="266" w:lineRule="exact" w:before="13"/>
              <w:ind w:left="229" w:right="225"/>
              <w:rPr>
                <w:sz w:val="21"/>
              </w:rPr>
            </w:pPr>
            <w:r>
              <w:rPr>
                <w:sz w:val="21"/>
              </w:rPr>
              <w:t>二班</w:t>
            </w:r>
          </w:p>
        </w:tc>
        <w:tc>
          <w:tcPr>
            <w:tcW w:w="929" w:type="dxa"/>
          </w:tcPr>
          <w:p>
            <w:pPr>
              <w:pStyle w:val="TableParagraph"/>
              <w:spacing w:line="266" w:lineRule="exact" w:before="13"/>
              <w:ind w:left="228" w:right="225"/>
              <w:rPr>
                <w:sz w:val="21"/>
              </w:rPr>
            </w:pPr>
            <w:r>
              <w:rPr>
                <w:sz w:val="21"/>
              </w:rPr>
              <w:t>三班</w:t>
            </w:r>
          </w:p>
        </w:tc>
        <w:tc>
          <w:tcPr>
            <w:tcW w:w="929" w:type="dxa"/>
          </w:tcPr>
          <w:p>
            <w:pPr>
              <w:pStyle w:val="TableParagraph"/>
              <w:spacing w:line="266" w:lineRule="exact" w:before="13"/>
              <w:ind w:left="231" w:right="223"/>
              <w:rPr>
                <w:sz w:val="21"/>
              </w:rPr>
            </w:pPr>
            <w:r>
              <w:rPr>
                <w:sz w:val="21"/>
              </w:rPr>
              <w:t>四班</w:t>
            </w:r>
          </w:p>
        </w:tc>
        <w:tc>
          <w:tcPr>
            <w:tcW w:w="929" w:type="dxa"/>
          </w:tcPr>
          <w:p>
            <w:pPr>
              <w:pStyle w:val="TableParagraph"/>
              <w:spacing w:line="266" w:lineRule="exact" w:before="13"/>
              <w:ind w:left="231" w:right="224"/>
              <w:rPr>
                <w:sz w:val="21"/>
              </w:rPr>
            </w:pPr>
            <w:r>
              <w:rPr>
                <w:sz w:val="21"/>
              </w:rPr>
              <w:t>合计</w:t>
            </w:r>
          </w:p>
        </w:tc>
        <w:tc>
          <w:tcPr>
            <w:tcW w:w="929" w:type="dxa"/>
            <w:gridSpan w:val="2"/>
          </w:tcPr>
          <w:p>
            <w:pPr>
              <w:pStyle w:val="TableParagraph"/>
              <w:spacing w:line="266" w:lineRule="exact" w:before="13"/>
              <w:ind w:left="254"/>
              <w:jc w:val="left"/>
              <w:rPr>
                <w:sz w:val="21"/>
              </w:rPr>
            </w:pPr>
            <w:r>
              <w:rPr>
                <w:sz w:val="21"/>
              </w:rPr>
              <w:t>系数</w:t>
            </w:r>
          </w:p>
        </w:tc>
        <w:tc>
          <w:tcPr>
            <w:tcW w:w="934" w:type="dxa"/>
          </w:tcPr>
          <w:p>
            <w:pPr>
              <w:pStyle w:val="TableParagraph"/>
              <w:spacing w:line="266" w:lineRule="exact" w:before="13"/>
              <w:ind w:left="235" w:right="229"/>
              <w:rPr>
                <w:sz w:val="21"/>
              </w:rPr>
            </w:pPr>
            <w:r>
              <w:rPr>
                <w:sz w:val="21"/>
              </w:rPr>
              <w:t>人数</w:t>
            </w:r>
          </w:p>
        </w:tc>
      </w:tr>
      <w:tr>
        <w:trPr>
          <w:trHeight w:val="378" w:hRule="atLeast"/>
        </w:trPr>
        <w:tc>
          <w:tcPr>
            <w:tcW w:w="688" w:type="dxa"/>
          </w:tcPr>
          <w:p>
            <w:pPr>
              <w:pStyle w:val="TableParagraph"/>
              <w:spacing w:before="54"/>
              <w:ind w:right="229"/>
              <w:jc w:val="right"/>
              <w:rPr>
                <w:sz w:val="21"/>
              </w:rPr>
            </w:pPr>
            <w:r>
              <w:rPr>
                <w:w w:val="99"/>
                <w:sz w:val="21"/>
              </w:rPr>
              <w:t>一</w:t>
            </w:r>
          </w:p>
        </w:tc>
        <w:tc>
          <w:tcPr>
            <w:tcW w:w="1920" w:type="dxa"/>
          </w:tcPr>
          <w:p>
            <w:pPr>
              <w:pStyle w:val="TableParagraph"/>
              <w:spacing w:before="54"/>
              <w:ind w:left="97" w:right="90"/>
              <w:rPr>
                <w:sz w:val="21"/>
              </w:rPr>
            </w:pPr>
            <w:r>
              <w:rPr>
                <w:sz w:val="21"/>
              </w:rPr>
              <w:t>原煤生产工人</w:t>
            </w:r>
          </w:p>
        </w:tc>
        <w:tc>
          <w:tcPr>
            <w:tcW w:w="929" w:type="dxa"/>
          </w:tcPr>
          <w:p>
            <w:pPr>
              <w:pStyle w:val="TableParagraph"/>
              <w:spacing w:before="68"/>
              <w:ind w:left="231" w:right="223"/>
              <w:rPr>
                <w:rFonts w:ascii="Times New Roman"/>
                <w:sz w:val="21"/>
              </w:rPr>
            </w:pPr>
            <w:r>
              <w:rPr>
                <w:rFonts w:ascii="Times New Roman"/>
                <w:sz w:val="21"/>
              </w:rPr>
              <w:t>70</w:t>
            </w:r>
          </w:p>
        </w:tc>
        <w:tc>
          <w:tcPr>
            <w:tcW w:w="929" w:type="dxa"/>
          </w:tcPr>
          <w:p>
            <w:pPr>
              <w:pStyle w:val="TableParagraph"/>
              <w:spacing w:before="68"/>
              <w:ind w:left="231" w:right="224"/>
              <w:rPr>
                <w:rFonts w:ascii="Times New Roman"/>
                <w:sz w:val="21"/>
              </w:rPr>
            </w:pPr>
            <w:r>
              <w:rPr>
                <w:rFonts w:ascii="Times New Roman"/>
                <w:sz w:val="21"/>
              </w:rPr>
              <w:t>70</w:t>
            </w:r>
          </w:p>
        </w:tc>
        <w:tc>
          <w:tcPr>
            <w:tcW w:w="929" w:type="dxa"/>
          </w:tcPr>
          <w:p>
            <w:pPr>
              <w:pStyle w:val="TableParagraph"/>
              <w:spacing w:before="68"/>
              <w:ind w:left="231" w:right="224"/>
              <w:rPr>
                <w:rFonts w:ascii="Times New Roman"/>
                <w:sz w:val="21"/>
              </w:rPr>
            </w:pPr>
            <w:r>
              <w:rPr>
                <w:rFonts w:ascii="Times New Roman"/>
                <w:sz w:val="21"/>
              </w:rPr>
              <w:t>70</w:t>
            </w:r>
          </w:p>
        </w:tc>
        <w:tc>
          <w:tcPr>
            <w:tcW w:w="929" w:type="dxa"/>
          </w:tcPr>
          <w:p>
            <w:pPr>
              <w:pStyle w:val="TableParagraph"/>
              <w:spacing w:before="68"/>
              <w:ind w:left="231" w:right="224"/>
              <w:rPr>
                <w:rFonts w:ascii="Times New Roman"/>
                <w:sz w:val="21"/>
              </w:rPr>
            </w:pPr>
            <w:r>
              <w:rPr>
                <w:rFonts w:ascii="Times New Roman"/>
                <w:sz w:val="21"/>
              </w:rPr>
              <w:t>70</w:t>
            </w:r>
          </w:p>
        </w:tc>
        <w:tc>
          <w:tcPr>
            <w:tcW w:w="929" w:type="dxa"/>
          </w:tcPr>
          <w:p>
            <w:pPr>
              <w:pStyle w:val="TableParagraph"/>
              <w:spacing w:before="68"/>
              <w:ind w:left="231" w:right="220"/>
              <w:rPr>
                <w:rFonts w:ascii="Times New Roman"/>
                <w:sz w:val="21"/>
              </w:rPr>
            </w:pPr>
            <w:r>
              <w:rPr>
                <w:rFonts w:ascii="Times New Roman"/>
                <w:sz w:val="21"/>
              </w:rPr>
              <w:t>280</w:t>
            </w:r>
          </w:p>
        </w:tc>
        <w:tc>
          <w:tcPr>
            <w:tcW w:w="929" w:type="dxa"/>
            <w:gridSpan w:val="2"/>
          </w:tcPr>
          <w:p>
            <w:pPr>
              <w:pStyle w:val="TableParagraph"/>
              <w:jc w:val="left"/>
              <w:rPr>
                <w:rFonts w:ascii="Times New Roman"/>
                <w:sz w:val="22"/>
              </w:rPr>
            </w:pPr>
          </w:p>
        </w:tc>
        <w:tc>
          <w:tcPr>
            <w:tcW w:w="934" w:type="dxa"/>
          </w:tcPr>
          <w:p>
            <w:pPr>
              <w:pStyle w:val="TableParagraph"/>
              <w:spacing w:before="68"/>
              <w:ind w:left="235" w:right="225"/>
              <w:rPr>
                <w:rFonts w:ascii="Times New Roman"/>
                <w:sz w:val="21"/>
              </w:rPr>
            </w:pPr>
            <w:r>
              <w:rPr>
                <w:rFonts w:ascii="Times New Roman"/>
                <w:sz w:val="21"/>
              </w:rPr>
              <w:t>332</w:t>
            </w:r>
          </w:p>
        </w:tc>
      </w:tr>
      <w:tr>
        <w:trPr>
          <w:trHeight w:val="379" w:hRule="atLeast"/>
        </w:trPr>
        <w:tc>
          <w:tcPr>
            <w:tcW w:w="688" w:type="dxa"/>
          </w:tcPr>
          <w:p>
            <w:pPr>
              <w:pStyle w:val="TableParagraph"/>
              <w:spacing w:before="68"/>
              <w:ind w:right="280"/>
              <w:jc w:val="right"/>
              <w:rPr>
                <w:rFonts w:ascii="Times New Roman"/>
                <w:sz w:val="21"/>
              </w:rPr>
            </w:pPr>
            <w:r>
              <w:rPr>
                <w:rFonts w:ascii="Times New Roman"/>
                <w:w w:val="99"/>
                <w:sz w:val="21"/>
              </w:rPr>
              <w:t>1</w:t>
            </w:r>
          </w:p>
        </w:tc>
        <w:tc>
          <w:tcPr>
            <w:tcW w:w="1920" w:type="dxa"/>
          </w:tcPr>
          <w:p>
            <w:pPr>
              <w:pStyle w:val="TableParagraph"/>
              <w:spacing w:before="54"/>
              <w:ind w:left="97" w:right="93"/>
              <w:rPr>
                <w:sz w:val="21"/>
              </w:rPr>
            </w:pPr>
            <w:r>
              <w:rPr>
                <w:sz w:val="21"/>
              </w:rPr>
              <w:t>井下工人</w:t>
            </w:r>
          </w:p>
        </w:tc>
        <w:tc>
          <w:tcPr>
            <w:tcW w:w="929" w:type="dxa"/>
          </w:tcPr>
          <w:p>
            <w:pPr>
              <w:pStyle w:val="TableParagraph"/>
              <w:spacing w:before="68"/>
              <w:ind w:left="231" w:right="223"/>
              <w:rPr>
                <w:rFonts w:ascii="Times New Roman"/>
                <w:sz w:val="21"/>
              </w:rPr>
            </w:pPr>
            <w:r>
              <w:rPr>
                <w:rFonts w:ascii="Times New Roman"/>
                <w:sz w:val="21"/>
              </w:rPr>
              <w:t>60</w:t>
            </w:r>
          </w:p>
        </w:tc>
        <w:tc>
          <w:tcPr>
            <w:tcW w:w="929" w:type="dxa"/>
          </w:tcPr>
          <w:p>
            <w:pPr>
              <w:pStyle w:val="TableParagraph"/>
              <w:spacing w:before="68"/>
              <w:ind w:left="231" w:right="224"/>
              <w:rPr>
                <w:rFonts w:ascii="Times New Roman"/>
                <w:sz w:val="21"/>
              </w:rPr>
            </w:pPr>
            <w:r>
              <w:rPr>
                <w:rFonts w:ascii="Times New Roman"/>
                <w:sz w:val="21"/>
              </w:rPr>
              <w:t>60</w:t>
            </w:r>
          </w:p>
        </w:tc>
        <w:tc>
          <w:tcPr>
            <w:tcW w:w="929" w:type="dxa"/>
          </w:tcPr>
          <w:p>
            <w:pPr>
              <w:pStyle w:val="TableParagraph"/>
              <w:spacing w:before="68"/>
              <w:ind w:left="231" w:right="224"/>
              <w:rPr>
                <w:rFonts w:ascii="Times New Roman"/>
                <w:sz w:val="21"/>
              </w:rPr>
            </w:pPr>
            <w:r>
              <w:rPr>
                <w:rFonts w:ascii="Times New Roman"/>
                <w:sz w:val="21"/>
              </w:rPr>
              <w:t>60</w:t>
            </w:r>
          </w:p>
        </w:tc>
        <w:tc>
          <w:tcPr>
            <w:tcW w:w="929" w:type="dxa"/>
          </w:tcPr>
          <w:p>
            <w:pPr>
              <w:pStyle w:val="TableParagraph"/>
              <w:spacing w:before="68"/>
              <w:ind w:left="231" w:right="224"/>
              <w:rPr>
                <w:rFonts w:ascii="Times New Roman"/>
                <w:sz w:val="21"/>
              </w:rPr>
            </w:pPr>
            <w:r>
              <w:rPr>
                <w:rFonts w:ascii="Times New Roman"/>
                <w:sz w:val="21"/>
              </w:rPr>
              <w:t>60</w:t>
            </w:r>
          </w:p>
        </w:tc>
        <w:tc>
          <w:tcPr>
            <w:tcW w:w="929" w:type="dxa"/>
          </w:tcPr>
          <w:p>
            <w:pPr>
              <w:pStyle w:val="TableParagraph"/>
              <w:spacing w:before="68"/>
              <w:ind w:left="231" w:right="220"/>
              <w:rPr>
                <w:rFonts w:ascii="Times New Roman"/>
                <w:sz w:val="21"/>
              </w:rPr>
            </w:pPr>
            <w:r>
              <w:rPr>
                <w:rFonts w:ascii="Times New Roman"/>
                <w:sz w:val="21"/>
              </w:rPr>
              <w:t>240</w:t>
            </w:r>
          </w:p>
        </w:tc>
        <w:tc>
          <w:tcPr>
            <w:tcW w:w="929" w:type="dxa"/>
            <w:gridSpan w:val="2"/>
          </w:tcPr>
          <w:p>
            <w:pPr>
              <w:pStyle w:val="TableParagraph"/>
              <w:spacing w:before="68"/>
              <w:ind w:left="231" w:right="220"/>
              <w:rPr>
                <w:rFonts w:ascii="Times New Roman"/>
                <w:sz w:val="21"/>
              </w:rPr>
            </w:pPr>
            <w:r>
              <w:rPr>
                <w:rFonts w:ascii="Times New Roman"/>
                <w:sz w:val="21"/>
              </w:rPr>
              <w:t>1.2</w:t>
            </w:r>
          </w:p>
        </w:tc>
        <w:tc>
          <w:tcPr>
            <w:tcW w:w="934" w:type="dxa"/>
          </w:tcPr>
          <w:p>
            <w:pPr>
              <w:pStyle w:val="TableParagraph"/>
              <w:spacing w:before="68"/>
              <w:ind w:left="235" w:right="225"/>
              <w:rPr>
                <w:rFonts w:ascii="Times New Roman"/>
                <w:sz w:val="21"/>
              </w:rPr>
            </w:pPr>
            <w:r>
              <w:rPr>
                <w:rFonts w:ascii="Times New Roman"/>
                <w:sz w:val="21"/>
              </w:rPr>
              <w:t>288</w:t>
            </w:r>
          </w:p>
        </w:tc>
      </w:tr>
      <w:tr>
        <w:trPr>
          <w:trHeight w:val="378" w:hRule="atLeast"/>
        </w:trPr>
        <w:tc>
          <w:tcPr>
            <w:tcW w:w="688" w:type="dxa"/>
          </w:tcPr>
          <w:p>
            <w:pPr>
              <w:pStyle w:val="TableParagraph"/>
              <w:spacing w:before="67"/>
              <w:ind w:right="280"/>
              <w:jc w:val="right"/>
              <w:rPr>
                <w:rFonts w:ascii="Times New Roman"/>
                <w:sz w:val="21"/>
              </w:rPr>
            </w:pPr>
            <w:r>
              <w:rPr>
                <w:rFonts w:ascii="Times New Roman"/>
                <w:w w:val="99"/>
                <w:sz w:val="21"/>
              </w:rPr>
              <w:t>2</w:t>
            </w:r>
          </w:p>
        </w:tc>
        <w:tc>
          <w:tcPr>
            <w:tcW w:w="1920" w:type="dxa"/>
          </w:tcPr>
          <w:p>
            <w:pPr>
              <w:pStyle w:val="TableParagraph"/>
              <w:spacing w:before="53"/>
              <w:ind w:left="97" w:right="93"/>
              <w:rPr>
                <w:sz w:val="21"/>
              </w:rPr>
            </w:pPr>
            <w:r>
              <w:rPr>
                <w:sz w:val="21"/>
              </w:rPr>
              <w:t>地面工人</w:t>
            </w:r>
          </w:p>
        </w:tc>
        <w:tc>
          <w:tcPr>
            <w:tcW w:w="929" w:type="dxa"/>
          </w:tcPr>
          <w:p>
            <w:pPr>
              <w:pStyle w:val="TableParagraph"/>
              <w:spacing w:before="67"/>
              <w:ind w:left="231" w:right="223"/>
              <w:rPr>
                <w:rFonts w:ascii="Times New Roman"/>
                <w:sz w:val="21"/>
              </w:rPr>
            </w:pPr>
            <w:r>
              <w:rPr>
                <w:rFonts w:ascii="Times New Roman"/>
                <w:sz w:val="21"/>
              </w:rPr>
              <w:t>10</w:t>
            </w:r>
          </w:p>
        </w:tc>
        <w:tc>
          <w:tcPr>
            <w:tcW w:w="929" w:type="dxa"/>
          </w:tcPr>
          <w:p>
            <w:pPr>
              <w:pStyle w:val="TableParagraph"/>
              <w:spacing w:before="67"/>
              <w:ind w:left="231" w:right="224"/>
              <w:rPr>
                <w:rFonts w:ascii="Times New Roman"/>
                <w:sz w:val="21"/>
              </w:rPr>
            </w:pPr>
            <w:r>
              <w:rPr>
                <w:rFonts w:ascii="Times New Roman"/>
                <w:sz w:val="21"/>
              </w:rPr>
              <w:t>10</w:t>
            </w:r>
          </w:p>
        </w:tc>
        <w:tc>
          <w:tcPr>
            <w:tcW w:w="929" w:type="dxa"/>
          </w:tcPr>
          <w:p>
            <w:pPr>
              <w:pStyle w:val="TableParagraph"/>
              <w:spacing w:before="67"/>
              <w:ind w:left="231" w:right="224"/>
              <w:rPr>
                <w:rFonts w:ascii="Times New Roman"/>
                <w:sz w:val="21"/>
              </w:rPr>
            </w:pPr>
            <w:r>
              <w:rPr>
                <w:rFonts w:ascii="Times New Roman"/>
                <w:sz w:val="21"/>
              </w:rPr>
              <w:t>10</w:t>
            </w:r>
          </w:p>
        </w:tc>
        <w:tc>
          <w:tcPr>
            <w:tcW w:w="929" w:type="dxa"/>
          </w:tcPr>
          <w:p>
            <w:pPr>
              <w:pStyle w:val="TableParagraph"/>
              <w:spacing w:before="67"/>
              <w:ind w:left="231" w:right="224"/>
              <w:rPr>
                <w:rFonts w:ascii="Times New Roman"/>
                <w:sz w:val="21"/>
              </w:rPr>
            </w:pPr>
            <w:r>
              <w:rPr>
                <w:rFonts w:ascii="Times New Roman"/>
                <w:sz w:val="21"/>
              </w:rPr>
              <w:t>10</w:t>
            </w:r>
          </w:p>
        </w:tc>
        <w:tc>
          <w:tcPr>
            <w:tcW w:w="929" w:type="dxa"/>
          </w:tcPr>
          <w:p>
            <w:pPr>
              <w:pStyle w:val="TableParagraph"/>
              <w:spacing w:before="67"/>
              <w:ind w:left="231" w:right="225"/>
              <w:rPr>
                <w:rFonts w:ascii="Times New Roman"/>
                <w:sz w:val="21"/>
              </w:rPr>
            </w:pPr>
            <w:r>
              <w:rPr>
                <w:rFonts w:ascii="Times New Roman"/>
                <w:sz w:val="21"/>
              </w:rPr>
              <w:t>40</w:t>
            </w:r>
          </w:p>
        </w:tc>
        <w:tc>
          <w:tcPr>
            <w:tcW w:w="929" w:type="dxa"/>
            <w:gridSpan w:val="2"/>
          </w:tcPr>
          <w:p>
            <w:pPr>
              <w:pStyle w:val="TableParagraph"/>
              <w:spacing w:before="67"/>
              <w:ind w:left="231" w:right="220"/>
              <w:rPr>
                <w:rFonts w:ascii="Times New Roman"/>
                <w:sz w:val="21"/>
              </w:rPr>
            </w:pPr>
            <w:r>
              <w:rPr>
                <w:rFonts w:ascii="Times New Roman"/>
                <w:sz w:val="21"/>
              </w:rPr>
              <w:t>1.1</w:t>
            </w:r>
          </w:p>
        </w:tc>
        <w:tc>
          <w:tcPr>
            <w:tcW w:w="934" w:type="dxa"/>
          </w:tcPr>
          <w:p>
            <w:pPr>
              <w:pStyle w:val="TableParagraph"/>
              <w:spacing w:before="67"/>
              <w:ind w:left="235" w:right="225"/>
              <w:rPr>
                <w:rFonts w:ascii="Times New Roman"/>
                <w:sz w:val="21"/>
              </w:rPr>
            </w:pPr>
            <w:r>
              <w:rPr>
                <w:rFonts w:ascii="Times New Roman"/>
                <w:sz w:val="21"/>
              </w:rPr>
              <w:t>44</w:t>
            </w:r>
          </w:p>
        </w:tc>
      </w:tr>
      <w:tr>
        <w:trPr>
          <w:trHeight w:val="378" w:hRule="atLeast"/>
        </w:trPr>
        <w:tc>
          <w:tcPr>
            <w:tcW w:w="688" w:type="dxa"/>
          </w:tcPr>
          <w:p>
            <w:pPr>
              <w:pStyle w:val="TableParagraph"/>
              <w:spacing w:before="53"/>
              <w:ind w:right="229"/>
              <w:jc w:val="right"/>
              <w:rPr>
                <w:sz w:val="21"/>
              </w:rPr>
            </w:pPr>
            <w:r>
              <w:rPr>
                <w:w w:val="99"/>
                <w:sz w:val="21"/>
              </w:rPr>
              <w:t>二</w:t>
            </w:r>
          </w:p>
        </w:tc>
        <w:tc>
          <w:tcPr>
            <w:tcW w:w="1920" w:type="dxa"/>
          </w:tcPr>
          <w:p>
            <w:pPr>
              <w:pStyle w:val="TableParagraph"/>
              <w:spacing w:before="53"/>
              <w:ind w:left="97" w:right="93"/>
              <w:rPr>
                <w:sz w:val="21"/>
              </w:rPr>
            </w:pPr>
            <w:r>
              <w:rPr>
                <w:sz w:val="21"/>
              </w:rPr>
              <w:t>原煤生产管理人员</w:t>
            </w:r>
          </w:p>
        </w:tc>
        <w:tc>
          <w:tcPr>
            <w:tcW w:w="929" w:type="dxa"/>
          </w:tcPr>
          <w:p>
            <w:pPr>
              <w:pStyle w:val="TableParagraph"/>
              <w:spacing w:before="67"/>
              <w:ind w:left="8"/>
              <w:rPr>
                <w:rFonts w:ascii="Times New Roman"/>
                <w:sz w:val="21"/>
              </w:rPr>
            </w:pPr>
            <w:r>
              <w:rPr>
                <w:rFonts w:ascii="Times New Roman"/>
                <w:w w:val="99"/>
                <w:sz w:val="21"/>
              </w:rPr>
              <w:t>3</w:t>
            </w:r>
          </w:p>
        </w:tc>
        <w:tc>
          <w:tcPr>
            <w:tcW w:w="929" w:type="dxa"/>
          </w:tcPr>
          <w:p>
            <w:pPr>
              <w:pStyle w:val="TableParagraph"/>
              <w:spacing w:before="67"/>
              <w:ind w:left="7"/>
              <w:rPr>
                <w:rFonts w:ascii="Times New Roman"/>
                <w:sz w:val="21"/>
              </w:rPr>
            </w:pPr>
            <w:r>
              <w:rPr>
                <w:rFonts w:ascii="Times New Roman"/>
                <w:w w:val="99"/>
                <w:sz w:val="21"/>
              </w:rPr>
              <w:t>9</w:t>
            </w:r>
          </w:p>
        </w:tc>
        <w:tc>
          <w:tcPr>
            <w:tcW w:w="929" w:type="dxa"/>
          </w:tcPr>
          <w:p>
            <w:pPr>
              <w:pStyle w:val="TableParagraph"/>
              <w:spacing w:before="67"/>
              <w:ind w:left="7"/>
              <w:rPr>
                <w:rFonts w:ascii="Times New Roman"/>
                <w:sz w:val="21"/>
              </w:rPr>
            </w:pPr>
            <w:r>
              <w:rPr>
                <w:rFonts w:ascii="Times New Roman"/>
                <w:w w:val="99"/>
                <w:sz w:val="21"/>
              </w:rPr>
              <w:t>3</w:t>
            </w:r>
          </w:p>
        </w:tc>
        <w:tc>
          <w:tcPr>
            <w:tcW w:w="929" w:type="dxa"/>
          </w:tcPr>
          <w:p>
            <w:pPr>
              <w:pStyle w:val="TableParagraph"/>
              <w:spacing w:before="67"/>
              <w:ind w:left="7"/>
              <w:rPr>
                <w:rFonts w:ascii="Times New Roman"/>
                <w:sz w:val="21"/>
              </w:rPr>
            </w:pPr>
            <w:r>
              <w:rPr>
                <w:rFonts w:ascii="Times New Roman"/>
                <w:w w:val="99"/>
                <w:sz w:val="21"/>
              </w:rPr>
              <w:t>3</w:t>
            </w:r>
          </w:p>
        </w:tc>
        <w:tc>
          <w:tcPr>
            <w:tcW w:w="929" w:type="dxa"/>
          </w:tcPr>
          <w:p>
            <w:pPr>
              <w:pStyle w:val="TableParagraph"/>
              <w:spacing w:before="67"/>
              <w:ind w:left="231" w:right="225"/>
              <w:rPr>
                <w:rFonts w:ascii="Times New Roman"/>
                <w:sz w:val="21"/>
              </w:rPr>
            </w:pPr>
            <w:r>
              <w:rPr>
                <w:rFonts w:ascii="Times New Roman"/>
                <w:sz w:val="21"/>
              </w:rPr>
              <w:t>18</w:t>
            </w:r>
          </w:p>
        </w:tc>
        <w:tc>
          <w:tcPr>
            <w:tcW w:w="929" w:type="dxa"/>
            <w:gridSpan w:val="2"/>
          </w:tcPr>
          <w:p>
            <w:pPr>
              <w:pStyle w:val="TableParagraph"/>
              <w:spacing w:before="67"/>
              <w:ind w:left="11"/>
              <w:rPr>
                <w:rFonts w:ascii="Times New Roman"/>
                <w:sz w:val="21"/>
              </w:rPr>
            </w:pPr>
            <w:r>
              <w:rPr>
                <w:rFonts w:ascii="Times New Roman"/>
                <w:w w:val="99"/>
                <w:sz w:val="21"/>
              </w:rPr>
              <w:t>1</w:t>
            </w:r>
          </w:p>
        </w:tc>
        <w:tc>
          <w:tcPr>
            <w:tcW w:w="934" w:type="dxa"/>
          </w:tcPr>
          <w:p>
            <w:pPr>
              <w:pStyle w:val="TableParagraph"/>
              <w:spacing w:before="67"/>
              <w:ind w:left="235" w:right="225"/>
              <w:rPr>
                <w:rFonts w:ascii="Times New Roman"/>
                <w:sz w:val="21"/>
              </w:rPr>
            </w:pPr>
            <w:r>
              <w:rPr>
                <w:rFonts w:ascii="Times New Roman"/>
                <w:sz w:val="21"/>
              </w:rPr>
              <w:t>18</w:t>
            </w:r>
          </w:p>
        </w:tc>
      </w:tr>
      <w:tr>
        <w:trPr>
          <w:trHeight w:val="378" w:hRule="atLeast"/>
        </w:trPr>
        <w:tc>
          <w:tcPr>
            <w:tcW w:w="688" w:type="dxa"/>
          </w:tcPr>
          <w:p>
            <w:pPr>
              <w:pStyle w:val="TableParagraph"/>
              <w:jc w:val="left"/>
              <w:rPr>
                <w:rFonts w:ascii="Times New Roman"/>
                <w:sz w:val="22"/>
              </w:rPr>
            </w:pPr>
          </w:p>
        </w:tc>
        <w:tc>
          <w:tcPr>
            <w:tcW w:w="1920" w:type="dxa"/>
          </w:tcPr>
          <w:p>
            <w:pPr>
              <w:pStyle w:val="TableParagraph"/>
              <w:spacing w:before="53"/>
              <w:ind w:left="97" w:right="90"/>
              <w:rPr>
                <w:sz w:val="21"/>
              </w:rPr>
            </w:pPr>
            <w:r>
              <w:rPr>
                <w:sz w:val="21"/>
              </w:rPr>
              <w:t>原煤生产人员</w:t>
            </w:r>
          </w:p>
        </w:tc>
        <w:tc>
          <w:tcPr>
            <w:tcW w:w="929" w:type="dxa"/>
          </w:tcPr>
          <w:p>
            <w:pPr>
              <w:pStyle w:val="TableParagraph"/>
              <w:spacing w:before="67"/>
              <w:ind w:left="231" w:right="223"/>
              <w:rPr>
                <w:rFonts w:ascii="Times New Roman"/>
                <w:sz w:val="21"/>
              </w:rPr>
            </w:pPr>
            <w:r>
              <w:rPr>
                <w:rFonts w:ascii="Times New Roman"/>
                <w:sz w:val="21"/>
              </w:rPr>
              <w:t>73</w:t>
            </w:r>
          </w:p>
        </w:tc>
        <w:tc>
          <w:tcPr>
            <w:tcW w:w="929" w:type="dxa"/>
          </w:tcPr>
          <w:p>
            <w:pPr>
              <w:pStyle w:val="TableParagraph"/>
              <w:spacing w:before="67"/>
              <w:ind w:left="231" w:right="224"/>
              <w:rPr>
                <w:rFonts w:ascii="Times New Roman"/>
                <w:sz w:val="21"/>
              </w:rPr>
            </w:pPr>
            <w:r>
              <w:rPr>
                <w:rFonts w:ascii="Times New Roman"/>
                <w:sz w:val="21"/>
              </w:rPr>
              <w:t>79</w:t>
            </w:r>
          </w:p>
        </w:tc>
        <w:tc>
          <w:tcPr>
            <w:tcW w:w="929" w:type="dxa"/>
          </w:tcPr>
          <w:p>
            <w:pPr>
              <w:pStyle w:val="TableParagraph"/>
              <w:spacing w:before="67"/>
              <w:ind w:left="231" w:right="224"/>
              <w:rPr>
                <w:rFonts w:ascii="Times New Roman"/>
                <w:sz w:val="21"/>
              </w:rPr>
            </w:pPr>
            <w:r>
              <w:rPr>
                <w:rFonts w:ascii="Times New Roman"/>
                <w:sz w:val="21"/>
              </w:rPr>
              <w:t>73</w:t>
            </w:r>
          </w:p>
        </w:tc>
        <w:tc>
          <w:tcPr>
            <w:tcW w:w="929" w:type="dxa"/>
          </w:tcPr>
          <w:p>
            <w:pPr>
              <w:pStyle w:val="TableParagraph"/>
              <w:spacing w:before="67"/>
              <w:ind w:left="231" w:right="224"/>
              <w:rPr>
                <w:rFonts w:ascii="Times New Roman"/>
                <w:sz w:val="21"/>
              </w:rPr>
            </w:pPr>
            <w:r>
              <w:rPr>
                <w:rFonts w:ascii="Times New Roman"/>
                <w:sz w:val="21"/>
              </w:rPr>
              <w:t>73</w:t>
            </w:r>
          </w:p>
        </w:tc>
        <w:tc>
          <w:tcPr>
            <w:tcW w:w="929" w:type="dxa"/>
          </w:tcPr>
          <w:p>
            <w:pPr>
              <w:pStyle w:val="TableParagraph"/>
              <w:spacing w:before="67"/>
              <w:ind w:left="231" w:right="220"/>
              <w:rPr>
                <w:rFonts w:ascii="Times New Roman"/>
                <w:sz w:val="21"/>
              </w:rPr>
            </w:pPr>
            <w:r>
              <w:rPr>
                <w:rFonts w:ascii="Times New Roman"/>
                <w:sz w:val="21"/>
              </w:rPr>
              <w:t>298</w:t>
            </w:r>
          </w:p>
        </w:tc>
        <w:tc>
          <w:tcPr>
            <w:tcW w:w="929" w:type="dxa"/>
            <w:gridSpan w:val="2"/>
          </w:tcPr>
          <w:p>
            <w:pPr>
              <w:pStyle w:val="TableParagraph"/>
              <w:jc w:val="left"/>
              <w:rPr>
                <w:rFonts w:ascii="Times New Roman"/>
                <w:sz w:val="22"/>
              </w:rPr>
            </w:pPr>
          </w:p>
        </w:tc>
        <w:tc>
          <w:tcPr>
            <w:tcW w:w="934" w:type="dxa"/>
          </w:tcPr>
          <w:p>
            <w:pPr>
              <w:pStyle w:val="TableParagraph"/>
              <w:spacing w:before="67"/>
              <w:ind w:left="235" w:right="225"/>
              <w:rPr>
                <w:rFonts w:ascii="Times New Roman"/>
                <w:sz w:val="21"/>
              </w:rPr>
            </w:pPr>
            <w:r>
              <w:rPr>
                <w:rFonts w:ascii="Times New Roman"/>
                <w:sz w:val="21"/>
              </w:rPr>
              <w:t>350</w:t>
            </w:r>
          </w:p>
        </w:tc>
      </w:tr>
      <w:tr>
        <w:trPr>
          <w:trHeight w:val="378" w:hRule="atLeast"/>
        </w:trPr>
        <w:tc>
          <w:tcPr>
            <w:tcW w:w="688" w:type="dxa"/>
          </w:tcPr>
          <w:p>
            <w:pPr>
              <w:pStyle w:val="TableParagraph"/>
              <w:spacing w:before="53"/>
              <w:ind w:right="229"/>
              <w:jc w:val="right"/>
              <w:rPr>
                <w:sz w:val="21"/>
              </w:rPr>
            </w:pPr>
            <w:r>
              <w:rPr>
                <w:w w:val="99"/>
                <w:sz w:val="21"/>
              </w:rPr>
              <w:t>三</w:t>
            </w:r>
          </w:p>
        </w:tc>
        <w:tc>
          <w:tcPr>
            <w:tcW w:w="1920" w:type="dxa"/>
          </w:tcPr>
          <w:p>
            <w:pPr>
              <w:pStyle w:val="TableParagraph"/>
              <w:spacing w:before="53"/>
              <w:ind w:left="97" w:right="93"/>
              <w:rPr>
                <w:sz w:val="21"/>
              </w:rPr>
            </w:pPr>
            <w:r>
              <w:rPr>
                <w:sz w:val="21"/>
              </w:rPr>
              <w:t>服务人员</w:t>
            </w:r>
          </w:p>
        </w:tc>
        <w:tc>
          <w:tcPr>
            <w:tcW w:w="929" w:type="dxa"/>
          </w:tcPr>
          <w:p>
            <w:pPr>
              <w:pStyle w:val="TableParagraph"/>
              <w:spacing w:before="67"/>
              <w:ind w:left="8"/>
              <w:rPr>
                <w:rFonts w:ascii="Times New Roman"/>
                <w:sz w:val="21"/>
              </w:rPr>
            </w:pPr>
            <w:r>
              <w:rPr>
                <w:rFonts w:ascii="Times New Roman"/>
                <w:w w:val="99"/>
                <w:sz w:val="21"/>
              </w:rPr>
              <w:t>2</w:t>
            </w:r>
          </w:p>
        </w:tc>
        <w:tc>
          <w:tcPr>
            <w:tcW w:w="929" w:type="dxa"/>
          </w:tcPr>
          <w:p>
            <w:pPr>
              <w:pStyle w:val="TableParagraph"/>
              <w:spacing w:before="67"/>
              <w:ind w:left="7"/>
              <w:rPr>
                <w:rFonts w:ascii="Times New Roman"/>
                <w:sz w:val="21"/>
              </w:rPr>
            </w:pPr>
            <w:r>
              <w:rPr>
                <w:rFonts w:ascii="Times New Roman"/>
                <w:w w:val="99"/>
                <w:sz w:val="21"/>
              </w:rPr>
              <w:t>2</w:t>
            </w:r>
          </w:p>
        </w:tc>
        <w:tc>
          <w:tcPr>
            <w:tcW w:w="929" w:type="dxa"/>
          </w:tcPr>
          <w:p>
            <w:pPr>
              <w:pStyle w:val="TableParagraph"/>
              <w:spacing w:before="67"/>
              <w:ind w:left="7"/>
              <w:rPr>
                <w:rFonts w:ascii="Times New Roman"/>
                <w:sz w:val="21"/>
              </w:rPr>
            </w:pPr>
            <w:r>
              <w:rPr>
                <w:rFonts w:ascii="Times New Roman"/>
                <w:w w:val="99"/>
                <w:sz w:val="21"/>
              </w:rPr>
              <w:t>2</w:t>
            </w:r>
          </w:p>
        </w:tc>
        <w:tc>
          <w:tcPr>
            <w:tcW w:w="929" w:type="dxa"/>
          </w:tcPr>
          <w:p>
            <w:pPr>
              <w:pStyle w:val="TableParagraph"/>
              <w:spacing w:before="67"/>
              <w:ind w:left="7"/>
              <w:rPr>
                <w:rFonts w:ascii="Times New Roman"/>
                <w:sz w:val="21"/>
              </w:rPr>
            </w:pPr>
            <w:r>
              <w:rPr>
                <w:rFonts w:ascii="Times New Roman"/>
                <w:w w:val="99"/>
                <w:sz w:val="21"/>
              </w:rPr>
              <w:t>2</w:t>
            </w:r>
          </w:p>
        </w:tc>
        <w:tc>
          <w:tcPr>
            <w:tcW w:w="929" w:type="dxa"/>
          </w:tcPr>
          <w:p>
            <w:pPr>
              <w:pStyle w:val="TableParagraph"/>
              <w:spacing w:before="67"/>
              <w:ind w:left="6"/>
              <w:rPr>
                <w:rFonts w:ascii="Times New Roman"/>
                <w:sz w:val="21"/>
              </w:rPr>
            </w:pPr>
            <w:r>
              <w:rPr>
                <w:rFonts w:ascii="Times New Roman"/>
                <w:w w:val="99"/>
                <w:sz w:val="21"/>
              </w:rPr>
              <w:t>8</w:t>
            </w:r>
          </w:p>
        </w:tc>
        <w:tc>
          <w:tcPr>
            <w:tcW w:w="929" w:type="dxa"/>
            <w:gridSpan w:val="2"/>
          </w:tcPr>
          <w:p>
            <w:pPr>
              <w:pStyle w:val="TableParagraph"/>
              <w:jc w:val="left"/>
              <w:rPr>
                <w:rFonts w:ascii="Times New Roman"/>
                <w:sz w:val="22"/>
              </w:rPr>
            </w:pPr>
          </w:p>
        </w:tc>
        <w:tc>
          <w:tcPr>
            <w:tcW w:w="934" w:type="dxa"/>
          </w:tcPr>
          <w:p>
            <w:pPr>
              <w:pStyle w:val="TableParagraph"/>
              <w:spacing w:before="67"/>
              <w:ind w:left="5"/>
              <w:rPr>
                <w:rFonts w:ascii="Times New Roman"/>
                <w:sz w:val="21"/>
              </w:rPr>
            </w:pPr>
            <w:r>
              <w:rPr>
                <w:rFonts w:ascii="Times New Roman"/>
                <w:w w:val="99"/>
                <w:sz w:val="21"/>
              </w:rPr>
              <w:t>8</w:t>
            </w:r>
          </w:p>
        </w:tc>
      </w:tr>
      <w:tr>
        <w:trPr>
          <w:trHeight w:val="378" w:hRule="atLeast"/>
        </w:trPr>
        <w:tc>
          <w:tcPr>
            <w:tcW w:w="688" w:type="dxa"/>
          </w:tcPr>
          <w:p>
            <w:pPr>
              <w:pStyle w:val="TableParagraph"/>
              <w:spacing w:before="53"/>
              <w:ind w:right="229"/>
              <w:jc w:val="right"/>
              <w:rPr>
                <w:sz w:val="21"/>
              </w:rPr>
            </w:pPr>
            <w:r>
              <w:rPr>
                <w:w w:val="99"/>
                <w:sz w:val="21"/>
              </w:rPr>
              <w:t>四</w:t>
            </w:r>
          </w:p>
        </w:tc>
        <w:tc>
          <w:tcPr>
            <w:tcW w:w="1920" w:type="dxa"/>
          </w:tcPr>
          <w:p>
            <w:pPr>
              <w:pStyle w:val="TableParagraph"/>
              <w:spacing w:before="53"/>
              <w:ind w:left="97" w:right="93"/>
              <w:rPr>
                <w:sz w:val="21"/>
              </w:rPr>
            </w:pPr>
            <w:r>
              <w:rPr>
                <w:sz w:val="21"/>
              </w:rPr>
              <w:t>其它人员</w:t>
            </w:r>
          </w:p>
        </w:tc>
        <w:tc>
          <w:tcPr>
            <w:tcW w:w="929" w:type="dxa"/>
          </w:tcPr>
          <w:p>
            <w:pPr>
              <w:pStyle w:val="TableParagraph"/>
              <w:spacing w:before="67"/>
              <w:ind w:left="8"/>
              <w:rPr>
                <w:rFonts w:ascii="Times New Roman"/>
                <w:sz w:val="21"/>
              </w:rPr>
            </w:pPr>
            <w:r>
              <w:rPr>
                <w:rFonts w:ascii="Times New Roman"/>
                <w:w w:val="99"/>
                <w:sz w:val="21"/>
              </w:rPr>
              <w:t>2</w:t>
            </w:r>
          </w:p>
        </w:tc>
        <w:tc>
          <w:tcPr>
            <w:tcW w:w="929" w:type="dxa"/>
          </w:tcPr>
          <w:p>
            <w:pPr>
              <w:pStyle w:val="TableParagraph"/>
              <w:spacing w:before="67"/>
              <w:ind w:left="7"/>
              <w:rPr>
                <w:rFonts w:ascii="Times New Roman"/>
                <w:sz w:val="21"/>
              </w:rPr>
            </w:pPr>
            <w:r>
              <w:rPr>
                <w:rFonts w:ascii="Times New Roman"/>
                <w:w w:val="99"/>
                <w:sz w:val="21"/>
              </w:rPr>
              <w:t>1</w:t>
            </w:r>
          </w:p>
        </w:tc>
        <w:tc>
          <w:tcPr>
            <w:tcW w:w="929" w:type="dxa"/>
          </w:tcPr>
          <w:p>
            <w:pPr>
              <w:pStyle w:val="TableParagraph"/>
              <w:spacing w:before="67"/>
              <w:ind w:left="7"/>
              <w:rPr>
                <w:rFonts w:ascii="Times New Roman"/>
                <w:sz w:val="21"/>
              </w:rPr>
            </w:pPr>
            <w:r>
              <w:rPr>
                <w:rFonts w:ascii="Times New Roman"/>
                <w:w w:val="99"/>
                <w:sz w:val="21"/>
              </w:rPr>
              <w:t>1</w:t>
            </w:r>
          </w:p>
        </w:tc>
        <w:tc>
          <w:tcPr>
            <w:tcW w:w="929" w:type="dxa"/>
          </w:tcPr>
          <w:p>
            <w:pPr>
              <w:pStyle w:val="TableParagraph"/>
              <w:spacing w:before="67"/>
              <w:ind w:left="7"/>
              <w:rPr>
                <w:rFonts w:ascii="Times New Roman"/>
                <w:sz w:val="21"/>
              </w:rPr>
            </w:pPr>
            <w:r>
              <w:rPr>
                <w:rFonts w:ascii="Times New Roman"/>
                <w:w w:val="99"/>
                <w:sz w:val="21"/>
              </w:rPr>
              <w:t>1</w:t>
            </w:r>
          </w:p>
        </w:tc>
        <w:tc>
          <w:tcPr>
            <w:tcW w:w="929" w:type="dxa"/>
          </w:tcPr>
          <w:p>
            <w:pPr>
              <w:pStyle w:val="TableParagraph"/>
              <w:spacing w:before="67"/>
              <w:ind w:left="6"/>
              <w:rPr>
                <w:rFonts w:ascii="Times New Roman"/>
                <w:sz w:val="21"/>
              </w:rPr>
            </w:pPr>
            <w:r>
              <w:rPr>
                <w:rFonts w:ascii="Times New Roman"/>
                <w:w w:val="99"/>
                <w:sz w:val="21"/>
              </w:rPr>
              <w:t>5</w:t>
            </w:r>
          </w:p>
        </w:tc>
        <w:tc>
          <w:tcPr>
            <w:tcW w:w="929" w:type="dxa"/>
            <w:gridSpan w:val="2"/>
          </w:tcPr>
          <w:p>
            <w:pPr>
              <w:pStyle w:val="TableParagraph"/>
              <w:jc w:val="left"/>
              <w:rPr>
                <w:rFonts w:ascii="Times New Roman"/>
                <w:sz w:val="22"/>
              </w:rPr>
            </w:pPr>
          </w:p>
        </w:tc>
        <w:tc>
          <w:tcPr>
            <w:tcW w:w="934" w:type="dxa"/>
          </w:tcPr>
          <w:p>
            <w:pPr>
              <w:pStyle w:val="TableParagraph"/>
              <w:spacing w:before="67"/>
              <w:ind w:left="5"/>
              <w:rPr>
                <w:rFonts w:ascii="Times New Roman"/>
                <w:sz w:val="21"/>
              </w:rPr>
            </w:pPr>
            <w:r>
              <w:rPr>
                <w:rFonts w:ascii="Times New Roman"/>
                <w:w w:val="99"/>
                <w:sz w:val="21"/>
              </w:rPr>
              <w:t>5</w:t>
            </w:r>
          </w:p>
        </w:tc>
      </w:tr>
      <w:tr>
        <w:trPr>
          <w:trHeight w:val="379" w:hRule="atLeast"/>
        </w:trPr>
        <w:tc>
          <w:tcPr>
            <w:tcW w:w="688" w:type="dxa"/>
          </w:tcPr>
          <w:p>
            <w:pPr>
              <w:pStyle w:val="TableParagraph"/>
              <w:jc w:val="left"/>
              <w:rPr>
                <w:rFonts w:ascii="Times New Roman"/>
                <w:sz w:val="22"/>
              </w:rPr>
            </w:pPr>
          </w:p>
        </w:tc>
        <w:tc>
          <w:tcPr>
            <w:tcW w:w="1920" w:type="dxa"/>
          </w:tcPr>
          <w:p>
            <w:pPr>
              <w:pStyle w:val="TableParagraph"/>
              <w:spacing w:before="52"/>
              <w:ind w:left="97" w:right="90"/>
              <w:rPr>
                <w:sz w:val="21"/>
              </w:rPr>
            </w:pPr>
            <w:r>
              <w:rPr>
                <w:sz w:val="21"/>
              </w:rPr>
              <w:t>合计</w:t>
            </w:r>
          </w:p>
        </w:tc>
        <w:tc>
          <w:tcPr>
            <w:tcW w:w="929" w:type="dxa"/>
          </w:tcPr>
          <w:p>
            <w:pPr>
              <w:pStyle w:val="TableParagraph"/>
              <w:spacing w:before="66"/>
              <w:ind w:left="231" w:right="223"/>
              <w:rPr>
                <w:rFonts w:ascii="Times New Roman"/>
                <w:sz w:val="21"/>
              </w:rPr>
            </w:pPr>
            <w:r>
              <w:rPr>
                <w:rFonts w:ascii="Times New Roman"/>
                <w:sz w:val="21"/>
              </w:rPr>
              <w:t>77</w:t>
            </w:r>
          </w:p>
        </w:tc>
        <w:tc>
          <w:tcPr>
            <w:tcW w:w="929" w:type="dxa"/>
          </w:tcPr>
          <w:p>
            <w:pPr>
              <w:pStyle w:val="TableParagraph"/>
              <w:spacing w:before="66"/>
              <w:ind w:left="231" w:right="224"/>
              <w:rPr>
                <w:rFonts w:ascii="Times New Roman"/>
                <w:sz w:val="21"/>
              </w:rPr>
            </w:pPr>
            <w:r>
              <w:rPr>
                <w:rFonts w:ascii="Times New Roman"/>
                <w:sz w:val="21"/>
              </w:rPr>
              <w:t>82</w:t>
            </w:r>
          </w:p>
        </w:tc>
        <w:tc>
          <w:tcPr>
            <w:tcW w:w="929" w:type="dxa"/>
          </w:tcPr>
          <w:p>
            <w:pPr>
              <w:pStyle w:val="TableParagraph"/>
              <w:spacing w:before="66"/>
              <w:ind w:left="231" w:right="224"/>
              <w:rPr>
                <w:rFonts w:ascii="Times New Roman"/>
                <w:sz w:val="21"/>
              </w:rPr>
            </w:pPr>
            <w:r>
              <w:rPr>
                <w:rFonts w:ascii="Times New Roman"/>
                <w:sz w:val="21"/>
              </w:rPr>
              <w:t>76</w:t>
            </w:r>
          </w:p>
        </w:tc>
        <w:tc>
          <w:tcPr>
            <w:tcW w:w="929" w:type="dxa"/>
          </w:tcPr>
          <w:p>
            <w:pPr>
              <w:pStyle w:val="TableParagraph"/>
              <w:spacing w:before="66"/>
              <w:ind w:left="231" w:right="224"/>
              <w:rPr>
                <w:rFonts w:ascii="Times New Roman"/>
                <w:sz w:val="21"/>
              </w:rPr>
            </w:pPr>
            <w:r>
              <w:rPr>
                <w:rFonts w:ascii="Times New Roman"/>
                <w:sz w:val="21"/>
              </w:rPr>
              <w:t>76</w:t>
            </w:r>
          </w:p>
        </w:tc>
        <w:tc>
          <w:tcPr>
            <w:tcW w:w="929" w:type="dxa"/>
          </w:tcPr>
          <w:p>
            <w:pPr>
              <w:pStyle w:val="TableParagraph"/>
              <w:spacing w:before="66"/>
              <w:ind w:left="231" w:right="220"/>
              <w:rPr>
                <w:rFonts w:ascii="Times New Roman"/>
                <w:sz w:val="21"/>
              </w:rPr>
            </w:pPr>
            <w:r>
              <w:rPr>
                <w:rFonts w:ascii="Times New Roman"/>
                <w:sz w:val="21"/>
              </w:rPr>
              <w:t>311</w:t>
            </w:r>
          </w:p>
        </w:tc>
        <w:tc>
          <w:tcPr>
            <w:tcW w:w="929" w:type="dxa"/>
            <w:gridSpan w:val="2"/>
          </w:tcPr>
          <w:p>
            <w:pPr>
              <w:pStyle w:val="TableParagraph"/>
              <w:jc w:val="left"/>
              <w:rPr>
                <w:rFonts w:ascii="Times New Roman"/>
                <w:sz w:val="22"/>
              </w:rPr>
            </w:pPr>
          </w:p>
        </w:tc>
        <w:tc>
          <w:tcPr>
            <w:tcW w:w="934" w:type="dxa"/>
          </w:tcPr>
          <w:p>
            <w:pPr>
              <w:pStyle w:val="TableParagraph"/>
              <w:spacing w:before="66"/>
              <w:ind w:left="235" w:right="225"/>
              <w:rPr>
                <w:rFonts w:ascii="Times New Roman"/>
                <w:sz w:val="21"/>
              </w:rPr>
            </w:pPr>
            <w:r>
              <w:rPr>
                <w:rFonts w:ascii="Times New Roman"/>
                <w:sz w:val="21"/>
              </w:rPr>
              <w:t>363</w:t>
            </w:r>
          </w:p>
        </w:tc>
      </w:tr>
    </w:tbl>
    <w:p>
      <w:pPr>
        <w:pStyle w:val="ListParagraph"/>
        <w:numPr>
          <w:ilvl w:val="2"/>
          <w:numId w:val="17"/>
        </w:numPr>
        <w:tabs>
          <w:tab w:pos="1249" w:val="left" w:leader="none"/>
        </w:tabs>
        <w:spacing w:line="240" w:lineRule="auto" w:before="2" w:after="0"/>
        <w:ind w:left="1248" w:right="0" w:hanging="771"/>
        <w:jc w:val="both"/>
        <w:rPr>
          <w:b/>
          <w:sz w:val="28"/>
        </w:rPr>
      </w:pPr>
      <w:r>
        <w:rPr>
          <w:b/>
          <w:sz w:val="28"/>
        </w:rPr>
        <w:t>项目实施计划</w:t>
      </w:r>
    </w:p>
    <w:p>
      <w:pPr>
        <w:pStyle w:val="BodyText"/>
        <w:spacing w:before="185"/>
        <w:ind w:right="477"/>
        <w:jc w:val="right"/>
      </w:pPr>
      <w:r>
        <w:rPr>
          <w:spacing w:val="-5"/>
        </w:rPr>
        <w:t>矿井资源整合建设总工期为 </w:t>
      </w:r>
      <w:r>
        <w:rPr>
          <w:rFonts w:ascii="Times New Roman" w:eastAsia="Times New Roman"/>
        </w:rPr>
        <w:t>21 </w:t>
      </w:r>
      <w:r>
        <w:rPr>
          <w:spacing w:val="-10"/>
        </w:rPr>
        <w:t>个月。其中，井巷工程工期为 </w:t>
      </w:r>
      <w:r>
        <w:rPr>
          <w:rFonts w:ascii="Times New Roman" w:eastAsia="Times New Roman"/>
        </w:rPr>
        <w:t>17 </w:t>
      </w:r>
      <w:r>
        <w:rPr>
          <w:spacing w:val="-4"/>
        </w:rPr>
        <w:t>个月，设备安装施</w:t>
      </w:r>
    </w:p>
    <w:p>
      <w:pPr>
        <w:pStyle w:val="BodyText"/>
        <w:spacing w:before="160"/>
        <w:ind w:right="477"/>
        <w:jc w:val="right"/>
      </w:pPr>
      <w:r>
        <w:rPr>
          <w:spacing w:val="-20"/>
        </w:rPr>
        <w:t>工期 </w:t>
      </w:r>
      <w:r>
        <w:rPr>
          <w:rFonts w:ascii="Times New Roman" w:eastAsia="Times New Roman"/>
        </w:rPr>
        <w:t>1 </w:t>
      </w:r>
      <w:r>
        <w:rPr>
          <w:spacing w:val="-10"/>
        </w:rPr>
        <w:t>个月，施工准备期 </w:t>
      </w:r>
      <w:r>
        <w:rPr>
          <w:rFonts w:ascii="Times New Roman" w:eastAsia="Times New Roman"/>
        </w:rPr>
        <w:t>1 </w:t>
      </w:r>
      <w:r>
        <w:rPr>
          <w:spacing w:val="-9"/>
        </w:rPr>
        <w:t>个月，安装和调试时间为 </w:t>
      </w:r>
      <w:r>
        <w:rPr>
          <w:rFonts w:ascii="Times New Roman" w:eastAsia="Times New Roman"/>
        </w:rPr>
        <w:t>1</w:t>
      </w:r>
      <w:r>
        <w:rPr>
          <w:rFonts w:ascii="Times New Roman" w:eastAsia="Times New Roman"/>
          <w:spacing w:val="1"/>
        </w:rPr>
        <w:t> </w:t>
      </w:r>
      <w:r>
        <w:rPr>
          <w:spacing w:val="-6"/>
        </w:rPr>
        <w:t>个月，井筒安装、联合试运转及</w:t>
      </w:r>
    </w:p>
    <w:p>
      <w:pPr>
        <w:pStyle w:val="BodyText"/>
        <w:spacing w:before="159"/>
        <w:ind w:left="478"/>
      </w:pPr>
      <w:r>
        <w:rPr/>
        <w:t>移交验收期 </w:t>
      </w:r>
      <w:r>
        <w:rPr>
          <w:rFonts w:ascii="Times New Roman" w:eastAsia="Times New Roman"/>
        </w:rPr>
        <w:t>1 </w:t>
      </w:r>
      <w:r>
        <w:rPr/>
        <w:t>个月，与采煤工作面设备安装和调试同时进行。</w:t>
      </w:r>
    </w:p>
    <w:p>
      <w:pPr>
        <w:pStyle w:val="Heading3"/>
        <w:numPr>
          <w:ilvl w:val="2"/>
          <w:numId w:val="17"/>
        </w:numPr>
        <w:tabs>
          <w:tab w:pos="1232" w:val="left" w:leader="none"/>
        </w:tabs>
        <w:spacing w:line="240" w:lineRule="auto" w:before="161" w:after="0"/>
        <w:ind w:left="1232" w:right="0" w:hanging="754"/>
        <w:jc w:val="left"/>
      </w:pPr>
      <w:r>
        <w:rPr/>
        <w:t>工程总投资及资金筹措</w:t>
      </w:r>
    </w:p>
    <w:p>
      <w:pPr>
        <w:pStyle w:val="BodyText"/>
        <w:spacing w:line="362" w:lineRule="auto" w:before="185"/>
        <w:ind w:left="478" w:right="414" w:firstLine="480"/>
      </w:pPr>
      <w:r>
        <w:rPr/>
        <w:t>工程投资总额为 </w:t>
      </w:r>
      <w:r>
        <w:rPr>
          <w:rFonts w:ascii="Times New Roman" w:eastAsia="Times New Roman"/>
        </w:rPr>
        <w:t>11358.62 </w:t>
      </w:r>
      <w:r>
        <w:rPr/>
        <w:t>万元（含铺底流动资金 </w:t>
      </w:r>
      <w:r>
        <w:rPr>
          <w:rFonts w:ascii="Times New Roman" w:eastAsia="Times New Roman"/>
        </w:rPr>
        <w:t>138.62 </w:t>
      </w:r>
      <w:r>
        <w:rPr/>
        <w:t>万元），主要技术指标见表 </w:t>
      </w:r>
      <w:r>
        <w:rPr>
          <w:rFonts w:ascii="Times New Roman" w:eastAsia="Times New Roman"/>
        </w:rPr>
        <w:t>3.2-3</w:t>
      </w:r>
      <w:r>
        <w:rPr/>
        <w:t>。</w:t>
      </w:r>
    </w:p>
    <w:p>
      <w:pPr>
        <w:pStyle w:val="Heading4"/>
        <w:spacing w:before="5" w:after="2"/>
        <w:ind w:left="1373" w:right="1366"/>
        <w:jc w:val="center"/>
      </w:pPr>
      <w:r>
        <w:rPr/>
        <w:t>表 </w:t>
      </w:r>
      <w:r>
        <w:rPr>
          <w:rFonts w:ascii="Times New Roman" w:eastAsia="Times New Roman"/>
        </w:rPr>
        <w:t>3.2-3  </w:t>
      </w:r>
      <w:r>
        <w:rPr/>
        <w:t>主要技术指标表</w:t>
      </w:r>
    </w:p>
    <w:tbl>
      <w:tblPr>
        <w:tblW w:w="0" w:type="auto"/>
        <w:jc w:val="left"/>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609"/>
        <w:gridCol w:w="1076"/>
        <w:gridCol w:w="3436"/>
        <w:gridCol w:w="1070"/>
      </w:tblGrid>
      <w:tr>
        <w:trPr>
          <w:trHeight w:val="360" w:hRule="atLeast"/>
        </w:trPr>
        <w:tc>
          <w:tcPr>
            <w:tcW w:w="813" w:type="dxa"/>
          </w:tcPr>
          <w:p>
            <w:pPr>
              <w:pStyle w:val="TableParagraph"/>
              <w:spacing w:before="42"/>
              <w:ind w:left="102" w:right="95"/>
              <w:rPr>
                <w:b/>
                <w:sz w:val="21"/>
              </w:rPr>
            </w:pPr>
            <w:r>
              <w:rPr>
                <w:b/>
                <w:sz w:val="21"/>
              </w:rPr>
              <w:t>序号</w:t>
            </w:r>
          </w:p>
        </w:tc>
        <w:tc>
          <w:tcPr>
            <w:tcW w:w="2609" w:type="dxa"/>
          </w:tcPr>
          <w:p>
            <w:pPr>
              <w:pStyle w:val="TableParagraph"/>
              <w:spacing w:before="42"/>
              <w:ind w:left="726"/>
              <w:jc w:val="left"/>
              <w:rPr>
                <w:b/>
                <w:sz w:val="21"/>
              </w:rPr>
            </w:pPr>
            <w:r>
              <w:rPr>
                <w:b/>
                <w:sz w:val="21"/>
              </w:rPr>
              <w:t>指 标 名 称</w:t>
            </w:r>
          </w:p>
        </w:tc>
        <w:tc>
          <w:tcPr>
            <w:tcW w:w="1076" w:type="dxa"/>
          </w:tcPr>
          <w:p>
            <w:pPr>
              <w:pStyle w:val="TableParagraph"/>
              <w:spacing w:before="42"/>
              <w:ind w:left="327"/>
              <w:jc w:val="left"/>
              <w:rPr>
                <w:b/>
                <w:sz w:val="21"/>
              </w:rPr>
            </w:pPr>
            <w:r>
              <w:rPr>
                <w:b/>
                <w:sz w:val="21"/>
              </w:rPr>
              <w:t>单位</w:t>
            </w:r>
          </w:p>
        </w:tc>
        <w:tc>
          <w:tcPr>
            <w:tcW w:w="3436" w:type="dxa"/>
          </w:tcPr>
          <w:p>
            <w:pPr>
              <w:pStyle w:val="TableParagraph"/>
              <w:spacing w:before="42"/>
              <w:ind w:left="9"/>
              <w:rPr>
                <w:b/>
                <w:sz w:val="21"/>
              </w:rPr>
            </w:pPr>
            <w:r>
              <w:rPr>
                <w:b/>
                <w:sz w:val="21"/>
              </w:rPr>
              <w:t>指标</w:t>
            </w:r>
          </w:p>
        </w:tc>
        <w:tc>
          <w:tcPr>
            <w:tcW w:w="1070" w:type="dxa"/>
          </w:tcPr>
          <w:p>
            <w:pPr>
              <w:pStyle w:val="TableParagraph"/>
              <w:tabs>
                <w:tab w:pos="639" w:val="left" w:leader="none"/>
              </w:tabs>
              <w:spacing w:before="42"/>
              <w:ind w:left="219"/>
              <w:jc w:val="left"/>
              <w:rPr>
                <w:b/>
                <w:sz w:val="21"/>
              </w:rPr>
            </w:pPr>
            <w:r>
              <w:rPr>
                <w:b/>
                <w:sz w:val="21"/>
              </w:rPr>
              <w:t>备</w:t>
              <w:tab/>
              <w:t>注</w:t>
            </w:r>
          </w:p>
        </w:tc>
      </w:tr>
      <w:tr>
        <w:trPr>
          <w:trHeight w:val="357" w:hRule="atLeast"/>
        </w:trPr>
        <w:tc>
          <w:tcPr>
            <w:tcW w:w="813" w:type="dxa"/>
          </w:tcPr>
          <w:p>
            <w:pPr>
              <w:pStyle w:val="TableParagraph"/>
              <w:spacing w:before="58"/>
              <w:ind w:left="27"/>
              <w:rPr>
                <w:rFonts w:ascii="Times New Roman"/>
                <w:sz w:val="21"/>
              </w:rPr>
            </w:pPr>
            <w:r>
              <w:rPr>
                <w:rFonts w:ascii="Times New Roman"/>
                <w:w w:val="99"/>
                <w:sz w:val="21"/>
              </w:rPr>
              <w:t>1</w:t>
            </w:r>
          </w:p>
        </w:tc>
        <w:tc>
          <w:tcPr>
            <w:tcW w:w="2609" w:type="dxa"/>
          </w:tcPr>
          <w:p>
            <w:pPr>
              <w:pStyle w:val="TableParagraph"/>
              <w:spacing w:before="44"/>
              <w:ind w:left="106"/>
              <w:jc w:val="left"/>
              <w:rPr>
                <w:sz w:val="21"/>
              </w:rPr>
            </w:pPr>
            <w:r>
              <w:rPr>
                <w:sz w:val="21"/>
              </w:rPr>
              <w:t>井田范围</w:t>
            </w:r>
          </w:p>
        </w:tc>
        <w:tc>
          <w:tcPr>
            <w:tcW w:w="1076" w:type="dxa"/>
          </w:tcPr>
          <w:p>
            <w:pPr>
              <w:pStyle w:val="TableParagraph"/>
              <w:jc w:val="left"/>
              <w:rPr>
                <w:rFonts w:ascii="Times New Roman"/>
                <w:sz w:val="22"/>
              </w:rPr>
            </w:pPr>
          </w:p>
        </w:tc>
        <w:tc>
          <w:tcPr>
            <w:tcW w:w="3436" w:type="dxa"/>
          </w:tcPr>
          <w:p>
            <w:pPr>
              <w:pStyle w:val="TableParagraph"/>
              <w:jc w:val="left"/>
              <w:rPr>
                <w:rFonts w:ascii="Times New Roman"/>
                <w:sz w:val="22"/>
              </w:rPr>
            </w:pPr>
          </w:p>
        </w:tc>
        <w:tc>
          <w:tcPr>
            <w:tcW w:w="1070" w:type="dxa"/>
          </w:tcPr>
          <w:p>
            <w:pPr>
              <w:pStyle w:val="TableParagraph"/>
              <w:jc w:val="left"/>
              <w:rPr>
                <w:rFonts w:ascii="Times New Roman"/>
                <w:sz w:val="22"/>
              </w:rPr>
            </w:pPr>
          </w:p>
        </w:tc>
      </w:tr>
    </w:tbl>
    <w:p>
      <w:pPr>
        <w:spacing w:after="0"/>
        <w:jc w:val="left"/>
        <w:rPr>
          <w:rFonts w:ascii="Times New Roman"/>
          <w:sz w:val="22"/>
        </w:rPr>
        <w:sectPr>
          <w:pgSz w:w="11910" w:h="16840"/>
          <w:pgMar w:header="0" w:footer="913" w:top="1360" w:bottom="1180" w:left="940" w:right="940"/>
        </w:sectPr>
      </w:pPr>
    </w:p>
    <w:tbl>
      <w:tblPr>
        <w:tblW w:w="0" w:type="auto"/>
        <w:jc w:val="left"/>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609"/>
        <w:gridCol w:w="1076"/>
        <w:gridCol w:w="3436"/>
        <w:gridCol w:w="1070"/>
      </w:tblGrid>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3"/>
              <w:ind w:left="106"/>
              <w:jc w:val="left"/>
              <w:rPr>
                <w:sz w:val="21"/>
              </w:rPr>
            </w:pPr>
            <w:r>
              <w:rPr>
                <w:sz w:val="21"/>
              </w:rPr>
              <w:t>平均走向长度</w:t>
            </w:r>
          </w:p>
        </w:tc>
        <w:tc>
          <w:tcPr>
            <w:tcW w:w="1076" w:type="dxa"/>
          </w:tcPr>
          <w:p>
            <w:pPr>
              <w:pStyle w:val="TableParagraph"/>
              <w:spacing w:before="59"/>
              <w:ind w:left="116" w:right="108"/>
              <w:rPr>
                <w:rFonts w:ascii="Times New Roman"/>
                <w:sz w:val="21"/>
              </w:rPr>
            </w:pPr>
            <w:r>
              <w:rPr>
                <w:rFonts w:ascii="Times New Roman"/>
                <w:sz w:val="21"/>
              </w:rPr>
              <w:t>km</w:t>
            </w:r>
          </w:p>
        </w:tc>
        <w:tc>
          <w:tcPr>
            <w:tcW w:w="3436" w:type="dxa"/>
          </w:tcPr>
          <w:p>
            <w:pPr>
              <w:pStyle w:val="TableParagraph"/>
              <w:spacing w:before="59"/>
              <w:ind w:left="10"/>
              <w:rPr>
                <w:rFonts w:ascii="Times New Roman"/>
                <w:sz w:val="21"/>
              </w:rPr>
            </w:pPr>
            <w:r>
              <w:rPr>
                <w:rFonts w:ascii="Times New Roman"/>
                <w:sz w:val="21"/>
              </w:rPr>
              <w:t>2.6</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5"/>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5"/>
              <w:ind w:left="106"/>
              <w:jc w:val="left"/>
              <w:rPr>
                <w:sz w:val="21"/>
              </w:rPr>
            </w:pPr>
            <w:r>
              <w:rPr>
                <w:sz w:val="21"/>
              </w:rPr>
              <w:t>平均倾斜宽度</w:t>
            </w:r>
          </w:p>
        </w:tc>
        <w:tc>
          <w:tcPr>
            <w:tcW w:w="1076" w:type="dxa"/>
          </w:tcPr>
          <w:p>
            <w:pPr>
              <w:pStyle w:val="TableParagraph"/>
              <w:spacing w:before="59"/>
              <w:ind w:left="116" w:right="108"/>
              <w:rPr>
                <w:rFonts w:ascii="Times New Roman"/>
                <w:sz w:val="21"/>
              </w:rPr>
            </w:pPr>
            <w:r>
              <w:rPr>
                <w:rFonts w:ascii="Times New Roman"/>
                <w:sz w:val="21"/>
              </w:rPr>
              <w:t>km</w:t>
            </w:r>
          </w:p>
        </w:tc>
        <w:tc>
          <w:tcPr>
            <w:tcW w:w="3436" w:type="dxa"/>
          </w:tcPr>
          <w:p>
            <w:pPr>
              <w:pStyle w:val="TableParagraph"/>
              <w:spacing w:before="59"/>
              <w:ind w:left="10"/>
              <w:rPr>
                <w:rFonts w:ascii="Times New Roman"/>
                <w:sz w:val="21"/>
              </w:rPr>
            </w:pPr>
            <w:r>
              <w:rPr>
                <w:rFonts w:ascii="Times New Roman"/>
                <w:sz w:val="21"/>
              </w:rPr>
              <w:t>2.1</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4"/>
              <w:ind w:left="106"/>
              <w:jc w:val="left"/>
              <w:rPr>
                <w:sz w:val="21"/>
              </w:rPr>
            </w:pPr>
            <w:r>
              <w:rPr>
                <w:sz w:val="21"/>
              </w:rPr>
              <w:t>井田面积</w:t>
            </w:r>
          </w:p>
        </w:tc>
        <w:tc>
          <w:tcPr>
            <w:tcW w:w="1076" w:type="dxa"/>
          </w:tcPr>
          <w:p>
            <w:pPr>
              <w:pStyle w:val="TableParagraph"/>
              <w:spacing w:before="58"/>
              <w:ind w:left="116" w:right="107"/>
              <w:rPr>
                <w:rFonts w:ascii="Times New Roman" w:hAnsi="Times New Roman"/>
                <w:sz w:val="21"/>
              </w:rPr>
            </w:pPr>
            <w:r>
              <w:rPr>
                <w:rFonts w:ascii="Times New Roman" w:hAnsi="Times New Roman"/>
                <w:sz w:val="21"/>
              </w:rPr>
              <w:t>km²</w:t>
            </w:r>
          </w:p>
        </w:tc>
        <w:tc>
          <w:tcPr>
            <w:tcW w:w="3436" w:type="dxa"/>
          </w:tcPr>
          <w:p>
            <w:pPr>
              <w:pStyle w:val="TableParagraph"/>
              <w:spacing w:before="58"/>
              <w:ind w:left="8"/>
              <w:rPr>
                <w:rFonts w:ascii="Times New Roman"/>
                <w:sz w:val="21"/>
              </w:rPr>
            </w:pPr>
            <w:r>
              <w:rPr>
                <w:rFonts w:ascii="Times New Roman"/>
                <w:sz w:val="21"/>
              </w:rPr>
              <w:t>5.9142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27"/>
              <w:rPr>
                <w:rFonts w:ascii="Times New Roman"/>
                <w:sz w:val="21"/>
              </w:rPr>
            </w:pPr>
            <w:r>
              <w:rPr>
                <w:rFonts w:ascii="Times New Roman"/>
                <w:w w:val="99"/>
                <w:sz w:val="21"/>
              </w:rPr>
              <w:t>2</w:t>
            </w:r>
          </w:p>
        </w:tc>
        <w:tc>
          <w:tcPr>
            <w:tcW w:w="2609" w:type="dxa"/>
          </w:tcPr>
          <w:p>
            <w:pPr>
              <w:pStyle w:val="TableParagraph"/>
              <w:spacing w:before="44"/>
              <w:ind w:left="106"/>
              <w:jc w:val="left"/>
              <w:rPr>
                <w:sz w:val="21"/>
              </w:rPr>
            </w:pPr>
            <w:r>
              <w:rPr>
                <w:sz w:val="21"/>
              </w:rPr>
              <w:t>煤层</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可采煤层数</w:t>
            </w:r>
          </w:p>
        </w:tc>
        <w:tc>
          <w:tcPr>
            <w:tcW w:w="1076" w:type="dxa"/>
          </w:tcPr>
          <w:p>
            <w:pPr>
              <w:pStyle w:val="TableParagraph"/>
              <w:spacing w:before="44"/>
              <w:ind w:left="9"/>
              <w:rPr>
                <w:sz w:val="21"/>
              </w:rPr>
            </w:pPr>
            <w:r>
              <w:rPr>
                <w:w w:val="99"/>
                <w:sz w:val="21"/>
              </w:rPr>
              <w:t>层</w:t>
            </w:r>
          </w:p>
        </w:tc>
        <w:tc>
          <w:tcPr>
            <w:tcW w:w="3436" w:type="dxa"/>
          </w:tcPr>
          <w:p>
            <w:pPr>
              <w:pStyle w:val="TableParagraph"/>
              <w:spacing w:before="58"/>
              <w:ind w:left="5"/>
              <w:rPr>
                <w:rFonts w:ascii="Times New Roman"/>
                <w:sz w:val="21"/>
              </w:rPr>
            </w:pPr>
            <w:r>
              <w:rPr>
                <w:rFonts w:ascii="Times New Roman"/>
                <w:w w:val="99"/>
                <w:sz w:val="21"/>
              </w:rPr>
              <w:t>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3"/>
              <w:ind w:left="106"/>
              <w:jc w:val="left"/>
              <w:rPr>
                <w:sz w:val="21"/>
              </w:rPr>
            </w:pPr>
            <w:r>
              <w:rPr>
                <w:sz w:val="21"/>
              </w:rPr>
              <w:t>可采煤层总厚度</w:t>
            </w:r>
          </w:p>
        </w:tc>
        <w:tc>
          <w:tcPr>
            <w:tcW w:w="1076" w:type="dxa"/>
          </w:tcPr>
          <w:p>
            <w:pPr>
              <w:pStyle w:val="TableParagraph"/>
              <w:spacing w:before="60"/>
              <w:ind w:left="6"/>
              <w:rPr>
                <w:rFonts w:ascii="Times New Roman"/>
                <w:sz w:val="21"/>
              </w:rPr>
            </w:pPr>
            <w:r>
              <w:rPr>
                <w:rFonts w:ascii="Times New Roman"/>
                <w:w w:val="99"/>
                <w:sz w:val="21"/>
              </w:rPr>
              <w:t>m</w:t>
            </w:r>
          </w:p>
        </w:tc>
        <w:tc>
          <w:tcPr>
            <w:tcW w:w="3436" w:type="dxa"/>
          </w:tcPr>
          <w:p>
            <w:pPr>
              <w:pStyle w:val="TableParagraph"/>
              <w:spacing w:before="60"/>
              <w:ind w:left="10"/>
              <w:rPr>
                <w:rFonts w:ascii="Times New Roman"/>
                <w:sz w:val="21"/>
              </w:rPr>
            </w:pPr>
            <w:r>
              <w:rPr>
                <w:rFonts w:ascii="Times New Roman"/>
                <w:sz w:val="21"/>
              </w:rPr>
              <w:t>1.8</w:t>
            </w:r>
          </w:p>
        </w:tc>
        <w:tc>
          <w:tcPr>
            <w:tcW w:w="1070" w:type="dxa"/>
          </w:tcPr>
          <w:p>
            <w:pPr>
              <w:pStyle w:val="TableParagraph"/>
              <w:spacing w:before="43"/>
              <w:ind w:left="82" w:right="74"/>
              <w:rPr>
                <w:sz w:val="21"/>
              </w:rPr>
            </w:pPr>
            <w:r>
              <w:rPr>
                <w:sz w:val="21"/>
              </w:rPr>
              <w:t>平均</w:t>
            </w: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3"/>
              <w:ind w:left="106"/>
              <w:jc w:val="left"/>
              <w:rPr>
                <w:sz w:val="21"/>
              </w:rPr>
            </w:pPr>
            <w:r>
              <w:rPr>
                <w:sz w:val="21"/>
              </w:rPr>
              <w:t>首采煤层厚度</w:t>
            </w:r>
          </w:p>
        </w:tc>
        <w:tc>
          <w:tcPr>
            <w:tcW w:w="1076" w:type="dxa"/>
          </w:tcPr>
          <w:p>
            <w:pPr>
              <w:pStyle w:val="TableParagraph"/>
              <w:spacing w:before="59"/>
              <w:ind w:left="6"/>
              <w:rPr>
                <w:rFonts w:ascii="Times New Roman"/>
                <w:sz w:val="21"/>
              </w:rPr>
            </w:pPr>
            <w:r>
              <w:rPr>
                <w:rFonts w:ascii="Times New Roman"/>
                <w:w w:val="99"/>
                <w:sz w:val="21"/>
              </w:rPr>
              <w:t>m</w:t>
            </w:r>
          </w:p>
        </w:tc>
        <w:tc>
          <w:tcPr>
            <w:tcW w:w="3436" w:type="dxa"/>
          </w:tcPr>
          <w:p>
            <w:pPr>
              <w:pStyle w:val="TableParagraph"/>
              <w:spacing w:before="43"/>
              <w:ind w:left="10"/>
              <w:rPr>
                <w:rFonts w:ascii="Times New Roman" w:eastAsia="Times New Roman"/>
                <w:sz w:val="21"/>
              </w:rPr>
            </w:pPr>
            <w:r>
              <w:rPr>
                <w:rFonts w:ascii="Times New Roman" w:eastAsia="Times New Roman"/>
                <w:sz w:val="21"/>
              </w:rPr>
              <w:t>0.83</w:t>
            </w:r>
            <w:r>
              <w:rPr>
                <w:sz w:val="21"/>
              </w:rPr>
              <w:t>～</w:t>
            </w:r>
            <w:r>
              <w:rPr>
                <w:rFonts w:ascii="Times New Roman" w:eastAsia="Times New Roman"/>
                <w:sz w:val="21"/>
              </w:rPr>
              <w:t>1.03</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5"/>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5"/>
              <w:ind w:left="106"/>
              <w:jc w:val="left"/>
              <w:rPr>
                <w:sz w:val="21"/>
              </w:rPr>
            </w:pPr>
            <w:r>
              <w:rPr>
                <w:sz w:val="21"/>
              </w:rPr>
              <w:t>煤层倾角</w:t>
            </w:r>
          </w:p>
        </w:tc>
        <w:tc>
          <w:tcPr>
            <w:tcW w:w="1076" w:type="dxa"/>
          </w:tcPr>
          <w:p>
            <w:pPr>
              <w:pStyle w:val="TableParagraph"/>
              <w:spacing w:before="59"/>
              <w:ind w:left="8"/>
              <w:rPr>
                <w:rFonts w:ascii="Times New Roman" w:hAnsi="Times New Roman"/>
                <w:sz w:val="21"/>
              </w:rPr>
            </w:pPr>
            <w:r>
              <w:rPr>
                <w:rFonts w:ascii="Times New Roman" w:hAnsi="Times New Roman"/>
                <w:w w:val="99"/>
                <w:sz w:val="21"/>
              </w:rPr>
              <w:t>°</w:t>
            </w:r>
          </w:p>
        </w:tc>
        <w:tc>
          <w:tcPr>
            <w:tcW w:w="3436" w:type="dxa"/>
          </w:tcPr>
          <w:p>
            <w:pPr>
              <w:pStyle w:val="TableParagraph"/>
              <w:spacing w:before="45"/>
              <w:ind w:left="8"/>
              <w:rPr>
                <w:rFonts w:ascii="Times New Roman" w:eastAsia="Times New Roman"/>
                <w:sz w:val="21"/>
              </w:rPr>
            </w:pPr>
            <w:r>
              <w:rPr>
                <w:rFonts w:ascii="Times New Roman" w:eastAsia="Times New Roman"/>
                <w:sz w:val="21"/>
              </w:rPr>
              <w:t>7</w:t>
            </w:r>
            <w:r>
              <w:rPr>
                <w:sz w:val="21"/>
              </w:rPr>
              <w:t>～</w:t>
            </w:r>
            <w:r>
              <w:rPr>
                <w:rFonts w:ascii="Times New Roman" w:eastAsia="Times New Roman"/>
                <w:sz w:val="21"/>
              </w:rPr>
              <w:t>12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27"/>
              <w:rPr>
                <w:rFonts w:ascii="Times New Roman"/>
                <w:sz w:val="21"/>
              </w:rPr>
            </w:pPr>
            <w:r>
              <w:rPr>
                <w:rFonts w:ascii="Times New Roman"/>
                <w:w w:val="99"/>
                <w:sz w:val="21"/>
              </w:rPr>
              <w:t>3</w:t>
            </w:r>
          </w:p>
        </w:tc>
        <w:tc>
          <w:tcPr>
            <w:tcW w:w="2609" w:type="dxa"/>
          </w:tcPr>
          <w:p>
            <w:pPr>
              <w:pStyle w:val="TableParagraph"/>
              <w:spacing w:before="44"/>
              <w:ind w:left="106"/>
              <w:jc w:val="left"/>
              <w:rPr>
                <w:sz w:val="21"/>
              </w:rPr>
            </w:pPr>
            <w:r>
              <w:rPr>
                <w:sz w:val="21"/>
              </w:rPr>
              <w:t>资源</w:t>
            </w:r>
            <w:r>
              <w:rPr>
                <w:rFonts w:ascii="Times New Roman" w:eastAsia="Times New Roman"/>
                <w:sz w:val="21"/>
              </w:rPr>
              <w:t>/</w:t>
            </w:r>
            <w:r>
              <w:rPr>
                <w:sz w:val="21"/>
              </w:rPr>
              <w:t>储量</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地质资源量</w:t>
            </w:r>
          </w:p>
        </w:tc>
        <w:tc>
          <w:tcPr>
            <w:tcW w:w="1076" w:type="dxa"/>
          </w:tcPr>
          <w:p>
            <w:pPr>
              <w:pStyle w:val="TableParagraph"/>
              <w:spacing w:before="44"/>
              <w:ind w:left="116" w:right="107"/>
              <w:rPr>
                <w:rFonts w:ascii="Times New Roman" w:eastAsia="Times New Roman"/>
                <w:sz w:val="21"/>
              </w:rPr>
            </w:pPr>
            <w:r>
              <w:rPr>
                <w:sz w:val="21"/>
              </w:rPr>
              <w:t>万 </w:t>
            </w:r>
            <w:r>
              <w:rPr>
                <w:rFonts w:ascii="Times New Roman" w:eastAsia="Times New Roman"/>
                <w:sz w:val="21"/>
              </w:rPr>
              <w:t>t</w:t>
            </w:r>
          </w:p>
        </w:tc>
        <w:tc>
          <w:tcPr>
            <w:tcW w:w="3436" w:type="dxa"/>
          </w:tcPr>
          <w:p>
            <w:pPr>
              <w:pStyle w:val="TableParagraph"/>
              <w:spacing w:before="58"/>
              <w:ind w:left="8"/>
              <w:rPr>
                <w:rFonts w:ascii="Times New Roman"/>
                <w:sz w:val="21"/>
              </w:rPr>
            </w:pPr>
            <w:r>
              <w:rPr>
                <w:rFonts w:ascii="Times New Roman"/>
                <w:sz w:val="21"/>
              </w:rPr>
              <w:t>941.15</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4"/>
              <w:ind w:left="106"/>
              <w:jc w:val="left"/>
              <w:rPr>
                <w:sz w:val="21"/>
              </w:rPr>
            </w:pPr>
            <w:r>
              <w:rPr>
                <w:sz w:val="21"/>
              </w:rPr>
              <w:t>工业资源</w:t>
            </w:r>
            <w:r>
              <w:rPr>
                <w:rFonts w:ascii="Times New Roman" w:eastAsia="Times New Roman"/>
                <w:sz w:val="21"/>
              </w:rPr>
              <w:t>/</w:t>
            </w:r>
            <w:r>
              <w:rPr>
                <w:sz w:val="21"/>
              </w:rPr>
              <w:t>储量</w:t>
            </w:r>
          </w:p>
        </w:tc>
        <w:tc>
          <w:tcPr>
            <w:tcW w:w="1076" w:type="dxa"/>
          </w:tcPr>
          <w:p>
            <w:pPr>
              <w:pStyle w:val="TableParagraph"/>
              <w:spacing w:before="44"/>
              <w:ind w:left="116" w:right="107"/>
              <w:rPr>
                <w:rFonts w:ascii="Times New Roman" w:eastAsia="Times New Roman"/>
                <w:sz w:val="21"/>
              </w:rPr>
            </w:pPr>
            <w:r>
              <w:rPr>
                <w:sz w:val="21"/>
              </w:rPr>
              <w:t>万 </w:t>
            </w:r>
            <w:r>
              <w:rPr>
                <w:rFonts w:ascii="Times New Roman" w:eastAsia="Times New Roman"/>
                <w:sz w:val="21"/>
              </w:rPr>
              <w:t>t</w:t>
            </w:r>
          </w:p>
        </w:tc>
        <w:tc>
          <w:tcPr>
            <w:tcW w:w="3436" w:type="dxa"/>
          </w:tcPr>
          <w:p>
            <w:pPr>
              <w:pStyle w:val="TableParagraph"/>
              <w:spacing w:before="58"/>
              <w:ind w:left="8"/>
              <w:rPr>
                <w:rFonts w:ascii="Times New Roman"/>
                <w:sz w:val="21"/>
              </w:rPr>
            </w:pPr>
            <w:r>
              <w:rPr>
                <w:rFonts w:ascii="Times New Roman"/>
                <w:sz w:val="21"/>
              </w:rPr>
              <w:t>839.97</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3"/>
              <w:ind w:left="106"/>
              <w:jc w:val="left"/>
              <w:rPr>
                <w:sz w:val="21"/>
              </w:rPr>
            </w:pPr>
            <w:r>
              <w:rPr>
                <w:sz w:val="21"/>
              </w:rPr>
              <w:t>设计资源</w:t>
            </w:r>
            <w:r>
              <w:rPr>
                <w:rFonts w:ascii="Times New Roman" w:eastAsia="Times New Roman"/>
                <w:sz w:val="21"/>
              </w:rPr>
              <w:t>/</w:t>
            </w:r>
            <w:r>
              <w:rPr>
                <w:sz w:val="21"/>
              </w:rPr>
              <w:t>储量</w:t>
            </w:r>
          </w:p>
        </w:tc>
        <w:tc>
          <w:tcPr>
            <w:tcW w:w="1076" w:type="dxa"/>
          </w:tcPr>
          <w:p>
            <w:pPr>
              <w:pStyle w:val="TableParagraph"/>
              <w:spacing w:before="43"/>
              <w:ind w:left="116" w:right="107"/>
              <w:rPr>
                <w:rFonts w:ascii="Times New Roman" w:eastAsia="Times New Roman"/>
                <w:sz w:val="21"/>
              </w:rPr>
            </w:pPr>
            <w:r>
              <w:rPr>
                <w:sz w:val="21"/>
              </w:rPr>
              <w:t>万 </w:t>
            </w:r>
            <w:r>
              <w:rPr>
                <w:rFonts w:ascii="Times New Roman" w:eastAsia="Times New Roman"/>
                <w:sz w:val="21"/>
              </w:rPr>
              <w:t>t</w:t>
            </w:r>
          </w:p>
        </w:tc>
        <w:tc>
          <w:tcPr>
            <w:tcW w:w="3436" w:type="dxa"/>
          </w:tcPr>
          <w:p>
            <w:pPr>
              <w:pStyle w:val="TableParagraph"/>
              <w:spacing w:before="60"/>
              <w:ind w:left="8"/>
              <w:rPr>
                <w:rFonts w:ascii="Times New Roman"/>
                <w:sz w:val="21"/>
              </w:rPr>
            </w:pPr>
            <w:r>
              <w:rPr>
                <w:rFonts w:ascii="Times New Roman"/>
                <w:sz w:val="21"/>
              </w:rPr>
              <w:t>677.10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3"/>
              <w:ind w:left="106"/>
              <w:jc w:val="left"/>
              <w:rPr>
                <w:sz w:val="21"/>
              </w:rPr>
            </w:pPr>
            <w:r>
              <w:rPr>
                <w:sz w:val="21"/>
              </w:rPr>
              <w:t>设计可采储量</w:t>
            </w:r>
          </w:p>
        </w:tc>
        <w:tc>
          <w:tcPr>
            <w:tcW w:w="1076" w:type="dxa"/>
          </w:tcPr>
          <w:p>
            <w:pPr>
              <w:pStyle w:val="TableParagraph"/>
              <w:spacing w:before="43"/>
              <w:ind w:left="116" w:right="107"/>
              <w:rPr>
                <w:rFonts w:ascii="Times New Roman" w:eastAsia="Times New Roman"/>
                <w:sz w:val="21"/>
              </w:rPr>
            </w:pPr>
            <w:r>
              <w:rPr>
                <w:sz w:val="21"/>
              </w:rPr>
              <w:t>万 </w:t>
            </w:r>
            <w:r>
              <w:rPr>
                <w:rFonts w:ascii="Times New Roman" w:eastAsia="Times New Roman"/>
                <w:sz w:val="21"/>
              </w:rPr>
              <w:t>t</w:t>
            </w:r>
          </w:p>
        </w:tc>
        <w:tc>
          <w:tcPr>
            <w:tcW w:w="3436" w:type="dxa"/>
          </w:tcPr>
          <w:p>
            <w:pPr>
              <w:pStyle w:val="TableParagraph"/>
              <w:spacing w:before="59"/>
              <w:ind w:left="8"/>
              <w:rPr>
                <w:rFonts w:ascii="Times New Roman"/>
                <w:sz w:val="21"/>
              </w:rPr>
            </w:pPr>
            <w:r>
              <w:rPr>
                <w:rFonts w:ascii="Times New Roman"/>
                <w:sz w:val="21"/>
              </w:rPr>
              <w:t>584.05</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9"/>
              <w:ind w:left="27"/>
              <w:rPr>
                <w:rFonts w:ascii="Times New Roman"/>
                <w:sz w:val="21"/>
              </w:rPr>
            </w:pPr>
            <w:r>
              <w:rPr>
                <w:rFonts w:ascii="Times New Roman"/>
                <w:w w:val="99"/>
                <w:sz w:val="21"/>
              </w:rPr>
              <w:t>6</w:t>
            </w:r>
          </w:p>
        </w:tc>
        <w:tc>
          <w:tcPr>
            <w:tcW w:w="2609" w:type="dxa"/>
          </w:tcPr>
          <w:p>
            <w:pPr>
              <w:pStyle w:val="TableParagraph"/>
              <w:spacing w:before="45"/>
              <w:ind w:left="106"/>
              <w:jc w:val="left"/>
              <w:rPr>
                <w:sz w:val="21"/>
              </w:rPr>
            </w:pPr>
            <w:r>
              <w:rPr>
                <w:sz w:val="21"/>
              </w:rPr>
              <w:t>矿井设计生产能力</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5"/>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5"/>
              <w:ind w:left="106"/>
              <w:jc w:val="left"/>
              <w:rPr>
                <w:sz w:val="21"/>
              </w:rPr>
            </w:pPr>
            <w:r>
              <w:rPr>
                <w:sz w:val="21"/>
              </w:rPr>
              <w:t>年设计生产能力</w:t>
            </w:r>
          </w:p>
        </w:tc>
        <w:tc>
          <w:tcPr>
            <w:tcW w:w="1076" w:type="dxa"/>
          </w:tcPr>
          <w:p>
            <w:pPr>
              <w:pStyle w:val="TableParagraph"/>
              <w:spacing w:before="58"/>
              <w:ind w:left="116" w:right="108"/>
              <w:rPr>
                <w:rFonts w:ascii="Times New Roman"/>
                <w:sz w:val="21"/>
              </w:rPr>
            </w:pPr>
            <w:r>
              <w:rPr>
                <w:rFonts w:ascii="Times New Roman"/>
                <w:sz w:val="21"/>
              </w:rPr>
              <w:t>Mt/a</w:t>
            </w:r>
          </w:p>
        </w:tc>
        <w:tc>
          <w:tcPr>
            <w:tcW w:w="3436" w:type="dxa"/>
          </w:tcPr>
          <w:p>
            <w:pPr>
              <w:pStyle w:val="TableParagraph"/>
              <w:spacing w:before="58"/>
              <w:ind w:left="8"/>
              <w:rPr>
                <w:rFonts w:ascii="Times New Roman"/>
                <w:sz w:val="21"/>
              </w:rPr>
            </w:pPr>
            <w:r>
              <w:rPr>
                <w:rFonts w:ascii="Times New Roman"/>
                <w:sz w:val="21"/>
              </w:rPr>
              <w:t>0.30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4"/>
              <w:ind w:left="106"/>
              <w:jc w:val="left"/>
              <w:rPr>
                <w:sz w:val="21"/>
              </w:rPr>
            </w:pPr>
            <w:r>
              <w:rPr>
                <w:sz w:val="21"/>
              </w:rPr>
              <w:t>日设计生产能力</w:t>
            </w:r>
          </w:p>
        </w:tc>
        <w:tc>
          <w:tcPr>
            <w:tcW w:w="1076" w:type="dxa"/>
          </w:tcPr>
          <w:p>
            <w:pPr>
              <w:pStyle w:val="TableParagraph"/>
              <w:spacing w:before="58"/>
              <w:ind w:left="114" w:right="109"/>
              <w:rPr>
                <w:rFonts w:ascii="Times New Roman"/>
                <w:sz w:val="21"/>
              </w:rPr>
            </w:pPr>
            <w:r>
              <w:rPr>
                <w:rFonts w:ascii="Times New Roman"/>
                <w:sz w:val="21"/>
              </w:rPr>
              <w:t>t/d</w:t>
            </w:r>
          </w:p>
        </w:tc>
        <w:tc>
          <w:tcPr>
            <w:tcW w:w="3436" w:type="dxa"/>
          </w:tcPr>
          <w:p>
            <w:pPr>
              <w:pStyle w:val="TableParagraph"/>
              <w:spacing w:before="58"/>
              <w:ind w:left="10"/>
              <w:rPr>
                <w:rFonts w:ascii="Times New Roman"/>
                <w:sz w:val="21"/>
              </w:rPr>
            </w:pPr>
            <w:r>
              <w:rPr>
                <w:rFonts w:ascii="Times New Roman"/>
                <w:sz w:val="21"/>
              </w:rPr>
              <w:t>909</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27"/>
              <w:rPr>
                <w:rFonts w:ascii="Times New Roman"/>
                <w:sz w:val="21"/>
              </w:rPr>
            </w:pPr>
            <w:r>
              <w:rPr>
                <w:rFonts w:ascii="Times New Roman"/>
                <w:w w:val="99"/>
                <w:sz w:val="21"/>
              </w:rPr>
              <w:t>7</w:t>
            </w:r>
          </w:p>
        </w:tc>
        <w:tc>
          <w:tcPr>
            <w:tcW w:w="2609" w:type="dxa"/>
          </w:tcPr>
          <w:p>
            <w:pPr>
              <w:pStyle w:val="TableParagraph"/>
              <w:spacing w:before="44"/>
              <w:ind w:left="106"/>
              <w:jc w:val="left"/>
              <w:rPr>
                <w:sz w:val="21"/>
              </w:rPr>
            </w:pPr>
            <w:r>
              <w:rPr>
                <w:sz w:val="21"/>
              </w:rPr>
              <w:t>矿井服务年限</w:t>
            </w:r>
          </w:p>
        </w:tc>
        <w:tc>
          <w:tcPr>
            <w:tcW w:w="1076" w:type="dxa"/>
          </w:tcPr>
          <w:p>
            <w:pPr>
              <w:pStyle w:val="TableParagraph"/>
              <w:spacing w:before="58"/>
              <w:ind w:left="8"/>
              <w:rPr>
                <w:rFonts w:ascii="Times New Roman"/>
                <w:sz w:val="21"/>
              </w:rPr>
            </w:pPr>
            <w:r>
              <w:rPr>
                <w:rFonts w:ascii="Times New Roman"/>
                <w:w w:val="99"/>
                <w:sz w:val="21"/>
              </w:rPr>
              <w:t>a</w:t>
            </w:r>
          </w:p>
        </w:tc>
        <w:tc>
          <w:tcPr>
            <w:tcW w:w="3436" w:type="dxa"/>
          </w:tcPr>
          <w:p>
            <w:pPr>
              <w:pStyle w:val="TableParagraph"/>
              <w:spacing w:before="58"/>
              <w:ind w:left="10"/>
              <w:rPr>
                <w:rFonts w:ascii="Times New Roman"/>
                <w:sz w:val="21"/>
              </w:rPr>
            </w:pPr>
            <w:r>
              <w:rPr>
                <w:rFonts w:ascii="Times New Roman"/>
                <w:sz w:val="21"/>
              </w:rPr>
              <w:t>13.9</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60"/>
              <w:ind w:left="27"/>
              <w:rPr>
                <w:rFonts w:ascii="Times New Roman"/>
                <w:sz w:val="21"/>
              </w:rPr>
            </w:pPr>
            <w:r>
              <w:rPr>
                <w:rFonts w:ascii="Times New Roman"/>
                <w:w w:val="99"/>
                <w:sz w:val="21"/>
              </w:rPr>
              <w:t>8</w:t>
            </w:r>
          </w:p>
        </w:tc>
        <w:tc>
          <w:tcPr>
            <w:tcW w:w="2609" w:type="dxa"/>
          </w:tcPr>
          <w:p>
            <w:pPr>
              <w:pStyle w:val="TableParagraph"/>
              <w:spacing w:before="43"/>
              <w:ind w:left="106"/>
              <w:jc w:val="left"/>
              <w:rPr>
                <w:sz w:val="21"/>
              </w:rPr>
            </w:pPr>
            <w:r>
              <w:rPr>
                <w:sz w:val="21"/>
              </w:rPr>
              <w:t>矿井设计工作制度</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3"/>
              <w:ind w:left="106"/>
              <w:jc w:val="left"/>
              <w:rPr>
                <w:sz w:val="21"/>
              </w:rPr>
            </w:pPr>
            <w:r>
              <w:rPr>
                <w:sz w:val="21"/>
              </w:rPr>
              <w:t>年工作天数</w:t>
            </w:r>
          </w:p>
        </w:tc>
        <w:tc>
          <w:tcPr>
            <w:tcW w:w="1076" w:type="dxa"/>
          </w:tcPr>
          <w:p>
            <w:pPr>
              <w:pStyle w:val="TableParagraph"/>
              <w:spacing w:before="59"/>
              <w:ind w:left="5"/>
              <w:rPr>
                <w:rFonts w:ascii="Times New Roman"/>
                <w:sz w:val="21"/>
              </w:rPr>
            </w:pPr>
            <w:r>
              <w:rPr>
                <w:rFonts w:ascii="Times New Roman"/>
                <w:w w:val="99"/>
                <w:sz w:val="21"/>
              </w:rPr>
              <w:t>d</w:t>
            </w:r>
          </w:p>
        </w:tc>
        <w:tc>
          <w:tcPr>
            <w:tcW w:w="3436" w:type="dxa"/>
          </w:tcPr>
          <w:p>
            <w:pPr>
              <w:pStyle w:val="TableParagraph"/>
              <w:spacing w:before="59"/>
              <w:ind w:left="10"/>
              <w:rPr>
                <w:rFonts w:ascii="Times New Roman"/>
                <w:sz w:val="21"/>
              </w:rPr>
            </w:pPr>
            <w:r>
              <w:rPr>
                <w:rFonts w:ascii="Times New Roman"/>
                <w:sz w:val="21"/>
              </w:rPr>
              <w:t>330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5"/>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5"/>
              <w:ind w:left="106"/>
              <w:jc w:val="left"/>
              <w:rPr>
                <w:sz w:val="21"/>
              </w:rPr>
            </w:pPr>
            <w:r>
              <w:rPr>
                <w:sz w:val="21"/>
              </w:rPr>
              <w:t>日工作班数</w:t>
            </w:r>
          </w:p>
        </w:tc>
        <w:tc>
          <w:tcPr>
            <w:tcW w:w="1076" w:type="dxa"/>
          </w:tcPr>
          <w:p>
            <w:pPr>
              <w:pStyle w:val="TableParagraph"/>
              <w:spacing w:before="45"/>
              <w:ind w:left="9"/>
              <w:rPr>
                <w:sz w:val="21"/>
              </w:rPr>
            </w:pPr>
            <w:r>
              <w:rPr>
                <w:w w:val="99"/>
                <w:sz w:val="21"/>
              </w:rPr>
              <w:t>班</w:t>
            </w:r>
          </w:p>
        </w:tc>
        <w:tc>
          <w:tcPr>
            <w:tcW w:w="3436" w:type="dxa"/>
          </w:tcPr>
          <w:p>
            <w:pPr>
              <w:pStyle w:val="TableParagraph"/>
              <w:spacing w:before="59"/>
              <w:ind w:left="5"/>
              <w:rPr>
                <w:rFonts w:ascii="Times New Roman"/>
                <w:sz w:val="21"/>
              </w:rPr>
            </w:pPr>
            <w:r>
              <w:rPr>
                <w:rFonts w:ascii="Times New Roman"/>
                <w:w w:val="99"/>
                <w:sz w:val="21"/>
              </w:rPr>
              <w:t>4</w:t>
            </w:r>
          </w:p>
        </w:tc>
        <w:tc>
          <w:tcPr>
            <w:tcW w:w="1070" w:type="dxa"/>
          </w:tcPr>
          <w:p>
            <w:pPr>
              <w:pStyle w:val="TableParagraph"/>
              <w:spacing w:before="45"/>
              <w:ind w:left="82" w:right="74"/>
              <w:rPr>
                <w:sz w:val="21"/>
              </w:rPr>
            </w:pPr>
            <w:r>
              <w:rPr>
                <w:sz w:val="21"/>
              </w:rPr>
              <w:t>井下</w:t>
            </w:r>
          </w:p>
        </w:tc>
      </w:tr>
      <w:tr>
        <w:trPr>
          <w:trHeight w:val="360" w:hRule="atLeast"/>
        </w:trPr>
        <w:tc>
          <w:tcPr>
            <w:tcW w:w="813" w:type="dxa"/>
          </w:tcPr>
          <w:p>
            <w:pPr>
              <w:pStyle w:val="TableParagraph"/>
              <w:spacing w:before="58"/>
              <w:ind w:left="27"/>
              <w:rPr>
                <w:rFonts w:ascii="Times New Roman"/>
                <w:sz w:val="21"/>
              </w:rPr>
            </w:pPr>
            <w:r>
              <w:rPr>
                <w:rFonts w:ascii="Times New Roman"/>
                <w:w w:val="99"/>
                <w:sz w:val="21"/>
              </w:rPr>
              <w:t>9</w:t>
            </w:r>
          </w:p>
        </w:tc>
        <w:tc>
          <w:tcPr>
            <w:tcW w:w="2609" w:type="dxa"/>
          </w:tcPr>
          <w:p>
            <w:pPr>
              <w:pStyle w:val="TableParagraph"/>
              <w:spacing w:before="45"/>
              <w:ind w:left="106"/>
              <w:jc w:val="left"/>
              <w:rPr>
                <w:sz w:val="21"/>
              </w:rPr>
            </w:pPr>
            <w:r>
              <w:rPr>
                <w:sz w:val="21"/>
              </w:rPr>
              <w:t>井田开拓</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开拓方式</w:t>
            </w:r>
          </w:p>
        </w:tc>
        <w:tc>
          <w:tcPr>
            <w:tcW w:w="1076" w:type="dxa"/>
          </w:tcPr>
          <w:p>
            <w:pPr>
              <w:pStyle w:val="TableParagraph"/>
              <w:jc w:val="left"/>
              <w:rPr>
                <w:rFonts w:ascii="Times New Roman"/>
                <w:sz w:val="20"/>
              </w:rPr>
            </w:pPr>
          </w:p>
        </w:tc>
        <w:tc>
          <w:tcPr>
            <w:tcW w:w="3436" w:type="dxa"/>
          </w:tcPr>
          <w:p>
            <w:pPr>
              <w:pStyle w:val="TableParagraph"/>
              <w:spacing w:before="44"/>
              <w:ind w:left="6"/>
              <w:rPr>
                <w:sz w:val="21"/>
              </w:rPr>
            </w:pPr>
            <w:r>
              <w:rPr>
                <w:sz w:val="21"/>
              </w:rPr>
              <w:t>斜井</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4"/>
              <w:ind w:left="106"/>
              <w:jc w:val="left"/>
              <w:rPr>
                <w:sz w:val="21"/>
              </w:rPr>
            </w:pPr>
            <w:r>
              <w:rPr>
                <w:sz w:val="21"/>
              </w:rPr>
              <w:t>水平数目</w:t>
            </w:r>
          </w:p>
        </w:tc>
        <w:tc>
          <w:tcPr>
            <w:tcW w:w="1076" w:type="dxa"/>
          </w:tcPr>
          <w:p>
            <w:pPr>
              <w:pStyle w:val="TableParagraph"/>
              <w:spacing w:before="44"/>
              <w:ind w:left="9"/>
              <w:rPr>
                <w:sz w:val="21"/>
              </w:rPr>
            </w:pPr>
            <w:r>
              <w:rPr>
                <w:w w:val="99"/>
                <w:sz w:val="21"/>
              </w:rPr>
              <w:t>个</w:t>
            </w:r>
          </w:p>
        </w:tc>
        <w:tc>
          <w:tcPr>
            <w:tcW w:w="3436" w:type="dxa"/>
          </w:tcPr>
          <w:p>
            <w:pPr>
              <w:pStyle w:val="TableParagraph"/>
              <w:spacing w:before="58"/>
              <w:ind w:left="5"/>
              <w:rPr>
                <w:rFonts w:ascii="Times New Roman"/>
                <w:sz w:val="21"/>
              </w:rPr>
            </w:pPr>
            <w:r>
              <w:rPr>
                <w:rFonts w:ascii="Times New Roman"/>
                <w:w w:val="99"/>
                <w:sz w:val="21"/>
              </w:rPr>
              <w:t>1</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3"/>
              <w:ind w:left="106"/>
              <w:jc w:val="left"/>
              <w:rPr>
                <w:sz w:val="21"/>
              </w:rPr>
            </w:pPr>
            <w:r>
              <w:rPr>
                <w:sz w:val="21"/>
              </w:rPr>
              <w:t>水平标高</w:t>
            </w:r>
          </w:p>
        </w:tc>
        <w:tc>
          <w:tcPr>
            <w:tcW w:w="1076" w:type="dxa"/>
          </w:tcPr>
          <w:p>
            <w:pPr>
              <w:pStyle w:val="TableParagraph"/>
              <w:spacing w:before="60"/>
              <w:ind w:left="6"/>
              <w:rPr>
                <w:rFonts w:ascii="Times New Roman"/>
                <w:sz w:val="21"/>
              </w:rPr>
            </w:pPr>
            <w:r>
              <w:rPr>
                <w:rFonts w:ascii="Times New Roman"/>
                <w:w w:val="99"/>
                <w:sz w:val="21"/>
              </w:rPr>
              <w:t>m</w:t>
            </w:r>
          </w:p>
        </w:tc>
        <w:tc>
          <w:tcPr>
            <w:tcW w:w="3436" w:type="dxa"/>
          </w:tcPr>
          <w:p>
            <w:pPr>
              <w:pStyle w:val="TableParagraph"/>
              <w:spacing w:before="60"/>
              <w:ind w:left="10"/>
              <w:rPr>
                <w:rFonts w:ascii="Times New Roman"/>
                <w:sz w:val="21"/>
              </w:rPr>
            </w:pPr>
            <w:r>
              <w:rPr>
                <w:rFonts w:ascii="Times New Roman"/>
                <w:sz w:val="21"/>
              </w:rPr>
              <w:t>-110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3"/>
              <w:ind w:left="106"/>
              <w:jc w:val="left"/>
              <w:rPr>
                <w:sz w:val="21"/>
              </w:rPr>
            </w:pPr>
            <w:r>
              <w:rPr>
                <w:sz w:val="21"/>
              </w:rPr>
              <w:t>大巷主运输方式</w:t>
            </w:r>
          </w:p>
        </w:tc>
        <w:tc>
          <w:tcPr>
            <w:tcW w:w="1076" w:type="dxa"/>
          </w:tcPr>
          <w:p>
            <w:pPr>
              <w:pStyle w:val="TableParagraph"/>
              <w:jc w:val="left"/>
              <w:rPr>
                <w:rFonts w:ascii="Times New Roman"/>
                <w:sz w:val="20"/>
              </w:rPr>
            </w:pPr>
          </w:p>
        </w:tc>
        <w:tc>
          <w:tcPr>
            <w:tcW w:w="3436" w:type="dxa"/>
          </w:tcPr>
          <w:p>
            <w:pPr>
              <w:pStyle w:val="TableParagraph"/>
              <w:spacing w:before="43"/>
              <w:ind w:left="9"/>
              <w:rPr>
                <w:sz w:val="21"/>
              </w:rPr>
            </w:pPr>
            <w:r>
              <w:rPr>
                <w:sz w:val="21"/>
              </w:rPr>
              <w:t>蓄电池机车</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5"/>
              <w:ind w:left="143" w:right="95"/>
              <w:rPr>
                <w:sz w:val="21"/>
              </w:rPr>
            </w:pPr>
            <w:r>
              <w:rPr>
                <w:sz w:val="21"/>
              </w:rPr>
              <w:t>（</w:t>
            </w:r>
            <w:r>
              <w:rPr>
                <w:rFonts w:ascii="Times New Roman" w:eastAsia="Times New Roman"/>
                <w:sz w:val="21"/>
              </w:rPr>
              <w:t>5</w:t>
            </w:r>
            <w:r>
              <w:rPr>
                <w:sz w:val="21"/>
              </w:rPr>
              <w:t>）</w:t>
            </w:r>
          </w:p>
        </w:tc>
        <w:tc>
          <w:tcPr>
            <w:tcW w:w="2609" w:type="dxa"/>
          </w:tcPr>
          <w:p>
            <w:pPr>
              <w:pStyle w:val="TableParagraph"/>
              <w:spacing w:before="45"/>
              <w:ind w:left="106"/>
              <w:jc w:val="left"/>
              <w:rPr>
                <w:sz w:val="21"/>
              </w:rPr>
            </w:pPr>
            <w:r>
              <w:rPr>
                <w:sz w:val="21"/>
              </w:rPr>
              <w:t>大巷辅助运输方式</w:t>
            </w:r>
          </w:p>
        </w:tc>
        <w:tc>
          <w:tcPr>
            <w:tcW w:w="1076" w:type="dxa"/>
          </w:tcPr>
          <w:p>
            <w:pPr>
              <w:pStyle w:val="TableParagraph"/>
              <w:jc w:val="left"/>
              <w:rPr>
                <w:rFonts w:ascii="Times New Roman"/>
                <w:sz w:val="20"/>
              </w:rPr>
            </w:pPr>
          </w:p>
        </w:tc>
        <w:tc>
          <w:tcPr>
            <w:tcW w:w="3436" w:type="dxa"/>
          </w:tcPr>
          <w:p>
            <w:pPr>
              <w:pStyle w:val="TableParagraph"/>
              <w:spacing w:before="45"/>
              <w:ind w:left="9"/>
              <w:rPr>
                <w:sz w:val="21"/>
              </w:rPr>
            </w:pPr>
            <w:r>
              <w:rPr>
                <w:sz w:val="21"/>
              </w:rPr>
              <w:t>蓄电池机车</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125" w:right="95"/>
              <w:rPr>
                <w:rFonts w:ascii="Times New Roman"/>
                <w:sz w:val="21"/>
              </w:rPr>
            </w:pPr>
            <w:r>
              <w:rPr>
                <w:rFonts w:ascii="Times New Roman"/>
                <w:sz w:val="21"/>
              </w:rPr>
              <w:t>10</w:t>
            </w:r>
          </w:p>
        </w:tc>
        <w:tc>
          <w:tcPr>
            <w:tcW w:w="2609" w:type="dxa"/>
          </w:tcPr>
          <w:p>
            <w:pPr>
              <w:pStyle w:val="TableParagraph"/>
              <w:spacing w:before="45"/>
              <w:ind w:left="106"/>
              <w:jc w:val="left"/>
              <w:rPr>
                <w:sz w:val="21"/>
              </w:rPr>
            </w:pPr>
            <w:r>
              <w:rPr>
                <w:sz w:val="21"/>
              </w:rPr>
              <w:t>采区</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回采工作面个数</w:t>
            </w:r>
          </w:p>
        </w:tc>
        <w:tc>
          <w:tcPr>
            <w:tcW w:w="1076" w:type="dxa"/>
          </w:tcPr>
          <w:p>
            <w:pPr>
              <w:pStyle w:val="TableParagraph"/>
              <w:spacing w:before="44"/>
              <w:ind w:left="9"/>
              <w:rPr>
                <w:sz w:val="21"/>
              </w:rPr>
            </w:pPr>
            <w:r>
              <w:rPr>
                <w:w w:val="99"/>
                <w:sz w:val="21"/>
              </w:rPr>
              <w:t>个</w:t>
            </w:r>
          </w:p>
        </w:tc>
        <w:tc>
          <w:tcPr>
            <w:tcW w:w="3436" w:type="dxa"/>
          </w:tcPr>
          <w:p>
            <w:pPr>
              <w:pStyle w:val="TableParagraph"/>
              <w:spacing w:before="58"/>
              <w:ind w:left="5"/>
              <w:rPr>
                <w:rFonts w:ascii="Times New Roman"/>
                <w:sz w:val="21"/>
              </w:rPr>
            </w:pPr>
            <w:r>
              <w:rPr>
                <w:rFonts w:ascii="Times New Roman"/>
                <w:w w:val="99"/>
                <w:sz w:val="21"/>
              </w:rPr>
              <w:t>1</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4"/>
              <w:ind w:left="106"/>
              <w:jc w:val="left"/>
              <w:rPr>
                <w:sz w:val="21"/>
              </w:rPr>
            </w:pPr>
            <w:r>
              <w:rPr>
                <w:sz w:val="21"/>
              </w:rPr>
              <w:t>掘进工作面个数</w:t>
            </w:r>
          </w:p>
        </w:tc>
        <w:tc>
          <w:tcPr>
            <w:tcW w:w="1076" w:type="dxa"/>
          </w:tcPr>
          <w:p>
            <w:pPr>
              <w:pStyle w:val="TableParagraph"/>
              <w:spacing w:before="44"/>
              <w:ind w:left="9"/>
              <w:rPr>
                <w:sz w:val="21"/>
              </w:rPr>
            </w:pPr>
            <w:r>
              <w:rPr>
                <w:w w:val="99"/>
                <w:sz w:val="21"/>
              </w:rPr>
              <w:t>个</w:t>
            </w:r>
          </w:p>
        </w:tc>
        <w:tc>
          <w:tcPr>
            <w:tcW w:w="3436" w:type="dxa"/>
          </w:tcPr>
          <w:p>
            <w:pPr>
              <w:pStyle w:val="TableParagraph"/>
              <w:spacing w:before="58"/>
              <w:ind w:left="5"/>
              <w:rPr>
                <w:rFonts w:ascii="Times New Roman"/>
                <w:sz w:val="21"/>
              </w:rPr>
            </w:pPr>
            <w:r>
              <w:rPr>
                <w:rFonts w:ascii="Times New Roman"/>
                <w:w w:val="99"/>
                <w:sz w:val="21"/>
              </w:rPr>
              <w:t>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3"/>
              <w:ind w:left="106"/>
              <w:jc w:val="left"/>
              <w:rPr>
                <w:sz w:val="21"/>
              </w:rPr>
            </w:pPr>
            <w:r>
              <w:rPr>
                <w:sz w:val="21"/>
              </w:rPr>
              <w:t>采煤方法</w:t>
            </w:r>
          </w:p>
        </w:tc>
        <w:tc>
          <w:tcPr>
            <w:tcW w:w="1076" w:type="dxa"/>
          </w:tcPr>
          <w:p>
            <w:pPr>
              <w:pStyle w:val="TableParagraph"/>
              <w:jc w:val="left"/>
              <w:rPr>
                <w:rFonts w:ascii="Times New Roman"/>
                <w:sz w:val="20"/>
              </w:rPr>
            </w:pPr>
          </w:p>
        </w:tc>
        <w:tc>
          <w:tcPr>
            <w:tcW w:w="3436" w:type="dxa"/>
          </w:tcPr>
          <w:p>
            <w:pPr>
              <w:pStyle w:val="TableParagraph"/>
              <w:spacing w:before="43"/>
              <w:ind w:left="6"/>
              <w:rPr>
                <w:sz w:val="21"/>
              </w:rPr>
            </w:pPr>
            <w:r>
              <w:rPr>
                <w:sz w:val="21"/>
              </w:rPr>
              <w:t>普采</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3"/>
              <w:ind w:left="106"/>
              <w:jc w:val="left"/>
              <w:rPr>
                <w:sz w:val="21"/>
              </w:rPr>
            </w:pPr>
            <w:r>
              <w:rPr>
                <w:sz w:val="21"/>
              </w:rPr>
              <w:t>主要采煤设备</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5"/>
              <w:ind w:left="106"/>
              <w:jc w:val="left"/>
              <w:rPr>
                <w:sz w:val="21"/>
              </w:rPr>
            </w:pPr>
            <w:r>
              <w:rPr>
                <w:sz w:val="21"/>
              </w:rPr>
              <w:t>采煤机</w:t>
            </w:r>
          </w:p>
        </w:tc>
        <w:tc>
          <w:tcPr>
            <w:tcW w:w="1076" w:type="dxa"/>
          </w:tcPr>
          <w:p>
            <w:pPr>
              <w:pStyle w:val="TableParagraph"/>
              <w:spacing w:before="45"/>
              <w:ind w:left="9"/>
              <w:rPr>
                <w:sz w:val="21"/>
              </w:rPr>
            </w:pPr>
            <w:r>
              <w:rPr>
                <w:w w:val="99"/>
                <w:sz w:val="21"/>
              </w:rPr>
              <w:t>台</w:t>
            </w:r>
          </w:p>
        </w:tc>
        <w:tc>
          <w:tcPr>
            <w:tcW w:w="3436" w:type="dxa"/>
          </w:tcPr>
          <w:p>
            <w:pPr>
              <w:pStyle w:val="TableParagraph"/>
              <w:tabs>
                <w:tab w:pos="1583" w:val="left" w:leader="none"/>
              </w:tabs>
              <w:spacing w:before="45"/>
              <w:ind w:left="14"/>
              <w:rPr>
                <w:sz w:val="21"/>
              </w:rPr>
            </w:pPr>
            <w:r>
              <w:rPr>
                <w:rFonts w:ascii="Times New Roman" w:eastAsia="Times New Roman"/>
                <w:sz w:val="21"/>
              </w:rPr>
              <w:t>MG100/111-TD</w:t>
              <w:tab/>
              <w:t>1 </w:t>
            </w:r>
            <w:r>
              <w:rPr>
                <w:sz w:val="21"/>
              </w:rPr>
              <w:t>台</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4"/>
              <w:ind w:left="106"/>
              <w:jc w:val="left"/>
              <w:rPr>
                <w:sz w:val="21"/>
              </w:rPr>
            </w:pPr>
            <w:r>
              <w:rPr>
                <w:sz w:val="21"/>
              </w:rPr>
              <w:t>运输机</w:t>
            </w:r>
          </w:p>
        </w:tc>
        <w:tc>
          <w:tcPr>
            <w:tcW w:w="1076" w:type="dxa"/>
          </w:tcPr>
          <w:p>
            <w:pPr>
              <w:pStyle w:val="TableParagraph"/>
              <w:spacing w:before="44"/>
              <w:ind w:left="9"/>
              <w:rPr>
                <w:sz w:val="21"/>
              </w:rPr>
            </w:pPr>
            <w:r>
              <w:rPr>
                <w:w w:val="99"/>
                <w:sz w:val="21"/>
              </w:rPr>
              <w:t>台</w:t>
            </w:r>
          </w:p>
        </w:tc>
        <w:tc>
          <w:tcPr>
            <w:tcW w:w="3436" w:type="dxa"/>
          </w:tcPr>
          <w:p>
            <w:pPr>
              <w:pStyle w:val="TableParagraph"/>
              <w:spacing w:before="44"/>
              <w:ind w:left="11"/>
              <w:rPr>
                <w:sz w:val="21"/>
              </w:rPr>
            </w:pPr>
            <w:r>
              <w:rPr>
                <w:rFonts w:ascii="Times New Roman" w:eastAsia="Times New Roman"/>
                <w:sz w:val="21"/>
              </w:rPr>
              <w:t>SDJ80/40/18.5+30 1 </w:t>
            </w:r>
            <w:r>
              <w:rPr>
                <w:sz w:val="21"/>
              </w:rPr>
              <w:t>台</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127" w:right="95"/>
              <w:rPr>
                <w:rFonts w:ascii="Times New Roman"/>
                <w:sz w:val="21"/>
              </w:rPr>
            </w:pPr>
            <w:r>
              <w:rPr>
                <w:rFonts w:ascii="Times New Roman"/>
                <w:sz w:val="21"/>
              </w:rPr>
              <w:t>11</w:t>
            </w:r>
          </w:p>
        </w:tc>
        <w:tc>
          <w:tcPr>
            <w:tcW w:w="2609" w:type="dxa"/>
          </w:tcPr>
          <w:p>
            <w:pPr>
              <w:pStyle w:val="TableParagraph"/>
              <w:spacing w:before="44"/>
              <w:ind w:left="106"/>
              <w:jc w:val="left"/>
              <w:rPr>
                <w:sz w:val="21"/>
              </w:rPr>
            </w:pPr>
            <w:r>
              <w:rPr>
                <w:sz w:val="21"/>
              </w:rPr>
              <w:t>矿井主要设备</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主井提升设备</w:t>
            </w:r>
          </w:p>
        </w:tc>
        <w:tc>
          <w:tcPr>
            <w:tcW w:w="1076" w:type="dxa"/>
          </w:tcPr>
          <w:p>
            <w:pPr>
              <w:pStyle w:val="TableParagraph"/>
              <w:spacing w:before="44"/>
              <w:ind w:left="9"/>
              <w:rPr>
                <w:sz w:val="21"/>
              </w:rPr>
            </w:pPr>
            <w:r>
              <w:rPr>
                <w:w w:val="99"/>
                <w:sz w:val="21"/>
              </w:rPr>
              <w:t>台</w:t>
            </w:r>
          </w:p>
        </w:tc>
        <w:tc>
          <w:tcPr>
            <w:tcW w:w="3436" w:type="dxa"/>
          </w:tcPr>
          <w:p>
            <w:pPr>
              <w:pStyle w:val="TableParagraph"/>
              <w:tabs>
                <w:tab w:pos="1703" w:val="left" w:leader="none"/>
              </w:tabs>
              <w:spacing w:before="44"/>
              <w:ind w:left="11"/>
              <w:rPr>
                <w:sz w:val="21"/>
              </w:rPr>
            </w:pPr>
            <w:r>
              <w:rPr>
                <w:rFonts w:ascii="Times New Roman" w:hAnsi="Times New Roman" w:eastAsia="Times New Roman"/>
                <w:sz w:val="21"/>
              </w:rPr>
              <w:t>DTL80/40/2×220</w:t>
              <w:tab/>
              <w:t>1 </w:t>
            </w:r>
            <w:r>
              <w:rPr>
                <w:sz w:val="21"/>
              </w:rPr>
              <w:t>台</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3"/>
              <w:ind w:left="106"/>
              <w:jc w:val="left"/>
              <w:rPr>
                <w:sz w:val="21"/>
              </w:rPr>
            </w:pPr>
            <w:r>
              <w:rPr>
                <w:sz w:val="21"/>
              </w:rPr>
              <w:t>副井提升设备</w:t>
            </w:r>
          </w:p>
        </w:tc>
        <w:tc>
          <w:tcPr>
            <w:tcW w:w="1076" w:type="dxa"/>
          </w:tcPr>
          <w:p>
            <w:pPr>
              <w:pStyle w:val="TableParagraph"/>
              <w:spacing w:before="43"/>
              <w:ind w:left="9"/>
              <w:rPr>
                <w:sz w:val="21"/>
              </w:rPr>
            </w:pPr>
            <w:r>
              <w:rPr>
                <w:w w:val="99"/>
                <w:sz w:val="21"/>
              </w:rPr>
              <w:t>台</w:t>
            </w:r>
          </w:p>
        </w:tc>
        <w:tc>
          <w:tcPr>
            <w:tcW w:w="3436" w:type="dxa"/>
          </w:tcPr>
          <w:p>
            <w:pPr>
              <w:pStyle w:val="TableParagraph"/>
              <w:tabs>
                <w:tab w:pos="1158" w:val="left" w:leader="none"/>
              </w:tabs>
              <w:spacing w:before="43"/>
              <w:ind w:left="9"/>
              <w:rPr>
                <w:sz w:val="21"/>
              </w:rPr>
            </w:pPr>
            <w:r>
              <w:rPr>
                <w:rFonts w:ascii="Times New Roman" w:eastAsia="Times New Roman"/>
                <w:sz w:val="21"/>
              </w:rPr>
              <w:t>JK-2.5/20</w:t>
              <w:tab/>
              <w:t>1</w:t>
            </w:r>
            <w:r>
              <w:rPr>
                <w:rFonts w:ascii="Times New Roman" w:eastAsia="Times New Roman"/>
                <w:spacing w:val="-2"/>
                <w:sz w:val="21"/>
              </w:rPr>
              <w:t> </w:t>
            </w:r>
            <w:r>
              <w:rPr>
                <w:sz w:val="21"/>
              </w:rPr>
              <w:t>台</w:t>
            </w:r>
          </w:p>
        </w:tc>
        <w:tc>
          <w:tcPr>
            <w:tcW w:w="1070" w:type="dxa"/>
          </w:tcPr>
          <w:p>
            <w:pPr>
              <w:pStyle w:val="TableParagraph"/>
              <w:jc w:val="left"/>
              <w:rPr>
                <w:rFonts w:ascii="Times New Roman"/>
                <w:sz w:val="20"/>
              </w:rPr>
            </w:pPr>
          </w:p>
        </w:tc>
      </w:tr>
      <w:tr>
        <w:trPr>
          <w:trHeight w:val="357" w:hRule="atLeast"/>
        </w:trPr>
        <w:tc>
          <w:tcPr>
            <w:tcW w:w="813" w:type="dxa"/>
          </w:tcPr>
          <w:p>
            <w:pPr>
              <w:pStyle w:val="TableParagraph"/>
              <w:spacing w:before="43"/>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3"/>
              <w:ind w:left="106"/>
              <w:jc w:val="left"/>
              <w:rPr>
                <w:sz w:val="21"/>
              </w:rPr>
            </w:pPr>
            <w:r>
              <w:rPr>
                <w:sz w:val="21"/>
              </w:rPr>
              <w:t>通风设备</w:t>
            </w:r>
          </w:p>
        </w:tc>
        <w:tc>
          <w:tcPr>
            <w:tcW w:w="1076" w:type="dxa"/>
          </w:tcPr>
          <w:p>
            <w:pPr>
              <w:pStyle w:val="TableParagraph"/>
              <w:spacing w:before="43"/>
              <w:ind w:left="9"/>
              <w:rPr>
                <w:sz w:val="21"/>
              </w:rPr>
            </w:pPr>
            <w:r>
              <w:rPr>
                <w:w w:val="99"/>
                <w:sz w:val="21"/>
              </w:rPr>
              <w:t>台</w:t>
            </w:r>
          </w:p>
        </w:tc>
        <w:tc>
          <w:tcPr>
            <w:tcW w:w="3436" w:type="dxa"/>
          </w:tcPr>
          <w:p>
            <w:pPr>
              <w:pStyle w:val="TableParagraph"/>
              <w:tabs>
                <w:tab w:pos="1799" w:val="left" w:leader="none"/>
              </w:tabs>
              <w:spacing w:before="43"/>
              <w:ind w:left="11"/>
              <w:rPr>
                <w:sz w:val="21"/>
              </w:rPr>
            </w:pPr>
            <w:r>
              <w:rPr>
                <w:rFonts w:ascii="Times New Roman" w:hAnsi="Times New Roman" w:eastAsia="Times New Roman"/>
                <w:sz w:val="21"/>
              </w:rPr>
              <w:t>FBCDZ№16/2×75</w:t>
              <w:tab/>
              <w:t>2 </w:t>
            </w:r>
            <w:r>
              <w:rPr>
                <w:sz w:val="21"/>
              </w:rPr>
              <w:t>台</w:t>
            </w:r>
          </w:p>
        </w:tc>
        <w:tc>
          <w:tcPr>
            <w:tcW w:w="1070" w:type="dxa"/>
          </w:tcPr>
          <w:p>
            <w:pPr>
              <w:pStyle w:val="TableParagraph"/>
              <w:jc w:val="left"/>
              <w:rPr>
                <w:rFonts w:ascii="Times New Roman"/>
                <w:sz w:val="20"/>
              </w:rPr>
            </w:pPr>
          </w:p>
        </w:tc>
      </w:tr>
    </w:tbl>
    <w:p>
      <w:pPr>
        <w:spacing w:after="0"/>
        <w:jc w:val="left"/>
        <w:rPr>
          <w:rFonts w:ascii="Times New Roman"/>
          <w:sz w:val="20"/>
        </w:rPr>
        <w:sectPr>
          <w:pgSz w:w="11910" w:h="16840"/>
          <w:pgMar w:header="0" w:footer="913" w:top="1400" w:bottom="1100" w:left="940" w:right="940"/>
        </w:sectPr>
      </w:pPr>
    </w:p>
    <w:tbl>
      <w:tblPr>
        <w:tblW w:w="0" w:type="auto"/>
        <w:jc w:val="left"/>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609"/>
        <w:gridCol w:w="1076"/>
        <w:gridCol w:w="3436"/>
        <w:gridCol w:w="1070"/>
      </w:tblGrid>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3"/>
              <w:ind w:left="106"/>
              <w:jc w:val="left"/>
              <w:rPr>
                <w:sz w:val="21"/>
              </w:rPr>
            </w:pPr>
            <w:r>
              <w:rPr>
                <w:sz w:val="21"/>
              </w:rPr>
              <w:t>排水设备</w:t>
            </w:r>
          </w:p>
        </w:tc>
        <w:tc>
          <w:tcPr>
            <w:tcW w:w="1076" w:type="dxa"/>
          </w:tcPr>
          <w:p>
            <w:pPr>
              <w:pStyle w:val="TableParagraph"/>
              <w:spacing w:before="43"/>
              <w:ind w:left="9"/>
              <w:rPr>
                <w:sz w:val="21"/>
              </w:rPr>
            </w:pPr>
            <w:r>
              <w:rPr>
                <w:w w:val="99"/>
                <w:sz w:val="21"/>
              </w:rPr>
              <w:t>台</w:t>
            </w:r>
          </w:p>
        </w:tc>
        <w:tc>
          <w:tcPr>
            <w:tcW w:w="3436" w:type="dxa"/>
          </w:tcPr>
          <w:p>
            <w:pPr>
              <w:pStyle w:val="TableParagraph"/>
              <w:tabs>
                <w:tab w:pos="1084" w:val="left" w:leader="none"/>
              </w:tabs>
              <w:spacing w:before="43"/>
              <w:ind w:left="11"/>
              <w:rPr>
                <w:sz w:val="21"/>
              </w:rPr>
            </w:pPr>
            <w:r>
              <w:rPr>
                <w:rFonts w:ascii="Times New Roman" w:hAnsi="Times New Roman" w:eastAsia="Times New Roman"/>
                <w:sz w:val="21"/>
              </w:rPr>
              <w:t>D46-50×9</w:t>
              <w:tab/>
              <w:t>3 </w:t>
            </w:r>
            <w:r>
              <w:rPr>
                <w:sz w:val="21"/>
              </w:rPr>
              <w:t>台</w:t>
            </w:r>
          </w:p>
        </w:tc>
        <w:tc>
          <w:tcPr>
            <w:tcW w:w="1070" w:type="dxa"/>
          </w:tcPr>
          <w:p>
            <w:pPr>
              <w:pStyle w:val="TableParagraph"/>
              <w:jc w:val="left"/>
              <w:rPr>
                <w:rFonts w:ascii="Times New Roman"/>
                <w:sz w:val="20"/>
              </w:rPr>
            </w:pPr>
          </w:p>
        </w:tc>
      </w:tr>
      <w:tr>
        <w:trPr>
          <w:trHeight w:val="545" w:hRule="atLeast"/>
        </w:trPr>
        <w:tc>
          <w:tcPr>
            <w:tcW w:w="813" w:type="dxa"/>
          </w:tcPr>
          <w:p>
            <w:pPr>
              <w:pStyle w:val="TableParagraph"/>
              <w:spacing w:before="136"/>
              <w:ind w:left="143" w:right="95"/>
              <w:rPr>
                <w:sz w:val="21"/>
              </w:rPr>
            </w:pPr>
            <w:r>
              <w:rPr>
                <w:sz w:val="21"/>
              </w:rPr>
              <w:t>（</w:t>
            </w:r>
            <w:r>
              <w:rPr>
                <w:rFonts w:ascii="Times New Roman" w:eastAsia="Times New Roman"/>
                <w:sz w:val="21"/>
              </w:rPr>
              <w:t>5</w:t>
            </w:r>
            <w:r>
              <w:rPr>
                <w:sz w:val="21"/>
              </w:rPr>
              <w:t>）</w:t>
            </w:r>
          </w:p>
        </w:tc>
        <w:tc>
          <w:tcPr>
            <w:tcW w:w="2609" w:type="dxa"/>
          </w:tcPr>
          <w:p>
            <w:pPr>
              <w:pStyle w:val="TableParagraph"/>
              <w:spacing w:before="136"/>
              <w:ind w:left="106"/>
              <w:jc w:val="left"/>
              <w:rPr>
                <w:sz w:val="21"/>
              </w:rPr>
            </w:pPr>
            <w:r>
              <w:rPr>
                <w:sz w:val="21"/>
              </w:rPr>
              <w:t>压风设备</w:t>
            </w:r>
          </w:p>
        </w:tc>
        <w:tc>
          <w:tcPr>
            <w:tcW w:w="1076" w:type="dxa"/>
          </w:tcPr>
          <w:p>
            <w:pPr>
              <w:pStyle w:val="TableParagraph"/>
              <w:spacing w:before="136"/>
              <w:ind w:left="9"/>
              <w:rPr>
                <w:sz w:val="21"/>
              </w:rPr>
            </w:pPr>
            <w:r>
              <w:rPr>
                <w:w w:val="99"/>
                <w:sz w:val="21"/>
              </w:rPr>
              <w:t>台</w:t>
            </w:r>
          </w:p>
        </w:tc>
        <w:tc>
          <w:tcPr>
            <w:tcW w:w="3436" w:type="dxa"/>
          </w:tcPr>
          <w:p>
            <w:pPr>
              <w:pStyle w:val="TableParagraph"/>
              <w:spacing w:before="2"/>
              <w:ind w:left="9"/>
              <w:rPr>
                <w:sz w:val="21"/>
              </w:rPr>
            </w:pPr>
            <w:r>
              <w:rPr>
                <w:rFonts w:ascii="Times New Roman" w:eastAsia="Times New Roman"/>
                <w:sz w:val="21"/>
              </w:rPr>
              <w:t>SA120A 3 </w:t>
            </w:r>
            <w:r>
              <w:rPr>
                <w:sz w:val="21"/>
              </w:rPr>
              <w:t>台</w:t>
            </w:r>
          </w:p>
          <w:p>
            <w:pPr>
              <w:pStyle w:val="TableParagraph"/>
              <w:tabs>
                <w:tab w:pos="616" w:val="left" w:leader="none"/>
              </w:tabs>
              <w:spacing w:line="252" w:lineRule="exact" w:before="2"/>
              <w:ind w:left="9"/>
              <w:rPr>
                <w:sz w:val="21"/>
              </w:rPr>
            </w:pPr>
            <w:r>
              <w:rPr>
                <w:rFonts w:ascii="Times New Roman" w:eastAsia="Times New Roman"/>
                <w:sz w:val="21"/>
              </w:rPr>
              <w:t>LGF</w:t>
              <w:tab/>
              <w:t>1</w:t>
            </w:r>
            <w:r>
              <w:rPr>
                <w:rFonts w:ascii="Times New Roman" w:eastAsia="Times New Roman"/>
                <w:spacing w:val="-2"/>
                <w:sz w:val="21"/>
              </w:rPr>
              <w:t> </w:t>
            </w:r>
            <w:r>
              <w:rPr>
                <w:sz w:val="21"/>
              </w:rPr>
              <w:t>台</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125" w:right="95"/>
              <w:rPr>
                <w:rFonts w:ascii="Times New Roman"/>
                <w:sz w:val="21"/>
              </w:rPr>
            </w:pPr>
            <w:r>
              <w:rPr>
                <w:rFonts w:ascii="Times New Roman"/>
                <w:sz w:val="21"/>
              </w:rPr>
              <w:t>12</w:t>
            </w:r>
          </w:p>
        </w:tc>
        <w:tc>
          <w:tcPr>
            <w:tcW w:w="2609" w:type="dxa"/>
          </w:tcPr>
          <w:p>
            <w:pPr>
              <w:pStyle w:val="TableParagraph"/>
              <w:spacing w:before="42"/>
              <w:ind w:left="106"/>
              <w:jc w:val="left"/>
              <w:rPr>
                <w:sz w:val="21"/>
              </w:rPr>
            </w:pPr>
            <w:r>
              <w:rPr>
                <w:sz w:val="21"/>
              </w:rPr>
              <w:t>地面运输</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4"/>
              <w:ind w:left="106"/>
              <w:jc w:val="left"/>
              <w:rPr>
                <w:sz w:val="21"/>
              </w:rPr>
            </w:pPr>
            <w:r>
              <w:rPr>
                <w:sz w:val="21"/>
              </w:rPr>
              <w:t>准轨铁路总长度</w:t>
            </w:r>
          </w:p>
        </w:tc>
        <w:tc>
          <w:tcPr>
            <w:tcW w:w="1076" w:type="dxa"/>
          </w:tcPr>
          <w:p>
            <w:pPr>
              <w:pStyle w:val="TableParagraph"/>
              <w:spacing w:before="58"/>
              <w:ind w:left="116" w:right="108"/>
              <w:rPr>
                <w:rFonts w:ascii="Times New Roman"/>
                <w:sz w:val="21"/>
              </w:rPr>
            </w:pPr>
            <w:r>
              <w:rPr>
                <w:rFonts w:ascii="Times New Roman"/>
                <w:sz w:val="21"/>
              </w:rPr>
              <w:t>km</w:t>
            </w: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3"/>
              <w:ind w:left="106"/>
              <w:jc w:val="left"/>
              <w:rPr>
                <w:sz w:val="21"/>
              </w:rPr>
            </w:pPr>
            <w:r>
              <w:rPr>
                <w:sz w:val="21"/>
              </w:rPr>
              <w:t>其中：专用线长度</w:t>
            </w:r>
          </w:p>
        </w:tc>
        <w:tc>
          <w:tcPr>
            <w:tcW w:w="1076" w:type="dxa"/>
          </w:tcPr>
          <w:p>
            <w:pPr>
              <w:pStyle w:val="TableParagraph"/>
              <w:spacing w:before="57"/>
              <w:ind w:left="116" w:right="108"/>
              <w:rPr>
                <w:rFonts w:ascii="Times New Roman"/>
                <w:sz w:val="21"/>
              </w:rPr>
            </w:pPr>
            <w:r>
              <w:rPr>
                <w:rFonts w:ascii="Times New Roman"/>
                <w:sz w:val="21"/>
              </w:rPr>
              <w:t>km</w:t>
            </w: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3"/>
              <w:ind w:left="106"/>
              <w:jc w:val="left"/>
              <w:rPr>
                <w:sz w:val="21"/>
              </w:rPr>
            </w:pPr>
            <w:r>
              <w:rPr>
                <w:sz w:val="21"/>
              </w:rPr>
              <w:t>站线长度</w:t>
            </w:r>
          </w:p>
        </w:tc>
        <w:tc>
          <w:tcPr>
            <w:tcW w:w="1076" w:type="dxa"/>
          </w:tcPr>
          <w:p>
            <w:pPr>
              <w:pStyle w:val="TableParagraph"/>
              <w:spacing w:before="57"/>
              <w:ind w:left="116" w:right="108"/>
              <w:rPr>
                <w:rFonts w:ascii="Times New Roman"/>
                <w:sz w:val="21"/>
              </w:rPr>
            </w:pPr>
            <w:r>
              <w:rPr>
                <w:rFonts w:ascii="Times New Roman"/>
                <w:sz w:val="21"/>
              </w:rPr>
              <w:t>km</w:t>
            </w: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3"/>
              <w:ind w:left="106"/>
              <w:jc w:val="left"/>
              <w:rPr>
                <w:sz w:val="21"/>
              </w:rPr>
            </w:pPr>
            <w:r>
              <w:rPr>
                <w:sz w:val="21"/>
              </w:rPr>
              <w:t>场外公路长度</w:t>
            </w:r>
          </w:p>
        </w:tc>
        <w:tc>
          <w:tcPr>
            <w:tcW w:w="1076" w:type="dxa"/>
          </w:tcPr>
          <w:p>
            <w:pPr>
              <w:pStyle w:val="TableParagraph"/>
              <w:spacing w:before="57"/>
              <w:ind w:left="116" w:right="108"/>
              <w:rPr>
                <w:rFonts w:ascii="Times New Roman"/>
                <w:sz w:val="21"/>
              </w:rPr>
            </w:pPr>
            <w:r>
              <w:rPr>
                <w:rFonts w:ascii="Times New Roman"/>
                <w:sz w:val="21"/>
              </w:rPr>
              <w:t>km</w:t>
            </w:r>
          </w:p>
        </w:tc>
        <w:tc>
          <w:tcPr>
            <w:tcW w:w="3436" w:type="dxa"/>
          </w:tcPr>
          <w:p>
            <w:pPr>
              <w:pStyle w:val="TableParagraph"/>
              <w:spacing w:before="57"/>
              <w:ind w:left="10"/>
              <w:rPr>
                <w:rFonts w:ascii="Times New Roman"/>
                <w:sz w:val="21"/>
              </w:rPr>
            </w:pPr>
            <w:r>
              <w:rPr>
                <w:rFonts w:ascii="Times New Roman"/>
                <w:sz w:val="21"/>
              </w:rPr>
              <w:t>2.3</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9"/>
              <w:ind w:left="125" w:right="95"/>
              <w:rPr>
                <w:rFonts w:ascii="Times New Roman"/>
                <w:sz w:val="21"/>
              </w:rPr>
            </w:pPr>
            <w:r>
              <w:rPr>
                <w:rFonts w:ascii="Times New Roman"/>
                <w:sz w:val="21"/>
              </w:rPr>
              <w:t>13</w:t>
            </w:r>
          </w:p>
        </w:tc>
        <w:tc>
          <w:tcPr>
            <w:tcW w:w="2609" w:type="dxa"/>
          </w:tcPr>
          <w:p>
            <w:pPr>
              <w:pStyle w:val="TableParagraph"/>
              <w:spacing w:before="42"/>
              <w:ind w:left="106"/>
              <w:jc w:val="left"/>
              <w:rPr>
                <w:sz w:val="21"/>
              </w:rPr>
            </w:pPr>
            <w:r>
              <w:rPr>
                <w:sz w:val="21"/>
              </w:rPr>
              <w:t>建设用地</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2"/>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2"/>
              <w:ind w:left="106"/>
              <w:jc w:val="left"/>
              <w:rPr>
                <w:sz w:val="21"/>
              </w:rPr>
            </w:pPr>
            <w:r>
              <w:rPr>
                <w:sz w:val="21"/>
              </w:rPr>
              <w:t>用地总面积</w:t>
            </w:r>
          </w:p>
        </w:tc>
        <w:tc>
          <w:tcPr>
            <w:tcW w:w="1076" w:type="dxa"/>
          </w:tcPr>
          <w:p>
            <w:pPr>
              <w:pStyle w:val="TableParagraph"/>
              <w:spacing w:before="58"/>
              <w:ind w:left="116" w:right="107"/>
              <w:rPr>
                <w:rFonts w:ascii="Times New Roman" w:hAnsi="Times New Roman"/>
                <w:sz w:val="21"/>
              </w:rPr>
            </w:pPr>
            <w:r>
              <w:rPr>
                <w:rFonts w:ascii="Times New Roman" w:hAnsi="Times New Roman"/>
                <w:sz w:val="21"/>
              </w:rPr>
              <w:t>hm²</w:t>
            </w:r>
          </w:p>
        </w:tc>
        <w:tc>
          <w:tcPr>
            <w:tcW w:w="3436" w:type="dxa"/>
          </w:tcPr>
          <w:p>
            <w:pPr>
              <w:pStyle w:val="TableParagraph"/>
              <w:spacing w:before="58"/>
              <w:ind w:left="10"/>
              <w:rPr>
                <w:rFonts w:ascii="Times New Roman"/>
                <w:sz w:val="21"/>
              </w:rPr>
            </w:pPr>
            <w:r>
              <w:rPr>
                <w:rFonts w:ascii="Times New Roman"/>
                <w:sz w:val="21"/>
              </w:rPr>
              <w:t>3.025</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8"/>
              <w:ind w:left="125" w:right="95"/>
              <w:rPr>
                <w:rFonts w:ascii="Times New Roman"/>
                <w:sz w:val="21"/>
              </w:rPr>
            </w:pPr>
            <w:r>
              <w:rPr>
                <w:rFonts w:ascii="Times New Roman"/>
                <w:sz w:val="21"/>
              </w:rPr>
              <w:t>14</w:t>
            </w:r>
          </w:p>
        </w:tc>
        <w:tc>
          <w:tcPr>
            <w:tcW w:w="2609" w:type="dxa"/>
          </w:tcPr>
          <w:p>
            <w:pPr>
              <w:pStyle w:val="TableParagraph"/>
              <w:spacing w:before="44"/>
              <w:ind w:left="106"/>
              <w:jc w:val="left"/>
              <w:rPr>
                <w:sz w:val="21"/>
              </w:rPr>
            </w:pPr>
            <w:r>
              <w:rPr>
                <w:sz w:val="21"/>
              </w:rPr>
              <w:t>地面建筑</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3"/>
              <w:ind w:left="106"/>
              <w:jc w:val="left"/>
              <w:rPr>
                <w:sz w:val="21"/>
              </w:rPr>
            </w:pPr>
            <w:r>
              <w:rPr>
                <w:sz w:val="21"/>
              </w:rPr>
              <w:t>工业建</w:t>
            </w:r>
            <w:r>
              <w:rPr>
                <w:rFonts w:ascii="Times New Roman" w:eastAsia="Times New Roman"/>
                <w:sz w:val="21"/>
              </w:rPr>
              <w:t>(</w:t>
            </w:r>
            <w:r>
              <w:rPr>
                <w:sz w:val="21"/>
              </w:rPr>
              <w:t>构</w:t>
            </w:r>
            <w:r>
              <w:rPr>
                <w:rFonts w:ascii="Times New Roman" w:eastAsia="Times New Roman"/>
                <w:sz w:val="21"/>
              </w:rPr>
              <w:t>)</w:t>
            </w:r>
            <w:r>
              <w:rPr>
                <w:sz w:val="21"/>
              </w:rPr>
              <w:t>筑总体积</w:t>
            </w:r>
          </w:p>
        </w:tc>
        <w:tc>
          <w:tcPr>
            <w:tcW w:w="1076" w:type="dxa"/>
          </w:tcPr>
          <w:p>
            <w:pPr>
              <w:pStyle w:val="TableParagraph"/>
              <w:spacing w:before="57"/>
              <w:ind w:left="116" w:right="109"/>
              <w:rPr>
                <w:rFonts w:ascii="Times New Roman" w:hAnsi="Times New Roman"/>
                <w:sz w:val="21"/>
              </w:rPr>
            </w:pPr>
            <w:r>
              <w:rPr>
                <w:rFonts w:ascii="Times New Roman" w:hAnsi="Times New Roman"/>
                <w:sz w:val="21"/>
              </w:rPr>
              <w:t>m³</w:t>
            </w:r>
          </w:p>
        </w:tc>
        <w:tc>
          <w:tcPr>
            <w:tcW w:w="3436" w:type="dxa"/>
          </w:tcPr>
          <w:p>
            <w:pPr>
              <w:pStyle w:val="TableParagraph"/>
              <w:spacing w:before="57"/>
              <w:ind w:left="8"/>
              <w:rPr>
                <w:rFonts w:ascii="Times New Roman"/>
                <w:sz w:val="21"/>
              </w:rPr>
            </w:pPr>
            <w:r>
              <w:rPr>
                <w:rFonts w:ascii="Times New Roman"/>
                <w:sz w:val="21"/>
              </w:rPr>
              <w:t>44831</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3"/>
              <w:ind w:left="106"/>
              <w:jc w:val="left"/>
              <w:rPr>
                <w:sz w:val="21"/>
              </w:rPr>
            </w:pPr>
            <w:r>
              <w:rPr>
                <w:sz w:val="21"/>
              </w:rPr>
              <w:t>行政公共建筑物总面积</w:t>
            </w:r>
          </w:p>
        </w:tc>
        <w:tc>
          <w:tcPr>
            <w:tcW w:w="1076" w:type="dxa"/>
          </w:tcPr>
          <w:p>
            <w:pPr>
              <w:pStyle w:val="TableParagraph"/>
              <w:spacing w:before="57"/>
              <w:ind w:left="116" w:right="109"/>
              <w:rPr>
                <w:rFonts w:ascii="Times New Roman" w:hAnsi="Times New Roman"/>
                <w:sz w:val="21"/>
              </w:rPr>
            </w:pPr>
            <w:r>
              <w:rPr>
                <w:rFonts w:ascii="Times New Roman" w:hAnsi="Times New Roman"/>
                <w:sz w:val="21"/>
              </w:rPr>
              <w:t>m²</w:t>
            </w:r>
          </w:p>
        </w:tc>
        <w:tc>
          <w:tcPr>
            <w:tcW w:w="3436" w:type="dxa"/>
          </w:tcPr>
          <w:p>
            <w:pPr>
              <w:pStyle w:val="TableParagraph"/>
              <w:spacing w:before="57"/>
              <w:ind w:left="10"/>
              <w:rPr>
                <w:rFonts w:ascii="Times New Roman"/>
                <w:sz w:val="21"/>
              </w:rPr>
            </w:pPr>
            <w:r>
              <w:rPr>
                <w:rFonts w:ascii="Times New Roman"/>
                <w:sz w:val="21"/>
              </w:rPr>
              <w:t>6481</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7"/>
              <w:ind w:left="125" w:right="95"/>
              <w:rPr>
                <w:rFonts w:ascii="Times New Roman"/>
                <w:sz w:val="21"/>
              </w:rPr>
            </w:pPr>
            <w:r>
              <w:rPr>
                <w:rFonts w:ascii="Times New Roman"/>
                <w:sz w:val="21"/>
              </w:rPr>
              <w:t>15</w:t>
            </w:r>
          </w:p>
        </w:tc>
        <w:tc>
          <w:tcPr>
            <w:tcW w:w="2609" w:type="dxa"/>
          </w:tcPr>
          <w:p>
            <w:pPr>
              <w:pStyle w:val="TableParagraph"/>
              <w:spacing w:before="43"/>
              <w:ind w:left="106"/>
              <w:jc w:val="left"/>
              <w:rPr>
                <w:sz w:val="21"/>
              </w:rPr>
            </w:pPr>
            <w:r>
              <w:rPr>
                <w:sz w:val="21"/>
              </w:rPr>
              <w:t>人员配置</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2"/>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2"/>
              <w:ind w:left="106"/>
              <w:jc w:val="left"/>
              <w:rPr>
                <w:sz w:val="21"/>
              </w:rPr>
            </w:pPr>
            <w:r>
              <w:rPr>
                <w:sz w:val="21"/>
              </w:rPr>
              <w:t>在籍员工总数</w:t>
            </w:r>
          </w:p>
        </w:tc>
        <w:tc>
          <w:tcPr>
            <w:tcW w:w="1076" w:type="dxa"/>
          </w:tcPr>
          <w:p>
            <w:pPr>
              <w:pStyle w:val="TableParagraph"/>
              <w:spacing w:before="42"/>
              <w:ind w:left="9"/>
              <w:rPr>
                <w:sz w:val="21"/>
              </w:rPr>
            </w:pPr>
            <w:r>
              <w:rPr>
                <w:w w:val="99"/>
                <w:sz w:val="21"/>
              </w:rPr>
              <w:t>人</w:t>
            </w:r>
          </w:p>
        </w:tc>
        <w:tc>
          <w:tcPr>
            <w:tcW w:w="3436" w:type="dxa"/>
          </w:tcPr>
          <w:p>
            <w:pPr>
              <w:pStyle w:val="TableParagraph"/>
              <w:spacing w:before="59"/>
              <w:ind w:left="10"/>
              <w:rPr>
                <w:rFonts w:ascii="Times New Roman"/>
                <w:sz w:val="21"/>
              </w:rPr>
            </w:pPr>
            <w:r>
              <w:rPr>
                <w:rFonts w:ascii="Times New Roman"/>
                <w:sz w:val="21"/>
              </w:rPr>
              <w:t>363</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2"/>
              <w:ind w:left="106"/>
              <w:jc w:val="left"/>
              <w:rPr>
                <w:sz w:val="21"/>
              </w:rPr>
            </w:pPr>
            <w:r>
              <w:rPr>
                <w:sz w:val="21"/>
              </w:rPr>
              <w:t>其中：原煤生产人员</w:t>
            </w:r>
          </w:p>
        </w:tc>
        <w:tc>
          <w:tcPr>
            <w:tcW w:w="1076" w:type="dxa"/>
          </w:tcPr>
          <w:p>
            <w:pPr>
              <w:pStyle w:val="TableParagraph"/>
              <w:spacing w:before="42"/>
              <w:ind w:left="9"/>
              <w:rPr>
                <w:sz w:val="21"/>
              </w:rPr>
            </w:pPr>
            <w:r>
              <w:rPr>
                <w:w w:val="99"/>
                <w:sz w:val="21"/>
              </w:rPr>
              <w:t>人</w:t>
            </w:r>
          </w:p>
        </w:tc>
        <w:tc>
          <w:tcPr>
            <w:tcW w:w="3436" w:type="dxa"/>
          </w:tcPr>
          <w:p>
            <w:pPr>
              <w:pStyle w:val="TableParagraph"/>
              <w:spacing w:before="58"/>
              <w:ind w:left="10"/>
              <w:rPr>
                <w:rFonts w:ascii="Times New Roman"/>
                <w:sz w:val="21"/>
              </w:rPr>
            </w:pPr>
            <w:r>
              <w:rPr>
                <w:rFonts w:ascii="Times New Roman"/>
                <w:sz w:val="21"/>
              </w:rPr>
              <w:t>298</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4"/>
              <w:ind w:left="106"/>
              <w:jc w:val="left"/>
              <w:rPr>
                <w:sz w:val="21"/>
              </w:rPr>
            </w:pPr>
            <w:r>
              <w:rPr>
                <w:sz w:val="21"/>
              </w:rPr>
              <w:t>生产工人</w:t>
            </w:r>
          </w:p>
        </w:tc>
        <w:tc>
          <w:tcPr>
            <w:tcW w:w="1076" w:type="dxa"/>
          </w:tcPr>
          <w:p>
            <w:pPr>
              <w:pStyle w:val="TableParagraph"/>
              <w:spacing w:before="44"/>
              <w:ind w:left="9"/>
              <w:rPr>
                <w:sz w:val="21"/>
              </w:rPr>
            </w:pPr>
            <w:r>
              <w:rPr>
                <w:w w:val="99"/>
                <w:sz w:val="21"/>
              </w:rPr>
              <w:t>人</w:t>
            </w:r>
          </w:p>
        </w:tc>
        <w:tc>
          <w:tcPr>
            <w:tcW w:w="3436" w:type="dxa"/>
          </w:tcPr>
          <w:p>
            <w:pPr>
              <w:pStyle w:val="TableParagraph"/>
              <w:spacing w:before="58"/>
              <w:ind w:left="10"/>
              <w:rPr>
                <w:rFonts w:ascii="Times New Roman"/>
                <w:sz w:val="21"/>
              </w:rPr>
            </w:pPr>
            <w:r>
              <w:rPr>
                <w:rFonts w:ascii="Times New Roman"/>
                <w:sz w:val="21"/>
              </w:rPr>
              <w:t>332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3"/>
              <w:ind w:left="106"/>
              <w:jc w:val="left"/>
              <w:rPr>
                <w:sz w:val="21"/>
              </w:rPr>
            </w:pPr>
            <w:r>
              <w:rPr>
                <w:sz w:val="21"/>
              </w:rPr>
              <w:t>原煤生产人员效率</w:t>
            </w:r>
          </w:p>
        </w:tc>
        <w:tc>
          <w:tcPr>
            <w:tcW w:w="1076" w:type="dxa"/>
          </w:tcPr>
          <w:p>
            <w:pPr>
              <w:pStyle w:val="TableParagraph"/>
              <w:spacing w:before="43"/>
              <w:ind w:left="116" w:right="107"/>
              <w:rPr>
                <w:sz w:val="21"/>
              </w:rPr>
            </w:pPr>
            <w:r>
              <w:rPr>
                <w:rFonts w:ascii="Times New Roman" w:eastAsia="Times New Roman"/>
                <w:sz w:val="21"/>
              </w:rPr>
              <w:t>t/</w:t>
            </w:r>
            <w:r>
              <w:rPr>
                <w:sz w:val="21"/>
              </w:rPr>
              <w:t>工</w:t>
            </w:r>
          </w:p>
        </w:tc>
        <w:tc>
          <w:tcPr>
            <w:tcW w:w="3436" w:type="dxa"/>
          </w:tcPr>
          <w:p>
            <w:pPr>
              <w:pStyle w:val="TableParagraph"/>
              <w:spacing w:before="57"/>
              <w:ind w:left="10"/>
              <w:rPr>
                <w:rFonts w:ascii="Times New Roman"/>
                <w:sz w:val="21"/>
              </w:rPr>
            </w:pPr>
            <w:r>
              <w:rPr>
                <w:rFonts w:ascii="Times New Roman"/>
                <w:sz w:val="21"/>
              </w:rPr>
              <w:t>3.05</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7"/>
              <w:ind w:left="125" w:right="95"/>
              <w:rPr>
                <w:rFonts w:ascii="Times New Roman"/>
                <w:sz w:val="21"/>
              </w:rPr>
            </w:pPr>
            <w:r>
              <w:rPr>
                <w:rFonts w:ascii="Times New Roman"/>
                <w:sz w:val="21"/>
              </w:rPr>
              <w:t>16</w:t>
            </w:r>
          </w:p>
        </w:tc>
        <w:tc>
          <w:tcPr>
            <w:tcW w:w="2609" w:type="dxa"/>
          </w:tcPr>
          <w:p>
            <w:pPr>
              <w:pStyle w:val="TableParagraph"/>
              <w:spacing w:before="43"/>
              <w:ind w:left="106"/>
              <w:jc w:val="left"/>
              <w:rPr>
                <w:sz w:val="21"/>
              </w:rPr>
            </w:pPr>
            <w:r>
              <w:rPr>
                <w:sz w:val="21"/>
              </w:rPr>
              <w:t>项目投资</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3"/>
              <w:ind w:left="106"/>
              <w:jc w:val="left"/>
              <w:rPr>
                <w:sz w:val="21"/>
              </w:rPr>
            </w:pPr>
            <w:r>
              <w:rPr>
                <w:sz w:val="21"/>
              </w:rPr>
              <w:t>建设投资</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11358.62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2"/>
              <w:ind w:left="106"/>
              <w:jc w:val="left"/>
              <w:rPr>
                <w:sz w:val="21"/>
              </w:rPr>
            </w:pPr>
            <w:r>
              <w:rPr>
                <w:sz w:val="21"/>
              </w:rPr>
              <w:t>其中：矿建工程</w:t>
            </w:r>
          </w:p>
        </w:tc>
        <w:tc>
          <w:tcPr>
            <w:tcW w:w="1076" w:type="dxa"/>
          </w:tcPr>
          <w:p>
            <w:pPr>
              <w:pStyle w:val="TableParagraph"/>
              <w:spacing w:before="42"/>
              <w:ind w:left="115" w:right="109"/>
              <w:rPr>
                <w:sz w:val="21"/>
              </w:rPr>
            </w:pPr>
            <w:r>
              <w:rPr>
                <w:sz w:val="21"/>
              </w:rPr>
              <w:t>万元</w:t>
            </w:r>
          </w:p>
        </w:tc>
        <w:tc>
          <w:tcPr>
            <w:tcW w:w="3436" w:type="dxa"/>
          </w:tcPr>
          <w:p>
            <w:pPr>
              <w:pStyle w:val="TableParagraph"/>
              <w:spacing w:before="59"/>
              <w:ind w:left="8"/>
              <w:rPr>
                <w:rFonts w:ascii="Times New Roman"/>
                <w:sz w:val="21"/>
              </w:rPr>
            </w:pPr>
            <w:r>
              <w:rPr>
                <w:rFonts w:ascii="Times New Roman"/>
                <w:sz w:val="21"/>
              </w:rPr>
              <w:t>4514.16</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2"/>
              <w:ind w:left="106"/>
              <w:jc w:val="left"/>
              <w:rPr>
                <w:sz w:val="21"/>
              </w:rPr>
            </w:pPr>
            <w:r>
              <w:rPr>
                <w:sz w:val="21"/>
              </w:rPr>
              <w:t>土建工程</w:t>
            </w:r>
          </w:p>
        </w:tc>
        <w:tc>
          <w:tcPr>
            <w:tcW w:w="1076" w:type="dxa"/>
          </w:tcPr>
          <w:p>
            <w:pPr>
              <w:pStyle w:val="TableParagraph"/>
              <w:spacing w:before="42"/>
              <w:ind w:left="115" w:right="109"/>
              <w:rPr>
                <w:sz w:val="21"/>
              </w:rPr>
            </w:pPr>
            <w:r>
              <w:rPr>
                <w:sz w:val="21"/>
              </w:rPr>
              <w:t>万元</w:t>
            </w:r>
          </w:p>
        </w:tc>
        <w:tc>
          <w:tcPr>
            <w:tcW w:w="3436" w:type="dxa"/>
          </w:tcPr>
          <w:p>
            <w:pPr>
              <w:pStyle w:val="TableParagraph"/>
              <w:spacing w:before="58"/>
              <w:ind w:left="8"/>
              <w:rPr>
                <w:rFonts w:ascii="Times New Roman"/>
                <w:sz w:val="21"/>
              </w:rPr>
            </w:pPr>
            <w:r>
              <w:rPr>
                <w:rFonts w:ascii="Times New Roman"/>
                <w:sz w:val="21"/>
              </w:rPr>
              <w:t>307.74</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4"/>
              <w:ind w:left="106"/>
              <w:jc w:val="left"/>
              <w:rPr>
                <w:sz w:val="21"/>
              </w:rPr>
            </w:pPr>
            <w:r>
              <w:rPr>
                <w:sz w:val="21"/>
              </w:rPr>
              <w:t>设备及工器具购置</w:t>
            </w:r>
          </w:p>
        </w:tc>
        <w:tc>
          <w:tcPr>
            <w:tcW w:w="1076" w:type="dxa"/>
          </w:tcPr>
          <w:p>
            <w:pPr>
              <w:pStyle w:val="TableParagraph"/>
              <w:spacing w:before="44"/>
              <w:ind w:left="115" w:right="109"/>
              <w:rPr>
                <w:sz w:val="21"/>
              </w:rPr>
            </w:pPr>
            <w:r>
              <w:rPr>
                <w:sz w:val="21"/>
              </w:rPr>
              <w:t>万元</w:t>
            </w:r>
          </w:p>
        </w:tc>
        <w:tc>
          <w:tcPr>
            <w:tcW w:w="3436" w:type="dxa"/>
          </w:tcPr>
          <w:p>
            <w:pPr>
              <w:pStyle w:val="TableParagraph"/>
              <w:spacing w:before="58"/>
              <w:ind w:left="8"/>
              <w:rPr>
                <w:rFonts w:ascii="Times New Roman"/>
                <w:sz w:val="21"/>
              </w:rPr>
            </w:pPr>
            <w:r>
              <w:rPr>
                <w:rFonts w:ascii="Times New Roman"/>
                <w:sz w:val="21"/>
              </w:rPr>
              <w:t>3077.33</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3"/>
              <w:ind w:left="106"/>
              <w:jc w:val="left"/>
              <w:rPr>
                <w:sz w:val="21"/>
              </w:rPr>
            </w:pPr>
            <w:r>
              <w:rPr>
                <w:sz w:val="21"/>
              </w:rPr>
              <w:t>安装工程</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1470.57</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3"/>
              <w:ind w:left="106"/>
              <w:jc w:val="left"/>
              <w:rPr>
                <w:sz w:val="21"/>
              </w:rPr>
            </w:pPr>
            <w:r>
              <w:rPr>
                <w:sz w:val="21"/>
              </w:rPr>
              <w:t>工程建设其他费用</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830.20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3"/>
              <w:ind w:left="106"/>
              <w:jc w:val="left"/>
              <w:rPr>
                <w:sz w:val="21"/>
              </w:rPr>
            </w:pPr>
            <w:r>
              <w:rPr>
                <w:sz w:val="21"/>
              </w:rPr>
              <w:t>工程预备费</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1020.00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jc w:val="left"/>
              <w:rPr>
                <w:rFonts w:ascii="Times New Roman"/>
                <w:sz w:val="20"/>
              </w:rPr>
            </w:pPr>
          </w:p>
        </w:tc>
        <w:tc>
          <w:tcPr>
            <w:tcW w:w="2609" w:type="dxa"/>
          </w:tcPr>
          <w:p>
            <w:pPr>
              <w:pStyle w:val="TableParagraph"/>
              <w:spacing w:before="42"/>
              <w:ind w:left="106"/>
              <w:jc w:val="left"/>
              <w:rPr>
                <w:sz w:val="21"/>
              </w:rPr>
            </w:pPr>
            <w:r>
              <w:rPr>
                <w:sz w:val="21"/>
              </w:rPr>
              <w:t>铺底流动资金</w:t>
            </w:r>
          </w:p>
        </w:tc>
        <w:tc>
          <w:tcPr>
            <w:tcW w:w="1076" w:type="dxa"/>
          </w:tcPr>
          <w:p>
            <w:pPr>
              <w:pStyle w:val="TableParagraph"/>
              <w:spacing w:before="42"/>
              <w:ind w:left="115" w:right="109"/>
              <w:rPr>
                <w:sz w:val="21"/>
              </w:rPr>
            </w:pPr>
            <w:r>
              <w:rPr>
                <w:sz w:val="21"/>
              </w:rPr>
              <w:t>万元</w:t>
            </w:r>
          </w:p>
        </w:tc>
        <w:tc>
          <w:tcPr>
            <w:tcW w:w="3436" w:type="dxa"/>
          </w:tcPr>
          <w:p>
            <w:pPr>
              <w:pStyle w:val="TableParagraph"/>
              <w:spacing w:before="59"/>
              <w:ind w:left="8"/>
              <w:rPr>
                <w:rFonts w:ascii="Times New Roman"/>
                <w:sz w:val="21"/>
              </w:rPr>
            </w:pPr>
            <w:r>
              <w:rPr>
                <w:rFonts w:ascii="Times New Roman"/>
                <w:sz w:val="21"/>
              </w:rPr>
              <w:t>138.62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2"/>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2"/>
              <w:ind w:left="106"/>
              <w:jc w:val="left"/>
              <w:rPr>
                <w:sz w:val="21"/>
              </w:rPr>
            </w:pPr>
            <w:r>
              <w:rPr>
                <w:sz w:val="21"/>
              </w:rPr>
              <w:t>建设投资贷款利息</w:t>
            </w:r>
          </w:p>
        </w:tc>
        <w:tc>
          <w:tcPr>
            <w:tcW w:w="1076" w:type="dxa"/>
          </w:tcPr>
          <w:p>
            <w:pPr>
              <w:pStyle w:val="TableParagraph"/>
              <w:spacing w:before="42"/>
              <w:ind w:left="115" w:right="109"/>
              <w:rPr>
                <w:sz w:val="21"/>
              </w:rPr>
            </w:pPr>
            <w:r>
              <w:rPr>
                <w:sz w:val="21"/>
              </w:rPr>
              <w:t>万元</w:t>
            </w: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3</w:t>
            </w:r>
            <w:r>
              <w:rPr>
                <w:sz w:val="21"/>
              </w:rPr>
              <w:t>）</w:t>
            </w:r>
          </w:p>
        </w:tc>
        <w:tc>
          <w:tcPr>
            <w:tcW w:w="2609" w:type="dxa"/>
          </w:tcPr>
          <w:p>
            <w:pPr>
              <w:pStyle w:val="TableParagraph"/>
              <w:spacing w:before="44"/>
              <w:ind w:left="106"/>
              <w:jc w:val="left"/>
              <w:rPr>
                <w:sz w:val="21"/>
              </w:rPr>
            </w:pPr>
            <w:r>
              <w:rPr>
                <w:sz w:val="21"/>
              </w:rPr>
              <w:t>建设项目总造价</w:t>
            </w:r>
          </w:p>
        </w:tc>
        <w:tc>
          <w:tcPr>
            <w:tcW w:w="1076" w:type="dxa"/>
          </w:tcPr>
          <w:p>
            <w:pPr>
              <w:pStyle w:val="TableParagraph"/>
              <w:spacing w:before="44"/>
              <w:ind w:left="115" w:right="109"/>
              <w:rPr>
                <w:sz w:val="21"/>
              </w:rPr>
            </w:pPr>
            <w:r>
              <w:rPr>
                <w:sz w:val="21"/>
              </w:rPr>
              <w:t>万元</w:t>
            </w:r>
          </w:p>
        </w:tc>
        <w:tc>
          <w:tcPr>
            <w:tcW w:w="3436" w:type="dxa"/>
          </w:tcPr>
          <w:p>
            <w:pPr>
              <w:pStyle w:val="TableParagraph"/>
              <w:spacing w:before="58"/>
              <w:ind w:left="8"/>
              <w:rPr>
                <w:rFonts w:ascii="Times New Roman"/>
                <w:sz w:val="21"/>
              </w:rPr>
            </w:pPr>
            <w:r>
              <w:rPr>
                <w:rFonts w:ascii="Times New Roman"/>
                <w:sz w:val="21"/>
              </w:rPr>
              <w:t>11358.62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4</w:t>
            </w:r>
            <w:r>
              <w:rPr>
                <w:sz w:val="21"/>
              </w:rPr>
              <w:t>）</w:t>
            </w:r>
          </w:p>
        </w:tc>
        <w:tc>
          <w:tcPr>
            <w:tcW w:w="2609" w:type="dxa"/>
          </w:tcPr>
          <w:p>
            <w:pPr>
              <w:pStyle w:val="TableParagraph"/>
              <w:spacing w:before="43"/>
              <w:ind w:left="106"/>
              <w:jc w:val="left"/>
              <w:rPr>
                <w:sz w:val="21"/>
              </w:rPr>
            </w:pPr>
            <w:r>
              <w:rPr>
                <w:sz w:val="21"/>
              </w:rPr>
              <w:t>铺底流动资金</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138.62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5</w:t>
            </w:r>
            <w:r>
              <w:rPr>
                <w:sz w:val="21"/>
              </w:rPr>
              <w:t>）</w:t>
            </w:r>
          </w:p>
        </w:tc>
        <w:tc>
          <w:tcPr>
            <w:tcW w:w="2609" w:type="dxa"/>
          </w:tcPr>
          <w:p>
            <w:pPr>
              <w:pStyle w:val="TableParagraph"/>
              <w:spacing w:before="43"/>
              <w:ind w:left="106"/>
              <w:jc w:val="left"/>
              <w:rPr>
                <w:sz w:val="21"/>
              </w:rPr>
            </w:pPr>
            <w:r>
              <w:rPr>
                <w:sz w:val="21"/>
              </w:rPr>
              <w:t>建设项目总资金</w:t>
            </w:r>
          </w:p>
        </w:tc>
        <w:tc>
          <w:tcPr>
            <w:tcW w:w="1076" w:type="dxa"/>
          </w:tcPr>
          <w:p>
            <w:pPr>
              <w:pStyle w:val="TableParagraph"/>
              <w:spacing w:before="43"/>
              <w:ind w:left="115" w:right="109"/>
              <w:rPr>
                <w:sz w:val="21"/>
              </w:rPr>
            </w:pPr>
            <w:r>
              <w:rPr>
                <w:sz w:val="21"/>
              </w:rPr>
              <w:t>万元</w:t>
            </w:r>
          </w:p>
        </w:tc>
        <w:tc>
          <w:tcPr>
            <w:tcW w:w="3436" w:type="dxa"/>
          </w:tcPr>
          <w:p>
            <w:pPr>
              <w:pStyle w:val="TableParagraph"/>
              <w:spacing w:before="57"/>
              <w:ind w:left="8"/>
              <w:rPr>
                <w:rFonts w:ascii="Times New Roman"/>
                <w:sz w:val="21"/>
              </w:rPr>
            </w:pPr>
            <w:r>
              <w:rPr>
                <w:rFonts w:ascii="Times New Roman"/>
                <w:sz w:val="21"/>
              </w:rPr>
              <w:t>11220.00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6</w:t>
            </w:r>
            <w:r>
              <w:rPr>
                <w:sz w:val="21"/>
              </w:rPr>
              <w:t>）</w:t>
            </w:r>
          </w:p>
        </w:tc>
        <w:tc>
          <w:tcPr>
            <w:tcW w:w="2609" w:type="dxa"/>
          </w:tcPr>
          <w:p>
            <w:pPr>
              <w:pStyle w:val="TableParagraph"/>
              <w:spacing w:before="43"/>
              <w:ind w:left="106"/>
              <w:jc w:val="left"/>
              <w:rPr>
                <w:sz w:val="21"/>
              </w:rPr>
            </w:pPr>
            <w:r>
              <w:rPr>
                <w:sz w:val="21"/>
              </w:rPr>
              <w:t>吨煤投资</w:t>
            </w:r>
          </w:p>
        </w:tc>
        <w:tc>
          <w:tcPr>
            <w:tcW w:w="1076" w:type="dxa"/>
          </w:tcPr>
          <w:p>
            <w:pPr>
              <w:pStyle w:val="TableParagraph"/>
              <w:spacing w:before="43"/>
              <w:ind w:left="116" w:right="107"/>
              <w:rPr>
                <w:rFonts w:ascii="Times New Roman" w:eastAsia="Times New Roman"/>
                <w:sz w:val="21"/>
              </w:rPr>
            </w:pPr>
            <w:r>
              <w:rPr>
                <w:sz w:val="21"/>
              </w:rPr>
              <w:t>元</w:t>
            </w:r>
            <w:r>
              <w:rPr>
                <w:rFonts w:ascii="Times New Roman" w:eastAsia="Times New Roman"/>
                <w:sz w:val="21"/>
              </w:rPr>
              <w:t>/t</w:t>
            </w:r>
          </w:p>
        </w:tc>
        <w:tc>
          <w:tcPr>
            <w:tcW w:w="3436" w:type="dxa"/>
          </w:tcPr>
          <w:p>
            <w:pPr>
              <w:pStyle w:val="TableParagraph"/>
              <w:spacing w:before="57"/>
              <w:ind w:left="8"/>
              <w:rPr>
                <w:rFonts w:ascii="Times New Roman"/>
                <w:sz w:val="21"/>
              </w:rPr>
            </w:pPr>
            <w:r>
              <w:rPr>
                <w:rFonts w:ascii="Times New Roman"/>
                <w:sz w:val="21"/>
              </w:rPr>
              <w:t>378.62</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9"/>
              <w:ind w:left="125" w:right="95"/>
              <w:rPr>
                <w:rFonts w:ascii="Times New Roman"/>
                <w:sz w:val="21"/>
              </w:rPr>
            </w:pPr>
            <w:r>
              <w:rPr>
                <w:rFonts w:ascii="Times New Roman"/>
                <w:sz w:val="21"/>
              </w:rPr>
              <w:t>17</w:t>
            </w:r>
          </w:p>
        </w:tc>
        <w:tc>
          <w:tcPr>
            <w:tcW w:w="2609" w:type="dxa"/>
          </w:tcPr>
          <w:p>
            <w:pPr>
              <w:pStyle w:val="TableParagraph"/>
              <w:spacing w:before="42"/>
              <w:ind w:left="106"/>
              <w:jc w:val="left"/>
              <w:rPr>
                <w:sz w:val="21"/>
              </w:rPr>
            </w:pPr>
            <w:r>
              <w:rPr>
                <w:sz w:val="21"/>
              </w:rPr>
              <w:t>原煤成本与售价</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2"/>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2"/>
              <w:ind w:left="106"/>
              <w:jc w:val="left"/>
              <w:rPr>
                <w:sz w:val="21"/>
              </w:rPr>
            </w:pPr>
            <w:r>
              <w:rPr>
                <w:sz w:val="21"/>
              </w:rPr>
              <w:t>原煤成本费用</w:t>
            </w:r>
          </w:p>
        </w:tc>
        <w:tc>
          <w:tcPr>
            <w:tcW w:w="1076" w:type="dxa"/>
          </w:tcPr>
          <w:p>
            <w:pPr>
              <w:pStyle w:val="TableParagraph"/>
              <w:spacing w:before="42"/>
              <w:ind w:left="116" w:right="107"/>
              <w:rPr>
                <w:rFonts w:ascii="Times New Roman" w:eastAsia="Times New Roman"/>
                <w:sz w:val="21"/>
              </w:rPr>
            </w:pPr>
            <w:r>
              <w:rPr>
                <w:sz w:val="21"/>
              </w:rPr>
              <w:t>元</w:t>
            </w:r>
            <w:r>
              <w:rPr>
                <w:rFonts w:ascii="Times New Roman" w:eastAsia="Times New Roman"/>
                <w:sz w:val="21"/>
              </w:rPr>
              <w:t>/t</w:t>
            </w:r>
          </w:p>
        </w:tc>
        <w:tc>
          <w:tcPr>
            <w:tcW w:w="3436" w:type="dxa"/>
          </w:tcPr>
          <w:p>
            <w:pPr>
              <w:pStyle w:val="TableParagraph"/>
              <w:spacing w:before="58"/>
              <w:ind w:left="8"/>
              <w:rPr>
                <w:rFonts w:ascii="Times New Roman"/>
                <w:sz w:val="21"/>
              </w:rPr>
            </w:pPr>
            <w:r>
              <w:rPr>
                <w:rFonts w:ascii="Times New Roman"/>
                <w:sz w:val="21"/>
              </w:rPr>
              <w:t>219.97</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4"/>
              <w:ind w:left="143" w:right="95"/>
              <w:rPr>
                <w:sz w:val="21"/>
              </w:rPr>
            </w:pPr>
            <w:r>
              <w:rPr>
                <w:sz w:val="21"/>
              </w:rPr>
              <w:t>（</w:t>
            </w:r>
            <w:r>
              <w:rPr>
                <w:rFonts w:ascii="Times New Roman" w:eastAsia="Times New Roman"/>
                <w:sz w:val="21"/>
              </w:rPr>
              <w:t>2</w:t>
            </w:r>
            <w:r>
              <w:rPr>
                <w:sz w:val="21"/>
              </w:rPr>
              <w:t>）</w:t>
            </w:r>
          </w:p>
        </w:tc>
        <w:tc>
          <w:tcPr>
            <w:tcW w:w="2609" w:type="dxa"/>
          </w:tcPr>
          <w:p>
            <w:pPr>
              <w:pStyle w:val="TableParagraph"/>
              <w:spacing w:before="44"/>
              <w:ind w:left="106"/>
              <w:jc w:val="left"/>
              <w:rPr>
                <w:sz w:val="21"/>
              </w:rPr>
            </w:pPr>
            <w:r>
              <w:rPr>
                <w:sz w:val="21"/>
              </w:rPr>
              <w:t>原煤平均售价</w:t>
            </w:r>
          </w:p>
        </w:tc>
        <w:tc>
          <w:tcPr>
            <w:tcW w:w="1076" w:type="dxa"/>
          </w:tcPr>
          <w:p>
            <w:pPr>
              <w:pStyle w:val="TableParagraph"/>
              <w:spacing w:before="44"/>
              <w:ind w:left="116" w:right="107"/>
              <w:rPr>
                <w:rFonts w:ascii="Times New Roman" w:eastAsia="Times New Roman"/>
                <w:sz w:val="21"/>
              </w:rPr>
            </w:pPr>
            <w:r>
              <w:rPr>
                <w:sz w:val="21"/>
              </w:rPr>
              <w:t>元</w:t>
            </w:r>
            <w:r>
              <w:rPr>
                <w:rFonts w:ascii="Times New Roman" w:eastAsia="Times New Roman"/>
                <w:sz w:val="21"/>
              </w:rPr>
              <w:t>/t</w:t>
            </w:r>
          </w:p>
        </w:tc>
        <w:tc>
          <w:tcPr>
            <w:tcW w:w="3436" w:type="dxa"/>
          </w:tcPr>
          <w:p>
            <w:pPr>
              <w:pStyle w:val="TableParagraph"/>
              <w:spacing w:before="58"/>
              <w:ind w:left="10"/>
              <w:rPr>
                <w:rFonts w:ascii="Times New Roman"/>
                <w:sz w:val="21"/>
              </w:rPr>
            </w:pPr>
            <w:r>
              <w:rPr>
                <w:rFonts w:ascii="Times New Roman"/>
                <w:sz w:val="21"/>
              </w:rPr>
              <w:t>450</w:t>
            </w: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57"/>
              <w:ind w:left="125" w:right="95"/>
              <w:rPr>
                <w:rFonts w:ascii="Times New Roman"/>
                <w:sz w:val="21"/>
              </w:rPr>
            </w:pPr>
            <w:r>
              <w:rPr>
                <w:rFonts w:ascii="Times New Roman"/>
                <w:sz w:val="21"/>
              </w:rPr>
              <w:t>18</w:t>
            </w:r>
          </w:p>
        </w:tc>
        <w:tc>
          <w:tcPr>
            <w:tcW w:w="2609" w:type="dxa"/>
          </w:tcPr>
          <w:p>
            <w:pPr>
              <w:pStyle w:val="TableParagraph"/>
              <w:spacing w:before="44"/>
              <w:ind w:left="106"/>
              <w:jc w:val="left"/>
              <w:rPr>
                <w:sz w:val="21"/>
              </w:rPr>
            </w:pPr>
            <w:r>
              <w:rPr>
                <w:sz w:val="21"/>
              </w:rPr>
              <w:t>项目建设期</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r>
        <w:trPr>
          <w:trHeight w:val="360" w:hRule="atLeast"/>
        </w:trPr>
        <w:tc>
          <w:tcPr>
            <w:tcW w:w="813" w:type="dxa"/>
          </w:tcPr>
          <w:p>
            <w:pPr>
              <w:pStyle w:val="TableParagraph"/>
              <w:spacing w:before="43"/>
              <w:ind w:left="143" w:right="95"/>
              <w:rPr>
                <w:sz w:val="21"/>
              </w:rPr>
            </w:pPr>
            <w:r>
              <w:rPr>
                <w:sz w:val="21"/>
              </w:rPr>
              <w:t>（</w:t>
            </w:r>
            <w:r>
              <w:rPr>
                <w:rFonts w:ascii="Times New Roman" w:eastAsia="Times New Roman"/>
                <w:sz w:val="21"/>
              </w:rPr>
              <w:t>1</w:t>
            </w:r>
            <w:r>
              <w:rPr>
                <w:sz w:val="21"/>
              </w:rPr>
              <w:t>）</w:t>
            </w:r>
          </w:p>
        </w:tc>
        <w:tc>
          <w:tcPr>
            <w:tcW w:w="2609" w:type="dxa"/>
          </w:tcPr>
          <w:p>
            <w:pPr>
              <w:pStyle w:val="TableParagraph"/>
              <w:spacing w:before="43"/>
              <w:ind w:left="106"/>
              <w:jc w:val="left"/>
              <w:rPr>
                <w:sz w:val="21"/>
              </w:rPr>
            </w:pPr>
            <w:r>
              <w:rPr>
                <w:sz w:val="21"/>
              </w:rPr>
              <w:t>建设工期</w:t>
            </w:r>
          </w:p>
        </w:tc>
        <w:tc>
          <w:tcPr>
            <w:tcW w:w="1076" w:type="dxa"/>
          </w:tcPr>
          <w:p>
            <w:pPr>
              <w:pStyle w:val="TableParagraph"/>
              <w:spacing w:before="43"/>
              <w:ind w:left="9"/>
              <w:rPr>
                <w:sz w:val="21"/>
              </w:rPr>
            </w:pPr>
            <w:r>
              <w:rPr>
                <w:w w:val="99"/>
                <w:sz w:val="21"/>
              </w:rPr>
              <w:t>月</w:t>
            </w:r>
          </w:p>
        </w:tc>
        <w:tc>
          <w:tcPr>
            <w:tcW w:w="3436" w:type="dxa"/>
          </w:tcPr>
          <w:p>
            <w:pPr>
              <w:pStyle w:val="TableParagraph"/>
              <w:spacing w:before="57"/>
              <w:ind w:left="10"/>
              <w:rPr>
                <w:rFonts w:ascii="Times New Roman"/>
                <w:sz w:val="21"/>
              </w:rPr>
            </w:pPr>
            <w:r>
              <w:rPr>
                <w:rFonts w:ascii="Times New Roman"/>
                <w:sz w:val="21"/>
              </w:rPr>
              <w:t>20</w:t>
            </w:r>
          </w:p>
        </w:tc>
        <w:tc>
          <w:tcPr>
            <w:tcW w:w="1070" w:type="dxa"/>
          </w:tcPr>
          <w:p>
            <w:pPr>
              <w:pStyle w:val="TableParagraph"/>
              <w:jc w:val="left"/>
              <w:rPr>
                <w:rFonts w:ascii="Times New Roman"/>
                <w:sz w:val="20"/>
              </w:rPr>
            </w:pPr>
          </w:p>
        </w:tc>
      </w:tr>
      <w:tr>
        <w:trPr>
          <w:trHeight w:val="357" w:hRule="atLeast"/>
        </w:trPr>
        <w:tc>
          <w:tcPr>
            <w:tcW w:w="813" w:type="dxa"/>
          </w:tcPr>
          <w:p>
            <w:pPr>
              <w:pStyle w:val="TableParagraph"/>
              <w:spacing w:before="57"/>
              <w:ind w:left="125" w:right="95"/>
              <w:rPr>
                <w:rFonts w:ascii="Times New Roman"/>
                <w:sz w:val="21"/>
              </w:rPr>
            </w:pPr>
            <w:r>
              <w:rPr>
                <w:rFonts w:ascii="Times New Roman"/>
                <w:sz w:val="21"/>
              </w:rPr>
              <w:t>19</w:t>
            </w:r>
          </w:p>
        </w:tc>
        <w:tc>
          <w:tcPr>
            <w:tcW w:w="2609" w:type="dxa"/>
          </w:tcPr>
          <w:p>
            <w:pPr>
              <w:pStyle w:val="TableParagraph"/>
              <w:spacing w:before="43"/>
              <w:ind w:left="106"/>
              <w:jc w:val="left"/>
              <w:rPr>
                <w:sz w:val="21"/>
              </w:rPr>
            </w:pPr>
            <w:r>
              <w:rPr>
                <w:sz w:val="21"/>
              </w:rPr>
              <w:t>财务评价主要指标</w:t>
            </w:r>
          </w:p>
        </w:tc>
        <w:tc>
          <w:tcPr>
            <w:tcW w:w="1076" w:type="dxa"/>
          </w:tcPr>
          <w:p>
            <w:pPr>
              <w:pStyle w:val="TableParagraph"/>
              <w:jc w:val="left"/>
              <w:rPr>
                <w:rFonts w:ascii="Times New Roman"/>
                <w:sz w:val="20"/>
              </w:rPr>
            </w:pPr>
          </w:p>
        </w:tc>
        <w:tc>
          <w:tcPr>
            <w:tcW w:w="3436" w:type="dxa"/>
          </w:tcPr>
          <w:p>
            <w:pPr>
              <w:pStyle w:val="TableParagraph"/>
              <w:jc w:val="left"/>
              <w:rPr>
                <w:rFonts w:ascii="Times New Roman"/>
                <w:sz w:val="20"/>
              </w:rPr>
            </w:pPr>
          </w:p>
        </w:tc>
        <w:tc>
          <w:tcPr>
            <w:tcW w:w="1070" w:type="dxa"/>
          </w:tcPr>
          <w:p>
            <w:pPr>
              <w:pStyle w:val="TableParagraph"/>
              <w:jc w:val="left"/>
              <w:rPr>
                <w:rFonts w:ascii="Times New Roman"/>
                <w:sz w:val="20"/>
              </w:rPr>
            </w:pPr>
          </w:p>
        </w:tc>
      </w:tr>
    </w:tbl>
    <w:p>
      <w:pPr>
        <w:spacing w:after="0"/>
        <w:jc w:val="left"/>
        <w:rPr>
          <w:rFonts w:ascii="Times New Roman"/>
          <w:sz w:val="20"/>
        </w:rPr>
        <w:sectPr>
          <w:pgSz w:w="11910" w:h="16840"/>
          <w:pgMar w:header="0" w:footer="913" w:top="1400" w:bottom="1100" w:left="940" w:right="940"/>
        </w:sectPr>
      </w:pPr>
    </w:p>
    <w:tbl>
      <w:tblPr>
        <w:tblW w:w="0" w:type="auto"/>
        <w:jc w:val="left"/>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2609"/>
        <w:gridCol w:w="1076"/>
        <w:gridCol w:w="3436"/>
        <w:gridCol w:w="1070"/>
      </w:tblGrid>
      <w:tr>
        <w:trPr>
          <w:trHeight w:val="545" w:hRule="atLeast"/>
        </w:trPr>
        <w:tc>
          <w:tcPr>
            <w:tcW w:w="813" w:type="dxa"/>
          </w:tcPr>
          <w:p>
            <w:pPr>
              <w:pStyle w:val="TableParagraph"/>
              <w:spacing w:before="137"/>
              <w:ind w:right="142"/>
              <w:jc w:val="right"/>
              <w:rPr>
                <w:sz w:val="21"/>
              </w:rPr>
            </w:pPr>
            <w:r>
              <w:rPr>
                <w:w w:val="95"/>
                <w:sz w:val="21"/>
              </w:rPr>
              <w:t>（</w:t>
            </w:r>
            <w:r>
              <w:rPr>
                <w:rFonts w:ascii="Times New Roman" w:eastAsia="Times New Roman"/>
                <w:w w:val="95"/>
                <w:sz w:val="21"/>
              </w:rPr>
              <w:t>1</w:t>
            </w:r>
            <w:r>
              <w:rPr>
                <w:w w:val="95"/>
                <w:sz w:val="21"/>
              </w:rPr>
              <w:t>）</w:t>
            </w:r>
          </w:p>
        </w:tc>
        <w:tc>
          <w:tcPr>
            <w:tcW w:w="2609" w:type="dxa"/>
          </w:tcPr>
          <w:p>
            <w:pPr>
              <w:pStyle w:val="TableParagraph"/>
              <w:ind w:left="106"/>
              <w:jc w:val="left"/>
              <w:rPr>
                <w:sz w:val="21"/>
              </w:rPr>
            </w:pPr>
            <w:r>
              <w:rPr>
                <w:sz w:val="21"/>
              </w:rPr>
              <w:t>项目投资财务内部收益率</w:t>
            </w:r>
          </w:p>
          <w:p>
            <w:pPr>
              <w:pStyle w:val="TableParagraph"/>
              <w:spacing w:line="251" w:lineRule="exact" w:before="4"/>
              <w:ind w:left="106"/>
              <w:jc w:val="left"/>
              <w:rPr>
                <w:sz w:val="21"/>
              </w:rPr>
            </w:pPr>
            <w:r>
              <w:rPr>
                <w:sz w:val="21"/>
              </w:rPr>
              <w:t>（所得税前）</w:t>
            </w:r>
          </w:p>
        </w:tc>
        <w:tc>
          <w:tcPr>
            <w:tcW w:w="1076" w:type="dxa"/>
          </w:tcPr>
          <w:p>
            <w:pPr>
              <w:pStyle w:val="TableParagraph"/>
              <w:spacing w:before="150"/>
              <w:ind w:left="8"/>
              <w:rPr>
                <w:rFonts w:ascii="Times New Roman"/>
                <w:sz w:val="21"/>
              </w:rPr>
            </w:pPr>
            <w:r>
              <w:rPr>
                <w:rFonts w:ascii="Times New Roman"/>
                <w:w w:val="99"/>
                <w:sz w:val="21"/>
              </w:rPr>
              <w:t>%</w:t>
            </w:r>
          </w:p>
        </w:tc>
        <w:tc>
          <w:tcPr>
            <w:tcW w:w="3436" w:type="dxa"/>
          </w:tcPr>
          <w:p>
            <w:pPr>
              <w:pStyle w:val="TableParagraph"/>
              <w:spacing w:before="150"/>
              <w:ind w:left="10"/>
              <w:rPr>
                <w:rFonts w:ascii="Times New Roman"/>
                <w:sz w:val="21"/>
              </w:rPr>
            </w:pPr>
            <w:r>
              <w:rPr>
                <w:rFonts w:ascii="Times New Roman"/>
                <w:sz w:val="21"/>
              </w:rPr>
              <w:t>50.34</w:t>
            </w:r>
          </w:p>
        </w:tc>
        <w:tc>
          <w:tcPr>
            <w:tcW w:w="1070" w:type="dxa"/>
          </w:tcPr>
          <w:p>
            <w:pPr>
              <w:pStyle w:val="TableParagraph"/>
              <w:jc w:val="left"/>
              <w:rPr>
                <w:rFonts w:ascii="Times New Roman"/>
                <w:sz w:val="22"/>
              </w:rPr>
            </w:pPr>
          </w:p>
        </w:tc>
      </w:tr>
      <w:tr>
        <w:trPr>
          <w:trHeight w:val="544" w:hRule="atLeast"/>
        </w:trPr>
        <w:tc>
          <w:tcPr>
            <w:tcW w:w="813" w:type="dxa"/>
          </w:tcPr>
          <w:p>
            <w:pPr>
              <w:pStyle w:val="TableParagraph"/>
              <w:spacing w:before="136"/>
              <w:ind w:right="142"/>
              <w:jc w:val="right"/>
              <w:rPr>
                <w:sz w:val="21"/>
              </w:rPr>
            </w:pPr>
            <w:r>
              <w:rPr>
                <w:w w:val="95"/>
                <w:sz w:val="21"/>
              </w:rPr>
              <w:t>（</w:t>
            </w:r>
            <w:r>
              <w:rPr>
                <w:rFonts w:ascii="Times New Roman" w:eastAsia="Times New Roman"/>
                <w:w w:val="95"/>
                <w:sz w:val="21"/>
              </w:rPr>
              <w:t>2</w:t>
            </w:r>
            <w:r>
              <w:rPr>
                <w:w w:val="95"/>
                <w:sz w:val="21"/>
              </w:rPr>
              <w:t>）</w:t>
            </w:r>
          </w:p>
        </w:tc>
        <w:tc>
          <w:tcPr>
            <w:tcW w:w="2609" w:type="dxa"/>
          </w:tcPr>
          <w:p>
            <w:pPr>
              <w:pStyle w:val="TableParagraph"/>
              <w:spacing w:line="268" w:lineRule="exact"/>
              <w:ind w:left="106"/>
              <w:jc w:val="left"/>
              <w:rPr>
                <w:sz w:val="21"/>
              </w:rPr>
            </w:pPr>
            <w:r>
              <w:rPr>
                <w:sz w:val="21"/>
              </w:rPr>
              <w:t>项目投资财务内部收益率</w:t>
            </w:r>
          </w:p>
          <w:p>
            <w:pPr>
              <w:pStyle w:val="TableParagraph"/>
              <w:spacing w:line="251" w:lineRule="exact" w:before="4"/>
              <w:ind w:left="106"/>
              <w:jc w:val="left"/>
              <w:rPr>
                <w:sz w:val="21"/>
              </w:rPr>
            </w:pPr>
            <w:r>
              <w:rPr>
                <w:sz w:val="21"/>
              </w:rPr>
              <w:t>（所得税后）</w:t>
            </w:r>
          </w:p>
        </w:tc>
        <w:tc>
          <w:tcPr>
            <w:tcW w:w="1076" w:type="dxa"/>
          </w:tcPr>
          <w:p>
            <w:pPr>
              <w:pStyle w:val="TableParagraph"/>
              <w:spacing w:before="150"/>
              <w:ind w:left="8"/>
              <w:rPr>
                <w:rFonts w:ascii="Times New Roman"/>
                <w:sz w:val="21"/>
              </w:rPr>
            </w:pPr>
            <w:r>
              <w:rPr>
                <w:rFonts w:ascii="Times New Roman"/>
                <w:w w:val="99"/>
                <w:sz w:val="21"/>
              </w:rPr>
              <w:t>%</w:t>
            </w:r>
          </w:p>
        </w:tc>
        <w:tc>
          <w:tcPr>
            <w:tcW w:w="3436" w:type="dxa"/>
          </w:tcPr>
          <w:p>
            <w:pPr>
              <w:pStyle w:val="TableParagraph"/>
              <w:spacing w:before="150"/>
              <w:ind w:left="10"/>
              <w:rPr>
                <w:rFonts w:ascii="Times New Roman"/>
                <w:sz w:val="21"/>
              </w:rPr>
            </w:pPr>
            <w:r>
              <w:rPr>
                <w:rFonts w:ascii="Times New Roman"/>
                <w:sz w:val="21"/>
              </w:rPr>
              <w:t>40.44</w:t>
            </w:r>
          </w:p>
        </w:tc>
        <w:tc>
          <w:tcPr>
            <w:tcW w:w="1070" w:type="dxa"/>
          </w:tcPr>
          <w:p>
            <w:pPr>
              <w:pStyle w:val="TableParagraph"/>
              <w:jc w:val="left"/>
              <w:rPr>
                <w:rFonts w:ascii="Times New Roman"/>
                <w:sz w:val="22"/>
              </w:rPr>
            </w:pPr>
          </w:p>
        </w:tc>
      </w:tr>
      <w:tr>
        <w:trPr>
          <w:trHeight w:val="545" w:hRule="atLeast"/>
        </w:trPr>
        <w:tc>
          <w:tcPr>
            <w:tcW w:w="813" w:type="dxa"/>
          </w:tcPr>
          <w:p>
            <w:pPr>
              <w:pStyle w:val="TableParagraph"/>
              <w:spacing w:before="136"/>
              <w:ind w:right="142"/>
              <w:jc w:val="right"/>
              <w:rPr>
                <w:sz w:val="21"/>
              </w:rPr>
            </w:pPr>
            <w:r>
              <w:rPr>
                <w:w w:val="95"/>
                <w:sz w:val="21"/>
              </w:rPr>
              <w:t>（</w:t>
            </w:r>
            <w:r>
              <w:rPr>
                <w:rFonts w:ascii="Times New Roman" w:eastAsia="Times New Roman"/>
                <w:w w:val="95"/>
                <w:sz w:val="21"/>
              </w:rPr>
              <w:t>3</w:t>
            </w:r>
            <w:r>
              <w:rPr>
                <w:w w:val="95"/>
                <w:sz w:val="21"/>
              </w:rPr>
              <w:t>）</w:t>
            </w:r>
          </w:p>
        </w:tc>
        <w:tc>
          <w:tcPr>
            <w:tcW w:w="2609" w:type="dxa"/>
          </w:tcPr>
          <w:p>
            <w:pPr>
              <w:pStyle w:val="TableParagraph"/>
              <w:spacing w:before="2"/>
              <w:ind w:left="106"/>
              <w:jc w:val="left"/>
              <w:rPr>
                <w:sz w:val="21"/>
              </w:rPr>
            </w:pPr>
            <w:r>
              <w:rPr>
                <w:sz w:val="21"/>
              </w:rPr>
              <w:t>项目投资财务净现值</w:t>
            </w:r>
          </w:p>
          <w:p>
            <w:pPr>
              <w:pStyle w:val="TableParagraph"/>
              <w:spacing w:line="252" w:lineRule="exact" w:before="2"/>
              <w:ind w:left="106"/>
              <w:jc w:val="left"/>
              <w:rPr>
                <w:sz w:val="21"/>
              </w:rPr>
            </w:pPr>
            <w:r>
              <w:rPr>
                <w:sz w:val="21"/>
              </w:rPr>
              <w:t>（所得税前）</w:t>
            </w:r>
          </w:p>
        </w:tc>
        <w:tc>
          <w:tcPr>
            <w:tcW w:w="1076" w:type="dxa"/>
          </w:tcPr>
          <w:p>
            <w:pPr>
              <w:pStyle w:val="TableParagraph"/>
              <w:spacing w:before="150"/>
              <w:ind w:left="8"/>
              <w:rPr>
                <w:rFonts w:ascii="Times New Roman"/>
                <w:sz w:val="21"/>
              </w:rPr>
            </w:pPr>
            <w:r>
              <w:rPr>
                <w:rFonts w:ascii="Times New Roman"/>
                <w:w w:val="99"/>
                <w:sz w:val="21"/>
              </w:rPr>
              <w:t>%</w:t>
            </w:r>
          </w:p>
        </w:tc>
        <w:tc>
          <w:tcPr>
            <w:tcW w:w="3436" w:type="dxa"/>
          </w:tcPr>
          <w:p>
            <w:pPr>
              <w:pStyle w:val="TableParagraph"/>
              <w:spacing w:before="150"/>
              <w:ind w:left="10"/>
              <w:rPr>
                <w:rFonts w:ascii="Times New Roman"/>
                <w:sz w:val="21"/>
              </w:rPr>
            </w:pPr>
            <w:r>
              <w:rPr>
                <w:rFonts w:ascii="Times New Roman"/>
                <w:sz w:val="21"/>
              </w:rPr>
              <w:t>37114.96</w:t>
            </w:r>
          </w:p>
        </w:tc>
        <w:tc>
          <w:tcPr>
            <w:tcW w:w="1070" w:type="dxa"/>
          </w:tcPr>
          <w:p>
            <w:pPr>
              <w:pStyle w:val="TableParagraph"/>
              <w:jc w:val="left"/>
              <w:rPr>
                <w:rFonts w:ascii="Times New Roman"/>
                <w:sz w:val="22"/>
              </w:rPr>
            </w:pPr>
          </w:p>
        </w:tc>
      </w:tr>
      <w:tr>
        <w:trPr>
          <w:trHeight w:val="545" w:hRule="atLeast"/>
        </w:trPr>
        <w:tc>
          <w:tcPr>
            <w:tcW w:w="813" w:type="dxa"/>
          </w:tcPr>
          <w:p>
            <w:pPr>
              <w:pStyle w:val="TableParagraph"/>
              <w:spacing w:before="136"/>
              <w:ind w:right="142"/>
              <w:jc w:val="right"/>
              <w:rPr>
                <w:sz w:val="21"/>
              </w:rPr>
            </w:pPr>
            <w:r>
              <w:rPr>
                <w:w w:val="95"/>
                <w:sz w:val="21"/>
              </w:rPr>
              <w:t>（</w:t>
            </w:r>
            <w:r>
              <w:rPr>
                <w:rFonts w:ascii="Times New Roman" w:eastAsia="Times New Roman"/>
                <w:w w:val="95"/>
                <w:sz w:val="21"/>
              </w:rPr>
              <w:t>4</w:t>
            </w:r>
            <w:r>
              <w:rPr>
                <w:w w:val="95"/>
                <w:sz w:val="21"/>
              </w:rPr>
              <w:t>）</w:t>
            </w:r>
          </w:p>
        </w:tc>
        <w:tc>
          <w:tcPr>
            <w:tcW w:w="2609" w:type="dxa"/>
          </w:tcPr>
          <w:p>
            <w:pPr>
              <w:pStyle w:val="TableParagraph"/>
              <w:spacing w:before="1"/>
              <w:ind w:left="106"/>
              <w:jc w:val="left"/>
              <w:rPr>
                <w:sz w:val="21"/>
              </w:rPr>
            </w:pPr>
            <w:r>
              <w:rPr>
                <w:sz w:val="21"/>
              </w:rPr>
              <w:t>项目投资财务净现值</w:t>
            </w:r>
          </w:p>
          <w:p>
            <w:pPr>
              <w:pStyle w:val="TableParagraph"/>
              <w:spacing w:line="252" w:lineRule="exact" w:before="2"/>
              <w:ind w:left="106"/>
              <w:jc w:val="left"/>
              <w:rPr>
                <w:sz w:val="21"/>
              </w:rPr>
            </w:pPr>
            <w:r>
              <w:rPr>
                <w:sz w:val="21"/>
              </w:rPr>
              <w:t>（所得税后）</w:t>
            </w:r>
          </w:p>
        </w:tc>
        <w:tc>
          <w:tcPr>
            <w:tcW w:w="1076" w:type="dxa"/>
          </w:tcPr>
          <w:p>
            <w:pPr>
              <w:pStyle w:val="TableParagraph"/>
              <w:spacing w:before="150"/>
              <w:ind w:left="8"/>
              <w:rPr>
                <w:rFonts w:ascii="Times New Roman"/>
                <w:sz w:val="21"/>
              </w:rPr>
            </w:pPr>
            <w:r>
              <w:rPr>
                <w:rFonts w:ascii="Times New Roman"/>
                <w:w w:val="99"/>
                <w:sz w:val="21"/>
              </w:rPr>
              <w:t>%</w:t>
            </w:r>
          </w:p>
        </w:tc>
        <w:tc>
          <w:tcPr>
            <w:tcW w:w="3436" w:type="dxa"/>
          </w:tcPr>
          <w:p>
            <w:pPr>
              <w:pStyle w:val="TableParagraph"/>
              <w:spacing w:before="150"/>
              <w:ind w:left="8"/>
              <w:rPr>
                <w:rFonts w:ascii="Times New Roman"/>
                <w:sz w:val="21"/>
              </w:rPr>
            </w:pPr>
            <w:r>
              <w:rPr>
                <w:rFonts w:ascii="Times New Roman"/>
                <w:sz w:val="21"/>
              </w:rPr>
              <w:t>32625.45</w:t>
            </w:r>
          </w:p>
        </w:tc>
        <w:tc>
          <w:tcPr>
            <w:tcW w:w="1070" w:type="dxa"/>
          </w:tcPr>
          <w:p>
            <w:pPr>
              <w:pStyle w:val="TableParagraph"/>
              <w:jc w:val="left"/>
              <w:rPr>
                <w:rFonts w:ascii="Times New Roman"/>
                <w:sz w:val="22"/>
              </w:rPr>
            </w:pPr>
          </w:p>
        </w:tc>
      </w:tr>
      <w:tr>
        <w:trPr>
          <w:trHeight w:val="360" w:hRule="atLeast"/>
        </w:trPr>
        <w:tc>
          <w:tcPr>
            <w:tcW w:w="813" w:type="dxa"/>
          </w:tcPr>
          <w:p>
            <w:pPr>
              <w:pStyle w:val="TableParagraph"/>
              <w:spacing w:before="44"/>
              <w:ind w:right="142"/>
              <w:jc w:val="right"/>
              <w:rPr>
                <w:sz w:val="21"/>
              </w:rPr>
            </w:pPr>
            <w:r>
              <w:rPr>
                <w:w w:val="95"/>
                <w:sz w:val="21"/>
              </w:rPr>
              <w:t>（</w:t>
            </w:r>
            <w:r>
              <w:rPr>
                <w:rFonts w:ascii="Times New Roman" w:eastAsia="Times New Roman"/>
                <w:w w:val="95"/>
                <w:sz w:val="21"/>
              </w:rPr>
              <w:t>5</w:t>
            </w:r>
            <w:r>
              <w:rPr>
                <w:w w:val="95"/>
                <w:sz w:val="21"/>
              </w:rPr>
              <w:t>）</w:t>
            </w:r>
          </w:p>
        </w:tc>
        <w:tc>
          <w:tcPr>
            <w:tcW w:w="2609" w:type="dxa"/>
          </w:tcPr>
          <w:p>
            <w:pPr>
              <w:pStyle w:val="TableParagraph"/>
              <w:spacing w:before="44"/>
              <w:ind w:left="106"/>
              <w:jc w:val="left"/>
              <w:rPr>
                <w:sz w:val="21"/>
              </w:rPr>
            </w:pPr>
            <w:r>
              <w:rPr>
                <w:sz w:val="21"/>
              </w:rPr>
              <w:t>投资回收期</w:t>
            </w:r>
          </w:p>
        </w:tc>
        <w:tc>
          <w:tcPr>
            <w:tcW w:w="1076" w:type="dxa"/>
          </w:tcPr>
          <w:p>
            <w:pPr>
              <w:pStyle w:val="TableParagraph"/>
              <w:spacing w:before="58"/>
              <w:ind w:left="8"/>
              <w:rPr>
                <w:rFonts w:ascii="Times New Roman"/>
                <w:sz w:val="21"/>
              </w:rPr>
            </w:pPr>
            <w:r>
              <w:rPr>
                <w:rFonts w:ascii="Times New Roman"/>
                <w:w w:val="99"/>
                <w:sz w:val="21"/>
              </w:rPr>
              <w:t>a</w:t>
            </w:r>
          </w:p>
        </w:tc>
        <w:tc>
          <w:tcPr>
            <w:tcW w:w="3436" w:type="dxa"/>
          </w:tcPr>
          <w:p>
            <w:pPr>
              <w:pStyle w:val="TableParagraph"/>
              <w:spacing w:before="58"/>
              <w:ind w:left="10"/>
              <w:rPr>
                <w:rFonts w:ascii="Times New Roman"/>
                <w:sz w:val="21"/>
              </w:rPr>
            </w:pPr>
            <w:r>
              <w:rPr>
                <w:rFonts w:ascii="Times New Roman"/>
                <w:sz w:val="21"/>
              </w:rPr>
              <w:t>4.2</w:t>
            </w:r>
          </w:p>
        </w:tc>
        <w:tc>
          <w:tcPr>
            <w:tcW w:w="1070" w:type="dxa"/>
          </w:tcPr>
          <w:p>
            <w:pPr>
              <w:pStyle w:val="TableParagraph"/>
              <w:jc w:val="left"/>
              <w:rPr>
                <w:rFonts w:ascii="Times New Roman"/>
                <w:sz w:val="22"/>
              </w:rPr>
            </w:pPr>
          </w:p>
        </w:tc>
      </w:tr>
    </w:tbl>
    <w:p>
      <w:pPr>
        <w:pStyle w:val="BodyText"/>
        <w:spacing w:before="2"/>
        <w:rPr>
          <w:b/>
          <w:sz w:val="23"/>
        </w:rPr>
      </w:pPr>
    </w:p>
    <w:p>
      <w:pPr>
        <w:pStyle w:val="Heading2"/>
        <w:numPr>
          <w:ilvl w:val="1"/>
          <w:numId w:val="20"/>
        </w:numPr>
        <w:tabs>
          <w:tab w:pos="1004" w:val="left" w:leader="none"/>
        </w:tabs>
        <w:spacing w:line="240" w:lineRule="auto" w:before="67" w:after="0"/>
        <w:ind w:left="1004" w:right="0" w:hanging="526"/>
        <w:jc w:val="left"/>
      </w:pPr>
      <w:bookmarkStart w:name="3.3 工程分析" w:id="96"/>
      <w:bookmarkEnd w:id="96"/>
      <w:r>
        <w:rPr>
          <w:b w:val="0"/>
        </w:rPr>
      </w:r>
      <w:bookmarkStart w:name="_bookmark16" w:id="97"/>
      <w:bookmarkEnd w:id="97"/>
      <w:r>
        <w:rPr>
          <w:b w:val="0"/>
        </w:rPr>
      </w:r>
      <w:bookmarkStart w:name="_bookmark16" w:id="98"/>
      <w:bookmarkEnd w:id="98"/>
      <w:r>
        <w:rPr/>
        <w:t>工程分析</w:t>
      </w:r>
    </w:p>
    <w:p>
      <w:pPr>
        <w:pStyle w:val="ListParagraph"/>
        <w:numPr>
          <w:ilvl w:val="2"/>
          <w:numId w:val="20"/>
        </w:numPr>
        <w:tabs>
          <w:tab w:pos="1108" w:val="left" w:leader="none"/>
        </w:tabs>
        <w:spacing w:line="240" w:lineRule="auto" w:before="200" w:after="0"/>
        <w:ind w:left="1107" w:right="0" w:hanging="630"/>
        <w:jc w:val="left"/>
        <w:rPr>
          <w:b/>
          <w:sz w:val="28"/>
        </w:rPr>
      </w:pPr>
      <w:bookmarkStart w:name="3.3.1原有工程污染情况" w:id="99"/>
      <w:bookmarkEnd w:id="99"/>
      <w:r>
        <w:rPr/>
      </w:r>
      <w:bookmarkStart w:name="3.3.1原有工程污染情况" w:id="100"/>
      <w:bookmarkEnd w:id="100"/>
      <w:r>
        <w:rPr>
          <w:b/>
          <w:sz w:val="28"/>
        </w:rPr>
        <w:t>原有工程污染情况</w:t>
      </w:r>
    </w:p>
    <w:p>
      <w:pPr>
        <w:spacing w:before="185"/>
        <w:ind w:left="958" w:right="0" w:firstLine="0"/>
        <w:jc w:val="left"/>
        <w:rPr>
          <w:b/>
          <w:sz w:val="24"/>
        </w:rPr>
      </w:pPr>
      <w:r>
        <w:rPr>
          <w:rFonts w:ascii="Times New Roman" w:eastAsia="Times New Roman"/>
          <w:b/>
          <w:sz w:val="24"/>
        </w:rPr>
        <w:t>1</w:t>
      </w:r>
      <w:r>
        <w:rPr>
          <w:b/>
          <w:sz w:val="24"/>
        </w:rPr>
        <w:t>、环境空气污染分析及源强</w:t>
      </w:r>
    </w:p>
    <w:p>
      <w:pPr>
        <w:pStyle w:val="ListParagraph"/>
        <w:numPr>
          <w:ilvl w:val="3"/>
          <w:numId w:val="20"/>
        </w:numPr>
        <w:tabs>
          <w:tab w:pos="1560" w:val="left" w:leader="none"/>
        </w:tabs>
        <w:spacing w:line="240" w:lineRule="auto" w:before="155" w:after="0"/>
        <w:ind w:left="1559" w:right="0" w:hanging="602"/>
        <w:jc w:val="left"/>
        <w:rPr>
          <w:rFonts w:ascii="Times New Roman" w:eastAsia="Times New Roman"/>
          <w:sz w:val="24"/>
        </w:rPr>
      </w:pPr>
      <w:r>
        <w:rPr>
          <w:spacing w:val="-10"/>
          <w:position w:val="2"/>
          <w:sz w:val="24"/>
        </w:rPr>
        <w:t>锅炉烟尘与 </w:t>
      </w:r>
      <w:r>
        <w:rPr>
          <w:rFonts w:ascii="Times New Roman" w:eastAsia="Times New Roman"/>
          <w:position w:val="2"/>
          <w:sz w:val="24"/>
        </w:rPr>
        <w:t>SO</w:t>
      </w:r>
      <w:r>
        <w:rPr>
          <w:rFonts w:ascii="Times New Roman" w:eastAsia="Times New Roman"/>
          <w:position w:val="2"/>
          <w:sz w:val="24"/>
          <w:vertAlign w:val="subscript"/>
        </w:rPr>
        <w:t>2</w:t>
      </w:r>
    </w:p>
    <w:p>
      <w:pPr>
        <w:pStyle w:val="BodyText"/>
        <w:spacing w:line="364" w:lineRule="auto" w:before="156"/>
        <w:ind w:left="478" w:right="471" w:firstLine="480"/>
        <w:jc w:val="both"/>
      </w:pPr>
      <w:r>
        <w:rPr>
          <w:spacing w:val="-4"/>
          <w:position w:val="2"/>
        </w:rPr>
        <w:t>锅炉运行产生的污染物为烟尘、</w:t>
      </w:r>
      <w:r>
        <w:rPr>
          <w:rFonts w:ascii="Times New Roman" w:hAnsi="Times New Roman" w:eastAsia="Times New Roman"/>
          <w:position w:val="2"/>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w:t>
      </w:r>
      <w:r>
        <w:rPr>
          <w:spacing w:val="-30"/>
          <w:position w:val="2"/>
          <w:vertAlign w:val="baseline"/>
        </w:rPr>
        <w:t>与 </w:t>
      </w:r>
      <w:r>
        <w:rPr>
          <w:rFonts w:ascii="Times New Roman" w:hAnsi="Times New Roman" w:eastAsia="Times New Roman"/>
          <w:position w:val="2"/>
          <w:vertAlign w:val="baseline"/>
        </w:rPr>
        <w:t>NOx </w:t>
      </w:r>
      <w:r>
        <w:rPr>
          <w:spacing w:val="-10"/>
          <w:position w:val="2"/>
          <w:vertAlign w:val="baseline"/>
        </w:rPr>
        <w:t>等，为非稳态有组织排放。原双鸭山市</w:t>
      </w:r>
      <w:r>
        <w:rPr>
          <w:vertAlign w:val="baseline"/>
        </w:rPr>
        <w:t>东盛矿业集团有限公司锅炉使用情况为：</w:t>
      </w:r>
      <w:r>
        <w:rPr>
          <w:rFonts w:ascii="Times New Roman" w:hAnsi="Times New Roman" w:eastAsia="Times New Roman"/>
          <w:vertAlign w:val="baseline"/>
        </w:rPr>
        <w:t>1 </w:t>
      </w:r>
      <w:r>
        <w:rPr>
          <w:spacing w:val="-23"/>
          <w:vertAlign w:val="baseline"/>
        </w:rPr>
        <w:t>台 </w:t>
      </w:r>
      <w:r>
        <w:rPr>
          <w:rFonts w:ascii="Times New Roman" w:hAnsi="Times New Roman" w:eastAsia="Times New Roman"/>
          <w:vertAlign w:val="baseline"/>
        </w:rPr>
        <w:t>DZL0.7-95/70-A</w:t>
      </w:r>
      <w:r>
        <w:rPr>
          <w:vertAlign w:val="baseline"/>
        </w:rPr>
        <w:t>Ⅲ型锅炉</w:t>
      </w:r>
      <w:r>
        <w:rPr>
          <w:spacing w:val="4"/>
          <w:vertAlign w:val="baseline"/>
        </w:rPr>
        <w:t>（</w:t>
      </w:r>
      <w:r>
        <w:rPr>
          <w:spacing w:val="1"/>
          <w:vertAlign w:val="baseline"/>
        </w:rPr>
        <w:t>冬季用</w:t>
      </w:r>
      <w:r>
        <w:rPr>
          <w:spacing w:val="2"/>
          <w:vertAlign w:val="baseline"/>
        </w:rPr>
        <w:t>），</w:t>
      </w:r>
      <w:r>
        <w:rPr>
          <w:rFonts w:ascii="Times New Roman" w:hAnsi="Times New Roman" w:eastAsia="Times New Roman"/>
          <w:spacing w:val="2"/>
          <w:vertAlign w:val="baseline"/>
        </w:rPr>
        <w:t>1 </w:t>
      </w:r>
      <w:r>
        <w:rPr>
          <w:spacing w:val="-33"/>
          <w:vertAlign w:val="baseline"/>
        </w:rPr>
        <w:t>台 </w:t>
      </w:r>
      <w:r>
        <w:rPr>
          <w:rFonts w:ascii="Times New Roman" w:hAnsi="Times New Roman" w:eastAsia="Times New Roman"/>
          <w:vertAlign w:val="baseline"/>
        </w:rPr>
        <w:t>DZL0.35-95/70-A</w:t>
      </w:r>
      <w:r>
        <w:rPr>
          <w:spacing w:val="-2"/>
          <w:vertAlign w:val="baseline"/>
        </w:rPr>
        <w:t>Ⅲ型锅炉</w:t>
      </w:r>
      <w:r>
        <w:rPr>
          <w:vertAlign w:val="baseline"/>
        </w:rPr>
        <w:t>（夏季用</w:t>
      </w:r>
      <w:r>
        <w:rPr>
          <w:spacing w:val="-7"/>
          <w:vertAlign w:val="baseline"/>
        </w:rPr>
        <w:t>）</w:t>
      </w:r>
      <w:r>
        <w:rPr>
          <w:spacing w:val="-12"/>
          <w:vertAlign w:val="baseline"/>
        </w:rPr>
        <w:t>，烟囱高度为 </w:t>
      </w:r>
      <w:r>
        <w:rPr>
          <w:rFonts w:ascii="Times New Roman" w:hAnsi="Times New Roman" w:eastAsia="Times New Roman"/>
          <w:vertAlign w:val="baseline"/>
        </w:rPr>
        <w:t>25m</w:t>
      </w:r>
      <w:r>
        <w:rPr>
          <w:spacing w:val="-13"/>
          <w:vertAlign w:val="baseline"/>
        </w:rPr>
        <w:t>，内径为 </w:t>
      </w:r>
      <w:r>
        <w:rPr>
          <w:rFonts w:ascii="Times New Roman" w:hAnsi="Times New Roman" w:eastAsia="Times New Roman"/>
          <w:vertAlign w:val="baseline"/>
        </w:rPr>
        <w:t>0.8m</w:t>
      </w:r>
      <w:r>
        <w:rPr>
          <w:spacing w:val="-2"/>
          <w:vertAlign w:val="baseline"/>
        </w:rPr>
        <w:t>，配套多管除</w:t>
      </w:r>
      <w:r>
        <w:rPr>
          <w:vertAlign w:val="baseline"/>
        </w:rPr>
        <w:t>尘器；</w:t>
      </w:r>
      <w:r>
        <w:rPr>
          <w:rFonts w:ascii="Times New Roman" w:hAnsi="Times New Roman" w:eastAsia="Times New Roman"/>
          <w:vertAlign w:val="baseline"/>
        </w:rPr>
        <w:t>1 </w:t>
      </w:r>
      <w:r>
        <w:rPr>
          <w:spacing w:val="-26"/>
          <w:vertAlign w:val="baseline"/>
        </w:rPr>
        <w:t>台 </w:t>
      </w:r>
      <w:r>
        <w:rPr>
          <w:rFonts w:ascii="Times New Roman" w:hAnsi="Times New Roman" w:eastAsia="Times New Roman"/>
          <w:vertAlign w:val="baseline"/>
        </w:rPr>
        <w:t>WRFZ2.1 </w:t>
      </w:r>
      <w:r>
        <w:rPr>
          <w:spacing w:val="-3"/>
          <w:vertAlign w:val="baseline"/>
        </w:rPr>
        <w:t>型热风炉，配套多管除尘器，烟囱高度到 </w:t>
      </w:r>
      <w:r>
        <w:rPr>
          <w:rFonts w:ascii="Times New Roman" w:hAnsi="Times New Roman" w:eastAsia="Times New Roman"/>
          <w:vertAlign w:val="baseline"/>
        </w:rPr>
        <w:t>30m</w:t>
      </w:r>
      <w:r>
        <w:rPr>
          <w:spacing w:val="-11"/>
          <w:vertAlign w:val="baseline"/>
        </w:rPr>
        <w:t>，内径为 </w:t>
      </w:r>
      <w:r>
        <w:rPr>
          <w:rFonts w:ascii="Times New Roman" w:hAnsi="Times New Roman" w:eastAsia="Times New Roman"/>
          <w:vertAlign w:val="baseline"/>
        </w:rPr>
        <w:t>0.8m</w:t>
      </w:r>
      <w:r>
        <w:rPr>
          <w:vertAlign w:val="baseline"/>
        </w:rPr>
        <w:t>。除</w:t>
      </w:r>
      <w:r>
        <w:rPr>
          <w:spacing w:val="-12"/>
          <w:vertAlign w:val="baseline"/>
        </w:rPr>
        <w:t>尘效率 </w:t>
      </w:r>
      <w:r>
        <w:rPr>
          <w:rFonts w:ascii="Times New Roman" w:hAnsi="Times New Roman" w:eastAsia="Times New Roman"/>
          <w:vertAlign w:val="baseline"/>
        </w:rPr>
        <w:t>92%</w:t>
      </w:r>
      <w:r>
        <w:rPr>
          <w:spacing w:val="-4"/>
          <w:vertAlign w:val="baseline"/>
        </w:rPr>
        <w:t>。燃用本矿生产的原煤，灰分 </w:t>
      </w:r>
      <w:r>
        <w:rPr>
          <w:rFonts w:ascii="Times New Roman" w:hAnsi="Times New Roman" w:eastAsia="Times New Roman"/>
          <w:vertAlign w:val="baseline"/>
        </w:rPr>
        <w:t>21.90%</w:t>
      </w:r>
      <w:r>
        <w:rPr>
          <w:spacing w:val="-10"/>
          <w:vertAlign w:val="baseline"/>
        </w:rPr>
        <w:t>，全硫为 </w:t>
      </w:r>
      <w:r>
        <w:rPr>
          <w:rFonts w:ascii="Times New Roman" w:hAnsi="Times New Roman" w:eastAsia="Times New Roman"/>
          <w:vertAlign w:val="baseline"/>
        </w:rPr>
        <w:t>0.34%</w:t>
      </w:r>
      <w:r>
        <w:rPr>
          <w:spacing w:val="-8"/>
          <w:vertAlign w:val="baseline"/>
        </w:rPr>
        <w:t>；燃煤量为 </w:t>
      </w:r>
      <w:r>
        <w:rPr>
          <w:rFonts w:ascii="Times New Roman" w:hAnsi="Times New Roman" w:eastAsia="Times New Roman"/>
          <w:vertAlign w:val="baseline"/>
        </w:rPr>
        <w:t>1080t/a</w:t>
      </w:r>
      <w:r>
        <w:rPr>
          <w:vertAlign w:val="baseline"/>
        </w:rPr>
        <w:t>。</w:t>
      </w:r>
      <w:r>
        <w:rPr>
          <w:spacing w:val="-2"/>
          <w:vertAlign w:val="baseline"/>
        </w:rPr>
        <w:t>锅炉无脱硫除尘设施，锅炉排放烟气不能达标。锅炉正常运转时设备指标见表 </w:t>
      </w:r>
      <w:r>
        <w:rPr>
          <w:rFonts w:ascii="Times New Roman" w:hAnsi="Times New Roman" w:eastAsia="Times New Roman"/>
          <w:vertAlign w:val="baseline"/>
        </w:rPr>
        <w:t>3.3-1</w:t>
      </w:r>
      <w:r>
        <w:rPr>
          <w:vertAlign w:val="baseline"/>
        </w:rPr>
        <w:t>。</w:t>
      </w:r>
    </w:p>
    <w:p>
      <w:pPr>
        <w:pStyle w:val="Heading4"/>
        <w:spacing w:line="303" w:lineRule="exact" w:after="3"/>
        <w:ind w:left="3413"/>
        <w:jc w:val="both"/>
      </w:pPr>
      <w:r>
        <w:rPr/>
        <w:t>表 </w:t>
      </w:r>
      <w:r>
        <w:rPr>
          <w:rFonts w:ascii="Times New Roman" w:eastAsia="Times New Roman"/>
        </w:rPr>
        <w:t>3.3-1  </w:t>
      </w:r>
      <w:r>
        <w:rPr/>
        <w:t>锅炉正常运转时设备指标</w:t>
      </w:r>
    </w:p>
    <w:tbl>
      <w:tblPr>
        <w:tblW w:w="0" w:type="auto"/>
        <w:jc w:val="left"/>
        <w:tblInd w:w="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3"/>
        <w:gridCol w:w="809"/>
        <w:gridCol w:w="1182"/>
        <w:gridCol w:w="816"/>
        <w:gridCol w:w="1012"/>
        <w:gridCol w:w="852"/>
        <w:gridCol w:w="898"/>
        <w:gridCol w:w="811"/>
        <w:gridCol w:w="897"/>
      </w:tblGrid>
      <w:tr>
        <w:trPr>
          <w:trHeight w:val="428" w:hRule="atLeast"/>
        </w:trPr>
        <w:tc>
          <w:tcPr>
            <w:tcW w:w="1483" w:type="dxa"/>
            <w:vMerge w:val="restart"/>
          </w:tcPr>
          <w:p>
            <w:pPr>
              <w:pStyle w:val="TableParagraph"/>
              <w:jc w:val="left"/>
              <w:rPr>
                <w:b/>
                <w:sz w:val="20"/>
              </w:rPr>
            </w:pPr>
          </w:p>
          <w:p>
            <w:pPr>
              <w:pStyle w:val="TableParagraph"/>
              <w:jc w:val="left"/>
              <w:rPr>
                <w:b/>
                <w:sz w:val="20"/>
              </w:rPr>
            </w:pPr>
          </w:p>
          <w:p>
            <w:pPr>
              <w:pStyle w:val="TableParagraph"/>
              <w:jc w:val="left"/>
              <w:rPr>
                <w:b/>
                <w:sz w:val="17"/>
              </w:rPr>
            </w:pPr>
          </w:p>
          <w:p>
            <w:pPr>
              <w:pStyle w:val="TableParagraph"/>
              <w:ind w:left="425"/>
              <w:jc w:val="left"/>
              <w:rPr>
                <w:sz w:val="21"/>
              </w:rPr>
            </w:pPr>
            <w:r>
              <w:rPr>
                <w:sz w:val="21"/>
              </w:rPr>
              <w:t>污染源</w:t>
            </w:r>
          </w:p>
        </w:tc>
        <w:tc>
          <w:tcPr>
            <w:tcW w:w="1991" w:type="dxa"/>
            <w:gridSpan w:val="2"/>
            <w:vMerge w:val="restart"/>
          </w:tcPr>
          <w:p>
            <w:pPr>
              <w:pStyle w:val="TableParagraph"/>
              <w:jc w:val="left"/>
              <w:rPr>
                <w:b/>
                <w:sz w:val="20"/>
              </w:rPr>
            </w:pPr>
          </w:p>
          <w:p>
            <w:pPr>
              <w:pStyle w:val="TableParagraph"/>
              <w:jc w:val="left"/>
              <w:rPr>
                <w:b/>
                <w:sz w:val="20"/>
              </w:rPr>
            </w:pPr>
          </w:p>
          <w:p>
            <w:pPr>
              <w:pStyle w:val="TableParagraph"/>
              <w:jc w:val="left"/>
              <w:rPr>
                <w:b/>
                <w:sz w:val="17"/>
              </w:rPr>
            </w:pPr>
          </w:p>
          <w:p>
            <w:pPr>
              <w:pStyle w:val="TableParagraph"/>
              <w:ind w:left="574"/>
              <w:jc w:val="left"/>
              <w:rPr>
                <w:sz w:val="21"/>
              </w:rPr>
            </w:pPr>
            <w:r>
              <w:rPr>
                <w:sz w:val="21"/>
              </w:rPr>
              <w:t>排放特征</w:t>
            </w:r>
          </w:p>
        </w:tc>
        <w:tc>
          <w:tcPr>
            <w:tcW w:w="5286" w:type="dxa"/>
            <w:gridSpan w:val="6"/>
          </w:tcPr>
          <w:p>
            <w:pPr>
              <w:pStyle w:val="TableParagraph"/>
              <w:spacing w:before="77"/>
              <w:ind w:left="2201" w:right="1770"/>
              <w:rPr>
                <w:sz w:val="21"/>
              </w:rPr>
            </w:pPr>
            <w:r>
              <w:rPr>
                <w:sz w:val="21"/>
              </w:rPr>
              <w:t>排放量（</w:t>
            </w:r>
            <w:r>
              <w:rPr>
                <w:rFonts w:ascii="Times New Roman" w:eastAsia="Times New Roman"/>
                <w:sz w:val="21"/>
              </w:rPr>
              <w:t>t/a</w:t>
            </w:r>
            <w:r>
              <w:rPr>
                <w:sz w:val="21"/>
              </w:rPr>
              <w:t>）</w:t>
            </w:r>
          </w:p>
        </w:tc>
      </w:tr>
      <w:tr>
        <w:trPr>
          <w:trHeight w:val="541" w:hRule="atLeast"/>
        </w:trPr>
        <w:tc>
          <w:tcPr>
            <w:tcW w:w="1483" w:type="dxa"/>
            <w:vMerge/>
            <w:tcBorders>
              <w:top w:val="nil"/>
            </w:tcBorders>
          </w:tcPr>
          <w:p>
            <w:pPr>
              <w:rPr>
                <w:sz w:val="2"/>
                <w:szCs w:val="2"/>
              </w:rPr>
            </w:pPr>
          </w:p>
        </w:tc>
        <w:tc>
          <w:tcPr>
            <w:tcW w:w="1991" w:type="dxa"/>
            <w:gridSpan w:val="2"/>
            <w:vMerge/>
            <w:tcBorders>
              <w:top w:val="nil"/>
            </w:tcBorders>
          </w:tcPr>
          <w:p>
            <w:pPr>
              <w:rPr>
                <w:sz w:val="2"/>
                <w:szCs w:val="2"/>
              </w:rPr>
            </w:pPr>
          </w:p>
        </w:tc>
        <w:tc>
          <w:tcPr>
            <w:tcW w:w="1828" w:type="dxa"/>
            <w:gridSpan w:val="2"/>
          </w:tcPr>
          <w:p>
            <w:pPr>
              <w:pStyle w:val="TableParagraph"/>
              <w:spacing w:before="1"/>
              <w:jc w:val="left"/>
              <w:rPr>
                <w:b/>
                <w:sz w:val="16"/>
              </w:rPr>
            </w:pPr>
          </w:p>
          <w:p>
            <w:pPr>
              <w:pStyle w:val="TableParagraph"/>
              <w:ind w:left="955"/>
              <w:jc w:val="left"/>
              <w:rPr>
                <w:rFonts w:ascii="Times New Roman"/>
                <w:sz w:val="21"/>
              </w:rPr>
            </w:pPr>
            <w:r>
              <w:rPr>
                <w:rFonts w:ascii="Times New Roman"/>
                <w:position w:val="2"/>
                <w:sz w:val="21"/>
              </w:rPr>
              <w:t>SO</w:t>
            </w:r>
            <w:r>
              <w:rPr>
                <w:rFonts w:ascii="Times New Roman"/>
                <w:position w:val="2"/>
                <w:sz w:val="21"/>
                <w:vertAlign w:val="subscript"/>
              </w:rPr>
              <w:t>2</w:t>
            </w:r>
          </w:p>
        </w:tc>
        <w:tc>
          <w:tcPr>
            <w:tcW w:w="1750" w:type="dxa"/>
            <w:gridSpan w:val="2"/>
          </w:tcPr>
          <w:p>
            <w:pPr>
              <w:pStyle w:val="TableParagraph"/>
              <w:spacing w:before="135"/>
              <w:ind w:left="437"/>
              <w:jc w:val="left"/>
              <w:rPr>
                <w:sz w:val="21"/>
              </w:rPr>
            </w:pPr>
            <w:r>
              <w:rPr>
                <w:sz w:val="21"/>
              </w:rPr>
              <w:t>烟（粉）尘</w:t>
            </w:r>
          </w:p>
        </w:tc>
        <w:tc>
          <w:tcPr>
            <w:tcW w:w="1708" w:type="dxa"/>
            <w:gridSpan w:val="2"/>
          </w:tcPr>
          <w:p>
            <w:pPr>
              <w:pStyle w:val="TableParagraph"/>
              <w:spacing w:before="149"/>
              <w:ind w:left="737"/>
              <w:jc w:val="left"/>
              <w:rPr>
                <w:rFonts w:ascii="Times New Roman"/>
                <w:sz w:val="21"/>
              </w:rPr>
            </w:pPr>
            <w:r>
              <w:rPr>
                <w:rFonts w:ascii="Times New Roman"/>
                <w:sz w:val="21"/>
              </w:rPr>
              <w:t>NOx</w:t>
            </w:r>
          </w:p>
        </w:tc>
      </w:tr>
      <w:tr>
        <w:trPr>
          <w:trHeight w:val="732" w:hRule="atLeast"/>
        </w:trPr>
        <w:tc>
          <w:tcPr>
            <w:tcW w:w="1483" w:type="dxa"/>
            <w:vMerge/>
            <w:tcBorders>
              <w:top w:val="nil"/>
            </w:tcBorders>
          </w:tcPr>
          <w:p>
            <w:pPr>
              <w:rPr>
                <w:sz w:val="2"/>
                <w:szCs w:val="2"/>
              </w:rPr>
            </w:pPr>
          </w:p>
        </w:tc>
        <w:tc>
          <w:tcPr>
            <w:tcW w:w="1991" w:type="dxa"/>
            <w:gridSpan w:val="2"/>
            <w:vMerge/>
            <w:tcBorders>
              <w:top w:val="nil"/>
            </w:tcBorders>
          </w:tcPr>
          <w:p>
            <w:pPr>
              <w:rPr>
                <w:sz w:val="2"/>
                <w:szCs w:val="2"/>
              </w:rPr>
            </w:pPr>
          </w:p>
        </w:tc>
        <w:tc>
          <w:tcPr>
            <w:tcW w:w="816" w:type="dxa"/>
          </w:tcPr>
          <w:p>
            <w:pPr>
              <w:pStyle w:val="TableParagraph"/>
              <w:spacing w:before="109"/>
              <w:ind w:left="196"/>
              <w:jc w:val="left"/>
              <w:rPr>
                <w:sz w:val="21"/>
              </w:rPr>
            </w:pPr>
            <w:r>
              <w:rPr>
                <w:sz w:val="21"/>
              </w:rPr>
              <w:t>浓度</w:t>
            </w:r>
          </w:p>
          <w:p>
            <w:pPr>
              <w:pStyle w:val="TableParagraph"/>
              <w:spacing w:before="2"/>
              <w:ind w:left="129"/>
              <w:jc w:val="left"/>
              <w:rPr>
                <w:rFonts w:ascii="Times New Roman"/>
                <w:sz w:val="13"/>
              </w:rPr>
            </w:pPr>
            <w:r>
              <w:rPr>
                <w:rFonts w:ascii="Times New Roman"/>
                <w:sz w:val="21"/>
              </w:rPr>
              <w:t>mg/m</w:t>
            </w:r>
            <w:r>
              <w:rPr>
                <w:rFonts w:ascii="Times New Roman"/>
                <w:position w:val="7"/>
                <w:sz w:val="13"/>
              </w:rPr>
              <w:t>3</w:t>
            </w:r>
          </w:p>
        </w:tc>
        <w:tc>
          <w:tcPr>
            <w:tcW w:w="1012" w:type="dxa"/>
          </w:tcPr>
          <w:p>
            <w:pPr>
              <w:pStyle w:val="TableParagraph"/>
              <w:spacing w:before="95"/>
              <w:ind w:left="189"/>
              <w:jc w:val="left"/>
              <w:rPr>
                <w:sz w:val="21"/>
              </w:rPr>
            </w:pPr>
            <w:r>
              <w:rPr>
                <w:w w:val="95"/>
                <w:sz w:val="21"/>
              </w:rPr>
              <w:t>排放量</w:t>
            </w:r>
          </w:p>
          <w:p>
            <w:pPr>
              <w:pStyle w:val="TableParagraph"/>
              <w:spacing w:before="2"/>
              <w:ind w:left="189"/>
              <w:jc w:val="left"/>
              <w:rPr>
                <w:sz w:val="21"/>
              </w:rPr>
            </w:pPr>
            <w:r>
              <w:rPr>
                <w:sz w:val="21"/>
              </w:rPr>
              <w:t>（</w:t>
            </w:r>
            <w:r>
              <w:rPr>
                <w:rFonts w:ascii="Times New Roman" w:eastAsia="Times New Roman"/>
                <w:sz w:val="21"/>
              </w:rPr>
              <w:t>t/a</w:t>
            </w:r>
            <w:r>
              <w:rPr>
                <w:sz w:val="21"/>
              </w:rPr>
              <w:t>）</w:t>
            </w:r>
          </w:p>
        </w:tc>
        <w:tc>
          <w:tcPr>
            <w:tcW w:w="852" w:type="dxa"/>
          </w:tcPr>
          <w:p>
            <w:pPr>
              <w:pStyle w:val="TableParagraph"/>
              <w:spacing w:before="109"/>
              <w:ind w:left="216"/>
              <w:jc w:val="left"/>
              <w:rPr>
                <w:sz w:val="21"/>
              </w:rPr>
            </w:pPr>
            <w:r>
              <w:rPr>
                <w:sz w:val="21"/>
              </w:rPr>
              <w:t>浓度</w:t>
            </w:r>
          </w:p>
          <w:p>
            <w:pPr>
              <w:pStyle w:val="TableParagraph"/>
              <w:spacing w:before="2"/>
              <w:ind w:left="147"/>
              <w:jc w:val="left"/>
              <w:rPr>
                <w:rFonts w:ascii="Times New Roman"/>
                <w:sz w:val="13"/>
              </w:rPr>
            </w:pPr>
            <w:r>
              <w:rPr>
                <w:rFonts w:ascii="Times New Roman"/>
                <w:sz w:val="21"/>
              </w:rPr>
              <w:t>mg/m</w:t>
            </w:r>
            <w:r>
              <w:rPr>
                <w:rFonts w:ascii="Times New Roman"/>
                <w:position w:val="7"/>
                <w:sz w:val="13"/>
              </w:rPr>
              <w:t>3</w:t>
            </w:r>
          </w:p>
        </w:tc>
        <w:tc>
          <w:tcPr>
            <w:tcW w:w="898" w:type="dxa"/>
          </w:tcPr>
          <w:p>
            <w:pPr>
              <w:pStyle w:val="TableParagraph"/>
              <w:spacing w:before="95"/>
              <w:ind w:left="132"/>
              <w:jc w:val="left"/>
              <w:rPr>
                <w:sz w:val="21"/>
              </w:rPr>
            </w:pPr>
            <w:r>
              <w:rPr>
                <w:w w:val="95"/>
                <w:sz w:val="21"/>
              </w:rPr>
              <w:t>排放量</w:t>
            </w:r>
          </w:p>
          <w:p>
            <w:pPr>
              <w:pStyle w:val="TableParagraph"/>
              <w:spacing w:before="2"/>
              <w:ind w:left="132"/>
              <w:jc w:val="left"/>
              <w:rPr>
                <w:sz w:val="21"/>
              </w:rPr>
            </w:pPr>
            <w:r>
              <w:rPr>
                <w:sz w:val="21"/>
              </w:rPr>
              <w:t>（</w:t>
            </w:r>
            <w:r>
              <w:rPr>
                <w:rFonts w:ascii="Times New Roman" w:eastAsia="Times New Roman"/>
                <w:sz w:val="21"/>
              </w:rPr>
              <w:t>t/a</w:t>
            </w:r>
            <w:r>
              <w:rPr>
                <w:sz w:val="21"/>
              </w:rPr>
              <w:t>）</w:t>
            </w:r>
          </w:p>
        </w:tc>
        <w:tc>
          <w:tcPr>
            <w:tcW w:w="811" w:type="dxa"/>
          </w:tcPr>
          <w:p>
            <w:pPr>
              <w:pStyle w:val="TableParagraph"/>
              <w:spacing w:before="109"/>
              <w:ind w:left="194"/>
              <w:jc w:val="left"/>
              <w:rPr>
                <w:sz w:val="21"/>
              </w:rPr>
            </w:pPr>
            <w:r>
              <w:rPr>
                <w:sz w:val="21"/>
              </w:rPr>
              <w:t>浓度</w:t>
            </w:r>
          </w:p>
          <w:p>
            <w:pPr>
              <w:pStyle w:val="TableParagraph"/>
              <w:spacing w:before="2"/>
              <w:ind w:left="127"/>
              <w:jc w:val="left"/>
              <w:rPr>
                <w:rFonts w:ascii="Times New Roman"/>
                <w:sz w:val="13"/>
              </w:rPr>
            </w:pPr>
            <w:r>
              <w:rPr>
                <w:rFonts w:ascii="Times New Roman"/>
                <w:sz w:val="21"/>
              </w:rPr>
              <w:t>mg/m</w:t>
            </w:r>
            <w:r>
              <w:rPr>
                <w:rFonts w:ascii="Times New Roman"/>
                <w:position w:val="7"/>
                <w:sz w:val="13"/>
              </w:rPr>
              <w:t>3</w:t>
            </w:r>
          </w:p>
        </w:tc>
        <w:tc>
          <w:tcPr>
            <w:tcW w:w="897" w:type="dxa"/>
          </w:tcPr>
          <w:p>
            <w:pPr>
              <w:pStyle w:val="TableParagraph"/>
              <w:spacing w:before="95"/>
              <w:ind w:left="132"/>
              <w:jc w:val="left"/>
              <w:rPr>
                <w:sz w:val="21"/>
              </w:rPr>
            </w:pPr>
            <w:r>
              <w:rPr>
                <w:w w:val="95"/>
                <w:sz w:val="21"/>
              </w:rPr>
              <w:t>排放量</w:t>
            </w:r>
          </w:p>
          <w:p>
            <w:pPr>
              <w:pStyle w:val="TableParagraph"/>
              <w:spacing w:before="2"/>
              <w:ind w:left="132"/>
              <w:jc w:val="left"/>
              <w:rPr>
                <w:sz w:val="21"/>
              </w:rPr>
            </w:pPr>
            <w:r>
              <w:rPr>
                <w:sz w:val="21"/>
              </w:rPr>
              <w:t>（</w:t>
            </w:r>
            <w:r>
              <w:rPr>
                <w:rFonts w:ascii="Times New Roman" w:eastAsia="Times New Roman"/>
                <w:sz w:val="21"/>
              </w:rPr>
              <w:t>t/a</w:t>
            </w:r>
            <w:r>
              <w:rPr>
                <w:sz w:val="21"/>
              </w:rPr>
              <w:t>）</w:t>
            </w:r>
          </w:p>
        </w:tc>
      </w:tr>
      <w:tr>
        <w:trPr>
          <w:trHeight w:val="547" w:hRule="atLeast"/>
        </w:trPr>
        <w:tc>
          <w:tcPr>
            <w:tcW w:w="1483" w:type="dxa"/>
          </w:tcPr>
          <w:p>
            <w:pPr>
              <w:pStyle w:val="TableParagraph"/>
              <w:spacing w:before="137"/>
              <w:ind w:left="111"/>
              <w:jc w:val="left"/>
              <w:rPr>
                <w:sz w:val="21"/>
              </w:rPr>
            </w:pPr>
            <w:r>
              <w:rPr>
                <w:sz w:val="21"/>
              </w:rPr>
              <w:t>锅炉、热风炉</w:t>
            </w:r>
          </w:p>
        </w:tc>
        <w:tc>
          <w:tcPr>
            <w:tcW w:w="809" w:type="dxa"/>
          </w:tcPr>
          <w:p>
            <w:pPr>
              <w:pStyle w:val="TableParagraph"/>
              <w:spacing w:before="137"/>
              <w:ind w:left="193"/>
              <w:jc w:val="left"/>
              <w:rPr>
                <w:sz w:val="21"/>
              </w:rPr>
            </w:pPr>
            <w:r>
              <w:rPr>
                <w:sz w:val="21"/>
              </w:rPr>
              <w:t>点源</w:t>
            </w:r>
          </w:p>
        </w:tc>
        <w:tc>
          <w:tcPr>
            <w:tcW w:w="1182" w:type="dxa"/>
          </w:tcPr>
          <w:p>
            <w:pPr>
              <w:pStyle w:val="TableParagraph"/>
              <w:spacing w:before="17"/>
              <w:ind w:left="274"/>
              <w:jc w:val="left"/>
              <w:rPr>
                <w:sz w:val="21"/>
              </w:rPr>
            </w:pPr>
            <w:r>
              <w:rPr>
                <w:w w:val="95"/>
                <w:sz w:val="21"/>
              </w:rPr>
              <w:t>耗煤量</w:t>
            </w:r>
          </w:p>
          <w:p>
            <w:pPr>
              <w:pStyle w:val="TableParagraph"/>
              <w:spacing w:line="239" w:lineRule="exact" w:before="1"/>
              <w:ind w:left="274"/>
              <w:jc w:val="left"/>
              <w:rPr>
                <w:rFonts w:ascii="Times New Roman"/>
                <w:sz w:val="21"/>
              </w:rPr>
            </w:pPr>
            <w:r>
              <w:rPr>
                <w:rFonts w:ascii="Times New Roman"/>
                <w:sz w:val="21"/>
              </w:rPr>
              <w:t>1080t/a</w:t>
            </w:r>
          </w:p>
        </w:tc>
        <w:tc>
          <w:tcPr>
            <w:tcW w:w="816" w:type="dxa"/>
          </w:tcPr>
          <w:p>
            <w:pPr>
              <w:pStyle w:val="TableParagraph"/>
              <w:spacing w:before="151"/>
              <w:ind w:left="280"/>
              <w:jc w:val="left"/>
              <w:rPr>
                <w:rFonts w:ascii="Times New Roman"/>
                <w:sz w:val="21"/>
              </w:rPr>
            </w:pPr>
            <w:r>
              <w:rPr>
                <w:rFonts w:ascii="Times New Roman"/>
                <w:sz w:val="21"/>
              </w:rPr>
              <w:t>619</w:t>
            </w:r>
          </w:p>
        </w:tc>
        <w:tc>
          <w:tcPr>
            <w:tcW w:w="1012" w:type="dxa"/>
          </w:tcPr>
          <w:p>
            <w:pPr>
              <w:pStyle w:val="TableParagraph"/>
              <w:spacing w:before="151"/>
              <w:ind w:left="280"/>
              <w:jc w:val="left"/>
              <w:rPr>
                <w:rFonts w:ascii="Times New Roman"/>
                <w:sz w:val="21"/>
              </w:rPr>
            </w:pPr>
            <w:r>
              <w:rPr>
                <w:rFonts w:ascii="Times New Roman"/>
                <w:sz w:val="21"/>
              </w:rPr>
              <w:t>5.88</w:t>
            </w:r>
          </w:p>
        </w:tc>
        <w:tc>
          <w:tcPr>
            <w:tcW w:w="852" w:type="dxa"/>
          </w:tcPr>
          <w:p>
            <w:pPr>
              <w:pStyle w:val="TableParagraph"/>
              <w:spacing w:before="151"/>
              <w:ind w:left="281"/>
              <w:jc w:val="left"/>
              <w:rPr>
                <w:rFonts w:ascii="Times New Roman"/>
                <w:sz w:val="21"/>
              </w:rPr>
            </w:pPr>
            <w:r>
              <w:rPr>
                <w:rFonts w:ascii="Times New Roman"/>
                <w:sz w:val="21"/>
              </w:rPr>
              <w:t>160</w:t>
            </w:r>
          </w:p>
        </w:tc>
        <w:tc>
          <w:tcPr>
            <w:tcW w:w="898" w:type="dxa"/>
          </w:tcPr>
          <w:p>
            <w:pPr>
              <w:pStyle w:val="TableParagraph"/>
              <w:spacing w:before="151"/>
              <w:ind w:left="281"/>
              <w:jc w:val="left"/>
              <w:rPr>
                <w:rFonts w:ascii="Times New Roman"/>
                <w:sz w:val="21"/>
              </w:rPr>
            </w:pPr>
            <w:r>
              <w:rPr>
                <w:rFonts w:ascii="Times New Roman"/>
                <w:sz w:val="21"/>
              </w:rPr>
              <w:t>1.52</w:t>
            </w:r>
          </w:p>
        </w:tc>
        <w:tc>
          <w:tcPr>
            <w:tcW w:w="811" w:type="dxa"/>
          </w:tcPr>
          <w:p>
            <w:pPr>
              <w:pStyle w:val="TableParagraph"/>
              <w:spacing w:before="151"/>
              <w:ind w:left="281"/>
              <w:jc w:val="left"/>
              <w:rPr>
                <w:rFonts w:ascii="Times New Roman"/>
                <w:sz w:val="21"/>
              </w:rPr>
            </w:pPr>
            <w:r>
              <w:rPr>
                <w:rFonts w:ascii="Times New Roman"/>
                <w:sz w:val="21"/>
              </w:rPr>
              <w:t>334</w:t>
            </w:r>
          </w:p>
        </w:tc>
        <w:tc>
          <w:tcPr>
            <w:tcW w:w="897" w:type="dxa"/>
          </w:tcPr>
          <w:p>
            <w:pPr>
              <w:pStyle w:val="TableParagraph"/>
              <w:spacing w:before="151"/>
              <w:ind w:left="281"/>
              <w:jc w:val="left"/>
              <w:rPr>
                <w:rFonts w:ascii="Times New Roman"/>
                <w:sz w:val="21"/>
              </w:rPr>
            </w:pPr>
            <w:r>
              <w:rPr>
                <w:rFonts w:ascii="Times New Roman"/>
                <w:sz w:val="21"/>
              </w:rPr>
              <w:t>3.18</w:t>
            </w:r>
          </w:p>
        </w:tc>
      </w:tr>
    </w:tbl>
    <w:p>
      <w:pPr>
        <w:pStyle w:val="ListParagraph"/>
        <w:numPr>
          <w:ilvl w:val="3"/>
          <w:numId w:val="20"/>
        </w:numPr>
        <w:tabs>
          <w:tab w:pos="1560" w:val="left" w:leader="none"/>
        </w:tabs>
        <w:spacing w:line="240" w:lineRule="auto" w:before="1" w:after="0"/>
        <w:ind w:left="1559" w:right="0" w:hanging="602"/>
        <w:jc w:val="left"/>
        <w:rPr>
          <w:sz w:val="24"/>
        </w:rPr>
      </w:pPr>
      <w:r>
        <w:rPr>
          <w:sz w:val="24"/>
        </w:rPr>
        <w:t>粉尘</w:t>
      </w:r>
    </w:p>
    <w:p>
      <w:pPr>
        <w:pStyle w:val="BodyText"/>
        <w:spacing w:line="362" w:lineRule="auto" w:before="160"/>
        <w:ind w:left="478" w:right="414" w:firstLine="480"/>
      </w:pPr>
      <w:r>
        <w:rPr/>
        <w:t>原有工程粉尘污染源主要为原煤物料、煤炭运输过程中产生的扬尘，为随机性无组织排放，对周围环境空气有一定影响。</w:t>
      </w:r>
    </w:p>
    <w:p>
      <w:pPr>
        <w:pStyle w:val="Heading4"/>
        <w:spacing w:before="5"/>
        <w:ind w:left="958"/>
      </w:pPr>
      <w:r>
        <w:rPr>
          <w:rFonts w:ascii="Times New Roman" w:eastAsia="Times New Roman"/>
        </w:rPr>
        <w:t>2</w:t>
      </w:r>
      <w:r>
        <w:rPr/>
        <w:t>、水污染分析及源强</w:t>
      </w:r>
    </w:p>
    <w:p>
      <w:pPr>
        <w:pStyle w:val="BodyText"/>
        <w:spacing w:line="364" w:lineRule="auto" w:before="158"/>
        <w:ind w:left="478" w:right="430" w:firstLine="480"/>
        <w:jc w:val="both"/>
      </w:pPr>
      <w:r>
        <w:rPr>
          <w:spacing w:val="-3"/>
        </w:rPr>
        <w:t>该矿改扩建前矿井涌水产生量为 </w:t>
      </w:r>
      <w:r>
        <w:rPr>
          <w:rFonts w:ascii="Times New Roman" w:eastAsia="Times New Roman"/>
        </w:rPr>
        <w:t>360m</w:t>
      </w:r>
      <w:r>
        <w:rPr>
          <w:rFonts w:ascii="Times New Roman" w:eastAsia="Times New Roman"/>
          <w:position w:val="8"/>
          <w:sz w:val="15"/>
        </w:rPr>
        <w:t>3</w:t>
      </w:r>
      <w:r>
        <w:rPr>
          <w:rFonts w:ascii="Times New Roman" w:eastAsia="Times New Roman"/>
        </w:rPr>
        <w:t>/d</w:t>
      </w:r>
      <w:r>
        <w:rPr/>
        <w:t>，部分外排，部分用于井下降尘；生活污</w:t>
      </w:r>
      <w:r>
        <w:rPr>
          <w:spacing w:val="-9"/>
        </w:rPr>
        <w:t>水排放量约为 </w:t>
      </w:r>
      <w:r>
        <w:rPr>
          <w:rFonts w:ascii="Times New Roman" w:eastAsia="Times New Roman"/>
          <w:spacing w:val="-4"/>
        </w:rPr>
        <w:t>67m</w:t>
      </w:r>
      <w:r>
        <w:rPr>
          <w:rFonts w:ascii="Times New Roman" w:eastAsia="Times New Roman"/>
          <w:spacing w:val="-4"/>
          <w:position w:val="8"/>
          <w:sz w:val="15"/>
        </w:rPr>
        <w:t>3</w:t>
      </w:r>
      <w:r>
        <w:rPr>
          <w:rFonts w:ascii="Times New Roman" w:eastAsia="Times New Roman"/>
          <w:spacing w:val="-4"/>
        </w:rPr>
        <w:t>/d</w:t>
      </w:r>
      <w:r>
        <w:rPr>
          <w:spacing w:val="-4"/>
        </w:rPr>
        <w:t>（</w:t>
      </w:r>
      <w:r>
        <w:rPr>
          <w:rFonts w:ascii="Times New Roman" w:eastAsia="Times New Roman"/>
          <w:spacing w:val="-4"/>
        </w:rPr>
        <w:t>22110m</w:t>
      </w:r>
      <w:r>
        <w:rPr>
          <w:rFonts w:ascii="Times New Roman" w:eastAsia="Times New Roman"/>
          <w:spacing w:val="-4"/>
          <w:position w:val="8"/>
          <w:sz w:val="15"/>
        </w:rPr>
        <w:t>3</w:t>
      </w:r>
      <w:r>
        <w:rPr>
          <w:rFonts w:ascii="Times New Roman" w:eastAsia="Times New Roman"/>
          <w:spacing w:val="-4"/>
        </w:rPr>
        <w:t>/a</w:t>
      </w:r>
      <w:r>
        <w:rPr>
          <w:spacing w:val="-4"/>
        </w:rPr>
        <w:t>），</w:t>
      </w:r>
      <w:r>
        <w:rPr>
          <w:spacing w:val="-16"/>
        </w:rPr>
        <w:t>总计约 </w:t>
      </w:r>
      <w:r>
        <w:rPr>
          <w:rFonts w:ascii="Times New Roman" w:eastAsia="Times New Roman"/>
        </w:rPr>
        <w:t>237.6m</w:t>
      </w:r>
      <w:r>
        <w:rPr>
          <w:rFonts w:ascii="Times New Roman" w:eastAsia="Times New Roman"/>
          <w:position w:val="8"/>
          <w:sz w:val="15"/>
        </w:rPr>
        <w:t>3</w:t>
      </w:r>
      <w:r>
        <w:rPr>
          <w:rFonts w:ascii="Times New Roman" w:eastAsia="Times New Roman"/>
        </w:rPr>
        <w:t>/d</w:t>
      </w:r>
      <w:r>
        <w:rPr/>
        <w:t>（</w:t>
      </w:r>
      <w:r>
        <w:rPr>
          <w:rFonts w:ascii="Times New Roman" w:eastAsia="Times New Roman"/>
        </w:rPr>
        <w:t>78408m</w:t>
      </w:r>
      <w:r>
        <w:rPr>
          <w:rFonts w:ascii="Times New Roman" w:eastAsia="Times New Roman"/>
          <w:position w:val="8"/>
          <w:sz w:val="15"/>
        </w:rPr>
        <w:t>3</w:t>
      </w:r>
      <w:r>
        <w:rPr>
          <w:rFonts w:ascii="Times New Roman" w:eastAsia="Times New Roman"/>
        </w:rPr>
        <w:t>/a</w:t>
      </w:r>
      <w:r>
        <w:rPr/>
        <w:t>）的污水直接外排到安邦河，污水排放浓度不能满足《煤炭工业污染物排放标准》（</w:t>
      </w:r>
      <w:r>
        <w:rPr>
          <w:rFonts w:ascii="Times New Roman" w:eastAsia="Times New Roman"/>
        </w:rPr>
        <w:t>GB20426-2006</w:t>
      </w:r>
      <w:r>
        <w:rPr/>
        <w:t>）</w:t>
      </w:r>
      <w:r>
        <w:rPr>
          <w:spacing w:val="-31"/>
        </w:rPr>
        <w:t>表 </w:t>
      </w:r>
      <w:r>
        <w:rPr>
          <w:rFonts w:ascii="Times New Roman" w:eastAsia="Times New Roman"/>
        </w:rPr>
        <w:t>1</w:t>
      </w:r>
      <w:r>
        <w:rPr>
          <w:spacing w:val="-15"/>
        </w:rPr>
        <w:t>、</w:t>
      </w:r>
    </w:p>
    <w:p>
      <w:pPr>
        <w:spacing w:after="0" w:line="364" w:lineRule="auto"/>
        <w:jc w:val="both"/>
        <w:sectPr>
          <w:pgSz w:w="11910" w:h="16840"/>
          <w:pgMar w:header="0" w:footer="913" w:top="1400" w:bottom="1100" w:left="940" w:right="940"/>
        </w:sectPr>
      </w:pPr>
    </w:p>
    <w:p>
      <w:pPr>
        <w:pStyle w:val="BodyText"/>
        <w:spacing w:before="61"/>
        <w:ind w:left="478"/>
      </w:pPr>
      <w:r>
        <w:rPr>
          <w:rFonts w:ascii="Times New Roman" w:eastAsia="Times New Roman"/>
        </w:rPr>
        <w:t>2 </w:t>
      </w:r>
      <w:r>
        <w:rPr/>
        <w:t>标准限值要求。</w:t>
      </w:r>
    </w:p>
    <w:p>
      <w:pPr>
        <w:pStyle w:val="Heading4"/>
        <w:spacing w:before="158"/>
        <w:ind w:left="958"/>
      </w:pPr>
      <w:r>
        <w:rPr>
          <w:rFonts w:ascii="Times New Roman" w:eastAsia="Times New Roman"/>
        </w:rPr>
        <w:t>3</w:t>
      </w:r>
      <w:r>
        <w:rPr/>
        <w:t>、声污染分析及源强</w:t>
      </w:r>
    </w:p>
    <w:p>
      <w:pPr>
        <w:pStyle w:val="BodyText"/>
        <w:spacing w:line="364" w:lineRule="auto" w:before="161"/>
        <w:ind w:left="478" w:right="477" w:firstLine="480"/>
        <w:jc w:val="both"/>
      </w:pPr>
      <w:r>
        <w:rPr>
          <w:spacing w:val="-4"/>
        </w:rPr>
        <w:t>声环境主要噪声源为通风机房的通风机及电机等。以空气动力性噪声、电磁噪声为</w:t>
      </w:r>
      <w:r>
        <w:rPr>
          <w:spacing w:val="-2"/>
        </w:rPr>
        <w:t>主，噪声声级一般在 </w:t>
      </w:r>
      <w:r>
        <w:rPr>
          <w:rFonts w:ascii="Times New Roman" w:eastAsia="Times New Roman"/>
        </w:rPr>
        <w:t>90dB</w:t>
      </w:r>
      <w:r>
        <w:rPr/>
        <w:t>（</w:t>
      </w:r>
      <w:r>
        <w:rPr>
          <w:rFonts w:ascii="Times New Roman" w:eastAsia="Times New Roman"/>
        </w:rPr>
        <w:t>A</w:t>
      </w:r>
      <w:r>
        <w:rPr/>
        <w:t>）～</w:t>
      </w:r>
      <w:r>
        <w:rPr>
          <w:rFonts w:ascii="Times New Roman" w:eastAsia="Times New Roman"/>
        </w:rPr>
        <w:t>100dB</w:t>
      </w:r>
      <w:r>
        <w:rPr/>
        <w:t>（</w:t>
      </w:r>
      <w:r>
        <w:rPr>
          <w:rFonts w:ascii="Times New Roman" w:eastAsia="Times New Roman"/>
        </w:rPr>
        <w:t>A</w:t>
      </w:r>
      <w:r>
        <w:rPr/>
        <w:t>）之间。另外还有运输车辆产生的运输噪声，为随机性噪声源。对声环境有一定的影响。</w:t>
      </w:r>
    </w:p>
    <w:p>
      <w:pPr>
        <w:pStyle w:val="Heading4"/>
        <w:spacing w:line="307" w:lineRule="exact"/>
        <w:ind w:left="958"/>
      </w:pPr>
      <w:r>
        <w:rPr>
          <w:rFonts w:ascii="Times New Roman" w:eastAsia="Times New Roman"/>
        </w:rPr>
        <w:t>4</w:t>
      </w:r>
      <w:r>
        <w:rPr/>
        <w:t>、固体废物</w:t>
      </w:r>
    </w:p>
    <w:p>
      <w:pPr>
        <w:pStyle w:val="BodyText"/>
        <w:spacing w:line="364" w:lineRule="auto" w:before="158"/>
        <w:ind w:left="478" w:right="477" w:firstLine="480"/>
        <w:jc w:val="both"/>
      </w:pPr>
      <w:r>
        <w:rPr>
          <w:spacing w:val="-5"/>
        </w:rPr>
        <w:t>固体废物主要为矸石、炉渣与生活垃圾。矸石产生量较少，主要用于修路和工业场</w:t>
      </w:r>
      <w:r>
        <w:rPr>
          <w:spacing w:val="-7"/>
        </w:rPr>
        <w:t>地的平整，剩余部分临时起堆用于填充塌陷区及制砖；锅炉灰渣全部由运走作为建材原</w:t>
      </w:r>
      <w:r>
        <w:rPr/>
        <w:t>料；生活垃圾及污泥集中收集后按环卫部门要求统一处理。</w:t>
      </w:r>
    </w:p>
    <w:p>
      <w:pPr>
        <w:pStyle w:val="Heading4"/>
        <w:spacing w:line="307" w:lineRule="exact"/>
        <w:ind w:left="958"/>
      </w:pPr>
      <w:r>
        <w:rPr>
          <w:rFonts w:ascii="Times New Roman" w:eastAsia="Times New Roman"/>
        </w:rPr>
        <w:t>5</w:t>
      </w:r>
      <w:r>
        <w:rPr/>
        <w:t>、生态环境</w:t>
      </w:r>
    </w:p>
    <w:p>
      <w:pPr>
        <w:pStyle w:val="BodyText"/>
        <w:spacing w:line="364" w:lineRule="auto" w:before="158"/>
        <w:ind w:left="478" w:right="414" w:firstLine="480"/>
      </w:pPr>
      <w:r>
        <w:rPr/>
        <w:t>本项目处于丘陵地区，该区域主要为次生林地矿区地面以林地、农田为主，局部有少量荒地，据调查地表无明显塌陷。</w:t>
      </w:r>
    </w:p>
    <w:p>
      <w:pPr>
        <w:pStyle w:val="Heading3"/>
        <w:numPr>
          <w:ilvl w:val="2"/>
          <w:numId w:val="20"/>
        </w:numPr>
        <w:tabs>
          <w:tab w:pos="1108" w:val="left" w:leader="none"/>
        </w:tabs>
        <w:spacing w:line="358" w:lineRule="exact" w:before="0" w:after="0"/>
        <w:ind w:left="1107" w:right="0" w:hanging="630"/>
        <w:jc w:val="left"/>
      </w:pPr>
      <w:bookmarkStart w:name="3.3.2改扩建工程" w:id="101"/>
      <w:bookmarkEnd w:id="101"/>
      <w:r>
        <w:rPr>
          <w:b w:val="0"/>
        </w:rPr>
      </w:r>
      <w:bookmarkStart w:name="3.3.2改扩建工程" w:id="102"/>
      <w:bookmarkEnd w:id="102"/>
      <w:r>
        <w:rPr/>
        <w:t>改扩建工程</w:t>
      </w:r>
    </w:p>
    <w:p>
      <w:pPr>
        <w:pStyle w:val="Heading4"/>
        <w:numPr>
          <w:ilvl w:val="3"/>
          <w:numId w:val="21"/>
        </w:numPr>
        <w:tabs>
          <w:tab w:pos="1199" w:val="left" w:leader="none"/>
        </w:tabs>
        <w:spacing w:line="240" w:lineRule="auto" w:before="185" w:after="0"/>
        <w:ind w:left="1198" w:right="0" w:hanging="721"/>
        <w:jc w:val="left"/>
      </w:pPr>
      <w:r>
        <w:rPr>
          <w:w w:val="95"/>
        </w:rPr>
        <w:t>井田境界及储量</w:t>
      </w:r>
    </w:p>
    <w:p>
      <w:pPr>
        <w:pStyle w:val="ListParagraph"/>
        <w:numPr>
          <w:ilvl w:val="4"/>
          <w:numId w:val="21"/>
        </w:numPr>
        <w:tabs>
          <w:tab w:pos="1560" w:val="left" w:leader="none"/>
        </w:tabs>
        <w:spacing w:line="240" w:lineRule="auto" w:before="161" w:after="0"/>
        <w:ind w:left="1559" w:right="0" w:hanging="602"/>
        <w:jc w:val="left"/>
        <w:rPr>
          <w:sz w:val="24"/>
        </w:rPr>
      </w:pPr>
      <w:r>
        <w:rPr>
          <w:sz w:val="24"/>
        </w:rPr>
        <w:t>井田境界</w:t>
      </w:r>
    </w:p>
    <w:p>
      <w:pPr>
        <w:pStyle w:val="BodyText"/>
        <w:spacing w:line="364" w:lineRule="auto" w:before="158"/>
        <w:ind w:left="478" w:right="477" w:firstLine="480"/>
        <w:jc w:val="both"/>
      </w:pPr>
      <w:r>
        <w:rPr/>
        <w:t>根据双鸭山市国土资源厅《划定矿区范围批复》（双国土矿划〔</w:t>
      </w:r>
      <w:r>
        <w:rPr>
          <w:rFonts w:ascii="Times New Roman" w:eastAsia="Times New Roman"/>
        </w:rPr>
        <w:t>2020</w:t>
      </w:r>
      <w:r>
        <w:rPr/>
        <w:t>〕</w:t>
      </w:r>
      <w:r>
        <w:rPr>
          <w:rFonts w:ascii="Times New Roman" w:eastAsia="Times New Roman"/>
        </w:rPr>
        <w:t>001 </w:t>
      </w:r>
      <w:r>
        <w:rPr/>
        <w:t>号</w:t>
      </w:r>
      <w:r>
        <w:rPr>
          <w:spacing w:val="-9"/>
        </w:rPr>
        <w:t>）， </w:t>
      </w:r>
      <w:r>
        <w:rPr>
          <w:spacing w:val="-5"/>
        </w:rPr>
        <w:t>东盛煤矿资源整合后开采 </w:t>
      </w:r>
      <w:r>
        <w:rPr>
          <w:rFonts w:ascii="Times New Roman" w:eastAsia="Times New Roman"/>
        </w:rPr>
        <w:t>10#</w:t>
      </w:r>
      <w:r>
        <w:rPr>
          <w:spacing w:val="-5"/>
        </w:rPr>
        <w:t>、</w:t>
      </w:r>
      <w:r>
        <w:rPr>
          <w:rFonts w:ascii="Times New Roman" w:eastAsia="Times New Roman"/>
        </w:rPr>
        <w:t>20#</w:t>
      </w:r>
      <w:r>
        <w:rPr>
          <w:spacing w:val="-30"/>
        </w:rPr>
        <w:t>等 </w:t>
      </w:r>
      <w:r>
        <w:rPr>
          <w:rFonts w:ascii="Times New Roman" w:eastAsia="Times New Roman"/>
        </w:rPr>
        <w:t>2 </w:t>
      </w:r>
      <w:r>
        <w:rPr>
          <w:spacing w:val="-9"/>
        </w:rPr>
        <w:t>个煤层，井田面积 </w:t>
      </w:r>
      <w:r>
        <w:rPr>
          <w:rFonts w:ascii="Times New Roman" w:eastAsia="Times New Roman"/>
        </w:rPr>
        <w:t>5.91km</w:t>
      </w:r>
      <w:r>
        <w:rPr>
          <w:rFonts w:ascii="Times New Roman" w:eastAsia="Times New Roman"/>
          <w:position w:val="8"/>
          <w:sz w:val="15"/>
        </w:rPr>
        <w:t>2</w:t>
      </w:r>
      <w:r>
        <w:rPr>
          <w:spacing w:val="-4"/>
        </w:rPr>
        <w:t>。其井田范围拐点坐</w:t>
      </w:r>
      <w:r>
        <w:rPr/>
        <w:t>标为（</w:t>
      </w:r>
      <w:r>
        <w:rPr>
          <w:rFonts w:ascii="Times New Roman" w:eastAsia="Times New Roman"/>
        </w:rPr>
        <w:t>2000 </w:t>
      </w:r>
      <w:r>
        <w:rPr/>
        <w:t>坐标）：</w:t>
      </w:r>
    </w:p>
    <w:p>
      <w:pPr>
        <w:pStyle w:val="Heading4"/>
        <w:spacing w:line="307" w:lineRule="exact"/>
        <w:ind w:left="1373" w:right="1364"/>
        <w:jc w:val="center"/>
      </w:pPr>
      <w:r>
        <w:rPr/>
        <w:t>表</w:t>
      </w:r>
      <w:r>
        <w:rPr>
          <w:rFonts w:ascii="Times New Roman" w:eastAsia="Times New Roman"/>
        </w:rPr>
        <w:t>3.3-2</w:t>
      </w:r>
      <w:r>
        <w:rPr>
          <w:rFonts w:ascii="Times New Roman" w:eastAsia="Times New Roman"/>
          <w:spacing w:val="59"/>
        </w:rPr>
        <w:t> </w:t>
      </w:r>
      <w:r>
        <w:rPr/>
        <w:t>整合扩大矿区范围拐点坐标</w:t>
      </w:r>
    </w:p>
    <w:p>
      <w:pPr>
        <w:pStyle w:val="BodyText"/>
        <w:spacing w:before="3"/>
        <w:rPr>
          <w:b/>
          <w:sz w:val="12"/>
        </w:rPr>
      </w:pPr>
    </w:p>
    <w:tbl>
      <w:tblPr>
        <w:tblW w:w="0" w:type="auto"/>
        <w:jc w:val="left"/>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640"/>
        <w:gridCol w:w="1590"/>
        <w:gridCol w:w="1700"/>
        <w:gridCol w:w="618"/>
        <w:gridCol w:w="1634"/>
        <w:gridCol w:w="1723"/>
      </w:tblGrid>
      <w:tr>
        <w:trPr>
          <w:trHeight w:val="545" w:hRule="atLeast"/>
        </w:trPr>
        <w:tc>
          <w:tcPr>
            <w:tcW w:w="768" w:type="dxa"/>
          </w:tcPr>
          <w:p>
            <w:pPr>
              <w:pStyle w:val="TableParagraph"/>
              <w:spacing w:before="136"/>
              <w:ind w:left="172"/>
              <w:jc w:val="left"/>
              <w:rPr>
                <w:sz w:val="21"/>
              </w:rPr>
            </w:pPr>
            <w:r>
              <w:rPr>
                <w:sz w:val="21"/>
              </w:rPr>
              <w:t>煤层</w:t>
            </w:r>
          </w:p>
        </w:tc>
        <w:tc>
          <w:tcPr>
            <w:tcW w:w="640" w:type="dxa"/>
          </w:tcPr>
          <w:p>
            <w:pPr>
              <w:pStyle w:val="TableParagraph"/>
              <w:spacing w:before="136"/>
              <w:ind w:left="89" w:right="81"/>
              <w:rPr>
                <w:sz w:val="21"/>
              </w:rPr>
            </w:pPr>
            <w:r>
              <w:rPr>
                <w:sz w:val="21"/>
              </w:rPr>
              <w:t>点号</w:t>
            </w:r>
          </w:p>
        </w:tc>
        <w:tc>
          <w:tcPr>
            <w:tcW w:w="1590" w:type="dxa"/>
          </w:tcPr>
          <w:p>
            <w:pPr>
              <w:pStyle w:val="TableParagraph"/>
              <w:spacing w:before="150"/>
              <w:ind w:left="7"/>
              <w:rPr>
                <w:rFonts w:ascii="Times New Roman"/>
                <w:sz w:val="21"/>
              </w:rPr>
            </w:pPr>
            <w:r>
              <w:rPr>
                <w:rFonts w:ascii="Times New Roman"/>
                <w:w w:val="99"/>
                <w:sz w:val="21"/>
              </w:rPr>
              <w:t>X</w:t>
            </w:r>
          </w:p>
        </w:tc>
        <w:tc>
          <w:tcPr>
            <w:tcW w:w="1700" w:type="dxa"/>
          </w:tcPr>
          <w:p>
            <w:pPr>
              <w:pStyle w:val="TableParagraph"/>
              <w:spacing w:before="150"/>
              <w:ind w:left="10"/>
              <w:rPr>
                <w:rFonts w:ascii="Times New Roman"/>
                <w:sz w:val="21"/>
              </w:rPr>
            </w:pPr>
            <w:r>
              <w:rPr>
                <w:rFonts w:ascii="Times New Roman"/>
                <w:w w:val="99"/>
                <w:sz w:val="21"/>
              </w:rPr>
              <w:t>Y</w:t>
            </w:r>
          </w:p>
        </w:tc>
        <w:tc>
          <w:tcPr>
            <w:tcW w:w="618" w:type="dxa"/>
          </w:tcPr>
          <w:p>
            <w:pPr>
              <w:pStyle w:val="TableParagraph"/>
              <w:spacing w:before="1"/>
              <w:ind w:left="202"/>
              <w:jc w:val="left"/>
              <w:rPr>
                <w:sz w:val="21"/>
              </w:rPr>
            </w:pPr>
            <w:r>
              <w:rPr>
                <w:w w:val="99"/>
                <w:sz w:val="21"/>
              </w:rPr>
              <w:t>点</w:t>
            </w:r>
          </w:p>
          <w:p>
            <w:pPr>
              <w:pStyle w:val="TableParagraph"/>
              <w:spacing w:line="252" w:lineRule="exact" w:before="2"/>
              <w:ind w:left="202"/>
              <w:jc w:val="left"/>
              <w:rPr>
                <w:sz w:val="21"/>
              </w:rPr>
            </w:pPr>
            <w:r>
              <w:rPr>
                <w:w w:val="99"/>
                <w:sz w:val="21"/>
              </w:rPr>
              <w:t>号</w:t>
            </w:r>
          </w:p>
        </w:tc>
        <w:tc>
          <w:tcPr>
            <w:tcW w:w="1634" w:type="dxa"/>
          </w:tcPr>
          <w:p>
            <w:pPr>
              <w:pStyle w:val="TableParagraph"/>
              <w:spacing w:before="150"/>
              <w:ind w:left="10"/>
              <w:rPr>
                <w:rFonts w:ascii="Times New Roman"/>
                <w:sz w:val="21"/>
              </w:rPr>
            </w:pPr>
            <w:r>
              <w:rPr>
                <w:rFonts w:ascii="Times New Roman"/>
                <w:w w:val="99"/>
                <w:sz w:val="21"/>
              </w:rPr>
              <w:t>X</w:t>
            </w:r>
          </w:p>
        </w:tc>
        <w:tc>
          <w:tcPr>
            <w:tcW w:w="1723" w:type="dxa"/>
          </w:tcPr>
          <w:p>
            <w:pPr>
              <w:pStyle w:val="TableParagraph"/>
              <w:spacing w:before="150"/>
              <w:ind w:left="8"/>
              <w:rPr>
                <w:rFonts w:ascii="Times New Roman"/>
                <w:sz w:val="21"/>
              </w:rPr>
            </w:pPr>
            <w:r>
              <w:rPr>
                <w:rFonts w:ascii="Times New Roman"/>
                <w:w w:val="99"/>
                <w:sz w:val="21"/>
              </w:rPr>
              <w:t>Y</w:t>
            </w:r>
          </w:p>
        </w:tc>
      </w:tr>
      <w:tr>
        <w:trPr>
          <w:trHeight w:val="282" w:hRule="atLeast"/>
        </w:trPr>
        <w:tc>
          <w:tcPr>
            <w:tcW w:w="768" w:type="dxa"/>
            <w:vMerge w:val="restart"/>
          </w:tcPr>
          <w:p>
            <w:pPr>
              <w:pStyle w:val="TableParagraph"/>
              <w:jc w:val="left"/>
              <w:rPr>
                <w:b/>
                <w:sz w:val="22"/>
              </w:rPr>
            </w:pPr>
          </w:p>
          <w:p>
            <w:pPr>
              <w:pStyle w:val="TableParagraph"/>
              <w:jc w:val="left"/>
              <w:rPr>
                <w:b/>
                <w:sz w:val="22"/>
              </w:rPr>
            </w:pPr>
          </w:p>
          <w:p>
            <w:pPr>
              <w:pStyle w:val="TableParagraph"/>
              <w:spacing w:before="171"/>
              <w:ind w:left="107"/>
              <w:jc w:val="left"/>
              <w:rPr>
                <w:rFonts w:ascii="Times New Roman" w:eastAsia="Times New Roman"/>
                <w:sz w:val="21"/>
              </w:rPr>
            </w:pPr>
            <w:r>
              <w:rPr>
                <w:rFonts w:ascii="Times New Roman" w:eastAsia="Times New Roman"/>
                <w:sz w:val="21"/>
              </w:rPr>
              <w:t>10</w:t>
            </w:r>
            <w:r>
              <w:rPr>
                <w:spacing w:val="-77"/>
                <w:sz w:val="21"/>
              </w:rPr>
              <w:t>、</w:t>
            </w:r>
            <w:r>
              <w:rPr>
                <w:rFonts w:ascii="Times New Roman" w:eastAsia="Times New Roman"/>
                <w:sz w:val="21"/>
              </w:rPr>
              <w:t>20</w:t>
            </w:r>
          </w:p>
        </w:tc>
        <w:tc>
          <w:tcPr>
            <w:tcW w:w="640" w:type="dxa"/>
          </w:tcPr>
          <w:p>
            <w:pPr>
              <w:pStyle w:val="TableParagraph"/>
              <w:spacing w:before="19"/>
              <w:ind w:left="7"/>
              <w:rPr>
                <w:rFonts w:ascii="Times New Roman"/>
                <w:sz w:val="21"/>
              </w:rPr>
            </w:pPr>
            <w:r>
              <w:rPr>
                <w:rFonts w:ascii="Times New Roman"/>
                <w:w w:val="99"/>
                <w:sz w:val="21"/>
              </w:rPr>
              <w:t>1</w:t>
            </w:r>
          </w:p>
        </w:tc>
        <w:tc>
          <w:tcPr>
            <w:tcW w:w="1590" w:type="dxa"/>
          </w:tcPr>
          <w:p>
            <w:pPr>
              <w:pStyle w:val="TableParagraph"/>
              <w:spacing w:before="19"/>
              <w:ind w:left="275" w:right="266"/>
              <w:rPr>
                <w:rFonts w:ascii="Times New Roman"/>
                <w:sz w:val="21"/>
              </w:rPr>
            </w:pPr>
            <w:r>
              <w:rPr>
                <w:rFonts w:ascii="Times New Roman"/>
                <w:sz w:val="21"/>
              </w:rPr>
              <w:t>5162170.19</w:t>
            </w:r>
          </w:p>
        </w:tc>
        <w:tc>
          <w:tcPr>
            <w:tcW w:w="1700" w:type="dxa"/>
          </w:tcPr>
          <w:p>
            <w:pPr>
              <w:pStyle w:val="TableParagraph"/>
              <w:spacing w:before="19"/>
              <w:ind w:left="94" w:right="82"/>
              <w:rPr>
                <w:rFonts w:ascii="Times New Roman"/>
                <w:sz w:val="21"/>
              </w:rPr>
            </w:pPr>
            <w:r>
              <w:rPr>
                <w:rFonts w:ascii="Times New Roman"/>
                <w:sz w:val="21"/>
              </w:rPr>
              <w:t>44437807.56</w:t>
            </w:r>
          </w:p>
        </w:tc>
        <w:tc>
          <w:tcPr>
            <w:tcW w:w="618" w:type="dxa"/>
          </w:tcPr>
          <w:p>
            <w:pPr>
              <w:pStyle w:val="TableParagraph"/>
              <w:spacing w:before="19"/>
              <w:ind w:left="255"/>
              <w:jc w:val="left"/>
              <w:rPr>
                <w:rFonts w:ascii="Times New Roman"/>
                <w:sz w:val="21"/>
              </w:rPr>
            </w:pPr>
            <w:r>
              <w:rPr>
                <w:rFonts w:ascii="Times New Roman"/>
                <w:w w:val="99"/>
                <w:sz w:val="21"/>
              </w:rPr>
              <w:t>7</w:t>
            </w:r>
          </w:p>
        </w:tc>
        <w:tc>
          <w:tcPr>
            <w:tcW w:w="1634" w:type="dxa"/>
          </w:tcPr>
          <w:p>
            <w:pPr>
              <w:pStyle w:val="TableParagraph"/>
              <w:spacing w:before="19"/>
              <w:ind w:left="296" w:right="290"/>
              <w:rPr>
                <w:rFonts w:ascii="Times New Roman"/>
                <w:sz w:val="21"/>
              </w:rPr>
            </w:pPr>
            <w:r>
              <w:rPr>
                <w:rFonts w:ascii="Times New Roman"/>
                <w:sz w:val="21"/>
              </w:rPr>
              <w:t>5160297.19</w:t>
            </w:r>
          </w:p>
        </w:tc>
        <w:tc>
          <w:tcPr>
            <w:tcW w:w="1723" w:type="dxa"/>
          </w:tcPr>
          <w:p>
            <w:pPr>
              <w:pStyle w:val="TableParagraph"/>
              <w:spacing w:before="19"/>
              <w:ind w:left="289" w:right="280"/>
              <w:rPr>
                <w:rFonts w:ascii="Times New Roman"/>
                <w:sz w:val="21"/>
              </w:rPr>
            </w:pPr>
            <w:r>
              <w:rPr>
                <w:rFonts w:ascii="Times New Roman"/>
                <w:sz w:val="21"/>
              </w:rPr>
              <w:t>44437397.56</w:t>
            </w:r>
          </w:p>
        </w:tc>
      </w:tr>
      <w:tr>
        <w:trPr>
          <w:trHeight w:val="282" w:hRule="atLeast"/>
        </w:trPr>
        <w:tc>
          <w:tcPr>
            <w:tcW w:w="768" w:type="dxa"/>
            <w:vMerge/>
            <w:tcBorders>
              <w:top w:val="nil"/>
            </w:tcBorders>
          </w:tcPr>
          <w:p>
            <w:pPr>
              <w:rPr>
                <w:sz w:val="2"/>
                <w:szCs w:val="2"/>
              </w:rPr>
            </w:pPr>
          </w:p>
        </w:tc>
        <w:tc>
          <w:tcPr>
            <w:tcW w:w="640" w:type="dxa"/>
          </w:tcPr>
          <w:p>
            <w:pPr>
              <w:pStyle w:val="TableParagraph"/>
              <w:spacing w:before="20"/>
              <w:ind w:left="7"/>
              <w:rPr>
                <w:rFonts w:ascii="Times New Roman"/>
                <w:sz w:val="21"/>
              </w:rPr>
            </w:pPr>
            <w:r>
              <w:rPr>
                <w:rFonts w:ascii="Times New Roman"/>
                <w:w w:val="99"/>
                <w:sz w:val="21"/>
              </w:rPr>
              <w:t>2</w:t>
            </w:r>
          </w:p>
        </w:tc>
        <w:tc>
          <w:tcPr>
            <w:tcW w:w="1590" w:type="dxa"/>
          </w:tcPr>
          <w:p>
            <w:pPr>
              <w:pStyle w:val="TableParagraph"/>
              <w:spacing w:before="20"/>
              <w:ind w:left="275" w:right="266"/>
              <w:rPr>
                <w:rFonts w:ascii="Times New Roman"/>
                <w:sz w:val="21"/>
              </w:rPr>
            </w:pPr>
            <w:r>
              <w:rPr>
                <w:rFonts w:ascii="Times New Roman"/>
                <w:sz w:val="21"/>
              </w:rPr>
              <w:t>5162170.19</w:t>
            </w:r>
          </w:p>
        </w:tc>
        <w:tc>
          <w:tcPr>
            <w:tcW w:w="1700" w:type="dxa"/>
          </w:tcPr>
          <w:p>
            <w:pPr>
              <w:pStyle w:val="TableParagraph"/>
              <w:spacing w:before="20"/>
              <w:ind w:left="94" w:right="82"/>
              <w:rPr>
                <w:rFonts w:ascii="Times New Roman"/>
                <w:sz w:val="21"/>
              </w:rPr>
            </w:pPr>
            <w:r>
              <w:rPr>
                <w:rFonts w:ascii="Times New Roman"/>
                <w:sz w:val="21"/>
              </w:rPr>
              <w:t>44438587.56</w:t>
            </w:r>
          </w:p>
        </w:tc>
        <w:tc>
          <w:tcPr>
            <w:tcW w:w="618" w:type="dxa"/>
          </w:tcPr>
          <w:p>
            <w:pPr>
              <w:pStyle w:val="TableParagraph"/>
              <w:spacing w:before="20"/>
              <w:ind w:left="255"/>
              <w:jc w:val="left"/>
              <w:rPr>
                <w:rFonts w:ascii="Times New Roman"/>
                <w:sz w:val="21"/>
              </w:rPr>
            </w:pPr>
            <w:r>
              <w:rPr>
                <w:rFonts w:ascii="Times New Roman"/>
                <w:w w:val="99"/>
                <w:sz w:val="21"/>
              </w:rPr>
              <w:t>8</w:t>
            </w:r>
          </w:p>
        </w:tc>
        <w:tc>
          <w:tcPr>
            <w:tcW w:w="1634" w:type="dxa"/>
          </w:tcPr>
          <w:p>
            <w:pPr>
              <w:pStyle w:val="TableParagraph"/>
              <w:spacing w:before="20"/>
              <w:ind w:left="296" w:right="290"/>
              <w:rPr>
                <w:rFonts w:ascii="Times New Roman"/>
                <w:sz w:val="21"/>
              </w:rPr>
            </w:pPr>
            <w:r>
              <w:rPr>
                <w:rFonts w:ascii="Times New Roman"/>
                <w:sz w:val="21"/>
              </w:rPr>
              <w:t>5160257.20</w:t>
            </w:r>
          </w:p>
        </w:tc>
        <w:tc>
          <w:tcPr>
            <w:tcW w:w="1723" w:type="dxa"/>
          </w:tcPr>
          <w:p>
            <w:pPr>
              <w:pStyle w:val="TableParagraph"/>
              <w:spacing w:before="20"/>
              <w:ind w:left="289" w:right="280"/>
              <w:rPr>
                <w:rFonts w:ascii="Times New Roman"/>
                <w:sz w:val="21"/>
              </w:rPr>
            </w:pPr>
            <w:r>
              <w:rPr>
                <w:rFonts w:ascii="Times New Roman"/>
                <w:sz w:val="21"/>
              </w:rPr>
              <w:t>44437397.56</w:t>
            </w:r>
          </w:p>
        </w:tc>
      </w:tr>
      <w:tr>
        <w:trPr>
          <w:trHeight w:val="282" w:hRule="atLeast"/>
        </w:trPr>
        <w:tc>
          <w:tcPr>
            <w:tcW w:w="768" w:type="dxa"/>
            <w:vMerge/>
            <w:tcBorders>
              <w:top w:val="nil"/>
            </w:tcBorders>
          </w:tcPr>
          <w:p>
            <w:pPr>
              <w:rPr>
                <w:sz w:val="2"/>
                <w:szCs w:val="2"/>
              </w:rPr>
            </w:pPr>
          </w:p>
        </w:tc>
        <w:tc>
          <w:tcPr>
            <w:tcW w:w="640" w:type="dxa"/>
          </w:tcPr>
          <w:p>
            <w:pPr>
              <w:pStyle w:val="TableParagraph"/>
              <w:spacing w:before="19"/>
              <w:ind w:left="7"/>
              <w:rPr>
                <w:rFonts w:ascii="Times New Roman"/>
                <w:sz w:val="21"/>
              </w:rPr>
            </w:pPr>
            <w:r>
              <w:rPr>
                <w:rFonts w:ascii="Times New Roman"/>
                <w:w w:val="99"/>
                <w:sz w:val="21"/>
              </w:rPr>
              <w:t>3</w:t>
            </w:r>
          </w:p>
        </w:tc>
        <w:tc>
          <w:tcPr>
            <w:tcW w:w="1590" w:type="dxa"/>
          </w:tcPr>
          <w:p>
            <w:pPr>
              <w:pStyle w:val="TableParagraph"/>
              <w:spacing w:before="19"/>
              <w:ind w:left="275" w:right="266"/>
              <w:rPr>
                <w:rFonts w:ascii="Times New Roman"/>
                <w:sz w:val="21"/>
              </w:rPr>
            </w:pPr>
            <w:r>
              <w:rPr>
                <w:rFonts w:ascii="Times New Roman"/>
                <w:sz w:val="21"/>
              </w:rPr>
              <w:t>5163070.19</w:t>
            </w:r>
          </w:p>
        </w:tc>
        <w:tc>
          <w:tcPr>
            <w:tcW w:w="1700" w:type="dxa"/>
          </w:tcPr>
          <w:p>
            <w:pPr>
              <w:pStyle w:val="TableParagraph"/>
              <w:spacing w:before="19"/>
              <w:ind w:left="94" w:right="82"/>
              <w:rPr>
                <w:rFonts w:ascii="Times New Roman"/>
                <w:sz w:val="21"/>
              </w:rPr>
            </w:pPr>
            <w:r>
              <w:rPr>
                <w:rFonts w:ascii="Times New Roman"/>
                <w:sz w:val="21"/>
              </w:rPr>
              <w:t>44438587.56</w:t>
            </w:r>
          </w:p>
        </w:tc>
        <w:tc>
          <w:tcPr>
            <w:tcW w:w="618" w:type="dxa"/>
          </w:tcPr>
          <w:p>
            <w:pPr>
              <w:pStyle w:val="TableParagraph"/>
              <w:spacing w:before="19"/>
              <w:ind w:left="255"/>
              <w:jc w:val="left"/>
              <w:rPr>
                <w:rFonts w:ascii="Times New Roman"/>
                <w:sz w:val="21"/>
              </w:rPr>
            </w:pPr>
            <w:r>
              <w:rPr>
                <w:rFonts w:ascii="Times New Roman"/>
                <w:w w:val="99"/>
                <w:sz w:val="21"/>
              </w:rPr>
              <w:t>9</w:t>
            </w:r>
          </w:p>
        </w:tc>
        <w:tc>
          <w:tcPr>
            <w:tcW w:w="1634" w:type="dxa"/>
          </w:tcPr>
          <w:p>
            <w:pPr>
              <w:pStyle w:val="TableParagraph"/>
              <w:spacing w:before="19"/>
              <w:ind w:left="296" w:right="290"/>
              <w:rPr>
                <w:rFonts w:ascii="Times New Roman"/>
                <w:sz w:val="21"/>
              </w:rPr>
            </w:pPr>
            <w:r>
              <w:rPr>
                <w:rFonts w:ascii="Times New Roman"/>
                <w:sz w:val="21"/>
              </w:rPr>
              <w:t>5160283.19</w:t>
            </w:r>
          </w:p>
        </w:tc>
        <w:tc>
          <w:tcPr>
            <w:tcW w:w="1723" w:type="dxa"/>
          </w:tcPr>
          <w:p>
            <w:pPr>
              <w:pStyle w:val="TableParagraph"/>
              <w:spacing w:before="19"/>
              <w:ind w:left="289" w:right="280"/>
              <w:rPr>
                <w:rFonts w:ascii="Times New Roman"/>
                <w:sz w:val="21"/>
              </w:rPr>
            </w:pPr>
            <w:r>
              <w:rPr>
                <w:rFonts w:ascii="Times New Roman"/>
                <w:sz w:val="21"/>
              </w:rPr>
              <w:t>44437002.56</w:t>
            </w:r>
          </w:p>
        </w:tc>
      </w:tr>
      <w:tr>
        <w:trPr>
          <w:trHeight w:val="282" w:hRule="atLeast"/>
        </w:trPr>
        <w:tc>
          <w:tcPr>
            <w:tcW w:w="768" w:type="dxa"/>
            <w:vMerge/>
            <w:tcBorders>
              <w:top w:val="nil"/>
            </w:tcBorders>
          </w:tcPr>
          <w:p>
            <w:pPr>
              <w:rPr>
                <w:sz w:val="2"/>
                <w:szCs w:val="2"/>
              </w:rPr>
            </w:pPr>
          </w:p>
        </w:tc>
        <w:tc>
          <w:tcPr>
            <w:tcW w:w="640" w:type="dxa"/>
          </w:tcPr>
          <w:p>
            <w:pPr>
              <w:pStyle w:val="TableParagraph"/>
              <w:spacing w:before="19"/>
              <w:ind w:left="7"/>
              <w:rPr>
                <w:rFonts w:ascii="Times New Roman"/>
                <w:sz w:val="21"/>
              </w:rPr>
            </w:pPr>
            <w:r>
              <w:rPr>
                <w:rFonts w:ascii="Times New Roman"/>
                <w:w w:val="99"/>
                <w:sz w:val="21"/>
              </w:rPr>
              <w:t>4</w:t>
            </w:r>
          </w:p>
        </w:tc>
        <w:tc>
          <w:tcPr>
            <w:tcW w:w="1590" w:type="dxa"/>
          </w:tcPr>
          <w:p>
            <w:pPr>
              <w:pStyle w:val="TableParagraph"/>
              <w:spacing w:before="19"/>
              <w:ind w:left="275" w:right="266"/>
              <w:rPr>
                <w:rFonts w:ascii="Times New Roman"/>
                <w:sz w:val="21"/>
              </w:rPr>
            </w:pPr>
            <w:r>
              <w:rPr>
                <w:rFonts w:ascii="Times New Roman"/>
                <w:sz w:val="21"/>
              </w:rPr>
              <w:t>5163070.19</w:t>
            </w:r>
          </w:p>
        </w:tc>
        <w:tc>
          <w:tcPr>
            <w:tcW w:w="1700" w:type="dxa"/>
          </w:tcPr>
          <w:p>
            <w:pPr>
              <w:pStyle w:val="TableParagraph"/>
              <w:spacing w:before="19"/>
              <w:ind w:left="94" w:right="82"/>
              <w:rPr>
                <w:rFonts w:ascii="Times New Roman"/>
                <w:sz w:val="21"/>
              </w:rPr>
            </w:pPr>
            <w:r>
              <w:rPr>
                <w:rFonts w:ascii="Times New Roman"/>
                <w:sz w:val="21"/>
              </w:rPr>
              <w:t>44439657.56</w:t>
            </w:r>
          </w:p>
        </w:tc>
        <w:tc>
          <w:tcPr>
            <w:tcW w:w="618" w:type="dxa"/>
          </w:tcPr>
          <w:p>
            <w:pPr>
              <w:pStyle w:val="TableParagraph"/>
              <w:spacing w:before="19"/>
              <w:ind w:left="202"/>
              <w:jc w:val="left"/>
              <w:rPr>
                <w:rFonts w:ascii="Times New Roman"/>
                <w:sz w:val="21"/>
              </w:rPr>
            </w:pPr>
            <w:r>
              <w:rPr>
                <w:rFonts w:ascii="Times New Roman"/>
                <w:sz w:val="21"/>
              </w:rPr>
              <w:t>10</w:t>
            </w:r>
          </w:p>
        </w:tc>
        <w:tc>
          <w:tcPr>
            <w:tcW w:w="1634" w:type="dxa"/>
          </w:tcPr>
          <w:p>
            <w:pPr>
              <w:pStyle w:val="TableParagraph"/>
              <w:spacing w:before="19"/>
              <w:ind w:left="296" w:right="290"/>
              <w:rPr>
                <w:rFonts w:ascii="Times New Roman"/>
                <w:sz w:val="21"/>
              </w:rPr>
            </w:pPr>
            <w:r>
              <w:rPr>
                <w:rFonts w:ascii="Times New Roman"/>
                <w:sz w:val="21"/>
              </w:rPr>
              <w:t>5160490.18</w:t>
            </w:r>
          </w:p>
        </w:tc>
        <w:tc>
          <w:tcPr>
            <w:tcW w:w="1723" w:type="dxa"/>
          </w:tcPr>
          <w:p>
            <w:pPr>
              <w:pStyle w:val="TableParagraph"/>
              <w:spacing w:before="19"/>
              <w:ind w:left="289" w:right="280"/>
              <w:rPr>
                <w:rFonts w:ascii="Times New Roman"/>
                <w:sz w:val="21"/>
              </w:rPr>
            </w:pPr>
            <w:r>
              <w:rPr>
                <w:rFonts w:ascii="Times New Roman"/>
                <w:sz w:val="21"/>
              </w:rPr>
              <w:t>44437002.56</w:t>
            </w:r>
          </w:p>
        </w:tc>
      </w:tr>
      <w:tr>
        <w:trPr>
          <w:trHeight w:val="281" w:hRule="atLeast"/>
        </w:trPr>
        <w:tc>
          <w:tcPr>
            <w:tcW w:w="768" w:type="dxa"/>
            <w:vMerge/>
            <w:tcBorders>
              <w:top w:val="nil"/>
            </w:tcBorders>
          </w:tcPr>
          <w:p>
            <w:pPr>
              <w:rPr>
                <w:sz w:val="2"/>
                <w:szCs w:val="2"/>
              </w:rPr>
            </w:pPr>
          </w:p>
        </w:tc>
        <w:tc>
          <w:tcPr>
            <w:tcW w:w="640" w:type="dxa"/>
          </w:tcPr>
          <w:p>
            <w:pPr>
              <w:pStyle w:val="TableParagraph"/>
              <w:spacing w:before="20"/>
              <w:ind w:left="7"/>
              <w:rPr>
                <w:rFonts w:ascii="Times New Roman"/>
                <w:sz w:val="21"/>
              </w:rPr>
            </w:pPr>
            <w:r>
              <w:rPr>
                <w:rFonts w:ascii="Times New Roman"/>
                <w:w w:val="99"/>
                <w:sz w:val="21"/>
              </w:rPr>
              <w:t>5</w:t>
            </w:r>
          </w:p>
        </w:tc>
        <w:tc>
          <w:tcPr>
            <w:tcW w:w="1590" w:type="dxa"/>
          </w:tcPr>
          <w:p>
            <w:pPr>
              <w:pStyle w:val="TableParagraph"/>
              <w:spacing w:before="20"/>
              <w:ind w:left="275" w:right="266"/>
              <w:rPr>
                <w:rFonts w:ascii="Times New Roman"/>
                <w:sz w:val="21"/>
              </w:rPr>
            </w:pPr>
            <w:r>
              <w:rPr>
                <w:rFonts w:ascii="Times New Roman"/>
                <w:sz w:val="21"/>
              </w:rPr>
              <w:t>5160330.19</w:t>
            </w:r>
          </w:p>
        </w:tc>
        <w:tc>
          <w:tcPr>
            <w:tcW w:w="1700" w:type="dxa"/>
          </w:tcPr>
          <w:p>
            <w:pPr>
              <w:pStyle w:val="TableParagraph"/>
              <w:spacing w:before="20"/>
              <w:ind w:left="94" w:right="82"/>
              <w:rPr>
                <w:rFonts w:ascii="Times New Roman"/>
                <w:sz w:val="21"/>
              </w:rPr>
            </w:pPr>
            <w:r>
              <w:rPr>
                <w:rFonts w:ascii="Times New Roman"/>
                <w:sz w:val="21"/>
              </w:rPr>
              <w:t>44439657.56</w:t>
            </w:r>
          </w:p>
        </w:tc>
        <w:tc>
          <w:tcPr>
            <w:tcW w:w="618" w:type="dxa"/>
          </w:tcPr>
          <w:p>
            <w:pPr>
              <w:pStyle w:val="TableParagraph"/>
              <w:spacing w:before="20"/>
              <w:ind w:left="207"/>
              <w:jc w:val="left"/>
              <w:rPr>
                <w:rFonts w:ascii="Times New Roman"/>
                <w:sz w:val="21"/>
              </w:rPr>
            </w:pPr>
            <w:r>
              <w:rPr>
                <w:rFonts w:ascii="Times New Roman"/>
                <w:sz w:val="21"/>
              </w:rPr>
              <w:t>11</w:t>
            </w:r>
          </w:p>
        </w:tc>
        <w:tc>
          <w:tcPr>
            <w:tcW w:w="1634" w:type="dxa"/>
          </w:tcPr>
          <w:p>
            <w:pPr>
              <w:pStyle w:val="TableParagraph"/>
              <w:spacing w:before="20"/>
              <w:ind w:left="296" w:right="290"/>
              <w:rPr>
                <w:rFonts w:ascii="Times New Roman"/>
                <w:sz w:val="21"/>
              </w:rPr>
            </w:pPr>
            <w:r>
              <w:rPr>
                <w:rFonts w:ascii="Times New Roman"/>
                <w:sz w:val="21"/>
              </w:rPr>
              <w:t>5160490.18</w:t>
            </w:r>
          </w:p>
        </w:tc>
        <w:tc>
          <w:tcPr>
            <w:tcW w:w="1723" w:type="dxa"/>
          </w:tcPr>
          <w:p>
            <w:pPr>
              <w:pStyle w:val="TableParagraph"/>
              <w:spacing w:before="20"/>
              <w:ind w:left="289" w:right="280"/>
              <w:rPr>
                <w:rFonts w:ascii="Times New Roman"/>
                <w:sz w:val="21"/>
              </w:rPr>
            </w:pPr>
            <w:r>
              <w:rPr>
                <w:rFonts w:ascii="Times New Roman"/>
                <w:sz w:val="21"/>
              </w:rPr>
              <w:t>44437807.56</w:t>
            </w:r>
          </w:p>
        </w:tc>
      </w:tr>
      <w:tr>
        <w:trPr>
          <w:trHeight w:val="282" w:hRule="atLeast"/>
        </w:trPr>
        <w:tc>
          <w:tcPr>
            <w:tcW w:w="768" w:type="dxa"/>
            <w:vMerge/>
            <w:tcBorders>
              <w:top w:val="nil"/>
            </w:tcBorders>
          </w:tcPr>
          <w:p>
            <w:pPr>
              <w:rPr>
                <w:sz w:val="2"/>
                <w:szCs w:val="2"/>
              </w:rPr>
            </w:pPr>
          </w:p>
        </w:tc>
        <w:tc>
          <w:tcPr>
            <w:tcW w:w="640" w:type="dxa"/>
          </w:tcPr>
          <w:p>
            <w:pPr>
              <w:pStyle w:val="TableParagraph"/>
              <w:spacing w:before="19"/>
              <w:ind w:left="7"/>
              <w:rPr>
                <w:rFonts w:ascii="Times New Roman"/>
                <w:sz w:val="21"/>
              </w:rPr>
            </w:pPr>
            <w:r>
              <w:rPr>
                <w:rFonts w:ascii="Times New Roman"/>
                <w:w w:val="99"/>
                <w:sz w:val="21"/>
              </w:rPr>
              <w:t>6</w:t>
            </w:r>
          </w:p>
        </w:tc>
        <w:tc>
          <w:tcPr>
            <w:tcW w:w="1590" w:type="dxa"/>
          </w:tcPr>
          <w:p>
            <w:pPr>
              <w:pStyle w:val="TableParagraph"/>
              <w:spacing w:before="19"/>
              <w:ind w:left="275" w:right="266"/>
              <w:rPr>
                <w:rFonts w:ascii="Times New Roman"/>
                <w:sz w:val="21"/>
              </w:rPr>
            </w:pPr>
            <w:r>
              <w:rPr>
                <w:rFonts w:ascii="Times New Roman"/>
                <w:sz w:val="21"/>
              </w:rPr>
              <w:t>5160372.19</w:t>
            </w:r>
          </w:p>
        </w:tc>
        <w:tc>
          <w:tcPr>
            <w:tcW w:w="1700" w:type="dxa"/>
          </w:tcPr>
          <w:p>
            <w:pPr>
              <w:pStyle w:val="TableParagraph"/>
              <w:spacing w:before="19"/>
              <w:ind w:left="94" w:right="82"/>
              <w:rPr>
                <w:rFonts w:ascii="Times New Roman"/>
                <w:sz w:val="21"/>
              </w:rPr>
            </w:pPr>
            <w:r>
              <w:rPr>
                <w:rFonts w:ascii="Times New Roman"/>
                <w:sz w:val="21"/>
              </w:rPr>
              <w:t>44438107.56</w:t>
            </w:r>
          </w:p>
        </w:tc>
        <w:tc>
          <w:tcPr>
            <w:tcW w:w="3975" w:type="dxa"/>
            <w:gridSpan w:val="3"/>
          </w:tcPr>
          <w:p>
            <w:pPr>
              <w:pStyle w:val="TableParagraph"/>
              <w:spacing w:line="257" w:lineRule="exact" w:before="5"/>
              <w:ind w:left="1105"/>
              <w:jc w:val="left"/>
              <w:rPr>
                <w:rFonts w:ascii="Times New Roman" w:eastAsia="Times New Roman"/>
                <w:sz w:val="21"/>
              </w:rPr>
            </w:pPr>
            <w:r>
              <w:rPr>
                <w:sz w:val="21"/>
              </w:rPr>
              <w:t>标高</w:t>
            </w:r>
            <w:r>
              <w:rPr>
                <w:rFonts w:ascii="Times New Roman" w:eastAsia="Times New Roman"/>
                <w:sz w:val="21"/>
              </w:rPr>
              <w:t>:200m </w:t>
            </w:r>
            <w:r>
              <w:rPr>
                <w:sz w:val="21"/>
              </w:rPr>
              <w:t>至</w:t>
            </w:r>
            <w:r>
              <w:rPr>
                <w:rFonts w:ascii="Times New Roman" w:eastAsia="Times New Roman"/>
                <w:sz w:val="21"/>
              </w:rPr>
              <w:t>-210m</w:t>
            </w:r>
          </w:p>
        </w:tc>
      </w:tr>
    </w:tbl>
    <w:p>
      <w:pPr>
        <w:pStyle w:val="BodyText"/>
        <w:spacing w:before="3"/>
        <w:rPr>
          <w:b/>
          <w:sz w:val="25"/>
        </w:rPr>
      </w:pPr>
    </w:p>
    <w:p>
      <w:pPr>
        <w:spacing w:before="0" w:after="3"/>
        <w:ind w:left="1373" w:right="1361" w:firstLine="0"/>
        <w:jc w:val="center"/>
        <w:rPr>
          <w:b/>
          <w:sz w:val="24"/>
        </w:rPr>
      </w:pPr>
      <w:r>
        <w:rPr>
          <w:b/>
          <w:sz w:val="24"/>
        </w:rPr>
        <w:t>表 </w:t>
      </w:r>
      <w:r>
        <w:rPr>
          <w:rFonts w:ascii="Times New Roman" w:eastAsia="Times New Roman"/>
          <w:b/>
          <w:sz w:val="24"/>
        </w:rPr>
        <w:t>3.3-3 </w:t>
      </w:r>
      <w:r>
        <w:rPr>
          <w:b/>
          <w:sz w:val="24"/>
        </w:rPr>
        <w:t>整合扩大矿区范围后拐点坐标</w:t>
      </w:r>
    </w:p>
    <w:tbl>
      <w:tblPr>
        <w:tblW w:w="0" w:type="auto"/>
        <w:jc w:val="left"/>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539"/>
        <w:gridCol w:w="1189"/>
        <w:gridCol w:w="1360"/>
        <w:gridCol w:w="1481"/>
        <w:gridCol w:w="521"/>
        <w:gridCol w:w="1378"/>
        <w:gridCol w:w="1606"/>
      </w:tblGrid>
      <w:tr>
        <w:trPr>
          <w:trHeight w:val="545" w:hRule="atLeast"/>
        </w:trPr>
        <w:tc>
          <w:tcPr>
            <w:tcW w:w="538" w:type="dxa"/>
          </w:tcPr>
          <w:p>
            <w:pPr>
              <w:pStyle w:val="TableParagraph"/>
              <w:spacing w:before="1"/>
              <w:ind w:left="163"/>
              <w:jc w:val="left"/>
              <w:rPr>
                <w:sz w:val="21"/>
              </w:rPr>
            </w:pPr>
            <w:r>
              <w:rPr>
                <w:w w:val="99"/>
                <w:sz w:val="21"/>
              </w:rPr>
              <w:t>煤</w:t>
            </w:r>
          </w:p>
          <w:p>
            <w:pPr>
              <w:pStyle w:val="TableParagraph"/>
              <w:spacing w:line="253" w:lineRule="exact" w:before="2"/>
              <w:ind w:left="163"/>
              <w:jc w:val="left"/>
              <w:rPr>
                <w:sz w:val="21"/>
              </w:rPr>
            </w:pPr>
            <w:r>
              <w:rPr>
                <w:w w:val="99"/>
                <w:sz w:val="21"/>
              </w:rPr>
              <w:t>层</w:t>
            </w:r>
          </w:p>
        </w:tc>
        <w:tc>
          <w:tcPr>
            <w:tcW w:w="539" w:type="dxa"/>
          </w:tcPr>
          <w:p>
            <w:pPr>
              <w:pStyle w:val="TableParagraph"/>
              <w:spacing w:before="1"/>
              <w:ind w:left="162"/>
              <w:jc w:val="left"/>
              <w:rPr>
                <w:sz w:val="21"/>
              </w:rPr>
            </w:pPr>
            <w:r>
              <w:rPr>
                <w:w w:val="99"/>
                <w:sz w:val="21"/>
              </w:rPr>
              <w:t>点</w:t>
            </w:r>
          </w:p>
          <w:p>
            <w:pPr>
              <w:pStyle w:val="TableParagraph"/>
              <w:spacing w:line="253" w:lineRule="exact" w:before="2"/>
              <w:ind w:left="162"/>
              <w:jc w:val="left"/>
              <w:rPr>
                <w:sz w:val="21"/>
              </w:rPr>
            </w:pPr>
            <w:r>
              <w:rPr>
                <w:w w:val="99"/>
                <w:sz w:val="21"/>
              </w:rPr>
              <w:t>号</w:t>
            </w:r>
          </w:p>
        </w:tc>
        <w:tc>
          <w:tcPr>
            <w:tcW w:w="1189" w:type="dxa"/>
          </w:tcPr>
          <w:p>
            <w:pPr>
              <w:pStyle w:val="TableParagraph"/>
              <w:jc w:val="left"/>
              <w:rPr>
                <w:rFonts w:ascii="Times New Roman"/>
                <w:sz w:val="22"/>
              </w:rPr>
            </w:pPr>
          </w:p>
        </w:tc>
        <w:tc>
          <w:tcPr>
            <w:tcW w:w="1360" w:type="dxa"/>
          </w:tcPr>
          <w:p>
            <w:pPr>
              <w:pStyle w:val="TableParagraph"/>
              <w:spacing w:before="152"/>
              <w:ind w:left="9"/>
              <w:rPr>
                <w:rFonts w:ascii="Times New Roman"/>
                <w:sz w:val="21"/>
              </w:rPr>
            </w:pPr>
            <w:r>
              <w:rPr>
                <w:rFonts w:ascii="Times New Roman"/>
                <w:w w:val="99"/>
                <w:sz w:val="21"/>
              </w:rPr>
              <w:t>X</w:t>
            </w:r>
          </w:p>
        </w:tc>
        <w:tc>
          <w:tcPr>
            <w:tcW w:w="1481" w:type="dxa"/>
          </w:tcPr>
          <w:p>
            <w:pPr>
              <w:pStyle w:val="TableParagraph"/>
              <w:spacing w:before="152"/>
              <w:ind w:left="10"/>
              <w:rPr>
                <w:rFonts w:ascii="Times New Roman"/>
                <w:sz w:val="21"/>
              </w:rPr>
            </w:pPr>
            <w:r>
              <w:rPr>
                <w:rFonts w:ascii="Times New Roman"/>
                <w:w w:val="99"/>
                <w:sz w:val="21"/>
              </w:rPr>
              <w:t>Y</w:t>
            </w:r>
          </w:p>
        </w:tc>
        <w:tc>
          <w:tcPr>
            <w:tcW w:w="521" w:type="dxa"/>
          </w:tcPr>
          <w:p>
            <w:pPr>
              <w:pStyle w:val="TableParagraph"/>
              <w:spacing w:before="1"/>
              <w:ind w:left="153"/>
              <w:jc w:val="left"/>
              <w:rPr>
                <w:sz w:val="21"/>
              </w:rPr>
            </w:pPr>
            <w:r>
              <w:rPr>
                <w:w w:val="99"/>
                <w:sz w:val="21"/>
              </w:rPr>
              <w:t>点</w:t>
            </w:r>
          </w:p>
          <w:p>
            <w:pPr>
              <w:pStyle w:val="TableParagraph"/>
              <w:spacing w:line="253" w:lineRule="exact" w:before="2"/>
              <w:ind w:left="153"/>
              <w:jc w:val="left"/>
              <w:rPr>
                <w:sz w:val="21"/>
              </w:rPr>
            </w:pPr>
            <w:r>
              <w:rPr>
                <w:w w:val="99"/>
                <w:sz w:val="21"/>
              </w:rPr>
              <w:t>号</w:t>
            </w:r>
          </w:p>
        </w:tc>
        <w:tc>
          <w:tcPr>
            <w:tcW w:w="1378" w:type="dxa"/>
          </w:tcPr>
          <w:p>
            <w:pPr>
              <w:pStyle w:val="TableParagraph"/>
              <w:spacing w:before="152"/>
              <w:ind w:left="6"/>
              <w:rPr>
                <w:rFonts w:ascii="Times New Roman"/>
                <w:sz w:val="21"/>
              </w:rPr>
            </w:pPr>
            <w:r>
              <w:rPr>
                <w:rFonts w:ascii="Times New Roman"/>
                <w:w w:val="99"/>
                <w:sz w:val="21"/>
              </w:rPr>
              <w:t>X</w:t>
            </w:r>
          </w:p>
        </w:tc>
        <w:tc>
          <w:tcPr>
            <w:tcW w:w="1606" w:type="dxa"/>
          </w:tcPr>
          <w:p>
            <w:pPr>
              <w:pStyle w:val="TableParagraph"/>
              <w:spacing w:before="152"/>
              <w:ind w:left="8"/>
              <w:rPr>
                <w:rFonts w:ascii="Times New Roman"/>
                <w:sz w:val="21"/>
              </w:rPr>
            </w:pPr>
            <w:r>
              <w:rPr>
                <w:rFonts w:ascii="Times New Roman"/>
                <w:w w:val="99"/>
                <w:sz w:val="21"/>
              </w:rPr>
              <w:t>Y</w:t>
            </w:r>
          </w:p>
        </w:tc>
      </w:tr>
      <w:tr>
        <w:trPr>
          <w:trHeight w:val="284" w:hRule="atLeast"/>
        </w:trPr>
        <w:tc>
          <w:tcPr>
            <w:tcW w:w="538" w:type="dxa"/>
            <w:vMerge w:val="restart"/>
          </w:tcPr>
          <w:p>
            <w:pPr>
              <w:pStyle w:val="TableParagraph"/>
              <w:jc w:val="left"/>
              <w:rPr>
                <w:b/>
                <w:sz w:val="24"/>
              </w:rPr>
            </w:pPr>
          </w:p>
          <w:p>
            <w:pPr>
              <w:pStyle w:val="TableParagraph"/>
              <w:jc w:val="left"/>
              <w:rPr>
                <w:b/>
                <w:sz w:val="23"/>
              </w:rPr>
            </w:pPr>
          </w:p>
          <w:p>
            <w:pPr>
              <w:pStyle w:val="TableParagraph"/>
              <w:ind w:left="158"/>
              <w:jc w:val="left"/>
              <w:rPr>
                <w:rFonts w:ascii="Times New Roman"/>
                <w:sz w:val="22"/>
              </w:rPr>
            </w:pPr>
            <w:r>
              <w:rPr>
                <w:rFonts w:ascii="Times New Roman"/>
                <w:sz w:val="22"/>
              </w:rPr>
              <w:t>10</w:t>
            </w:r>
          </w:p>
        </w:tc>
        <w:tc>
          <w:tcPr>
            <w:tcW w:w="539" w:type="dxa"/>
          </w:tcPr>
          <w:p>
            <w:pPr>
              <w:pStyle w:val="TableParagraph"/>
              <w:spacing w:line="249" w:lineRule="exact" w:before="15"/>
              <w:ind w:left="7"/>
              <w:rPr>
                <w:rFonts w:ascii="Times New Roman"/>
                <w:sz w:val="22"/>
              </w:rPr>
            </w:pPr>
            <w:r>
              <w:rPr>
                <w:rFonts w:ascii="Times New Roman"/>
                <w:w w:val="100"/>
                <w:sz w:val="22"/>
              </w:rPr>
              <w:t>1</w:t>
            </w:r>
          </w:p>
        </w:tc>
        <w:tc>
          <w:tcPr>
            <w:tcW w:w="1189" w:type="dxa"/>
          </w:tcPr>
          <w:p>
            <w:pPr>
              <w:pStyle w:val="TableParagraph"/>
              <w:jc w:val="left"/>
              <w:rPr>
                <w:rFonts w:ascii="Times New Roman"/>
                <w:sz w:val="20"/>
              </w:rPr>
            </w:pPr>
          </w:p>
        </w:tc>
        <w:tc>
          <w:tcPr>
            <w:tcW w:w="1360" w:type="dxa"/>
          </w:tcPr>
          <w:p>
            <w:pPr>
              <w:pStyle w:val="TableParagraph"/>
              <w:spacing w:line="249" w:lineRule="exact" w:before="15"/>
              <w:ind w:left="136" w:right="129"/>
              <w:rPr>
                <w:rFonts w:ascii="Times New Roman"/>
                <w:sz w:val="22"/>
              </w:rPr>
            </w:pPr>
            <w:r>
              <w:rPr>
                <w:rFonts w:ascii="Times New Roman"/>
                <w:sz w:val="22"/>
              </w:rPr>
              <w:t>5162170.19</w:t>
            </w:r>
          </w:p>
        </w:tc>
        <w:tc>
          <w:tcPr>
            <w:tcW w:w="1481" w:type="dxa"/>
          </w:tcPr>
          <w:p>
            <w:pPr>
              <w:pStyle w:val="TableParagraph"/>
              <w:spacing w:line="249" w:lineRule="exact" w:before="15"/>
              <w:ind w:left="143" w:right="130"/>
              <w:rPr>
                <w:rFonts w:ascii="Times New Roman"/>
                <w:sz w:val="22"/>
              </w:rPr>
            </w:pPr>
            <w:r>
              <w:rPr>
                <w:rFonts w:ascii="Times New Roman"/>
                <w:sz w:val="22"/>
              </w:rPr>
              <w:t>44437002.56</w:t>
            </w:r>
          </w:p>
        </w:tc>
        <w:tc>
          <w:tcPr>
            <w:tcW w:w="521" w:type="dxa"/>
          </w:tcPr>
          <w:p>
            <w:pPr>
              <w:pStyle w:val="TableParagraph"/>
              <w:spacing w:line="249" w:lineRule="exact" w:before="15"/>
              <w:ind w:right="194"/>
              <w:jc w:val="right"/>
              <w:rPr>
                <w:rFonts w:ascii="Times New Roman"/>
                <w:sz w:val="22"/>
              </w:rPr>
            </w:pPr>
            <w:r>
              <w:rPr>
                <w:rFonts w:ascii="Times New Roman"/>
                <w:w w:val="100"/>
                <w:sz w:val="22"/>
              </w:rPr>
              <w:t>7</w:t>
            </w:r>
          </w:p>
        </w:tc>
        <w:tc>
          <w:tcPr>
            <w:tcW w:w="1378" w:type="dxa"/>
          </w:tcPr>
          <w:p>
            <w:pPr>
              <w:pStyle w:val="TableParagraph"/>
              <w:spacing w:line="249" w:lineRule="exact" w:before="15"/>
              <w:ind w:left="146" w:right="137"/>
              <w:rPr>
                <w:rFonts w:ascii="Times New Roman"/>
                <w:sz w:val="22"/>
              </w:rPr>
            </w:pPr>
            <w:r>
              <w:rPr>
                <w:rFonts w:ascii="Times New Roman"/>
                <w:sz w:val="22"/>
              </w:rPr>
              <w:t>5160297.19</w:t>
            </w:r>
          </w:p>
        </w:tc>
        <w:tc>
          <w:tcPr>
            <w:tcW w:w="1606" w:type="dxa"/>
          </w:tcPr>
          <w:p>
            <w:pPr>
              <w:pStyle w:val="TableParagraph"/>
              <w:spacing w:line="249" w:lineRule="exact" w:before="15"/>
              <w:ind w:left="151" w:right="140"/>
              <w:rPr>
                <w:rFonts w:ascii="Times New Roman"/>
                <w:sz w:val="22"/>
              </w:rPr>
            </w:pPr>
            <w:r>
              <w:rPr>
                <w:rFonts w:ascii="Times New Roman"/>
                <w:sz w:val="22"/>
              </w:rPr>
              <w:t>44437397.56</w:t>
            </w:r>
          </w:p>
        </w:tc>
      </w:tr>
      <w:tr>
        <w:trPr>
          <w:trHeight w:val="284" w:hRule="atLeast"/>
        </w:trPr>
        <w:tc>
          <w:tcPr>
            <w:tcW w:w="538" w:type="dxa"/>
            <w:vMerge/>
            <w:tcBorders>
              <w:top w:val="nil"/>
            </w:tcBorders>
          </w:tcPr>
          <w:p>
            <w:pPr>
              <w:rPr>
                <w:sz w:val="2"/>
                <w:szCs w:val="2"/>
              </w:rPr>
            </w:pPr>
          </w:p>
        </w:tc>
        <w:tc>
          <w:tcPr>
            <w:tcW w:w="539" w:type="dxa"/>
          </w:tcPr>
          <w:p>
            <w:pPr>
              <w:pStyle w:val="TableParagraph"/>
              <w:spacing w:line="250" w:lineRule="exact" w:before="13"/>
              <w:ind w:left="7"/>
              <w:rPr>
                <w:rFonts w:ascii="Times New Roman"/>
                <w:sz w:val="22"/>
              </w:rPr>
            </w:pPr>
            <w:r>
              <w:rPr>
                <w:rFonts w:ascii="Times New Roman"/>
                <w:w w:val="100"/>
                <w:sz w:val="22"/>
              </w:rPr>
              <w:t>2</w:t>
            </w:r>
          </w:p>
        </w:tc>
        <w:tc>
          <w:tcPr>
            <w:tcW w:w="1189" w:type="dxa"/>
          </w:tcPr>
          <w:p>
            <w:pPr>
              <w:pStyle w:val="TableParagraph"/>
              <w:jc w:val="left"/>
              <w:rPr>
                <w:rFonts w:ascii="Times New Roman"/>
                <w:sz w:val="20"/>
              </w:rPr>
            </w:pPr>
          </w:p>
        </w:tc>
        <w:tc>
          <w:tcPr>
            <w:tcW w:w="1360" w:type="dxa"/>
          </w:tcPr>
          <w:p>
            <w:pPr>
              <w:pStyle w:val="TableParagraph"/>
              <w:spacing w:line="250" w:lineRule="exact" w:before="13"/>
              <w:ind w:left="136" w:right="129"/>
              <w:rPr>
                <w:rFonts w:ascii="Times New Roman"/>
                <w:sz w:val="22"/>
              </w:rPr>
            </w:pPr>
            <w:r>
              <w:rPr>
                <w:rFonts w:ascii="Times New Roman"/>
                <w:sz w:val="22"/>
              </w:rPr>
              <w:t>5162170.19</w:t>
            </w:r>
          </w:p>
        </w:tc>
        <w:tc>
          <w:tcPr>
            <w:tcW w:w="1481" w:type="dxa"/>
          </w:tcPr>
          <w:p>
            <w:pPr>
              <w:pStyle w:val="TableParagraph"/>
              <w:spacing w:line="250" w:lineRule="exact" w:before="13"/>
              <w:ind w:left="143" w:right="130"/>
              <w:rPr>
                <w:rFonts w:ascii="Times New Roman"/>
                <w:sz w:val="22"/>
              </w:rPr>
            </w:pPr>
            <w:r>
              <w:rPr>
                <w:rFonts w:ascii="Times New Roman"/>
                <w:sz w:val="22"/>
              </w:rPr>
              <w:t>44438587.56</w:t>
            </w:r>
          </w:p>
        </w:tc>
        <w:tc>
          <w:tcPr>
            <w:tcW w:w="521" w:type="dxa"/>
          </w:tcPr>
          <w:p>
            <w:pPr>
              <w:pStyle w:val="TableParagraph"/>
              <w:spacing w:line="250" w:lineRule="exact" w:before="13"/>
              <w:ind w:right="194"/>
              <w:jc w:val="right"/>
              <w:rPr>
                <w:rFonts w:ascii="Times New Roman"/>
                <w:sz w:val="22"/>
              </w:rPr>
            </w:pPr>
            <w:r>
              <w:rPr>
                <w:rFonts w:ascii="Times New Roman"/>
                <w:w w:val="100"/>
                <w:sz w:val="22"/>
              </w:rPr>
              <w:t>8</w:t>
            </w:r>
          </w:p>
        </w:tc>
        <w:tc>
          <w:tcPr>
            <w:tcW w:w="1378" w:type="dxa"/>
          </w:tcPr>
          <w:p>
            <w:pPr>
              <w:pStyle w:val="TableParagraph"/>
              <w:spacing w:line="250" w:lineRule="exact" w:before="13"/>
              <w:ind w:left="146" w:right="137"/>
              <w:rPr>
                <w:rFonts w:ascii="Times New Roman"/>
                <w:sz w:val="22"/>
              </w:rPr>
            </w:pPr>
            <w:r>
              <w:rPr>
                <w:rFonts w:ascii="Times New Roman"/>
                <w:sz w:val="22"/>
              </w:rPr>
              <w:t>5160257.20</w:t>
            </w:r>
          </w:p>
        </w:tc>
        <w:tc>
          <w:tcPr>
            <w:tcW w:w="1606" w:type="dxa"/>
          </w:tcPr>
          <w:p>
            <w:pPr>
              <w:pStyle w:val="TableParagraph"/>
              <w:spacing w:line="250" w:lineRule="exact" w:before="13"/>
              <w:ind w:left="151" w:right="140"/>
              <w:rPr>
                <w:rFonts w:ascii="Times New Roman"/>
                <w:sz w:val="22"/>
              </w:rPr>
            </w:pPr>
            <w:r>
              <w:rPr>
                <w:rFonts w:ascii="Times New Roman"/>
                <w:sz w:val="22"/>
              </w:rPr>
              <w:t>44437397.56</w:t>
            </w:r>
          </w:p>
        </w:tc>
      </w:tr>
      <w:tr>
        <w:trPr>
          <w:trHeight w:val="283" w:hRule="atLeast"/>
        </w:trPr>
        <w:tc>
          <w:tcPr>
            <w:tcW w:w="538" w:type="dxa"/>
            <w:vMerge/>
            <w:tcBorders>
              <w:top w:val="nil"/>
            </w:tcBorders>
          </w:tcPr>
          <w:p>
            <w:pPr>
              <w:rPr>
                <w:sz w:val="2"/>
                <w:szCs w:val="2"/>
              </w:rPr>
            </w:pPr>
          </w:p>
        </w:tc>
        <w:tc>
          <w:tcPr>
            <w:tcW w:w="539" w:type="dxa"/>
          </w:tcPr>
          <w:p>
            <w:pPr>
              <w:pStyle w:val="TableParagraph"/>
              <w:spacing w:line="249" w:lineRule="exact" w:before="15"/>
              <w:ind w:left="7"/>
              <w:rPr>
                <w:rFonts w:ascii="Times New Roman"/>
                <w:sz w:val="22"/>
              </w:rPr>
            </w:pPr>
            <w:r>
              <w:rPr>
                <w:rFonts w:ascii="Times New Roman"/>
                <w:w w:val="100"/>
                <w:sz w:val="22"/>
              </w:rPr>
              <w:t>3</w:t>
            </w:r>
          </w:p>
        </w:tc>
        <w:tc>
          <w:tcPr>
            <w:tcW w:w="1189" w:type="dxa"/>
          </w:tcPr>
          <w:p>
            <w:pPr>
              <w:pStyle w:val="TableParagraph"/>
              <w:jc w:val="left"/>
              <w:rPr>
                <w:rFonts w:ascii="Times New Roman"/>
                <w:sz w:val="20"/>
              </w:rPr>
            </w:pPr>
          </w:p>
        </w:tc>
        <w:tc>
          <w:tcPr>
            <w:tcW w:w="1360" w:type="dxa"/>
          </w:tcPr>
          <w:p>
            <w:pPr>
              <w:pStyle w:val="TableParagraph"/>
              <w:spacing w:line="249" w:lineRule="exact" w:before="15"/>
              <w:ind w:left="136" w:right="129"/>
              <w:rPr>
                <w:rFonts w:ascii="Times New Roman"/>
                <w:sz w:val="22"/>
              </w:rPr>
            </w:pPr>
            <w:r>
              <w:rPr>
                <w:rFonts w:ascii="Times New Roman"/>
                <w:sz w:val="22"/>
              </w:rPr>
              <w:t>5162371.66</w:t>
            </w:r>
          </w:p>
        </w:tc>
        <w:tc>
          <w:tcPr>
            <w:tcW w:w="1481" w:type="dxa"/>
          </w:tcPr>
          <w:p>
            <w:pPr>
              <w:pStyle w:val="TableParagraph"/>
              <w:spacing w:line="249" w:lineRule="exact" w:before="15"/>
              <w:ind w:left="143" w:right="130"/>
              <w:rPr>
                <w:rFonts w:ascii="Times New Roman"/>
                <w:sz w:val="22"/>
              </w:rPr>
            </w:pPr>
            <w:r>
              <w:rPr>
                <w:rFonts w:ascii="Times New Roman"/>
                <w:sz w:val="22"/>
              </w:rPr>
              <w:t>44438587.60</w:t>
            </w:r>
          </w:p>
        </w:tc>
        <w:tc>
          <w:tcPr>
            <w:tcW w:w="521" w:type="dxa"/>
          </w:tcPr>
          <w:p>
            <w:pPr>
              <w:pStyle w:val="TableParagraph"/>
              <w:spacing w:line="249" w:lineRule="exact" w:before="15"/>
              <w:ind w:right="194"/>
              <w:jc w:val="right"/>
              <w:rPr>
                <w:rFonts w:ascii="Times New Roman"/>
                <w:sz w:val="22"/>
              </w:rPr>
            </w:pPr>
            <w:r>
              <w:rPr>
                <w:rFonts w:ascii="Times New Roman"/>
                <w:w w:val="100"/>
                <w:sz w:val="22"/>
              </w:rPr>
              <w:t>9</w:t>
            </w:r>
          </w:p>
        </w:tc>
        <w:tc>
          <w:tcPr>
            <w:tcW w:w="1378" w:type="dxa"/>
          </w:tcPr>
          <w:p>
            <w:pPr>
              <w:pStyle w:val="TableParagraph"/>
              <w:spacing w:line="249" w:lineRule="exact" w:before="15"/>
              <w:ind w:left="146" w:right="137"/>
              <w:rPr>
                <w:rFonts w:ascii="Times New Roman"/>
                <w:sz w:val="22"/>
              </w:rPr>
            </w:pPr>
            <w:r>
              <w:rPr>
                <w:rFonts w:ascii="Times New Roman"/>
                <w:sz w:val="22"/>
              </w:rPr>
              <w:t>5160283.19</w:t>
            </w:r>
          </w:p>
        </w:tc>
        <w:tc>
          <w:tcPr>
            <w:tcW w:w="1606" w:type="dxa"/>
          </w:tcPr>
          <w:p>
            <w:pPr>
              <w:pStyle w:val="TableParagraph"/>
              <w:spacing w:line="249" w:lineRule="exact" w:before="15"/>
              <w:ind w:left="151" w:right="140"/>
              <w:rPr>
                <w:rFonts w:ascii="Times New Roman"/>
                <w:sz w:val="22"/>
              </w:rPr>
            </w:pPr>
            <w:r>
              <w:rPr>
                <w:rFonts w:ascii="Times New Roman"/>
                <w:sz w:val="22"/>
              </w:rPr>
              <w:t>44436777.56</w:t>
            </w:r>
          </w:p>
        </w:tc>
      </w:tr>
      <w:tr>
        <w:trPr>
          <w:trHeight w:val="284" w:hRule="atLeast"/>
        </w:trPr>
        <w:tc>
          <w:tcPr>
            <w:tcW w:w="538" w:type="dxa"/>
            <w:vMerge/>
            <w:tcBorders>
              <w:top w:val="nil"/>
            </w:tcBorders>
          </w:tcPr>
          <w:p>
            <w:pPr>
              <w:rPr>
                <w:sz w:val="2"/>
                <w:szCs w:val="2"/>
              </w:rPr>
            </w:pPr>
          </w:p>
        </w:tc>
        <w:tc>
          <w:tcPr>
            <w:tcW w:w="539" w:type="dxa"/>
          </w:tcPr>
          <w:p>
            <w:pPr>
              <w:pStyle w:val="TableParagraph"/>
              <w:spacing w:line="250" w:lineRule="exact" w:before="13"/>
              <w:ind w:left="7"/>
              <w:rPr>
                <w:rFonts w:ascii="Times New Roman"/>
                <w:sz w:val="22"/>
              </w:rPr>
            </w:pPr>
            <w:r>
              <w:rPr>
                <w:rFonts w:ascii="Times New Roman"/>
                <w:w w:val="100"/>
                <w:sz w:val="22"/>
              </w:rPr>
              <w:t>4</w:t>
            </w:r>
          </w:p>
        </w:tc>
        <w:tc>
          <w:tcPr>
            <w:tcW w:w="1189" w:type="dxa"/>
          </w:tcPr>
          <w:p>
            <w:pPr>
              <w:pStyle w:val="TableParagraph"/>
              <w:jc w:val="left"/>
              <w:rPr>
                <w:rFonts w:ascii="Times New Roman"/>
                <w:sz w:val="20"/>
              </w:rPr>
            </w:pPr>
          </w:p>
        </w:tc>
        <w:tc>
          <w:tcPr>
            <w:tcW w:w="1360" w:type="dxa"/>
          </w:tcPr>
          <w:p>
            <w:pPr>
              <w:pStyle w:val="TableParagraph"/>
              <w:spacing w:line="250" w:lineRule="exact" w:before="13"/>
              <w:ind w:left="136" w:right="129"/>
              <w:rPr>
                <w:rFonts w:ascii="Times New Roman"/>
                <w:sz w:val="22"/>
              </w:rPr>
            </w:pPr>
            <w:r>
              <w:rPr>
                <w:rFonts w:ascii="Times New Roman"/>
                <w:sz w:val="22"/>
              </w:rPr>
              <w:t>5162517.27</w:t>
            </w:r>
          </w:p>
        </w:tc>
        <w:tc>
          <w:tcPr>
            <w:tcW w:w="1481" w:type="dxa"/>
          </w:tcPr>
          <w:p>
            <w:pPr>
              <w:pStyle w:val="TableParagraph"/>
              <w:spacing w:line="250" w:lineRule="exact" w:before="13"/>
              <w:ind w:left="143" w:right="130"/>
              <w:rPr>
                <w:rFonts w:ascii="Times New Roman"/>
                <w:sz w:val="22"/>
              </w:rPr>
            </w:pPr>
            <w:r>
              <w:rPr>
                <w:rFonts w:ascii="Times New Roman"/>
                <w:sz w:val="22"/>
              </w:rPr>
              <w:t>44439657.56</w:t>
            </w:r>
          </w:p>
        </w:tc>
        <w:tc>
          <w:tcPr>
            <w:tcW w:w="521" w:type="dxa"/>
          </w:tcPr>
          <w:p>
            <w:pPr>
              <w:pStyle w:val="TableParagraph"/>
              <w:spacing w:line="250" w:lineRule="exact" w:before="13"/>
              <w:ind w:right="139"/>
              <w:jc w:val="right"/>
              <w:rPr>
                <w:rFonts w:ascii="Times New Roman"/>
                <w:sz w:val="22"/>
              </w:rPr>
            </w:pPr>
            <w:r>
              <w:rPr>
                <w:rFonts w:ascii="Times New Roman"/>
                <w:sz w:val="22"/>
              </w:rPr>
              <w:t>10</w:t>
            </w:r>
          </w:p>
        </w:tc>
        <w:tc>
          <w:tcPr>
            <w:tcW w:w="1378" w:type="dxa"/>
          </w:tcPr>
          <w:p>
            <w:pPr>
              <w:pStyle w:val="TableParagraph"/>
              <w:spacing w:line="250" w:lineRule="exact" w:before="13"/>
              <w:ind w:left="146" w:right="137"/>
              <w:rPr>
                <w:rFonts w:ascii="Times New Roman"/>
                <w:sz w:val="22"/>
              </w:rPr>
            </w:pPr>
            <w:r>
              <w:rPr>
                <w:rFonts w:ascii="Times New Roman"/>
                <w:sz w:val="22"/>
              </w:rPr>
              <w:t>5160312.19</w:t>
            </w:r>
          </w:p>
        </w:tc>
        <w:tc>
          <w:tcPr>
            <w:tcW w:w="1606" w:type="dxa"/>
          </w:tcPr>
          <w:p>
            <w:pPr>
              <w:pStyle w:val="TableParagraph"/>
              <w:spacing w:line="250" w:lineRule="exact" w:before="13"/>
              <w:ind w:left="151" w:right="140"/>
              <w:rPr>
                <w:rFonts w:ascii="Times New Roman"/>
                <w:sz w:val="22"/>
              </w:rPr>
            </w:pPr>
            <w:r>
              <w:rPr>
                <w:rFonts w:ascii="Times New Roman"/>
                <w:sz w:val="22"/>
              </w:rPr>
              <w:t>44436559.56</w:t>
            </w:r>
          </w:p>
        </w:tc>
      </w:tr>
      <w:tr>
        <w:trPr>
          <w:trHeight w:val="282" w:hRule="atLeast"/>
        </w:trPr>
        <w:tc>
          <w:tcPr>
            <w:tcW w:w="538" w:type="dxa"/>
            <w:vMerge/>
            <w:tcBorders>
              <w:top w:val="nil"/>
            </w:tcBorders>
          </w:tcPr>
          <w:p>
            <w:pPr>
              <w:rPr>
                <w:sz w:val="2"/>
                <w:szCs w:val="2"/>
              </w:rPr>
            </w:pPr>
          </w:p>
        </w:tc>
        <w:tc>
          <w:tcPr>
            <w:tcW w:w="539" w:type="dxa"/>
          </w:tcPr>
          <w:p>
            <w:pPr>
              <w:pStyle w:val="TableParagraph"/>
              <w:spacing w:line="247" w:lineRule="exact" w:before="15"/>
              <w:ind w:left="7"/>
              <w:rPr>
                <w:rFonts w:ascii="Times New Roman"/>
                <w:sz w:val="22"/>
              </w:rPr>
            </w:pPr>
            <w:r>
              <w:rPr>
                <w:rFonts w:ascii="Times New Roman"/>
                <w:w w:val="100"/>
                <w:sz w:val="22"/>
              </w:rPr>
              <w:t>5</w:t>
            </w:r>
          </w:p>
        </w:tc>
        <w:tc>
          <w:tcPr>
            <w:tcW w:w="1189" w:type="dxa"/>
          </w:tcPr>
          <w:p>
            <w:pPr>
              <w:pStyle w:val="TableParagraph"/>
              <w:jc w:val="left"/>
              <w:rPr>
                <w:rFonts w:ascii="Times New Roman"/>
                <w:sz w:val="20"/>
              </w:rPr>
            </w:pPr>
          </w:p>
        </w:tc>
        <w:tc>
          <w:tcPr>
            <w:tcW w:w="1360" w:type="dxa"/>
          </w:tcPr>
          <w:p>
            <w:pPr>
              <w:pStyle w:val="TableParagraph"/>
              <w:spacing w:line="247" w:lineRule="exact" w:before="15"/>
              <w:ind w:left="136" w:right="129"/>
              <w:rPr>
                <w:rFonts w:ascii="Times New Roman"/>
                <w:sz w:val="22"/>
              </w:rPr>
            </w:pPr>
            <w:r>
              <w:rPr>
                <w:rFonts w:ascii="Times New Roman"/>
                <w:sz w:val="22"/>
              </w:rPr>
              <w:t>5160330.19</w:t>
            </w:r>
          </w:p>
        </w:tc>
        <w:tc>
          <w:tcPr>
            <w:tcW w:w="1481" w:type="dxa"/>
          </w:tcPr>
          <w:p>
            <w:pPr>
              <w:pStyle w:val="TableParagraph"/>
              <w:spacing w:line="247" w:lineRule="exact" w:before="15"/>
              <w:ind w:left="143" w:right="130"/>
              <w:rPr>
                <w:rFonts w:ascii="Times New Roman"/>
                <w:sz w:val="22"/>
              </w:rPr>
            </w:pPr>
            <w:r>
              <w:rPr>
                <w:rFonts w:ascii="Times New Roman"/>
                <w:sz w:val="22"/>
              </w:rPr>
              <w:t>44439657.56</w:t>
            </w:r>
          </w:p>
        </w:tc>
        <w:tc>
          <w:tcPr>
            <w:tcW w:w="521" w:type="dxa"/>
          </w:tcPr>
          <w:p>
            <w:pPr>
              <w:pStyle w:val="TableParagraph"/>
              <w:spacing w:line="247" w:lineRule="exact" w:before="15"/>
              <w:ind w:right="139"/>
              <w:jc w:val="right"/>
              <w:rPr>
                <w:rFonts w:ascii="Times New Roman"/>
                <w:sz w:val="22"/>
              </w:rPr>
            </w:pPr>
            <w:r>
              <w:rPr>
                <w:rFonts w:ascii="Times New Roman"/>
                <w:sz w:val="22"/>
              </w:rPr>
              <w:t>11</w:t>
            </w:r>
          </w:p>
        </w:tc>
        <w:tc>
          <w:tcPr>
            <w:tcW w:w="1378" w:type="dxa"/>
          </w:tcPr>
          <w:p>
            <w:pPr>
              <w:pStyle w:val="TableParagraph"/>
              <w:spacing w:line="247" w:lineRule="exact" w:before="15"/>
              <w:ind w:left="146" w:right="137"/>
              <w:rPr>
                <w:rFonts w:ascii="Times New Roman"/>
                <w:sz w:val="22"/>
              </w:rPr>
            </w:pPr>
            <w:r>
              <w:rPr>
                <w:rFonts w:ascii="Times New Roman"/>
                <w:sz w:val="22"/>
              </w:rPr>
              <w:t>5160283.19</w:t>
            </w:r>
          </w:p>
        </w:tc>
        <w:tc>
          <w:tcPr>
            <w:tcW w:w="1606" w:type="dxa"/>
          </w:tcPr>
          <w:p>
            <w:pPr>
              <w:pStyle w:val="TableParagraph"/>
              <w:spacing w:line="247" w:lineRule="exact" w:before="15"/>
              <w:ind w:left="151" w:right="140"/>
              <w:rPr>
                <w:rFonts w:ascii="Times New Roman"/>
                <w:sz w:val="22"/>
              </w:rPr>
            </w:pPr>
            <w:r>
              <w:rPr>
                <w:rFonts w:ascii="Times New Roman"/>
                <w:sz w:val="22"/>
              </w:rPr>
              <w:t>44437002.56</w:t>
            </w:r>
          </w:p>
        </w:tc>
      </w:tr>
    </w:tbl>
    <w:p>
      <w:pPr>
        <w:spacing w:after="0" w:line="247" w:lineRule="exact"/>
        <w:rPr>
          <w:rFonts w:ascii="Times New Roman"/>
          <w:sz w:val="22"/>
        </w:rPr>
        <w:sectPr>
          <w:pgSz w:w="11910" w:h="16840"/>
          <w:pgMar w:header="0" w:footer="913" w:top="1340" w:bottom="1180" w:left="940" w:right="940"/>
        </w:sectPr>
      </w:pPr>
    </w:p>
    <w:tbl>
      <w:tblPr>
        <w:tblW w:w="0" w:type="auto"/>
        <w:jc w:val="left"/>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539"/>
        <w:gridCol w:w="1189"/>
        <w:gridCol w:w="1360"/>
        <w:gridCol w:w="1481"/>
        <w:gridCol w:w="521"/>
        <w:gridCol w:w="1378"/>
        <w:gridCol w:w="1606"/>
      </w:tblGrid>
      <w:tr>
        <w:trPr>
          <w:trHeight w:val="285" w:hRule="atLeast"/>
        </w:trPr>
        <w:tc>
          <w:tcPr>
            <w:tcW w:w="538" w:type="dxa"/>
          </w:tcPr>
          <w:p>
            <w:pPr>
              <w:pStyle w:val="TableParagraph"/>
              <w:jc w:val="left"/>
              <w:rPr>
                <w:rFonts w:ascii="Times New Roman"/>
                <w:sz w:val="20"/>
              </w:rPr>
            </w:pPr>
          </w:p>
        </w:tc>
        <w:tc>
          <w:tcPr>
            <w:tcW w:w="539" w:type="dxa"/>
          </w:tcPr>
          <w:p>
            <w:pPr>
              <w:pStyle w:val="TableParagraph"/>
              <w:spacing w:line="248" w:lineRule="exact" w:before="16"/>
              <w:ind w:left="7"/>
              <w:rPr>
                <w:rFonts w:ascii="Times New Roman"/>
                <w:sz w:val="22"/>
              </w:rPr>
            </w:pPr>
            <w:r>
              <w:rPr>
                <w:rFonts w:ascii="Times New Roman"/>
                <w:w w:val="100"/>
                <w:sz w:val="22"/>
              </w:rPr>
              <w:t>6</w:t>
            </w:r>
          </w:p>
        </w:tc>
        <w:tc>
          <w:tcPr>
            <w:tcW w:w="1189" w:type="dxa"/>
          </w:tcPr>
          <w:p>
            <w:pPr>
              <w:pStyle w:val="TableParagraph"/>
              <w:jc w:val="left"/>
              <w:rPr>
                <w:rFonts w:ascii="Times New Roman"/>
                <w:sz w:val="20"/>
              </w:rPr>
            </w:pPr>
          </w:p>
        </w:tc>
        <w:tc>
          <w:tcPr>
            <w:tcW w:w="1360" w:type="dxa"/>
          </w:tcPr>
          <w:p>
            <w:pPr>
              <w:pStyle w:val="TableParagraph"/>
              <w:spacing w:line="248" w:lineRule="exact" w:before="16"/>
              <w:ind w:left="136" w:right="129"/>
              <w:rPr>
                <w:rFonts w:ascii="Times New Roman"/>
                <w:sz w:val="22"/>
              </w:rPr>
            </w:pPr>
            <w:r>
              <w:rPr>
                <w:rFonts w:ascii="Times New Roman"/>
                <w:sz w:val="22"/>
              </w:rPr>
              <w:t>5160372.19</w:t>
            </w:r>
          </w:p>
        </w:tc>
        <w:tc>
          <w:tcPr>
            <w:tcW w:w="1481" w:type="dxa"/>
          </w:tcPr>
          <w:p>
            <w:pPr>
              <w:pStyle w:val="TableParagraph"/>
              <w:spacing w:line="248" w:lineRule="exact" w:before="16"/>
              <w:ind w:left="143" w:right="130"/>
              <w:rPr>
                <w:rFonts w:ascii="Times New Roman"/>
                <w:sz w:val="22"/>
              </w:rPr>
            </w:pPr>
            <w:r>
              <w:rPr>
                <w:rFonts w:ascii="Times New Roman"/>
                <w:sz w:val="22"/>
              </w:rPr>
              <w:t>44438107.56</w:t>
            </w:r>
          </w:p>
        </w:tc>
        <w:tc>
          <w:tcPr>
            <w:tcW w:w="3505" w:type="dxa"/>
            <w:gridSpan w:val="3"/>
          </w:tcPr>
          <w:p>
            <w:pPr>
              <w:pStyle w:val="TableParagraph"/>
              <w:spacing w:line="263" w:lineRule="exact" w:before="2"/>
              <w:ind w:left="825"/>
              <w:jc w:val="left"/>
              <w:rPr>
                <w:rFonts w:ascii="Times New Roman" w:eastAsia="Times New Roman"/>
                <w:sz w:val="22"/>
              </w:rPr>
            </w:pPr>
            <w:r>
              <w:rPr>
                <w:sz w:val="22"/>
              </w:rPr>
              <w:t>标高</w:t>
            </w:r>
            <w:r>
              <w:rPr>
                <w:rFonts w:ascii="Times New Roman" w:eastAsia="Times New Roman"/>
                <w:sz w:val="22"/>
              </w:rPr>
              <w:t>:280m </w:t>
            </w:r>
            <w:r>
              <w:rPr>
                <w:sz w:val="22"/>
              </w:rPr>
              <w:t>至</w:t>
            </w:r>
            <w:r>
              <w:rPr>
                <w:rFonts w:ascii="Times New Roman" w:eastAsia="Times New Roman"/>
                <w:sz w:val="22"/>
              </w:rPr>
              <w:t>-200m</w:t>
            </w:r>
          </w:p>
        </w:tc>
      </w:tr>
      <w:tr>
        <w:trPr>
          <w:trHeight w:val="297" w:hRule="atLeast"/>
        </w:trPr>
        <w:tc>
          <w:tcPr>
            <w:tcW w:w="538" w:type="dxa"/>
            <w:vMerge w:val="restart"/>
          </w:tcPr>
          <w:p>
            <w:pPr>
              <w:pStyle w:val="TableParagraph"/>
              <w:jc w:val="left"/>
              <w:rPr>
                <w:b/>
                <w:sz w:val="24"/>
              </w:rPr>
            </w:pPr>
          </w:p>
          <w:p>
            <w:pPr>
              <w:pStyle w:val="TableParagraph"/>
              <w:jc w:val="left"/>
              <w:rPr>
                <w:b/>
                <w:sz w:val="24"/>
              </w:rPr>
            </w:pPr>
          </w:p>
          <w:p>
            <w:pPr>
              <w:pStyle w:val="TableParagraph"/>
              <w:spacing w:before="174"/>
              <w:ind w:left="158"/>
              <w:jc w:val="left"/>
              <w:rPr>
                <w:rFonts w:ascii="Times New Roman"/>
                <w:sz w:val="22"/>
              </w:rPr>
            </w:pPr>
            <w:r>
              <w:rPr>
                <w:rFonts w:ascii="Times New Roman"/>
                <w:sz w:val="22"/>
              </w:rPr>
              <w:t>20</w:t>
            </w:r>
          </w:p>
        </w:tc>
        <w:tc>
          <w:tcPr>
            <w:tcW w:w="539" w:type="dxa"/>
          </w:tcPr>
          <w:p>
            <w:pPr>
              <w:pStyle w:val="TableParagraph"/>
              <w:spacing w:before="21"/>
              <w:ind w:left="7"/>
              <w:rPr>
                <w:rFonts w:ascii="Times New Roman"/>
                <w:sz w:val="22"/>
              </w:rPr>
            </w:pPr>
            <w:r>
              <w:rPr>
                <w:rFonts w:ascii="Times New Roman"/>
                <w:w w:val="100"/>
                <w:sz w:val="22"/>
              </w:rPr>
              <w:t>1</w:t>
            </w:r>
          </w:p>
        </w:tc>
        <w:tc>
          <w:tcPr>
            <w:tcW w:w="1189" w:type="dxa"/>
          </w:tcPr>
          <w:p>
            <w:pPr>
              <w:pStyle w:val="TableParagraph"/>
              <w:jc w:val="left"/>
              <w:rPr>
                <w:rFonts w:ascii="Times New Roman"/>
                <w:sz w:val="22"/>
              </w:rPr>
            </w:pPr>
          </w:p>
        </w:tc>
        <w:tc>
          <w:tcPr>
            <w:tcW w:w="1360" w:type="dxa"/>
          </w:tcPr>
          <w:p>
            <w:pPr>
              <w:pStyle w:val="TableParagraph"/>
              <w:spacing w:before="21"/>
              <w:ind w:left="136" w:right="129"/>
              <w:rPr>
                <w:rFonts w:ascii="Times New Roman"/>
                <w:sz w:val="22"/>
              </w:rPr>
            </w:pPr>
            <w:r>
              <w:rPr>
                <w:rFonts w:ascii="Times New Roman"/>
                <w:sz w:val="22"/>
              </w:rPr>
              <w:t>5162170.19</w:t>
            </w:r>
          </w:p>
        </w:tc>
        <w:tc>
          <w:tcPr>
            <w:tcW w:w="1481" w:type="dxa"/>
          </w:tcPr>
          <w:p>
            <w:pPr>
              <w:pStyle w:val="TableParagraph"/>
              <w:spacing w:before="21"/>
              <w:ind w:left="143" w:right="130"/>
              <w:rPr>
                <w:rFonts w:ascii="Times New Roman"/>
                <w:sz w:val="22"/>
              </w:rPr>
            </w:pPr>
            <w:r>
              <w:rPr>
                <w:rFonts w:ascii="Times New Roman"/>
                <w:sz w:val="22"/>
              </w:rPr>
              <w:t>44437002.56</w:t>
            </w:r>
          </w:p>
        </w:tc>
        <w:tc>
          <w:tcPr>
            <w:tcW w:w="521" w:type="dxa"/>
          </w:tcPr>
          <w:p>
            <w:pPr>
              <w:pStyle w:val="TableParagraph"/>
              <w:spacing w:before="21"/>
              <w:ind w:right="194"/>
              <w:jc w:val="right"/>
              <w:rPr>
                <w:rFonts w:ascii="Times New Roman"/>
                <w:sz w:val="22"/>
              </w:rPr>
            </w:pPr>
            <w:r>
              <w:rPr>
                <w:rFonts w:ascii="Times New Roman"/>
                <w:w w:val="100"/>
                <w:sz w:val="22"/>
              </w:rPr>
              <w:t>7</w:t>
            </w:r>
          </w:p>
        </w:tc>
        <w:tc>
          <w:tcPr>
            <w:tcW w:w="1378" w:type="dxa"/>
          </w:tcPr>
          <w:p>
            <w:pPr>
              <w:pStyle w:val="TableParagraph"/>
              <w:spacing w:before="21"/>
              <w:ind w:left="146" w:right="137"/>
              <w:rPr>
                <w:rFonts w:ascii="Times New Roman"/>
                <w:sz w:val="22"/>
              </w:rPr>
            </w:pPr>
            <w:r>
              <w:rPr>
                <w:rFonts w:ascii="Times New Roman"/>
                <w:sz w:val="22"/>
              </w:rPr>
              <w:t>5160372.19</w:t>
            </w:r>
          </w:p>
        </w:tc>
        <w:tc>
          <w:tcPr>
            <w:tcW w:w="1606" w:type="dxa"/>
          </w:tcPr>
          <w:p>
            <w:pPr>
              <w:pStyle w:val="TableParagraph"/>
              <w:spacing w:before="21"/>
              <w:ind w:left="151" w:right="140"/>
              <w:rPr>
                <w:rFonts w:ascii="Times New Roman"/>
                <w:sz w:val="22"/>
              </w:rPr>
            </w:pPr>
            <w:r>
              <w:rPr>
                <w:rFonts w:ascii="Times New Roman"/>
                <w:sz w:val="22"/>
              </w:rPr>
              <w:t>444338107.56</w:t>
            </w:r>
          </w:p>
        </w:tc>
      </w:tr>
      <w:tr>
        <w:trPr>
          <w:trHeight w:val="297" w:hRule="atLeast"/>
        </w:trPr>
        <w:tc>
          <w:tcPr>
            <w:tcW w:w="538" w:type="dxa"/>
            <w:vMerge/>
            <w:tcBorders>
              <w:top w:val="nil"/>
            </w:tcBorders>
          </w:tcPr>
          <w:p>
            <w:pPr>
              <w:rPr>
                <w:sz w:val="2"/>
                <w:szCs w:val="2"/>
              </w:rPr>
            </w:pPr>
          </w:p>
        </w:tc>
        <w:tc>
          <w:tcPr>
            <w:tcW w:w="539" w:type="dxa"/>
          </w:tcPr>
          <w:p>
            <w:pPr>
              <w:pStyle w:val="TableParagraph"/>
              <w:spacing w:before="22"/>
              <w:ind w:left="7"/>
              <w:rPr>
                <w:rFonts w:ascii="Times New Roman"/>
                <w:sz w:val="22"/>
              </w:rPr>
            </w:pPr>
            <w:r>
              <w:rPr>
                <w:rFonts w:ascii="Times New Roman"/>
                <w:w w:val="100"/>
                <w:sz w:val="22"/>
              </w:rPr>
              <w:t>2</w:t>
            </w:r>
          </w:p>
        </w:tc>
        <w:tc>
          <w:tcPr>
            <w:tcW w:w="1189" w:type="dxa"/>
          </w:tcPr>
          <w:p>
            <w:pPr>
              <w:pStyle w:val="TableParagraph"/>
              <w:jc w:val="left"/>
              <w:rPr>
                <w:rFonts w:ascii="Times New Roman"/>
                <w:sz w:val="22"/>
              </w:rPr>
            </w:pPr>
          </w:p>
        </w:tc>
        <w:tc>
          <w:tcPr>
            <w:tcW w:w="1360" w:type="dxa"/>
          </w:tcPr>
          <w:p>
            <w:pPr>
              <w:pStyle w:val="TableParagraph"/>
              <w:spacing w:before="22"/>
              <w:ind w:left="136" w:right="129"/>
              <w:rPr>
                <w:rFonts w:ascii="Times New Roman"/>
                <w:sz w:val="22"/>
              </w:rPr>
            </w:pPr>
            <w:r>
              <w:rPr>
                <w:rFonts w:ascii="Times New Roman"/>
                <w:sz w:val="22"/>
              </w:rPr>
              <w:t>5162170.19</w:t>
            </w:r>
          </w:p>
        </w:tc>
        <w:tc>
          <w:tcPr>
            <w:tcW w:w="1481" w:type="dxa"/>
          </w:tcPr>
          <w:p>
            <w:pPr>
              <w:pStyle w:val="TableParagraph"/>
              <w:spacing w:before="22"/>
              <w:ind w:left="143" w:right="130"/>
              <w:rPr>
                <w:rFonts w:ascii="Times New Roman"/>
                <w:sz w:val="22"/>
              </w:rPr>
            </w:pPr>
            <w:r>
              <w:rPr>
                <w:rFonts w:ascii="Times New Roman"/>
                <w:sz w:val="22"/>
              </w:rPr>
              <w:t>44438587.56</w:t>
            </w:r>
          </w:p>
        </w:tc>
        <w:tc>
          <w:tcPr>
            <w:tcW w:w="521" w:type="dxa"/>
          </w:tcPr>
          <w:p>
            <w:pPr>
              <w:pStyle w:val="TableParagraph"/>
              <w:spacing w:before="22"/>
              <w:ind w:right="194"/>
              <w:jc w:val="right"/>
              <w:rPr>
                <w:rFonts w:ascii="Times New Roman"/>
                <w:sz w:val="22"/>
              </w:rPr>
            </w:pPr>
            <w:r>
              <w:rPr>
                <w:rFonts w:ascii="Times New Roman"/>
                <w:w w:val="100"/>
                <w:sz w:val="22"/>
              </w:rPr>
              <w:t>8</w:t>
            </w:r>
          </w:p>
        </w:tc>
        <w:tc>
          <w:tcPr>
            <w:tcW w:w="1378" w:type="dxa"/>
          </w:tcPr>
          <w:p>
            <w:pPr>
              <w:pStyle w:val="TableParagraph"/>
              <w:spacing w:before="22"/>
              <w:ind w:left="146" w:right="137"/>
              <w:rPr>
                <w:rFonts w:ascii="Times New Roman"/>
                <w:sz w:val="22"/>
              </w:rPr>
            </w:pPr>
            <w:r>
              <w:rPr>
                <w:rFonts w:ascii="Times New Roman"/>
                <w:sz w:val="22"/>
              </w:rPr>
              <w:t>5160297.19</w:t>
            </w:r>
          </w:p>
        </w:tc>
        <w:tc>
          <w:tcPr>
            <w:tcW w:w="1606" w:type="dxa"/>
          </w:tcPr>
          <w:p>
            <w:pPr>
              <w:pStyle w:val="TableParagraph"/>
              <w:spacing w:before="22"/>
              <w:ind w:left="151" w:right="140"/>
              <w:rPr>
                <w:rFonts w:ascii="Times New Roman"/>
                <w:sz w:val="22"/>
              </w:rPr>
            </w:pPr>
            <w:r>
              <w:rPr>
                <w:rFonts w:ascii="Times New Roman"/>
                <w:sz w:val="22"/>
              </w:rPr>
              <w:t>44437397.56</w:t>
            </w:r>
          </w:p>
        </w:tc>
      </w:tr>
      <w:tr>
        <w:trPr>
          <w:trHeight w:val="296" w:hRule="atLeast"/>
        </w:trPr>
        <w:tc>
          <w:tcPr>
            <w:tcW w:w="538" w:type="dxa"/>
            <w:vMerge/>
            <w:tcBorders>
              <w:top w:val="nil"/>
            </w:tcBorders>
          </w:tcPr>
          <w:p>
            <w:pPr>
              <w:rPr>
                <w:sz w:val="2"/>
                <w:szCs w:val="2"/>
              </w:rPr>
            </w:pPr>
          </w:p>
        </w:tc>
        <w:tc>
          <w:tcPr>
            <w:tcW w:w="539" w:type="dxa"/>
          </w:tcPr>
          <w:p>
            <w:pPr>
              <w:pStyle w:val="TableParagraph"/>
              <w:spacing w:before="22"/>
              <w:ind w:left="7"/>
              <w:rPr>
                <w:rFonts w:ascii="Times New Roman"/>
                <w:sz w:val="22"/>
              </w:rPr>
            </w:pPr>
            <w:r>
              <w:rPr>
                <w:rFonts w:ascii="Times New Roman"/>
                <w:w w:val="100"/>
                <w:sz w:val="22"/>
              </w:rPr>
              <w:t>3</w:t>
            </w:r>
          </w:p>
        </w:tc>
        <w:tc>
          <w:tcPr>
            <w:tcW w:w="1189" w:type="dxa"/>
          </w:tcPr>
          <w:p>
            <w:pPr>
              <w:pStyle w:val="TableParagraph"/>
              <w:jc w:val="left"/>
              <w:rPr>
                <w:rFonts w:ascii="Times New Roman"/>
                <w:sz w:val="22"/>
              </w:rPr>
            </w:pPr>
          </w:p>
        </w:tc>
        <w:tc>
          <w:tcPr>
            <w:tcW w:w="1360" w:type="dxa"/>
          </w:tcPr>
          <w:p>
            <w:pPr>
              <w:pStyle w:val="TableParagraph"/>
              <w:spacing w:before="22"/>
              <w:ind w:left="136" w:right="129"/>
              <w:rPr>
                <w:rFonts w:ascii="Times New Roman"/>
                <w:sz w:val="22"/>
              </w:rPr>
            </w:pPr>
            <w:r>
              <w:rPr>
                <w:rFonts w:ascii="Times New Roman"/>
                <w:sz w:val="22"/>
              </w:rPr>
              <w:t>5162650.31</w:t>
            </w:r>
          </w:p>
        </w:tc>
        <w:tc>
          <w:tcPr>
            <w:tcW w:w="1481" w:type="dxa"/>
          </w:tcPr>
          <w:p>
            <w:pPr>
              <w:pStyle w:val="TableParagraph"/>
              <w:spacing w:before="22"/>
              <w:ind w:left="143" w:right="130"/>
              <w:rPr>
                <w:rFonts w:ascii="Times New Roman"/>
                <w:sz w:val="22"/>
              </w:rPr>
            </w:pPr>
            <w:r>
              <w:rPr>
                <w:rFonts w:ascii="Times New Roman"/>
                <w:sz w:val="22"/>
              </w:rPr>
              <w:t>44438587.56</w:t>
            </w:r>
          </w:p>
        </w:tc>
        <w:tc>
          <w:tcPr>
            <w:tcW w:w="521" w:type="dxa"/>
          </w:tcPr>
          <w:p>
            <w:pPr>
              <w:pStyle w:val="TableParagraph"/>
              <w:spacing w:before="22"/>
              <w:ind w:right="194"/>
              <w:jc w:val="right"/>
              <w:rPr>
                <w:rFonts w:ascii="Times New Roman"/>
                <w:sz w:val="22"/>
              </w:rPr>
            </w:pPr>
            <w:r>
              <w:rPr>
                <w:rFonts w:ascii="Times New Roman"/>
                <w:w w:val="100"/>
                <w:sz w:val="22"/>
              </w:rPr>
              <w:t>9</w:t>
            </w:r>
          </w:p>
        </w:tc>
        <w:tc>
          <w:tcPr>
            <w:tcW w:w="1378" w:type="dxa"/>
          </w:tcPr>
          <w:p>
            <w:pPr>
              <w:pStyle w:val="TableParagraph"/>
              <w:spacing w:before="22"/>
              <w:ind w:left="146" w:right="137"/>
              <w:rPr>
                <w:rFonts w:ascii="Times New Roman"/>
                <w:sz w:val="22"/>
              </w:rPr>
            </w:pPr>
            <w:r>
              <w:rPr>
                <w:rFonts w:ascii="Times New Roman"/>
                <w:sz w:val="22"/>
              </w:rPr>
              <w:t>5160257.20</w:t>
            </w:r>
          </w:p>
        </w:tc>
        <w:tc>
          <w:tcPr>
            <w:tcW w:w="1606" w:type="dxa"/>
          </w:tcPr>
          <w:p>
            <w:pPr>
              <w:pStyle w:val="TableParagraph"/>
              <w:spacing w:before="22"/>
              <w:ind w:left="151" w:right="140"/>
              <w:rPr>
                <w:rFonts w:ascii="Times New Roman"/>
                <w:sz w:val="22"/>
              </w:rPr>
            </w:pPr>
            <w:r>
              <w:rPr>
                <w:rFonts w:ascii="Times New Roman"/>
                <w:sz w:val="22"/>
              </w:rPr>
              <w:t>44437397.56</w:t>
            </w:r>
          </w:p>
        </w:tc>
      </w:tr>
      <w:tr>
        <w:trPr>
          <w:trHeight w:val="297" w:hRule="atLeast"/>
        </w:trPr>
        <w:tc>
          <w:tcPr>
            <w:tcW w:w="538" w:type="dxa"/>
            <w:vMerge/>
            <w:tcBorders>
              <w:top w:val="nil"/>
            </w:tcBorders>
          </w:tcPr>
          <w:p>
            <w:pPr>
              <w:rPr>
                <w:sz w:val="2"/>
                <w:szCs w:val="2"/>
              </w:rPr>
            </w:pPr>
          </w:p>
        </w:tc>
        <w:tc>
          <w:tcPr>
            <w:tcW w:w="539" w:type="dxa"/>
          </w:tcPr>
          <w:p>
            <w:pPr>
              <w:pStyle w:val="TableParagraph"/>
              <w:spacing w:before="22"/>
              <w:ind w:left="7"/>
              <w:rPr>
                <w:rFonts w:ascii="Times New Roman"/>
                <w:sz w:val="22"/>
              </w:rPr>
            </w:pPr>
            <w:r>
              <w:rPr>
                <w:rFonts w:ascii="Times New Roman"/>
                <w:w w:val="100"/>
                <w:sz w:val="22"/>
              </w:rPr>
              <w:t>4</w:t>
            </w:r>
          </w:p>
        </w:tc>
        <w:tc>
          <w:tcPr>
            <w:tcW w:w="1189" w:type="dxa"/>
          </w:tcPr>
          <w:p>
            <w:pPr>
              <w:pStyle w:val="TableParagraph"/>
              <w:jc w:val="left"/>
              <w:rPr>
                <w:rFonts w:ascii="Times New Roman"/>
                <w:sz w:val="22"/>
              </w:rPr>
            </w:pPr>
          </w:p>
        </w:tc>
        <w:tc>
          <w:tcPr>
            <w:tcW w:w="1360" w:type="dxa"/>
          </w:tcPr>
          <w:p>
            <w:pPr>
              <w:pStyle w:val="TableParagraph"/>
              <w:spacing w:before="22"/>
              <w:ind w:left="136" w:right="129"/>
              <w:rPr>
                <w:rFonts w:ascii="Times New Roman"/>
                <w:sz w:val="22"/>
              </w:rPr>
            </w:pPr>
            <w:r>
              <w:rPr>
                <w:rFonts w:ascii="Times New Roman"/>
                <w:sz w:val="22"/>
              </w:rPr>
              <w:t>5162650.31</w:t>
            </w:r>
          </w:p>
        </w:tc>
        <w:tc>
          <w:tcPr>
            <w:tcW w:w="1481" w:type="dxa"/>
          </w:tcPr>
          <w:p>
            <w:pPr>
              <w:pStyle w:val="TableParagraph"/>
              <w:spacing w:before="22"/>
              <w:ind w:left="143" w:right="130"/>
              <w:rPr>
                <w:rFonts w:ascii="Times New Roman"/>
                <w:sz w:val="22"/>
              </w:rPr>
            </w:pPr>
            <w:r>
              <w:rPr>
                <w:rFonts w:ascii="Times New Roman"/>
                <w:sz w:val="22"/>
              </w:rPr>
              <w:t>44439657.56</w:t>
            </w:r>
          </w:p>
        </w:tc>
        <w:tc>
          <w:tcPr>
            <w:tcW w:w="521" w:type="dxa"/>
          </w:tcPr>
          <w:p>
            <w:pPr>
              <w:pStyle w:val="TableParagraph"/>
              <w:spacing w:before="22"/>
              <w:ind w:right="139"/>
              <w:jc w:val="right"/>
              <w:rPr>
                <w:rFonts w:ascii="Times New Roman"/>
                <w:sz w:val="22"/>
              </w:rPr>
            </w:pPr>
            <w:r>
              <w:rPr>
                <w:rFonts w:ascii="Times New Roman"/>
                <w:sz w:val="22"/>
              </w:rPr>
              <w:t>10</w:t>
            </w:r>
          </w:p>
        </w:tc>
        <w:tc>
          <w:tcPr>
            <w:tcW w:w="1378" w:type="dxa"/>
          </w:tcPr>
          <w:p>
            <w:pPr>
              <w:pStyle w:val="TableParagraph"/>
              <w:spacing w:before="22"/>
              <w:ind w:left="146" w:right="137"/>
              <w:rPr>
                <w:rFonts w:ascii="Times New Roman"/>
                <w:sz w:val="22"/>
              </w:rPr>
            </w:pPr>
            <w:r>
              <w:rPr>
                <w:rFonts w:ascii="Times New Roman"/>
                <w:sz w:val="22"/>
              </w:rPr>
              <w:t>5159120.19</w:t>
            </w:r>
          </w:p>
        </w:tc>
        <w:tc>
          <w:tcPr>
            <w:tcW w:w="1606" w:type="dxa"/>
          </w:tcPr>
          <w:p>
            <w:pPr>
              <w:pStyle w:val="TableParagraph"/>
              <w:spacing w:before="22"/>
              <w:ind w:left="151" w:right="140"/>
              <w:rPr>
                <w:rFonts w:ascii="Times New Roman"/>
                <w:sz w:val="22"/>
              </w:rPr>
            </w:pPr>
            <w:r>
              <w:rPr>
                <w:rFonts w:ascii="Times New Roman"/>
                <w:sz w:val="22"/>
              </w:rPr>
              <w:t>44436777.56</w:t>
            </w:r>
          </w:p>
        </w:tc>
      </w:tr>
      <w:tr>
        <w:trPr>
          <w:trHeight w:val="297" w:hRule="atLeast"/>
        </w:trPr>
        <w:tc>
          <w:tcPr>
            <w:tcW w:w="538" w:type="dxa"/>
            <w:vMerge/>
            <w:tcBorders>
              <w:top w:val="nil"/>
            </w:tcBorders>
          </w:tcPr>
          <w:p>
            <w:pPr>
              <w:rPr>
                <w:sz w:val="2"/>
                <w:szCs w:val="2"/>
              </w:rPr>
            </w:pPr>
          </w:p>
        </w:tc>
        <w:tc>
          <w:tcPr>
            <w:tcW w:w="539" w:type="dxa"/>
          </w:tcPr>
          <w:p>
            <w:pPr>
              <w:pStyle w:val="TableParagraph"/>
              <w:spacing w:before="22"/>
              <w:ind w:left="7"/>
              <w:rPr>
                <w:rFonts w:ascii="Times New Roman"/>
                <w:sz w:val="22"/>
              </w:rPr>
            </w:pPr>
            <w:r>
              <w:rPr>
                <w:rFonts w:ascii="Times New Roman"/>
                <w:w w:val="100"/>
                <w:sz w:val="22"/>
              </w:rPr>
              <w:t>5</w:t>
            </w:r>
          </w:p>
        </w:tc>
        <w:tc>
          <w:tcPr>
            <w:tcW w:w="1189" w:type="dxa"/>
          </w:tcPr>
          <w:p>
            <w:pPr>
              <w:pStyle w:val="TableParagraph"/>
              <w:jc w:val="left"/>
              <w:rPr>
                <w:rFonts w:ascii="Times New Roman"/>
                <w:sz w:val="22"/>
              </w:rPr>
            </w:pPr>
          </w:p>
        </w:tc>
        <w:tc>
          <w:tcPr>
            <w:tcW w:w="1360" w:type="dxa"/>
          </w:tcPr>
          <w:p>
            <w:pPr>
              <w:pStyle w:val="TableParagraph"/>
              <w:spacing w:before="22"/>
              <w:ind w:left="136" w:right="129"/>
              <w:rPr>
                <w:rFonts w:ascii="Times New Roman"/>
                <w:sz w:val="22"/>
              </w:rPr>
            </w:pPr>
            <w:r>
              <w:rPr>
                <w:rFonts w:ascii="Times New Roman"/>
                <w:sz w:val="22"/>
              </w:rPr>
              <w:t>5160707.78</w:t>
            </w:r>
          </w:p>
        </w:tc>
        <w:tc>
          <w:tcPr>
            <w:tcW w:w="1481" w:type="dxa"/>
          </w:tcPr>
          <w:p>
            <w:pPr>
              <w:pStyle w:val="TableParagraph"/>
              <w:spacing w:before="22"/>
              <w:ind w:left="143" w:right="130"/>
              <w:rPr>
                <w:rFonts w:ascii="Times New Roman"/>
                <w:sz w:val="22"/>
              </w:rPr>
            </w:pPr>
            <w:r>
              <w:rPr>
                <w:rFonts w:ascii="Times New Roman"/>
                <w:sz w:val="22"/>
              </w:rPr>
              <w:t>44439657.56</w:t>
            </w:r>
          </w:p>
        </w:tc>
        <w:tc>
          <w:tcPr>
            <w:tcW w:w="521" w:type="dxa"/>
          </w:tcPr>
          <w:p>
            <w:pPr>
              <w:pStyle w:val="TableParagraph"/>
              <w:spacing w:before="22"/>
              <w:ind w:right="139"/>
              <w:jc w:val="right"/>
              <w:rPr>
                <w:rFonts w:ascii="Times New Roman"/>
                <w:sz w:val="22"/>
              </w:rPr>
            </w:pPr>
            <w:r>
              <w:rPr>
                <w:rFonts w:ascii="Times New Roman"/>
                <w:sz w:val="22"/>
              </w:rPr>
              <w:t>11</w:t>
            </w:r>
          </w:p>
        </w:tc>
        <w:tc>
          <w:tcPr>
            <w:tcW w:w="1378" w:type="dxa"/>
          </w:tcPr>
          <w:p>
            <w:pPr>
              <w:pStyle w:val="TableParagraph"/>
              <w:spacing w:before="22"/>
              <w:ind w:left="146" w:right="137"/>
              <w:rPr>
                <w:rFonts w:ascii="Times New Roman"/>
                <w:sz w:val="22"/>
              </w:rPr>
            </w:pPr>
            <w:r>
              <w:rPr>
                <w:rFonts w:ascii="Times New Roman"/>
                <w:sz w:val="22"/>
              </w:rPr>
              <w:t>5160312.19</w:t>
            </w:r>
          </w:p>
        </w:tc>
        <w:tc>
          <w:tcPr>
            <w:tcW w:w="1606" w:type="dxa"/>
          </w:tcPr>
          <w:p>
            <w:pPr>
              <w:pStyle w:val="TableParagraph"/>
              <w:spacing w:before="22"/>
              <w:ind w:left="151" w:right="140"/>
              <w:rPr>
                <w:rFonts w:ascii="Times New Roman"/>
                <w:sz w:val="22"/>
              </w:rPr>
            </w:pPr>
            <w:r>
              <w:rPr>
                <w:rFonts w:ascii="Times New Roman"/>
                <w:sz w:val="22"/>
              </w:rPr>
              <w:t>44437002.56</w:t>
            </w:r>
          </w:p>
        </w:tc>
      </w:tr>
      <w:tr>
        <w:trPr>
          <w:trHeight w:val="297" w:hRule="atLeast"/>
        </w:trPr>
        <w:tc>
          <w:tcPr>
            <w:tcW w:w="538" w:type="dxa"/>
            <w:vMerge/>
            <w:tcBorders>
              <w:top w:val="nil"/>
            </w:tcBorders>
          </w:tcPr>
          <w:p>
            <w:pPr>
              <w:rPr>
                <w:sz w:val="2"/>
                <w:szCs w:val="2"/>
              </w:rPr>
            </w:pPr>
          </w:p>
        </w:tc>
        <w:tc>
          <w:tcPr>
            <w:tcW w:w="539" w:type="dxa"/>
          </w:tcPr>
          <w:p>
            <w:pPr>
              <w:pStyle w:val="TableParagraph"/>
              <w:spacing w:before="22"/>
              <w:ind w:left="7"/>
              <w:rPr>
                <w:rFonts w:ascii="Times New Roman"/>
                <w:sz w:val="22"/>
              </w:rPr>
            </w:pPr>
            <w:r>
              <w:rPr>
                <w:rFonts w:ascii="Times New Roman"/>
                <w:w w:val="100"/>
                <w:sz w:val="22"/>
              </w:rPr>
              <w:t>6</w:t>
            </w:r>
          </w:p>
        </w:tc>
        <w:tc>
          <w:tcPr>
            <w:tcW w:w="1189" w:type="dxa"/>
          </w:tcPr>
          <w:p>
            <w:pPr>
              <w:pStyle w:val="TableParagraph"/>
              <w:jc w:val="left"/>
              <w:rPr>
                <w:rFonts w:ascii="Times New Roman"/>
                <w:sz w:val="22"/>
              </w:rPr>
            </w:pPr>
          </w:p>
        </w:tc>
        <w:tc>
          <w:tcPr>
            <w:tcW w:w="1360" w:type="dxa"/>
          </w:tcPr>
          <w:p>
            <w:pPr>
              <w:pStyle w:val="TableParagraph"/>
              <w:spacing w:before="22"/>
              <w:ind w:left="136" w:right="129"/>
              <w:rPr>
                <w:rFonts w:ascii="Times New Roman"/>
                <w:sz w:val="22"/>
              </w:rPr>
            </w:pPr>
            <w:r>
              <w:rPr>
                <w:rFonts w:ascii="Times New Roman"/>
                <w:sz w:val="22"/>
              </w:rPr>
              <w:t>5160363.27</w:t>
            </w:r>
          </w:p>
        </w:tc>
        <w:tc>
          <w:tcPr>
            <w:tcW w:w="1481" w:type="dxa"/>
          </w:tcPr>
          <w:p>
            <w:pPr>
              <w:pStyle w:val="TableParagraph"/>
              <w:spacing w:before="22"/>
              <w:ind w:left="141" w:right="131"/>
              <w:rPr>
                <w:rFonts w:ascii="Times New Roman"/>
                <w:sz w:val="22"/>
              </w:rPr>
            </w:pPr>
            <w:r>
              <w:rPr>
                <w:rFonts w:ascii="Times New Roman"/>
                <w:sz w:val="22"/>
              </w:rPr>
              <w:t>44438436.57</w:t>
            </w:r>
          </w:p>
        </w:tc>
        <w:tc>
          <w:tcPr>
            <w:tcW w:w="521" w:type="dxa"/>
          </w:tcPr>
          <w:p>
            <w:pPr>
              <w:pStyle w:val="TableParagraph"/>
              <w:spacing w:before="22"/>
              <w:ind w:right="139"/>
              <w:jc w:val="right"/>
              <w:rPr>
                <w:rFonts w:ascii="Times New Roman"/>
                <w:sz w:val="22"/>
              </w:rPr>
            </w:pPr>
            <w:r>
              <w:rPr>
                <w:rFonts w:ascii="Times New Roman"/>
                <w:sz w:val="22"/>
              </w:rPr>
              <w:t>12</w:t>
            </w:r>
          </w:p>
        </w:tc>
        <w:tc>
          <w:tcPr>
            <w:tcW w:w="1378" w:type="dxa"/>
          </w:tcPr>
          <w:p>
            <w:pPr>
              <w:pStyle w:val="TableParagraph"/>
              <w:spacing w:before="22"/>
              <w:ind w:left="146" w:right="137"/>
              <w:rPr>
                <w:rFonts w:ascii="Times New Roman"/>
                <w:sz w:val="22"/>
              </w:rPr>
            </w:pPr>
            <w:r>
              <w:rPr>
                <w:rFonts w:ascii="Times New Roman"/>
                <w:sz w:val="22"/>
              </w:rPr>
              <w:t>5160283.19</w:t>
            </w:r>
          </w:p>
        </w:tc>
        <w:tc>
          <w:tcPr>
            <w:tcW w:w="1606" w:type="dxa"/>
          </w:tcPr>
          <w:p>
            <w:pPr>
              <w:pStyle w:val="TableParagraph"/>
              <w:spacing w:before="22"/>
              <w:ind w:left="151" w:right="140"/>
              <w:rPr>
                <w:rFonts w:ascii="Times New Roman"/>
                <w:sz w:val="22"/>
              </w:rPr>
            </w:pPr>
            <w:r>
              <w:rPr>
                <w:rFonts w:ascii="Times New Roman"/>
                <w:sz w:val="22"/>
              </w:rPr>
              <w:t>44437002.56</w:t>
            </w:r>
          </w:p>
        </w:tc>
      </w:tr>
      <w:tr>
        <w:trPr>
          <w:trHeight w:val="297" w:hRule="atLeast"/>
        </w:trPr>
        <w:tc>
          <w:tcPr>
            <w:tcW w:w="1077" w:type="dxa"/>
            <w:gridSpan w:val="2"/>
          </w:tcPr>
          <w:p>
            <w:pPr>
              <w:pStyle w:val="TableParagraph"/>
              <w:jc w:val="left"/>
              <w:rPr>
                <w:rFonts w:ascii="Times New Roman"/>
                <w:sz w:val="22"/>
              </w:rPr>
            </w:pPr>
          </w:p>
        </w:tc>
        <w:tc>
          <w:tcPr>
            <w:tcW w:w="7535" w:type="dxa"/>
            <w:gridSpan w:val="6"/>
          </w:tcPr>
          <w:p>
            <w:pPr>
              <w:pStyle w:val="TableParagraph"/>
              <w:spacing w:line="269" w:lineRule="exact" w:before="8"/>
              <w:ind w:left="2877" w:right="2756"/>
              <w:rPr>
                <w:rFonts w:ascii="Times New Roman" w:eastAsia="Times New Roman"/>
                <w:sz w:val="22"/>
              </w:rPr>
            </w:pPr>
            <w:r>
              <w:rPr>
                <w:sz w:val="22"/>
              </w:rPr>
              <w:t>标高</w:t>
            </w:r>
            <w:r>
              <w:rPr>
                <w:rFonts w:ascii="Times New Roman" w:eastAsia="Times New Roman"/>
                <w:sz w:val="22"/>
              </w:rPr>
              <w:t>:280m </w:t>
            </w:r>
            <w:r>
              <w:rPr>
                <w:sz w:val="22"/>
              </w:rPr>
              <w:t>至</w:t>
            </w:r>
            <w:r>
              <w:rPr>
                <w:rFonts w:ascii="Times New Roman" w:eastAsia="Times New Roman"/>
                <w:sz w:val="22"/>
              </w:rPr>
              <w:t>-200m</w:t>
            </w:r>
          </w:p>
        </w:tc>
      </w:tr>
    </w:tbl>
    <w:p>
      <w:pPr>
        <w:pStyle w:val="BodyText"/>
        <w:spacing w:before="3"/>
        <w:rPr>
          <w:b/>
          <w:sz w:val="9"/>
        </w:rPr>
      </w:pPr>
    </w:p>
    <w:p>
      <w:pPr>
        <w:spacing w:before="76" w:after="3"/>
        <w:ind w:left="1373" w:right="1368" w:firstLine="0"/>
        <w:jc w:val="center"/>
        <w:rPr>
          <w:b/>
          <w:sz w:val="24"/>
        </w:rPr>
      </w:pPr>
      <w:r>
        <w:rPr>
          <w:b/>
          <w:sz w:val="24"/>
        </w:rPr>
        <w:t>表 </w:t>
      </w:r>
      <w:r>
        <w:rPr>
          <w:rFonts w:ascii="Times New Roman" w:eastAsia="Times New Roman"/>
          <w:b/>
          <w:sz w:val="24"/>
        </w:rPr>
        <w:t>3.3-4  </w:t>
      </w:r>
      <w:r>
        <w:rPr>
          <w:b/>
          <w:sz w:val="24"/>
        </w:rPr>
        <w:t>井工范围表</w:t>
      </w:r>
    </w:p>
    <w:tbl>
      <w:tblPr>
        <w:tblW w:w="0" w:type="auto"/>
        <w:jc w:val="left"/>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0"/>
        <w:gridCol w:w="1714"/>
        <w:gridCol w:w="1833"/>
        <w:gridCol w:w="666"/>
        <w:gridCol w:w="1762"/>
        <w:gridCol w:w="1858"/>
      </w:tblGrid>
      <w:tr>
        <w:trPr>
          <w:trHeight w:val="382" w:hRule="atLeast"/>
        </w:trPr>
        <w:tc>
          <w:tcPr>
            <w:tcW w:w="690" w:type="dxa"/>
          </w:tcPr>
          <w:p>
            <w:pPr>
              <w:pStyle w:val="TableParagraph"/>
              <w:spacing w:before="54"/>
              <w:ind w:left="113" w:right="107"/>
              <w:rPr>
                <w:sz w:val="21"/>
              </w:rPr>
            </w:pPr>
            <w:r>
              <w:rPr>
                <w:sz w:val="21"/>
              </w:rPr>
              <w:t>拐点</w:t>
            </w:r>
          </w:p>
        </w:tc>
        <w:tc>
          <w:tcPr>
            <w:tcW w:w="1714" w:type="dxa"/>
          </w:tcPr>
          <w:p>
            <w:pPr>
              <w:pStyle w:val="TableParagraph"/>
              <w:spacing w:before="68"/>
              <w:ind w:left="9"/>
              <w:rPr>
                <w:rFonts w:ascii="Times New Roman"/>
                <w:sz w:val="21"/>
              </w:rPr>
            </w:pPr>
            <w:r>
              <w:rPr>
                <w:rFonts w:ascii="Times New Roman"/>
                <w:w w:val="99"/>
                <w:sz w:val="21"/>
              </w:rPr>
              <w:t>X</w:t>
            </w:r>
          </w:p>
        </w:tc>
        <w:tc>
          <w:tcPr>
            <w:tcW w:w="1833" w:type="dxa"/>
          </w:tcPr>
          <w:p>
            <w:pPr>
              <w:pStyle w:val="TableParagraph"/>
              <w:spacing w:before="68"/>
              <w:ind w:left="9"/>
              <w:rPr>
                <w:rFonts w:ascii="Times New Roman"/>
                <w:sz w:val="21"/>
              </w:rPr>
            </w:pPr>
            <w:r>
              <w:rPr>
                <w:rFonts w:ascii="Times New Roman"/>
                <w:w w:val="99"/>
                <w:sz w:val="21"/>
              </w:rPr>
              <w:t>Y</w:t>
            </w:r>
          </w:p>
        </w:tc>
        <w:tc>
          <w:tcPr>
            <w:tcW w:w="666" w:type="dxa"/>
          </w:tcPr>
          <w:p>
            <w:pPr>
              <w:pStyle w:val="TableParagraph"/>
              <w:spacing w:before="54"/>
              <w:ind w:left="102" w:right="93"/>
              <w:rPr>
                <w:sz w:val="21"/>
              </w:rPr>
            </w:pPr>
            <w:r>
              <w:rPr>
                <w:sz w:val="21"/>
              </w:rPr>
              <w:t>点号</w:t>
            </w:r>
          </w:p>
        </w:tc>
        <w:tc>
          <w:tcPr>
            <w:tcW w:w="1762" w:type="dxa"/>
          </w:tcPr>
          <w:p>
            <w:pPr>
              <w:pStyle w:val="TableParagraph"/>
              <w:spacing w:before="68"/>
              <w:ind w:left="7"/>
              <w:rPr>
                <w:rFonts w:ascii="Times New Roman"/>
                <w:sz w:val="21"/>
              </w:rPr>
            </w:pPr>
            <w:r>
              <w:rPr>
                <w:rFonts w:ascii="Times New Roman"/>
                <w:w w:val="99"/>
                <w:sz w:val="21"/>
              </w:rPr>
              <w:t>X</w:t>
            </w:r>
          </w:p>
        </w:tc>
        <w:tc>
          <w:tcPr>
            <w:tcW w:w="1858" w:type="dxa"/>
          </w:tcPr>
          <w:p>
            <w:pPr>
              <w:pStyle w:val="TableParagraph"/>
              <w:spacing w:before="68"/>
              <w:ind w:left="6"/>
              <w:rPr>
                <w:rFonts w:ascii="Times New Roman"/>
                <w:sz w:val="21"/>
              </w:rPr>
            </w:pPr>
            <w:r>
              <w:rPr>
                <w:rFonts w:ascii="Times New Roman"/>
                <w:w w:val="99"/>
                <w:sz w:val="21"/>
              </w:rPr>
              <w:t>Y</w:t>
            </w:r>
          </w:p>
        </w:tc>
      </w:tr>
      <w:tr>
        <w:trPr>
          <w:trHeight w:val="339" w:hRule="atLeast"/>
        </w:trPr>
        <w:tc>
          <w:tcPr>
            <w:tcW w:w="690" w:type="dxa"/>
          </w:tcPr>
          <w:p>
            <w:pPr>
              <w:pStyle w:val="TableParagraph"/>
              <w:spacing w:before="42"/>
              <w:ind w:left="12"/>
              <w:rPr>
                <w:rFonts w:ascii="Times New Roman"/>
                <w:sz w:val="22"/>
              </w:rPr>
            </w:pPr>
            <w:r>
              <w:rPr>
                <w:rFonts w:ascii="Times New Roman"/>
                <w:w w:val="100"/>
                <w:sz w:val="22"/>
              </w:rPr>
              <w:t>A</w:t>
            </w:r>
          </w:p>
        </w:tc>
        <w:tc>
          <w:tcPr>
            <w:tcW w:w="1714" w:type="dxa"/>
          </w:tcPr>
          <w:p>
            <w:pPr>
              <w:pStyle w:val="TableParagraph"/>
              <w:spacing w:before="42"/>
              <w:ind w:left="191" w:right="179"/>
              <w:rPr>
                <w:rFonts w:ascii="Times New Roman"/>
                <w:sz w:val="22"/>
              </w:rPr>
            </w:pPr>
            <w:r>
              <w:rPr>
                <w:rFonts w:ascii="Times New Roman"/>
                <w:sz w:val="22"/>
              </w:rPr>
              <w:t>5160656.35</w:t>
            </w:r>
          </w:p>
        </w:tc>
        <w:tc>
          <w:tcPr>
            <w:tcW w:w="1833" w:type="dxa"/>
          </w:tcPr>
          <w:p>
            <w:pPr>
              <w:pStyle w:val="TableParagraph"/>
              <w:spacing w:before="42"/>
              <w:ind w:left="320" w:right="308"/>
              <w:rPr>
                <w:rFonts w:ascii="Times New Roman"/>
                <w:sz w:val="22"/>
              </w:rPr>
            </w:pPr>
            <w:r>
              <w:rPr>
                <w:rFonts w:ascii="Times New Roman"/>
                <w:sz w:val="22"/>
              </w:rPr>
              <w:t>44436821.82</w:t>
            </w:r>
          </w:p>
        </w:tc>
        <w:tc>
          <w:tcPr>
            <w:tcW w:w="666" w:type="dxa"/>
          </w:tcPr>
          <w:p>
            <w:pPr>
              <w:pStyle w:val="TableParagraph"/>
              <w:spacing w:before="42"/>
              <w:ind w:left="12"/>
              <w:rPr>
                <w:rFonts w:ascii="Times New Roman"/>
                <w:sz w:val="22"/>
              </w:rPr>
            </w:pPr>
            <w:r>
              <w:rPr>
                <w:rFonts w:ascii="Times New Roman"/>
                <w:w w:val="100"/>
                <w:sz w:val="22"/>
              </w:rPr>
              <w:t>C</w:t>
            </w:r>
          </w:p>
        </w:tc>
        <w:tc>
          <w:tcPr>
            <w:tcW w:w="1762" w:type="dxa"/>
          </w:tcPr>
          <w:p>
            <w:pPr>
              <w:pStyle w:val="TableParagraph"/>
              <w:spacing w:before="42"/>
              <w:ind w:left="338" w:right="328"/>
              <w:rPr>
                <w:rFonts w:ascii="Times New Roman"/>
                <w:sz w:val="22"/>
              </w:rPr>
            </w:pPr>
            <w:r>
              <w:rPr>
                <w:rFonts w:ascii="Times New Roman"/>
                <w:sz w:val="22"/>
              </w:rPr>
              <w:t>5160490.18</w:t>
            </w:r>
          </w:p>
        </w:tc>
        <w:tc>
          <w:tcPr>
            <w:tcW w:w="1858" w:type="dxa"/>
          </w:tcPr>
          <w:p>
            <w:pPr>
              <w:pStyle w:val="TableParagraph"/>
              <w:spacing w:before="42"/>
              <w:ind w:left="331" w:right="322"/>
              <w:rPr>
                <w:rFonts w:ascii="Times New Roman"/>
                <w:sz w:val="22"/>
              </w:rPr>
            </w:pPr>
            <w:r>
              <w:rPr>
                <w:rFonts w:ascii="Times New Roman"/>
                <w:sz w:val="22"/>
              </w:rPr>
              <w:t>44437002.56</w:t>
            </w:r>
          </w:p>
        </w:tc>
      </w:tr>
      <w:tr>
        <w:trPr>
          <w:trHeight w:val="339" w:hRule="atLeast"/>
        </w:trPr>
        <w:tc>
          <w:tcPr>
            <w:tcW w:w="690" w:type="dxa"/>
          </w:tcPr>
          <w:p>
            <w:pPr>
              <w:pStyle w:val="TableParagraph"/>
              <w:spacing w:before="41"/>
              <w:ind w:left="9"/>
              <w:rPr>
                <w:rFonts w:ascii="Times New Roman"/>
                <w:sz w:val="22"/>
              </w:rPr>
            </w:pPr>
            <w:r>
              <w:rPr>
                <w:rFonts w:ascii="Times New Roman"/>
                <w:w w:val="100"/>
                <w:sz w:val="22"/>
              </w:rPr>
              <w:t>B</w:t>
            </w:r>
          </w:p>
        </w:tc>
        <w:tc>
          <w:tcPr>
            <w:tcW w:w="1714" w:type="dxa"/>
          </w:tcPr>
          <w:p>
            <w:pPr>
              <w:pStyle w:val="TableParagraph"/>
              <w:spacing w:before="41"/>
              <w:ind w:left="191" w:right="179"/>
              <w:rPr>
                <w:rFonts w:ascii="Times New Roman"/>
                <w:sz w:val="22"/>
              </w:rPr>
            </w:pPr>
            <w:r>
              <w:rPr>
                <w:rFonts w:ascii="Times New Roman"/>
                <w:sz w:val="22"/>
              </w:rPr>
              <w:t>5160784.23</w:t>
            </w:r>
          </w:p>
        </w:tc>
        <w:tc>
          <w:tcPr>
            <w:tcW w:w="1833" w:type="dxa"/>
          </w:tcPr>
          <w:p>
            <w:pPr>
              <w:pStyle w:val="TableParagraph"/>
              <w:spacing w:before="41"/>
              <w:ind w:left="320" w:right="308"/>
              <w:rPr>
                <w:rFonts w:ascii="Times New Roman"/>
                <w:sz w:val="22"/>
              </w:rPr>
            </w:pPr>
            <w:r>
              <w:rPr>
                <w:rFonts w:ascii="Times New Roman"/>
                <w:sz w:val="22"/>
              </w:rPr>
              <w:t>44437002.56</w:t>
            </w:r>
          </w:p>
        </w:tc>
        <w:tc>
          <w:tcPr>
            <w:tcW w:w="4286" w:type="dxa"/>
            <w:gridSpan w:val="3"/>
          </w:tcPr>
          <w:p>
            <w:pPr>
              <w:pStyle w:val="TableParagraph"/>
              <w:spacing w:before="27"/>
              <w:ind w:left="1088"/>
              <w:jc w:val="left"/>
              <w:rPr>
                <w:rFonts w:ascii="Times New Roman" w:eastAsia="Times New Roman"/>
                <w:sz w:val="22"/>
              </w:rPr>
            </w:pPr>
            <w:r>
              <w:rPr>
                <w:sz w:val="22"/>
              </w:rPr>
              <w:t>标高</w:t>
            </w:r>
            <w:r>
              <w:rPr>
                <w:rFonts w:ascii="Times New Roman" w:eastAsia="Times New Roman"/>
                <w:sz w:val="22"/>
              </w:rPr>
              <w:t>:214m </w:t>
            </w:r>
            <w:r>
              <w:rPr>
                <w:sz w:val="22"/>
              </w:rPr>
              <w:t>至 </w:t>
            </w:r>
            <w:r>
              <w:rPr>
                <w:rFonts w:ascii="Times New Roman" w:eastAsia="Times New Roman"/>
                <w:sz w:val="22"/>
              </w:rPr>
              <w:t>165.47m</w:t>
            </w:r>
          </w:p>
        </w:tc>
      </w:tr>
    </w:tbl>
    <w:p>
      <w:pPr>
        <w:pStyle w:val="BodyText"/>
        <w:spacing w:before="1"/>
        <w:ind w:left="958"/>
      </w:pPr>
      <w:r>
        <w:rPr/>
        <w:t>本项目井田境界见附图。</w:t>
      </w:r>
    </w:p>
    <w:p>
      <w:pPr>
        <w:pStyle w:val="ListParagraph"/>
        <w:numPr>
          <w:ilvl w:val="4"/>
          <w:numId w:val="21"/>
        </w:numPr>
        <w:tabs>
          <w:tab w:pos="1560" w:val="left" w:leader="none"/>
        </w:tabs>
        <w:spacing w:line="240" w:lineRule="auto" w:before="160" w:after="0"/>
        <w:ind w:left="1559" w:right="0" w:hanging="602"/>
        <w:jc w:val="left"/>
        <w:rPr>
          <w:sz w:val="24"/>
        </w:rPr>
      </w:pPr>
      <w:r>
        <w:rPr>
          <w:sz w:val="24"/>
        </w:rPr>
        <w:t>储量</w:t>
      </w:r>
    </w:p>
    <w:p>
      <w:pPr>
        <w:pStyle w:val="BodyText"/>
        <w:spacing w:before="158"/>
        <w:ind w:left="958"/>
      </w:pPr>
      <w:r>
        <w:rPr/>
        <w:t>本矿井井田范围内拥有地质储量 </w:t>
      </w:r>
      <w:r>
        <w:rPr>
          <w:rFonts w:ascii="Times New Roman" w:eastAsia="Times New Roman"/>
        </w:rPr>
        <w:t>941.15 </w:t>
      </w:r>
      <w:r>
        <w:rPr/>
        <w:t>万吨，可采储量 </w:t>
      </w:r>
      <w:r>
        <w:rPr>
          <w:rFonts w:ascii="Times New Roman" w:eastAsia="Times New Roman"/>
        </w:rPr>
        <w:t>584.05 </w:t>
      </w:r>
      <w:r>
        <w:rPr/>
        <w:t>万吨。矿井服务年</w:t>
      </w:r>
    </w:p>
    <w:p>
      <w:pPr>
        <w:pStyle w:val="BodyText"/>
        <w:spacing w:before="161"/>
        <w:ind w:left="478"/>
      </w:pPr>
      <w:r>
        <w:rPr/>
        <w:t>限为 </w:t>
      </w:r>
      <w:r>
        <w:rPr>
          <w:rFonts w:ascii="Times New Roman" w:eastAsia="Times New Roman"/>
        </w:rPr>
        <w:t>13.9 </w:t>
      </w:r>
      <w:r>
        <w:rPr/>
        <w:t>年。</w:t>
      </w:r>
    </w:p>
    <w:p>
      <w:pPr>
        <w:pStyle w:val="Heading4"/>
        <w:numPr>
          <w:ilvl w:val="3"/>
          <w:numId w:val="21"/>
        </w:numPr>
        <w:tabs>
          <w:tab w:pos="1199" w:val="left" w:leader="none"/>
        </w:tabs>
        <w:spacing w:line="240" w:lineRule="auto" w:before="158" w:after="0"/>
        <w:ind w:left="1198" w:right="0" w:hanging="721"/>
        <w:jc w:val="left"/>
      </w:pPr>
      <w:r>
        <w:rPr/>
        <w:t>矿区地质特征</w:t>
      </w:r>
    </w:p>
    <w:p>
      <w:pPr>
        <w:pStyle w:val="BodyText"/>
        <w:spacing w:before="161"/>
        <w:ind w:left="958"/>
      </w:pPr>
      <w:r>
        <w:rPr>
          <w:rFonts w:ascii="Times New Roman" w:eastAsia="Times New Roman"/>
        </w:rPr>
        <w:t>1</w:t>
      </w:r>
      <w:r>
        <w:rPr/>
        <w:t>、区域地层</w:t>
      </w:r>
    </w:p>
    <w:p>
      <w:pPr>
        <w:pStyle w:val="BodyText"/>
        <w:spacing w:before="158"/>
        <w:ind w:left="958"/>
      </w:pPr>
      <w:r>
        <w:rPr/>
        <w:t>各组地层特征由下至上分别叙述如下：</w:t>
      </w:r>
    </w:p>
    <w:p>
      <w:pPr>
        <w:pStyle w:val="ListParagraph"/>
        <w:numPr>
          <w:ilvl w:val="0"/>
          <w:numId w:val="22"/>
        </w:numPr>
        <w:tabs>
          <w:tab w:pos="1560" w:val="left" w:leader="none"/>
        </w:tabs>
        <w:spacing w:line="240" w:lineRule="auto" w:before="160" w:after="0"/>
        <w:ind w:left="1559" w:right="0" w:hanging="602"/>
        <w:jc w:val="left"/>
        <w:rPr>
          <w:sz w:val="24"/>
        </w:rPr>
      </w:pPr>
      <w:r>
        <w:rPr>
          <w:sz w:val="24"/>
        </w:rPr>
        <w:t>下元古界大盘道组</w:t>
      </w:r>
    </w:p>
    <w:p>
      <w:pPr>
        <w:pStyle w:val="BodyText"/>
        <w:spacing w:line="364" w:lineRule="auto" w:before="158"/>
        <w:ind w:left="478" w:right="425" w:firstLine="480"/>
        <w:jc w:val="both"/>
      </w:pPr>
      <w:r>
        <w:rPr/>
        <w:t>是一套海相陆源火山碎屑</w:t>
      </w:r>
      <w:r>
        <w:rPr>
          <w:rFonts w:ascii="Times New Roman" w:hAnsi="Times New Roman" w:eastAsia="Times New Roman"/>
        </w:rPr>
        <w:t>—</w:t>
      </w:r>
      <w:r>
        <w:rPr/>
        <w:t>碳酸盐建造，厚度大于 </w:t>
      </w:r>
      <w:r>
        <w:rPr>
          <w:rFonts w:ascii="Times New Roman" w:hAnsi="Times New Roman" w:eastAsia="Times New Roman"/>
        </w:rPr>
        <w:t>4000 </w:t>
      </w:r>
      <w:r>
        <w:rPr/>
        <w:t>米，是该地区煤系地层基底。本组岩性主要由暗褐色黑云、斜长片麻岩，辉石麻粒岩，石墨片岩，透辉大理岩， 磁铁石英岩等组成，遭受强烈混合岩化。</w:t>
      </w:r>
    </w:p>
    <w:p>
      <w:pPr>
        <w:pStyle w:val="ListParagraph"/>
        <w:numPr>
          <w:ilvl w:val="0"/>
          <w:numId w:val="22"/>
        </w:numPr>
        <w:tabs>
          <w:tab w:pos="1560" w:val="left" w:leader="none"/>
        </w:tabs>
        <w:spacing w:line="307" w:lineRule="exact" w:before="0" w:after="0"/>
        <w:ind w:left="1559" w:right="0" w:hanging="602"/>
        <w:jc w:val="left"/>
        <w:rPr>
          <w:sz w:val="24"/>
        </w:rPr>
      </w:pPr>
      <w:r>
        <w:rPr>
          <w:sz w:val="24"/>
        </w:rPr>
        <w:t>古生界泥盆系中统黑山组</w:t>
      </w:r>
    </w:p>
    <w:p>
      <w:pPr>
        <w:pStyle w:val="BodyText"/>
        <w:spacing w:line="362" w:lineRule="auto" w:before="161"/>
        <w:ind w:left="478" w:right="477" w:firstLine="480"/>
      </w:pPr>
      <w:r>
        <w:rPr>
          <w:spacing w:val="-12"/>
        </w:rPr>
        <w:t>厚度大于 </w:t>
      </w:r>
      <w:r>
        <w:rPr>
          <w:rFonts w:ascii="Times New Roman" w:eastAsia="Times New Roman"/>
        </w:rPr>
        <w:t>250 </w:t>
      </w:r>
      <w:r>
        <w:rPr>
          <w:spacing w:val="-8"/>
        </w:rPr>
        <w:t>米，岩性为凝灰质砂页岩、砂岩。结晶灰岩，夹有中酸性火山角砾岩</w:t>
      </w:r>
      <w:r>
        <w:rPr/>
        <w:t>等组成。</w:t>
      </w:r>
    </w:p>
    <w:p>
      <w:pPr>
        <w:pStyle w:val="ListParagraph"/>
        <w:numPr>
          <w:ilvl w:val="0"/>
          <w:numId w:val="22"/>
        </w:numPr>
        <w:tabs>
          <w:tab w:pos="1560" w:val="left" w:leader="none"/>
        </w:tabs>
        <w:spacing w:line="240" w:lineRule="auto" w:before="2" w:after="0"/>
        <w:ind w:left="1559" w:right="0" w:hanging="602"/>
        <w:jc w:val="left"/>
        <w:rPr>
          <w:sz w:val="24"/>
        </w:rPr>
      </w:pPr>
      <w:r>
        <w:rPr>
          <w:sz w:val="24"/>
        </w:rPr>
        <w:t>中生界侏罗系中统绥缤组</w:t>
      </w:r>
    </w:p>
    <w:p>
      <w:pPr>
        <w:pStyle w:val="BodyText"/>
        <w:spacing w:before="161"/>
        <w:ind w:left="958"/>
      </w:pPr>
      <w:r>
        <w:rPr>
          <w:spacing w:val="-2"/>
        </w:rPr>
        <w:t>是一套海相沉积建造，岩性主要由深灰色略带绿色粉砂岩，单层厚度达 </w:t>
      </w:r>
      <w:r>
        <w:rPr>
          <w:rFonts w:ascii="Times New Roman" w:eastAsia="Times New Roman"/>
        </w:rPr>
        <w:t>120 </w:t>
      </w:r>
      <w:r>
        <w:rPr/>
        <w:t>余米，</w:t>
      </w:r>
    </w:p>
    <w:p>
      <w:pPr>
        <w:pStyle w:val="BodyText"/>
        <w:spacing w:before="160"/>
        <w:ind w:left="51" w:right="1"/>
        <w:jc w:val="center"/>
      </w:pPr>
      <w:r>
        <w:rPr>
          <w:spacing w:val="-5"/>
        </w:rPr>
        <w:t>夹有薄层细砂岩，控制厚度 </w:t>
      </w:r>
      <w:r>
        <w:rPr>
          <w:rFonts w:ascii="Times New Roman" w:eastAsia="Times New Roman"/>
        </w:rPr>
        <w:t>480 </w:t>
      </w:r>
      <w:r>
        <w:rPr/>
        <w:t>米，该组地层中富含双壳类海相化石及沟鞭藻类化石。</w:t>
      </w:r>
    </w:p>
    <w:p>
      <w:pPr>
        <w:pStyle w:val="ListParagraph"/>
        <w:numPr>
          <w:ilvl w:val="0"/>
          <w:numId w:val="22"/>
        </w:numPr>
        <w:tabs>
          <w:tab w:pos="1560" w:val="left" w:leader="none"/>
        </w:tabs>
        <w:spacing w:line="240" w:lineRule="auto" w:before="158" w:after="0"/>
        <w:ind w:left="1559" w:right="0" w:hanging="602"/>
        <w:jc w:val="left"/>
        <w:rPr>
          <w:sz w:val="24"/>
        </w:rPr>
      </w:pPr>
      <w:r>
        <w:rPr>
          <w:sz w:val="24"/>
        </w:rPr>
        <w:t>侏罗系上统东荣组</w:t>
      </w:r>
    </w:p>
    <w:p>
      <w:pPr>
        <w:pStyle w:val="BodyText"/>
        <w:spacing w:line="362" w:lineRule="auto" w:before="161"/>
        <w:ind w:left="478" w:right="414" w:firstLine="480"/>
      </w:pPr>
      <w:r>
        <w:rPr/>
        <w:t>同下伏绥滨组为整合接触，是一套滨海相沉积，岩性主要由厚层深灰色粉砂岩及黑色泥岩为主，最大厚度 </w:t>
      </w:r>
      <w:r>
        <w:rPr>
          <w:rFonts w:ascii="Times New Roman" w:eastAsia="Times New Roman"/>
        </w:rPr>
        <w:t>450 </w:t>
      </w:r>
      <w:r>
        <w:rPr/>
        <w:t>米，夹有薄层细砂岩组成。含有丰富的各门类化石。</w:t>
      </w:r>
    </w:p>
    <w:p>
      <w:pPr>
        <w:pStyle w:val="ListParagraph"/>
        <w:numPr>
          <w:ilvl w:val="0"/>
          <w:numId w:val="22"/>
        </w:numPr>
        <w:tabs>
          <w:tab w:pos="1560" w:val="left" w:leader="none"/>
        </w:tabs>
        <w:spacing w:line="240" w:lineRule="auto" w:before="5" w:after="0"/>
        <w:ind w:left="1559" w:right="0" w:hanging="602"/>
        <w:jc w:val="left"/>
        <w:rPr>
          <w:sz w:val="24"/>
        </w:rPr>
      </w:pPr>
      <w:r>
        <w:rPr>
          <w:sz w:val="24"/>
        </w:rPr>
        <w:t>白垩系下统城子河组</w:t>
      </w:r>
    </w:p>
    <w:p>
      <w:pPr>
        <w:spacing w:after="0" w:line="240" w:lineRule="auto"/>
        <w:jc w:val="left"/>
        <w:rPr>
          <w:sz w:val="24"/>
        </w:rPr>
        <w:sectPr>
          <w:pgSz w:w="11910" w:h="16840"/>
          <w:pgMar w:header="0" w:footer="913" w:top="1400" w:bottom="1180" w:left="940" w:right="940"/>
        </w:sectPr>
      </w:pPr>
    </w:p>
    <w:p>
      <w:pPr>
        <w:pStyle w:val="BodyText"/>
        <w:spacing w:before="61"/>
        <w:ind w:left="958"/>
      </w:pPr>
      <w:r>
        <w:rPr>
          <w:spacing w:val="-5"/>
        </w:rPr>
        <w:t>是双鸭山地区的主要含煤地层，控制厚度在安邦河地区 </w:t>
      </w:r>
      <w:r>
        <w:rPr>
          <w:rFonts w:ascii="Times New Roman" w:eastAsia="Times New Roman"/>
        </w:rPr>
        <w:t>550 </w:t>
      </w:r>
      <w:r>
        <w:rPr>
          <w:spacing w:val="-5"/>
        </w:rPr>
        <w:t>米，而往东到七星河地</w:t>
      </w:r>
    </w:p>
    <w:p>
      <w:pPr>
        <w:pStyle w:val="BodyText"/>
        <w:spacing w:before="158"/>
        <w:ind w:left="478"/>
      </w:pPr>
      <w:r>
        <w:rPr>
          <w:spacing w:val="-8"/>
        </w:rPr>
        <w:t>区，最厚达 </w:t>
      </w:r>
      <w:r>
        <w:rPr>
          <w:rFonts w:ascii="Times New Roman" w:eastAsia="Times New Roman"/>
        </w:rPr>
        <w:t>850</w:t>
      </w:r>
      <w:r>
        <w:rPr>
          <w:rFonts w:ascii="Times New Roman" w:eastAsia="Times New Roman"/>
          <w:spacing w:val="15"/>
        </w:rPr>
        <w:t> </w:t>
      </w:r>
      <w:r>
        <w:rPr>
          <w:spacing w:val="-3"/>
        </w:rPr>
        <w:t>余米，是一套非海相碎屑岩组。含煤 </w:t>
      </w:r>
      <w:r>
        <w:rPr>
          <w:rFonts w:ascii="Times New Roman" w:eastAsia="Times New Roman"/>
        </w:rPr>
        <w:t>40</w:t>
      </w:r>
      <w:r>
        <w:rPr>
          <w:rFonts w:ascii="Times New Roman" w:eastAsia="Times New Roman"/>
          <w:spacing w:val="15"/>
        </w:rPr>
        <w:t> </w:t>
      </w:r>
      <w:r>
        <w:rPr/>
        <w:t>余层，其中可采煤层发育由西</w:t>
      </w:r>
    </w:p>
    <w:p>
      <w:pPr>
        <w:pStyle w:val="BodyText"/>
        <w:spacing w:line="364" w:lineRule="auto" w:before="161"/>
        <w:ind w:left="478" w:right="476"/>
      </w:pPr>
      <w:r>
        <w:rPr/>
        <w:t>往东逐渐增多，岩性主要由深灰色粉砂岩、灰白色中细砂岩组成，夹有 </w:t>
      </w:r>
      <w:r>
        <w:rPr>
          <w:rFonts w:ascii="Times New Roman" w:eastAsia="Times New Roman"/>
        </w:rPr>
        <w:t>10 </w:t>
      </w:r>
      <w:r>
        <w:rPr/>
        <w:t>多层绿色凝灰岩。</w:t>
      </w:r>
    </w:p>
    <w:p>
      <w:pPr>
        <w:pStyle w:val="ListParagraph"/>
        <w:numPr>
          <w:ilvl w:val="0"/>
          <w:numId w:val="22"/>
        </w:numPr>
        <w:tabs>
          <w:tab w:pos="1560" w:val="left" w:leader="none"/>
        </w:tabs>
        <w:spacing w:line="306" w:lineRule="exact" w:before="0" w:after="0"/>
        <w:ind w:left="1559" w:right="0" w:hanging="602"/>
        <w:jc w:val="left"/>
        <w:rPr>
          <w:sz w:val="24"/>
        </w:rPr>
      </w:pPr>
      <w:r>
        <w:rPr>
          <w:sz w:val="24"/>
        </w:rPr>
        <w:t>白垩系下统穆棱组</w:t>
      </w:r>
    </w:p>
    <w:p>
      <w:pPr>
        <w:pStyle w:val="BodyText"/>
        <w:spacing w:before="160"/>
        <w:ind w:left="958"/>
      </w:pPr>
      <w:r>
        <w:rPr/>
        <w:t>是一套深水湖泊相沉积地层，控制厚度 </w:t>
      </w:r>
      <w:r>
        <w:rPr>
          <w:rFonts w:ascii="Times New Roman" w:eastAsia="Times New Roman"/>
        </w:rPr>
        <w:t>700 </w:t>
      </w:r>
      <w:r>
        <w:rPr/>
        <w:t>余米，岩性主要由厚层深灰色粉砂岩与</w:t>
      </w:r>
    </w:p>
    <w:p>
      <w:pPr>
        <w:pStyle w:val="BodyText"/>
        <w:spacing w:before="158"/>
        <w:ind w:left="478"/>
      </w:pPr>
      <w:r>
        <w:rPr/>
        <w:t>厚层黑灰色泥岩为主，夹有薄层细砂岩组成，含有 </w:t>
      </w:r>
      <w:r>
        <w:rPr>
          <w:rFonts w:ascii="Times New Roman" w:hAnsi="Times New Roman" w:eastAsia="Times New Roman"/>
        </w:rPr>
        <w:t>3—4 </w:t>
      </w:r>
      <w:r>
        <w:rPr/>
        <w:t>层薄煤，均不可采。</w:t>
      </w:r>
    </w:p>
    <w:p>
      <w:pPr>
        <w:pStyle w:val="ListParagraph"/>
        <w:numPr>
          <w:ilvl w:val="0"/>
          <w:numId w:val="22"/>
        </w:numPr>
        <w:tabs>
          <w:tab w:pos="1560" w:val="left" w:leader="none"/>
        </w:tabs>
        <w:spacing w:line="240" w:lineRule="auto" w:before="161" w:after="0"/>
        <w:ind w:left="1559" w:right="0" w:hanging="602"/>
        <w:jc w:val="left"/>
        <w:rPr>
          <w:sz w:val="24"/>
        </w:rPr>
      </w:pPr>
      <w:r>
        <w:rPr>
          <w:sz w:val="24"/>
        </w:rPr>
        <w:t>白垩系下统东山组</w:t>
      </w:r>
    </w:p>
    <w:p>
      <w:pPr>
        <w:pStyle w:val="BodyText"/>
        <w:spacing w:line="364" w:lineRule="auto" w:before="158"/>
        <w:ind w:left="478" w:right="417" w:firstLine="480"/>
      </w:pPr>
      <w:r>
        <w:rPr/>
        <w:t>岩性主要由安山角砾凝灰岩、凝灰角砾岩、厚层粉砂岩、泥岩等组成，控制最大厚度 </w:t>
      </w:r>
      <w:r>
        <w:rPr>
          <w:rFonts w:ascii="Times New Roman" w:eastAsia="Times New Roman"/>
        </w:rPr>
        <w:t>650 </w:t>
      </w:r>
      <w:r>
        <w:rPr/>
        <w:t>余米。不整合覆于穆棱组、城子河组之上。</w:t>
      </w:r>
    </w:p>
    <w:p>
      <w:pPr>
        <w:pStyle w:val="ListParagraph"/>
        <w:numPr>
          <w:ilvl w:val="0"/>
          <w:numId w:val="22"/>
        </w:numPr>
        <w:tabs>
          <w:tab w:pos="1560" w:val="left" w:leader="none"/>
        </w:tabs>
        <w:spacing w:line="306" w:lineRule="exact" w:before="0" w:after="0"/>
        <w:ind w:left="1559" w:right="0" w:hanging="602"/>
        <w:jc w:val="left"/>
        <w:rPr>
          <w:sz w:val="24"/>
        </w:rPr>
      </w:pPr>
      <w:r>
        <w:rPr>
          <w:sz w:val="24"/>
        </w:rPr>
        <w:t>白垩系上统松木河组</w:t>
      </w:r>
    </w:p>
    <w:p>
      <w:pPr>
        <w:pStyle w:val="BodyText"/>
        <w:spacing w:line="362" w:lineRule="auto" w:before="160"/>
        <w:ind w:left="478" w:right="477" w:firstLine="480"/>
      </w:pPr>
      <w:r>
        <w:rPr>
          <w:spacing w:val="-5"/>
        </w:rPr>
        <w:t>不整合覆于城子河组穆棱组之上，岩性主要由灰绿色、紫红色安山玢岩、凝灰质熔</w:t>
      </w:r>
      <w:r>
        <w:rPr>
          <w:spacing w:val="-4"/>
        </w:rPr>
        <w:t>岩、米黄色流纹岩等组成，厚度大于 </w:t>
      </w:r>
      <w:r>
        <w:rPr>
          <w:rFonts w:ascii="Times New Roman" w:eastAsia="Times New Roman"/>
        </w:rPr>
        <w:t>250 </w:t>
      </w:r>
      <w:r>
        <w:rPr/>
        <w:t>米。</w:t>
      </w:r>
    </w:p>
    <w:p>
      <w:pPr>
        <w:pStyle w:val="ListParagraph"/>
        <w:numPr>
          <w:ilvl w:val="0"/>
          <w:numId w:val="22"/>
        </w:numPr>
        <w:tabs>
          <w:tab w:pos="1560" w:val="left" w:leader="none"/>
        </w:tabs>
        <w:spacing w:line="240" w:lineRule="auto" w:before="5" w:after="0"/>
        <w:ind w:left="1559" w:right="0" w:hanging="602"/>
        <w:jc w:val="left"/>
        <w:rPr>
          <w:sz w:val="24"/>
        </w:rPr>
      </w:pPr>
      <w:r>
        <w:rPr>
          <w:sz w:val="24"/>
        </w:rPr>
        <w:t>新生界下新近系宝泉岭组</w:t>
      </w:r>
    </w:p>
    <w:p>
      <w:pPr>
        <w:pStyle w:val="BodyText"/>
        <w:spacing w:line="362" w:lineRule="auto" w:before="161"/>
        <w:ind w:left="478" w:right="477" w:firstLine="480"/>
      </w:pPr>
      <w:r>
        <w:rPr>
          <w:spacing w:val="-9"/>
        </w:rPr>
        <w:t>钻孔控制厚度 </w:t>
      </w:r>
      <w:r>
        <w:rPr>
          <w:rFonts w:ascii="Times New Roman" w:eastAsia="Times New Roman"/>
        </w:rPr>
        <w:t>380 </w:t>
      </w:r>
      <w:r>
        <w:rPr>
          <w:spacing w:val="-8"/>
        </w:rPr>
        <w:t>余米，含多层可采褐煤，岩性以黑褐色泥岩，粉砂岩含砾粗砂岩</w:t>
      </w:r>
      <w:r>
        <w:rPr/>
        <w:t>等组成。</w:t>
      </w:r>
    </w:p>
    <w:p>
      <w:pPr>
        <w:pStyle w:val="ListParagraph"/>
        <w:numPr>
          <w:ilvl w:val="0"/>
          <w:numId w:val="22"/>
        </w:numPr>
        <w:tabs>
          <w:tab w:pos="1680" w:val="left" w:leader="none"/>
        </w:tabs>
        <w:spacing w:line="240" w:lineRule="auto" w:before="5" w:after="0"/>
        <w:ind w:left="1679" w:right="0" w:hanging="722"/>
        <w:jc w:val="left"/>
        <w:rPr>
          <w:sz w:val="24"/>
        </w:rPr>
      </w:pPr>
      <w:r>
        <w:rPr>
          <w:sz w:val="24"/>
        </w:rPr>
        <w:t>新生界上第三系富锦组</w:t>
      </w:r>
    </w:p>
    <w:p>
      <w:pPr>
        <w:pStyle w:val="BodyText"/>
        <w:spacing w:line="362" w:lineRule="auto" w:before="158"/>
        <w:ind w:left="478" w:right="477" w:firstLine="480"/>
      </w:pPr>
      <w:r>
        <w:rPr>
          <w:spacing w:val="-7"/>
        </w:rPr>
        <w:t>不整合于穆棱组、城子河组地层之上，岩性以细砂岩、中砂岩、泥岩为主，控制最</w:t>
      </w:r>
      <w:r>
        <w:rPr>
          <w:spacing w:val="-12"/>
        </w:rPr>
        <w:t>大厚度达 </w:t>
      </w:r>
      <w:r>
        <w:rPr>
          <w:rFonts w:ascii="Times New Roman" w:eastAsia="Times New Roman"/>
        </w:rPr>
        <w:t>500 </w:t>
      </w:r>
      <w:r>
        <w:rPr/>
        <w:t>余米，含有褐煤多层均未达到可采厚度。</w:t>
      </w:r>
    </w:p>
    <w:p>
      <w:pPr>
        <w:pStyle w:val="ListParagraph"/>
        <w:numPr>
          <w:ilvl w:val="0"/>
          <w:numId w:val="22"/>
        </w:numPr>
        <w:tabs>
          <w:tab w:pos="1670" w:val="left" w:leader="none"/>
        </w:tabs>
        <w:spacing w:line="240" w:lineRule="auto" w:before="5" w:after="0"/>
        <w:ind w:left="1669" w:right="0" w:hanging="712"/>
        <w:jc w:val="left"/>
        <w:rPr>
          <w:sz w:val="24"/>
        </w:rPr>
      </w:pPr>
      <w:r>
        <w:rPr>
          <w:sz w:val="24"/>
        </w:rPr>
        <w:t>第四系全新统地层</w:t>
      </w:r>
    </w:p>
    <w:p>
      <w:pPr>
        <w:pStyle w:val="BodyText"/>
        <w:spacing w:before="160"/>
        <w:ind w:left="958"/>
      </w:pPr>
      <w:r>
        <w:rPr>
          <w:rFonts w:ascii="Times New Roman" w:eastAsia="Times New Roman"/>
        </w:rPr>
        <w:t>2</w:t>
      </w:r>
      <w:r>
        <w:rPr/>
        <w:t>、区域构造</w:t>
      </w:r>
    </w:p>
    <w:p>
      <w:pPr>
        <w:pStyle w:val="BodyText"/>
        <w:spacing w:line="364" w:lineRule="auto" w:before="158"/>
        <w:ind w:left="478" w:right="477" w:firstLine="480"/>
        <w:jc w:val="both"/>
      </w:pPr>
      <w:r>
        <w:rPr>
          <w:spacing w:val="-4"/>
        </w:rPr>
        <w:t>双鸭山煤田位于三江—穆棱河聚煤区的西南部。三江—穆棱河聚煤区属新华夏系第</w:t>
      </w:r>
      <w:r>
        <w:rPr>
          <w:spacing w:val="-5"/>
        </w:rPr>
        <w:t>二隆起带上的一个拗折带，东邻那丹哈达岭燕山期褶皱带，西侧是林口—悦来镇海西期</w:t>
      </w:r>
      <w:r>
        <w:rPr>
          <w:spacing w:val="-7"/>
        </w:rPr>
        <w:t>凸起，是从印支期发育起来的一个中生代弧形拗折带，从下白垩世开始沉积城子河组和</w:t>
      </w:r>
      <w:r>
        <w:rPr/>
        <w:t>穆棱组含煤地层。</w:t>
      </w:r>
    </w:p>
    <w:p>
      <w:pPr>
        <w:pStyle w:val="BodyText"/>
        <w:spacing w:line="364" w:lineRule="auto"/>
        <w:ind w:left="478" w:right="357" w:firstLine="480"/>
      </w:pPr>
      <w:r>
        <w:rPr>
          <w:spacing w:val="-13"/>
        </w:rPr>
        <w:t>双鸭山煤田总体形态，处于安邦河—七星河弧形复式向斜的中段，南侧为双桦煤田， </w:t>
      </w:r>
      <w:r>
        <w:rPr>
          <w:spacing w:val="-5"/>
        </w:rPr>
        <w:t>北侧为集贤煤田。双鸭山煤田是一个东西向展布的弧形向斜构造，地层倾角南翼陡、北翼缓，被后期的双鸭山—宝清七星镇弧形逆冲断层（双鸭山煤田南部断层）切割破坏， 是改造双鸭山煤田现存格局的主干断裂。</w:t>
      </w:r>
    </w:p>
    <w:p>
      <w:pPr>
        <w:pStyle w:val="BodyText"/>
        <w:spacing w:line="305" w:lineRule="exact"/>
        <w:ind w:left="958"/>
      </w:pPr>
      <w:r>
        <w:rPr>
          <w:rFonts w:ascii="Times New Roman" w:eastAsia="Times New Roman"/>
        </w:rPr>
        <w:t>3</w:t>
      </w:r>
      <w:r>
        <w:rPr/>
        <w:t>、岩浆岩</w:t>
      </w:r>
    </w:p>
    <w:p>
      <w:pPr>
        <w:spacing w:after="0" w:line="305" w:lineRule="exact"/>
        <w:sectPr>
          <w:pgSz w:w="11910" w:h="16840"/>
          <w:pgMar w:header="0" w:footer="913" w:top="1340" w:bottom="1180" w:left="940" w:right="940"/>
        </w:sectPr>
      </w:pPr>
    </w:p>
    <w:p>
      <w:pPr>
        <w:pStyle w:val="BodyText"/>
        <w:spacing w:line="364" w:lineRule="auto" w:before="41"/>
        <w:ind w:left="478" w:right="357" w:firstLine="480"/>
      </w:pPr>
      <w:r>
        <w:rPr>
          <w:spacing w:val="-13"/>
        </w:rPr>
        <w:t>该矿区的岩浆活动频繁，主要是中性侵入岩体。其形成年代是中生代在成煤的后期。</w:t>
      </w:r>
      <w:r>
        <w:rPr>
          <w:spacing w:val="-4"/>
        </w:rPr>
        <w:t>其产状主要是以岩床、岩墙或岩脉形式产出，岩性为闪长岩类，沿着西部断层上升并侵入到含煤地层中，使其质变劣。如在矿区北部的</w:t>
      </w:r>
      <w:r>
        <w:rPr>
          <w:rFonts w:ascii="Times New Roman" w:hAnsi="Times New Roman" w:eastAsia="Times New Roman"/>
          <w:spacing w:val="-4"/>
        </w:rPr>
        <w:t>57—130</w:t>
      </w:r>
      <w:r>
        <w:rPr>
          <w:spacing w:val="-4"/>
        </w:rPr>
        <w:t>号钻孔</w:t>
      </w:r>
      <w:r>
        <w:rPr>
          <w:rFonts w:ascii="Times New Roman" w:hAnsi="Times New Roman" w:eastAsia="Times New Roman"/>
          <w:spacing w:val="-4"/>
        </w:rPr>
        <w:t>20</w:t>
      </w:r>
      <w:r>
        <w:rPr>
          <w:spacing w:val="-4"/>
        </w:rPr>
        <w:t>煤层在精查地质报告</w:t>
      </w:r>
      <w:r>
        <w:rPr>
          <w:spacing w:val="-8"/>
        </w:rPr>
        <w:t>中就推断是闪长岩的隆起边缘带，通过生产补充勘探比如</w:t>
      </w:r>
      <w:r>
        <w:rPr>
          <w:rFonts w:ascii="Times New Roman" w:hAnsi="Times New Roman" w:eastAsia="Times New Roman"/>
        </w:rPr>
        <w:t>20</w:t>
      </w:r>
      <w:r>
        <w:rPr/>
        <w:t>煤层位于矿区东北部附近的第Ⅱ地质勘探线的</w:t>
      </w:r>
      <w:r>
        <w:rPr>
          <w:rFonts w:ascii="Times New Roman" w:hAnsi="Times New Roman" w:eastAsia="Times New Roman"/>
        </w:rPr>
        <w:t>2007-6</w:t>
      </w:r>
      <w:r>
        <w:rPr/>
        <w:t>号孔和第Ⅲ地质勘探线的</w:t>
      </w:r>
      <w:r>
        <w:rPr>
          <w:rFonts w:ascii="Times New Roman" w:hAnsi="Times New Roman" w:eastAsia="Times New Roman"/>
        </w:rPr>
        <w:t>2007-3</w:t>
      </w:r>
      <w:r>
        <w:rPr>
          <w:spacing w:val="-11"/>
        </w:rPr>
        <w:t>号孔均被火成岩侵蚀。经推断， </w:t>
      </w:r>
      <w:r>
        <w:rPr/>
        <w:t>火成岩侵蚀面积达</w:t>
      </w:r>
      <w:r>
        <w:rPr>
          <w:rFonts w:ascii="Times New Roman" w:hAnsi="Times New Roman" w:eastAsia="Times New Roman"/>
        </w:rPr>
        <w:t>25678</w:t>
      </w:r>
      <w:r>
        <w:rPr/>
        <w:t>平方米。这和附近的秃顶山闪长岩突起有密切的关联。</w:t>
      </w:r>
    </w:p>
    <w:p>
      <w:pPr>
        <w:pStyle w:val="BodyText"/>
        <w:spacing w:line="304" w:lineRule="exact"/>
        <w:ind w:left="958"/>
      </w:pPr>
      <w:r>
        <w:rPr/>
        <w:t>矿区南部经原东盛主、副井证实也存有火成岩。</w:t>
      </w:r>
    </w:p>
    <w:p>
      <w:pPr>
        <w:pStyle w:val="BodyText"/>
        <w:spacing w:before="161"/>
        <w:ind w:left="958"/>
      </w:pPr>
      <w:r>
        <w:rPr>
          <w:rFonts w:ascii="Times New Roman" w:eastAsia="Times New Roman"/>
        </w:rPr>
        <w:t>4</w:t>
      </w:r>
      <w:r>
        <w:rPr/>
        <w:t>、矿区地质</w:t>
      </w:r>
    </w:p>
    <w:p>
      <w:pPr>
        <w:pStyle w:val="ListParagraph"/>
        <w:numPr>
          <w:ilvl w:val="0"/>
          <w:numId w:val="23"/>
        </w:numPr>
        <w:tabs>
          <w:tab w:pos="1560" w:val="left" w:leader="none"/>
        </w:tabs>
        <w:spacing w:line="240" w:lineRule="auto" w:before="158" w:after="0"/>
        <w:ind w:left="1559" w:right="0" w:hanging="602"/>
        <w:jc w:val="left"/>
        <w:rPr>
          <w:sz w:val="24"/>
        </w:rPr>
      </w:pPr>
      <w:r>
        <w:rPr>
          <w:sz w:val="24"/>
        </w:rPr>
        <w:t>地层</w:t>
      </w:r>
    </w:p>
    <w:p>
      <w:pPr>
        <w:pStyle w:val="BodyText"/>
        <w:spacing w:before="160"/>
        <w:ind w:left="958"/>
      </w:pPr>
      <w:r>
        <w:rPr/>
        <w:t>该整合矿区范围地层较为简单，见表</w:t>
      </w:r>
      <w:r>
        <w:rPr>
          <w:rFonts w:ascii="Times New Roman" w:eastAsia="Times New Roman"/>
        </w:rPr>
        <w:t>3.3-5</w:t>
      </w:r>
      <w:r>
        <w:rPr/>
        <w:t>。</w:t>
      </w:r>
    </w:p>
    <w:p>
      <w:pPr>
        <w:pStyle w:val="Heading4"/>
        <w:tabs>
          <w:tab w:pos="991" w:val="left" w:leader="none"/>
        </w:tabs>
        <w:spacing w:before="158"/>
        <w:ind w:left="9"/>
        <w:jc w:val="center"/>
      </w:pPr>
      <w:r>
        <w:rPr/>
        <w:t>表</w:t>
      </w:r>
      <w:r>
        <w:rPr>
          <w:rFonts w:ascii="Times New Roman" w:eastAsia="Times New Roman"/>
        </w:rPr>
        <w:t>3.3-5</w:t>
        <w:tab/>
      </w:r>
      <w:r>
        <w:rPr/>
        <w:t>整合矿区范围地层一览表</w:t>
      </w:r>
    </w:p>
    <w:p>
      <w:pPr>
        <w:pStyle w:val="BodyText"/>
        <w:spacing w:before="5" w:after="1"/>
        <w:rPr>
          <w:b/>
          <w:sz w:val="12"/>
        </w:rPr>
      </w:pPr>
    </w:p>
    <w:tbl>
      <w:tblPr>
        <w:tblW w:w="0" w:type="auto"/>
        <w:jc w:val="lef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0"/>
        <w:gridCol w:w="1760"/>
        <w:gridCol w:w="1760"/>
        <w:gridCol w:w="1760"/>
        <w:gridCol w:w="1760"/>
      </w:tblGrid>
      <w:tr>
        <w:trPr>
          <w:trHeight w:val="427" w:hRule="atLeast"/>
        </w:trPr>
        <w:tc>
          <w:tcPr>
            <w:tcW w:w="1760" w:type="dxa"/>
          </w:tcPr>
          <w:p>
            <w:pPr>
              <w:pStyle w:val="TableParagraph"/>
              <w:spacing w:before="71"/>
              <w:ind w:left="90" w:right="77"/>
              <w:rPr>
                <w:sz w:val="22"/>
              </w:rPr>
            </w:pPr>
            <w:r>
              <w:rPr>
                <w:sz w:val="22"/>
              </w:rPr>
              <w:t>年代</w:t>
            </w:r>
          </w:p>
        </w:tc>
        <w:tc>
          <w:tcPr>
            <w:tcW w:w="3520" w:type="dxa"/>
            <w:gridSpan w:val="2"/>
          </w:tcPr>
          <w:p>
            <w:pPr>
              <w:pStyle w:val="TableParagraph"/>
              <w:spacing w:before="71"/>
              <w:ind w:left="1410" w:right="1397"/>
              <w:rPr>
                <w:sz w:val="22"/>
              </w:rPr>
            </w:pPr>
            <w:r>
              <w:rPr>
                <w:sz w:val="22"/>
              </w:rPr>
              <w:t>地层</w:t>
            </w:r>
          </w:p>
        </w:tc>
        <w:tc>
          <w:tcPr>
            <w:tcW w:w="1760" w:type="dxa"/>
          </w:tcPr>
          <w:p>
            <w:pPr>
              <w:pStyle w:val="TableParagraph"/>
              <w:spacing w:before="71"/>
              <w:ind w:left="660"/>
              <w:jc w:val="left"/>
              <w:rPr>
                <w:sz w:val="22"/>
              </w:rPr>
            </w:pPr>
            <w:r>
              <w:rPr>
                <w:sz w:val="22"/>
              </w:rPr>
              <w:t>符号</w:t>
            </w:r>
          </w:p>
        </w:tc>
        <w:tc>
          <w:tcPr>
            <w:tcW w:w="1760" w:type="dxa"/>
          </w:tcPr>
          <w:p>
            <w:pPr>
              <w:pStyle w:val="TableParagraph"/>
              <w:spacing w:before="71"/>
              <w:ind w:left="90" w:right="79"/>
              <w:rPr>
                <w:sz w:val="22"/>
              </w:rPr>
            </w:pPr>
            <w:r>
              <w:rPr>
                <w:sz w:val="22"/>
              </w:rPr>
              <w:t>地层厚度（米）</w:t>
            </w:r>
          </w:p>
        </w:tc>
      </w:tr>
      <w:tr>
        <w:trPr>
          <w:trHeight w:val="285" w:hRule="atLeast"/>
        </w:trPr>
        <w:tc>
          <w:tcPr>
            <w:tcW w:w="1760" w:type="dxa"/>
            <w:vMerge w:val="restart"/>
          </w:tcPr>
          <w:p>
            <w:pPr>
              <w:pStyle w:val="TableParagraph"/>
              <w:spacing w:before="148"/>
              <w:ind w:left="550"/>
              <w:jc w:val="left"/>
              <w:rPr>
                <w:sz w:val="22"/>
              </w:rPr>
            </w:pPr>
            <w:r>
              <w:rPr>
                <w:sz w:val="22"/>
              </w:rPr>
              <w:t>新生界</w:t>
            </w:r>
          </w:p>
        </w:tc>
        <w:tc>
          <w:tcPr>
            <w:tcW w:w="3520" w:type="dxa"/>
            <w:gridSpan w:val="2"/>
          </w:tcPr>
          <w:p>
            <w:pPr>
              <w:pStyle w:val="TableParagraph"/>
              <w:spacing w:line="263" w:lineRule="exact" w:before="2"/>
              <w:ind w:left="1410" w:right="1400"/>
              <w:rPr>
                <w:sz w:val="22"/>
              </w:rPr>
            </w:pPr>
            <w:r>
              <w:rPr>
                <w:sz w:val="22"/>
              </w:rPr>
              <w:t>第四系</w:t>
            </w:r>
          </w:p>
        </w:tc>
        <w:tc>
          <w:tcPr>
            <w:tcW w:w="1760" w:type="dxa"/>
          </w:tcPr>
          <w:p>
            <w:pPr>
              <w:pStyle w:val="TableParagraph"/>
              <w:spacing w:line="251" w:lineRule="exact" w:before="14"/>
              <w:ind w:left="744"/>
              <w:jc w:val="left"/>
              <w:rPr>
                <w:rFonts w:ascii="Times New Roman"/>
                <w:sz w:val="22"/>
              </w:rPr>
            </w:pPr>
            <w:r>
              <w:rPr>
                <w:rFonts w:ascii="Times New Roman"/>
                <w:sz w:val="22"/>
              </w:rPr>
              <w:t>Q4</w:t>
            </w:r>
          </w:p>
        </w:tc>
        <w:tc>
          <w:tcPr>
            <w:tcW w:w="1760" w:type="dxa"/>
          </w:tcPr>
          <w:p>
            <w:pPr>
              <w:pStyle w:val="TableParagraph"/>
              <w:spacing w:line="251" w:lineRule="exact" w:before="14"/>
              <w:ind w:left="88" w:right="79"/>
              <w:rPr>
                <w:rFonts w:ascii="Times New Roman"/>
                <w:sz w:val="22"/>
              </w:rPr>
            </w:pPr>
            <w:r>
              <w:rPr>
                <w:rFonts w:ascii="Times New Roman"/>
                <w:sz w:val="22"/>
              </w:rPr>
              <w:t>0.5-2.0</w:t>
            </w:r>
          </w:p>
        </w:tc>
      </w:tr>
      <w:tr>
        <w:trPr>
          <w:trHeight w:val="285" w:hRule="atLeast"/>
        </w:trPr>
        <w:tc>
          <w:tcPr>
            <w:tcW w:w="1760" w:type="dxa"/>
            <w:vMerge/>
            <w:tcBorders>
              <w:top w:val="nil"/>
            </w:tcBorders>
          </w:tcPr>
          <w:p>
            <w:pPr>
              <w:rPr>
                <w:sz w:val="2"/>
                <w:szCs w:val="2"/>
              </w:rPr>
            </w:pPr>
          </w:p>
        </w:tc>
        <w:tc>
          <w:tcPr>
            <w:tcW w:w="3520" w:type="dxa"/>
            <w:gridSpan w:val="2"/>
          </w:tcPr>
          <w:p>
            <w:pPr>
              <w:pStyle w:val="TableParagraph"/>
              <w:spacing w:line="263" w:lineRule="exact" w:before="2"/>
              <w:ind w:left="1410" w:right="1400"/>
              <w:rPr>
                <w:sz w:val="22"/>
              </w:rPr>
            </w:pPr>
            <w:r>
              <w:rPr>
                <w:sz w:val="22"/>
              </w:rPr>
              <w:t>新近系</w:t>
            </w:r>
          </w:p>
        </w:tc>
        <w:tc>
          <w:tcPr>
            <w:tcW w:w="1760" w:type="dxa"/>
          </w:tcPr>
          <w:p>
            <w:pPr>
              <w:pStyle w:val="TableParagraph"/>
              <w:spacing w:line="251" w:lineRule="exact" w:before="14"/>
              <w:ind w:left="689"/>
              <w:jc w:val="left"/>
              <w:rPr>
                <w:rFonts w:ascii="Times New Roman" w:hAnsi="Times New Roman"/>
                <w:sz w:val="22"/>
              </w:rPr>
            </w:pPr>
            <w:r>
              <w:rPr>
                <w:rFonts w:ascii="Times New Roman" w:hAnsi="Times New Roman"/>
                <w:sz w:val="22"/>
              </w:rPr>
              <w:t>βN2</w:t>
            </w:r>
          </w:p>
        </w:tc>
        <w:tc>
          <w:tcPr>
            <w:tcW w:w="1760" w:type="dxa"/>
          </w:tcPr>
          <w:p>
            <w:pPr>
              <w:pStyle w:val="TableParagraph"/>
              <w:spacing w:line="251" w:lineRule="exact" w:before="14"/>
              <w:ind w:left="90" w:right="79"/>
              <w:rPr>
                <w:rFonts w:ascii="Times New Roman"/>
                <w:sz w:val="22"/>
              </w:rPr>
            </w:pPr>
            <w:r>
              <w:rPr>
                <w:rFonts w:ascii="Times New Roman"/>
                <w:sz w:val="22"/>
              </w:rPr>
              <w:t>&lt;100</w:t>
            </w:r>
          </w:p>
        </w:tc>
      </w:tr>
      <w:tr>
        <w:trPr>
          <w:trHeight w:val="398" w:hRule="atLeast"/>
        </w:trPr>
        <w:tc>
          <w:tcPr>
            <w:tcW w:w="1760" w:type="dxa"/>
            <w:vMerge w:val="restart"/>
          </w:tcPr>
          <w:p>
            <w:pPr>
              <w:pStyle w:val="TableParagraph"/>
              <w:spacing w:before="1"/>
              <w:jc w:val="left"/>
              <w:rPr>
                <w:b/>
                <w:sz w:val="16"/>
              </w:rPr>
            </w:pPr>
          </w:p>
          <w:p>
            <w:pPr>
              <w:pStyle w:val="TableParagraph"/>
              <w:ind w:left="550"/>
              <w:jc w:val="left"/>
              <w:rPr>
                <w:sz w:val="22"/>
              </w:rPr>
            </w:pPr>
            <w:r>
              <w:rPr>
                <w:sz w:val="22"/>
              </w:rPr>
              <w:t>中生界</w:t>
            </w:r>
          </w:p>
        </w:tc>
        <w:tc>
          <w:tcPr>
            <w:tcW w:w="1760" w:type="dxa"/>
            <w:vMerge w:val="restart"/>
          </w:tcPr>
          <w:p>
            <w:pPr>
              <w:pStyle w:val="TableParagraph"/>
              <w:spacing w:before="1"/>
              <w:jc w:val="left"/>
              <w:rPr>
                <w:b/>
                <w:sz w:val="16"/>
              </w:rPr>
            </w:pPr>
          </w:p>
          <w:p>
            <w:pPr>
              <w:pStyle w:val="TableParagraph"/>
              <w:ind w:left="549"/>
              <w:jc w:val="left"/>
              <w:rPr>
                <w:sz w:val="22"/>
              </w:rPr>
            </w:pPr>
            <w:r>
              <w:rPr>
                <w:sz w:val="22"/>
              </w:rPr>
              <w:t>白垩系</w:t>
            </w:r>
          </w:p>
        </w:tc>
        <w:tc>
          <w:tcPr>
            <w:tcW w:w="1760" w:type="dxa"/>
          </w:tcPr>
          <w:p>
            <w:pPr>
              <w:pStyle w:val="TableParagraph"/>
              <w:spacing w:before="57"/>
              <w:ind w:left="86" w:right="79"/>
              <w:rPr>
                <w:sz w:val="22"/>
              </w:rPr>
            </w:pPr>
            <w:r>
              <w:rPr>
                <w:sz w:val="22"/>
              </w:rPr>
              <w:t>穆棱组</w:t>
            </w:r>
          </w:p>
        </w:tc>
        <w:tc>
          <w:tcPr>
            <w:tcW w:w="1760" w:type="dxa"/>
          </w:tcPr>
          <w:p>
            <w:pPr>
              <w:pStyle w:val="TableParagraph"/>
              <w:spacing w:before="72"/>
              <w:ind w:left="660"/>
              <w:jc w:val="left"/>
              <w:rPr>
                <w:rFonts w:ascii="Times New Roman"/>
                <w:sz w:val="22"/>
              </w:rPr>
            </w:pPr>
            <w:r>
              <w:rPr>
                <w:rFonts w:ascii="Times New Roman"/>
                <w:sz w:val="22"/>
              </w:rPr>
              <w:t>K1m</w:t>
            </w:r>
          </w:p>
        </w:tc>
        <w:tc>
          <w:tcPr>
            <w:tcW w:w="1760" w:type="dxa"/>
          </w:tcPr>
          <w:p>
            <w:pPr>
              <w:pStyle w:val="TableParagraph"/>
              <w:spacing w:before="72"/>
              <w:ind w:left="90" w:right="79"/>
              <w:rPr>
                <w:rFonts w:ascii="Times New Roman"/>
                <w:sz w:val="22"/>
              </w:rPr>
            </w:pPr>
            <w:r>
              <w:rPr>
                <w:rFonts w:ascii="Times New Roman"/>
                <w:sz w:val="22"/>
              </w:rPr>
              <w:t>350</w:t>
            </w:r>
          </w:p>
        </w:tc>
      </w:tr>
      <w:tr>
        <w:trPr>
          <w:trHeight w:val="286" w:hRule="atLeast"/>
        </w:trPr>
        <w:tc>
          <w:tcPr>
            <w:tcW w:w="1760" w:type="dxa"/>
            <w:vMerge/>
            <w:tcBorders>
              <w:top w:val="nil"/>
            </w:tcBorders>
          </w:tcPr>
          <w:p>
            <w:pPr>
              <w:rPr>
                <w:sz w:val="2"/>
                <w:szCs w:val="2"/>
              </w:rPr>
            </w:pPr>
          </w:p>
        </w:tc>
        <w:tc>
          <w:tcPr>
            <w:tcW w:w="1760" w:type="dxa"/>
            <w:vMerge/>
            <w:tcBorders>
              <w:top w:val="nil"/>
            </w:tcBorders>
          </w:tcPr>
          <w:p>
            <w:pPr>
              <w:rPr>
                <w:sz w:val="2"/>
                <w:szCs w:val="2"/>
              </w:rPr>
            </w:pPr>
          </w:p>
        </w:tc>
        <w:tc>
          <w:tcPr>
            <w:tcW w:w="1760" w:type="dxa"/>
          </w:tcPr>
          <w:p>
            <w:pPr>
              <w:pStyle w:val="TableParagraph"/>
              <w:spacing w:line="265" w:lineRule="exact" w:before="1"/>
              <w:ind w:left="90" w:right="78"/>
              <w:rPr>
                <w:sz w:val="22"/>
              </w:rPr>
            </w:pPr>
            <w:r>
              <w:rPr>
                <w:sz w:val="22"/>
              </w:rPr>
              <w:t>城子河组</w:t>
            </w:r>
          </w:p>
        </w:tc>
        <w:tc>
          <w:tcPr>
            <w:tcW w:w="1760" w:type="dxa"/>
          </w:tcPr>
          <w:p>
            <w:pPr>
              <w:pStyle w:val="TableParagraph"/>
              <w:spacing w:line="250" w:lineRule="exact" w:before="16"/>
              <w:ind w:left="665"/>
              <w:jc w:val="left"/>
              <w:rPr>
                <w:rFonts w:ascii="Times New Roman"/>
                <w:sz w:val="22"/>
              </w:rPr>
            </w:pPr>
            <w:r>
              <w:rPr>
                <w:rFonts w:ascii="Times New Roman"/>
                <w:sz w:val="22"/>
              </w:rPr>
              <w:t>Klch</w:t>
            </w:r>
          </w:p>
        </w:tc>
        <w:tc>
          <w:tcPr>
            <w:tcW w:w="1760" w:type="dxa"/>
          </w:tcPr>
          <w:p>
            <w:pPr>
              <w:pStyle w:val="TableParagraph"/>
              <w:spacing w:line="250" w:lineRule="exact" w:before="16"/>
              <w:ind w:left="90" w:right="79"/>
              <w:rPr>
                <w:rFonts w:ascii="Times New Roman"/>
                <w:sz w:val="22"/>
              </w:rPr>
            </w:pPr>
            <w:r>
              <w:rPr>
                <w:rFonts w:ascii="Times New Roman"/>
                <w:sz w:val="22"/>
              </w:rPr>
              <w:t>400</w:t>
            </w:r>
          </w:p>
        </w:tc>
      </w:tr>
      <w:tr>
        <w:trPr>
          <w:trHeight w:val="285" w:hRule="atLeast"/>
        </w:trPr>
        <w:tc>
          <w:tcPr>
            <w:tcW w:w="1760" w:type="dxa"/>
          </w:tcPr>
          <w:p>
            <w:pPr>
              <w:pStyle w:val="TableParagraph"/>
              <w:spacing w:line="265" w:lineRule="exact"/>
              <w:ind w:left="89" w:right="79"/>
              <w:rPr>
                <w:sz w:val="22"/>
              </w:rPr>
            </w:pPr>
            <w:r>
              <w:rPr>
                <w:sz w:val="22"/>
              </w:rPr>
              <w:t>元古界</w:t>
            </w:r>
          </w:p>
        </w:tc>
        <w:tc>
          <w:tcPr>
            <w:tcW w:w="3520" w:type="dxa"/>
            <w:gridSpan w:val="2"/>
          </w:tcPr>
          <w:p>
            <w:pPr>
              <w:pStyle w:val="TableParagraph"/>
              <w:spacing w:line="265" w:lineRule="exact"/>
              <w:ind w:left="1410" w:right="1400"/>
              <w:rPr>
                <w:sz w:val="22"/>
              </w:rPr>
            </w:pPr>
            <w:r>
              <w:rPr>
                <w:sz w:val="22"/>
              </w:rPr>
              <w:t>兴东群</w:t>
            </w:r>
          </w:p>
        </w:tc>
        <w:tc>
          <w:tcPr>
            <w:tcW w:w="1760" w:type="dxa"/>
          </w:tcPr>
          <w:p>
            <w:pPr>
              <w:pStyle w:val="TableParagraph"/>
              <w:spacing w:line="250" w:lineRule="exact" w:before="15"/>
              <w:ind w:left="672"/>
              <w:jc w:val="left"/>
              <w:rPr>
                <w:rFonts w:ascii="Times New Roman"/>
                <w:sz w:val="22"/>
              </w:rPr>
            </w:pPr>
            <w:r>
              <w:rPr>
                <w:rFonts w:ascii="Times New Roman"/>
                <w:sz w:val="22"/>
              </w:rPr>
              <w:t>Pilm</w:t>
            </w:r>
          </w:p>
        </w:tc>
        <w:tc>
          <w:tcPr>
            <w:tcW w:w="1760" w:type="dxa"/>
          </w:tcPr>
          <w:p>
            <w:pPr>
              <w:pStyle w:val="TableParagraph"/>
              <w:spacing w:line="250" w:lineRule="exact" w:before="15"/>
              <w:ind w:left="90" w:right="79"/>
              <w:rPr>
                <w:rFonts w:ascii="Times New Roman"/>
                <w:sz w:val="22"/>
              </w:rPr>
            </w:pPr>
            <w:r>
              <w:rPr>
                <w:rFonts w:ascii="Times New Roman"/>
                <w:sz w:val="22"/>
              </w:rPr>
              <w:t>4000</w:t>
            </w:r>
          </w:p>
        </w:tc>
      </w:tr>
    </w:tbl>
    <w:p>
      <w:pPr>
        <w:pStyle w:val="BodyText"/>
        <w:spacing w:line="364" w:lineRule="auto" w:before="2"/>
        <w:ind w:left="478" w:right="357" w:firstLine="480"/>
      </w:pPr>
      <w:r>
        <w:rPr>
          <w:spacing w:val="-3"/>
        </w:rPr>
        <w:t>整合矿区范围含煤地层为下白垩统穆棱组及城子河组，具有经济开采价值的煤层都</w:t>
      </w:r>
      <w:r>
        <w:rPr>
          <w:spacing w:val="-16"/>
        </w:rPr>
        <w:t>赋存在城子河组中，本次核实煤层赋存于城子河组，该岩组根据岩相组合及含煤性特征， </w:t>
      </w:r>
      <w:r>
        <w:rPr/>
        <w:t>划分上、下两个含煤层段。</w:t>
      </w:r>
    </w:p>
    <w:p>
      <w:pPr>
        <w:pStyle w:val="BodyText"/>
        <w:spacing w:line="364" w:lineRule="auto"/>
        <w:ind w:left="478" w:right="351" w:firstLine="480"/>
      </w:pPr>
      <w:r>
        <w:rPr>
          <w:spacing w:val="-6"/>
        </w:rPr>
        <w:t>上含煤段：是本区的主要含煤段，各可采煤层均赋存在此段内，上含煤段是从穆棱组底界面到该区的</w:t>
      </w:r>
      <w:r>
        <w:rPr>
          <w:rFonts w:ascii="Times New Roman" w:eastAsia="Times New Roman"/>
          <w:spacing w:val="-6"/>
        </w:rPr>
        <w:t>40</w:t>
      </w:r>
      <w:r>
        <w:rPr>
          <w:spacing w:val="-6"/>
        </w:rPr>
        <w:t>层底板之下</w:t>
      </w:r>
      <w:r>
        <w:rPr>
          <w:rFonts w:ascii="Times New Roman" w:eastAsia="Times New Roman"/>
          <w:spacing w:val="-6"/>
        </w:rPr>
        <w:t>10</w:t>
      </w:r>
      <w:r>
        <w:rPr>
          <w:spacing w:val="-6"/>
        </w:rPr>
        <w:t>余米处的一层含砾粗砂岩为界，控制厚度</w:t>
      </w:r>
      <w:r>
        <w:rPr>
          <w:rFonts w:ascii="Times New Roman" w:eastAsia="Times New Roman"/>
          <w:spacing w:val="-6"/>
        </w:rPr>
        <w:t>300</w:t>
      </w:r>
      <w:r>
        <w:rPr>
          <w:spacing w:val="-6"/>
        </w:rPr>
        <w:t>余米， 含煤</w:t>
      </w:r>
      <w:r>
        <w:rPr>
          <w:rFonts w:ascii="Times New Roman" w:eastAsia="Times New Roman"/>
          <w:spacing w:val="-6"/>
        </w:rPr>
        <w:t>15</w:t>
      </w:r>
      <w:r>
        <w:rPr>
          <w:spacing w:val="-4"/>
        </w:rPr>
        <w:t>层，其中可采及临近可采的煤层有</w:t>
      </w:r>
      <w:r>
        <w:rPr>
          <w:rFonts w:ascii="Times New Roman" w:eastAsia="Times New Roman"/>
        </w:rPr>
        <w:t>4</w:t>
      </w:r>
      <w:r>
        <w:rPr>
          <w:spacing w:val="-3"/>
        </w:rPr>
        <w:t>层，由上到下称为</w:t>
      </w:r>
      <w:r>
        <w:rPr>
          <w:rFonts w:ascii="Times New Roman" w:eastAsia="Times New Roman"/>
        </w:rPr>
        <w:t>5</w:t>
      </w:r>
      <w:r>
        <w:rPr>
          <w:spacing w:val="-8"/>
        </w:rPr>
        <w:t>、</w:t>
      </w:r>
      <w:r>
        <w:rPr>
          <w:rFonts w:ascii="Times New Roman" w:eastAsia="Times New Roman"/>
        </w:rPr>
        <w:t>10</w:t>
      </w:r>
      <w:r>
        <w:rPr>
          <w:spacing w:val="-8"/>
        </w:rPr>
        <w:t>、</w:t>
      </w:r>
      <w:r>
        <w:rPr>
          <w:rFonts w:ascii="Times New Roman" w:eastAsia="Times New Roman"/>
        </w:rPr>
        <w:t>15</w:t>
      </w:r>
      <w:r>
        <w:rPr>
          <w:spacing w:val="-8"/>
        </w:rPr>
        <w:t>、</w:t>
      </w:r>
      <w:r>
        <w:rPr>
          <w:rFonts w:ascii="Times New Roman" w:eastAsia="Times New Roman"/>
        </w:rPr>
        <w:t>20</w:t>
      </w:r>
      <w:r>
        <w:rPr>
          <w:spacing w:val="-8"/>
        </w:rPr>
        <w:t>、</w:t>
      </w:r>
      <w:r>
        <w:rPr>
          <w:rFonts w:ascii="Times New Roman" w:eastAsia="Times New Roman"/>
        </w:rPr>
        <w:t>30</w:t>
      </w:r>
      <w:r>
        <w:rPr>
          <w:spacing w:val="-8"/>
        </w:rPr>
        <w:t>、</w:t>
      </w:r>
      <w:r>
        <w:rPr>
          <w:rFonts w:ascii="Times New Roman" w:eastAsia="Times New Roman"/>
        </w:rPr>
        <w:t>40</w:t>
      </w:r>
      <w:r>
        <w:rPr/>
        <w:t>层</w:t>
      </w:r>
      <w:r>
        <w:rPr>
          <w:spacing w:val="-17"/>
        </w:rPr>
        <w:t>煤，在本区域内</w:t>
      </w:r>
      <w:r>
        <w:rPr>
          <w:rFonts w:ascii="Times New Roman" w:eastAsia="Times New Roman"/>
        </w:rPr>
        <w:t>5</w:t>
      </w:r>
      <w:r>
        <w:rPr/>
        <w:t>层只有</w:t>
      </w:r>
      <w:r>
        <w:rPr>
          <w:rFonts w:ascii="Times New Roman" w:eastAsia="Times New Roman"/>
        </w:rPr>
        <w:t>56</w:t>
      </w:r>
      <w:r>
        <w:rPr>
          <w:rFonts w:ascii="Times New Roman" w:eastAsia="Times New Roman"/>
          <w:spacing w:val="-1"/>
        </w:rPr>
        <w:t>-</w:t>
      </w:r>
      <w:r>
        <w:rPr>
          <w:rFonts w:ascii="Times New Roman" w:eastAsia="Times New Roman"/>
        </w:rPr>
        <w:t>87</w:t>
      </w:r>
      <w:r>
        <w:rPr/>
        <w:t>孔见煤厚</w:t>
      </w:r>
      <w:r>
        <w:rPr>
          <w:rFonts w:ascii="Times New Roman" w:eastAsia="Times New Roman"/>
        </w:rPr>
        <w:t>0.51</w:t>
      </w:r>
      <w:r>
        <w:rPr/>
        <w:t>和主井下山见</w:t>
      </w:r>
      <w:r>
        <w:rPr>
          <w:rFonts w:ascii="Times New Roman" w:eastAsia="Times New Roman"/>
          <w:spacing w:val="2"/>
        </w:rPr>
        <w:t>2</w:t>
      </w:r>
      <w:r>
        <w:rPr>
          <w:spacing w:val="-27"/>
        </w:rPr>
        <w:t>层，煤厚</w:t>
      </w:r>
      <w:r>
        <w:rPr>
          <w:rFonts w:ascii="Times New Roman" w:eastAsia="Times New Roman"/>
        </w:rPr>
        <w:t>0.55</w:t>
      </w:r>
      <w:r>
        <w:rPr>
          <w:spacing w:val="-51"/>
        </w:rPr>
        <w:t>米，</w:t>
      </w:r>
      <w:r>
        <w:rPr>
          <w:rFonts w:ascii="Times New Roman" w:eastAsia="Times New Roman"/>
        </w:rPr>
        <w:t>2007</w:t>
      </w:r>
      <w:r>
        <w:rPr>
          <w:rFonts w:ascii="Times New Roman" w:eastAsia="Times New Roman"/>
          <w:spacing w:val="-1"/>
        </w:rPr>
        <w:t>-</w:t>
      </w:r>
      <w:r>
        <w:rPr>
          <w:rFonts w:ascii="Times New Roman" w:eastAsia="Times New Roman"/>
        </w:rPr>
        <w:t>6</w:t>
      </w:r>
      <w:r>
        <w:rPr>
          <w:spacing w:val="-104"/>
        </w:rPr>
        <w:t>，</w:t>
      </w:r>
      <w:r>
        <w:rPr>
          <w:rFonts w:ascii="Times New Roman" w:eastAsia="Times New Roman"/>
        </w:rPr>
        <w:t>56</w:t>
      </w:r>
      <w:r>
        <w:rPr>
          <w:rFonts w:ascii="Times New Roman" w:eastAsia="Times New Roman"/>
          <w:spacing w:val="-1"/>
        </w:rPr>
        <w:t>-</w:t>
      </w:r>
      <w:r>
        <w:rPr>
          <w:rFonts w:ascii="Times New Roman" w:eastAsia="Times New Roman"/>
        </w:rPr>
        <w:t>8</w:t>
      </w:r>
      <w:r>
        <w:rPr>
          <w:rFonts w:ascii="Times New Roman" w:eastAsia="Times New Roman"/>
          <w:spacing w:val="2"/>
        </w:rPr>
        <w:t>4</w:t>
      </w:r>
      <w:r>
        <w:rPr>
          <w:spacing w:val="-13"/>
        </w:rPr>
        <w:t>、</w:t>
      </w:r>
      <w:r>
        <w:rPr>
          <w:spacing w:val="-13"/>
        </w:rPr>
        <w:t> </w:t>
      </w:r>
      <w:r>
        <w:rPr>
          <w:rFonts w:ascii="Times New Roman" w:eastAsia="Times New Roman"/>
        </w:rPr>
        <w:t>57-99</w:t>
      </w:r>
      <w:r>
        <w:rPr>
          <w:spacing w:val="-8"/>
        </w:rPr>
        <w:t>、</w:t>
      </w:r>
      <w:r>
        <w:rPr>
          <w:rFonts w:ascii="Times New Roman" w:eastAsia="Times New Roman"/>
        </w:rPr>
        <w:t>57-130</w:t>
      </w:r>
      <w:r>
        <w:rPr>
          <w:spacing w:val="-8"/>
        </w:rPr>
        <w:t>、</w:t>
      </w:r>
      <w:r>
        <w:rPr>
          <w:rFonts w:ascii="Times New Roman" w:eastAsia="Times New Roman"/>
        </w:rPr>
        <w:t>2007-1</w:t>
      </w:r>
      <w:r>
        <w:rPr>
          <w:spacing w:val="-10"/>
        </w:rPr>
        <w:t>、</w:t>
      </w:r>
      <w:r>
        <w:rPr>
          <w:rFonts w:ascii="Times New Roman" w:eastAsia="Times New Roman"/>
        </w:rPr>
        <w:t>2007-2</w:t>
      </w:r>
      <w:r>
        <w:rPr>
          <w:spacing w:val="-10"/>
        </w:rPr>
        <w:t>、</w:t>
      </w:r>
      <w:r>
        <w:rPr>
          <w:rFonts w:ascii="Times New Roman" w:eastAsia="Times New Roman"/>
        </w:rPr>
        <w:t>2007-4</w:t>
      </w:r>
      <w:r>
        <w:rPr>
          <w:spacing w:val="-8"/>
        </w:rPr>
        <w:t>、</w:t>
      </w:r>
      <w:r>
        <w:rPr>
          <w:rFonts w:ascii="Times New Roman" w:eastAsia="Times New Roman"/>
        </w:rPr>
        <w:t>2007-5</w:t>
      </w:r>
      <w:r>
        <w:rPr/>
        <w:t>等八个钻孔没见</w:t>
      </w:r>
      <w:r>
        <w:rPr>
          <w:rFonts w:ascii="Times New Roman" w:eastAsia="Times New Roman"/>
        </w:rPr>
        <w:t>5</w:t>
      </w:r>
      <w:r>
        <w:rPr>
          <w:spacing w:val="-3"/>
        </w:rPr>
        <w:t>层煤，在整合矿区内局部可采，</w:t>
      </w:r>
      <w:r>
        <w:rPr>
          <w:rFonts w:ascii="Times New Roman" w:eastAsia="Times New Roman"/>
          <w:spacing w:val="-3"/>
        </w:rPr>
        <w:t>12</w:t>
      </w:r>
      <w:r>
        <w:rPr>
          <w:spacing w:val="-3"/>
        </w:rPr>
        <w:t>个钻孔中、</w:t>
      </w:r>
      <w:r>
        <w:rPr>
          <w:rFonts w:ascii="Times New Roman" w:eastAsia="Times New Roman"/>
          <w:spacing w:val="-3"/>
        </w:rPr>
        <w:t>15</w:t>
      </w:r>
      <w:r>
        <w:rPr>
          <w:spacing w:val="-3"/>
        </w:rPr>
        <w:t>层煤厚小于</w:t>
      </w:r>
      <w:r>
        <w:rPr>
          <w:rFonts w:ascii="Times New Roman" w:eastAsia="Times New Roman"/>
          <w:spacing w:val="-3"/>
        </w:rPr>
        <w:t>0.41</w:t>
      </w:r>
      <w:r>
        <w:rPr>
          <w:spacing w:val="-3"/>
        </w:rPr>
        <w:t>米。该段岩性由深灰色粉砂岩与灰白色中、细砂岩为主。</w:t>
      </w:r>
    </w:p>
    <w:p>
      <w:pPr>
        <w:pStyle w:val="BodyText"/>
        <w:spacing w:line="364" w:lineRule="auto"/>
        <w:ind w:left="478" w:right="477" w:firstLine="480"/>
        <w:jc w:val="both"/>
      </w:pPr>
      <w:r>
        <w:rPr>
          <w:spacing w:val="-7"/>
        </w:rPr>
        <w:t>下含煤段：指从上含煤段底界面以下到煤系基底之间这段地层，该段地层主要受基</w:t>
      </w:r>
      <w:r>
        <w:rPr/>
        <w:t>底起伏影响厚度变化较大，最大控制厚度</w:t>
      </w:r>
      <w:r>
        <w:rPr>
          <w:rFonts w:ascii="Times New Roman" w:hAnsi="Times New Roman" w:eastAsia="Times New Roman"/>
        </w:rPr>
        <w:t>200</w:t>
      </w:r>
      <w:r>
        <w:rPr/>
        <w:t>余米，最薄处不足</w:t>
      </w:r>
      <w:r>
        <w:rPr>
          <w:rFonts w:ascii="Times New Roman" w:hAnsi="Times New Roman" w:eastAsia="Times New Roman"/>
        </w:rPr>
        <w:t>50</w:t>
      </w:r>
      <w:r>
        <w:rPr/>
        <w:t>米。该段内岩性主要</w:t>
      </w:r>
      <w:r>
        <w:rPr>
          <w:spacing w:val="-5"/>
        </w:rPr>
        <w:t>以灰白色中、粗砂岩为主，夹有薄层深灰色粉砂岩，含煤</w:t>
      </w:r>
      <w:r>
        <w:rPr>
          <w:rFonts w:ascii="Times New Roman" w:hAnsi="Times New Roman" w:eastAsia="Times New Roman"/>
        </w:rPr>
        <w:t>3—5</w:t>
      </w:r>
      <w:r>
        <w:rPr>
          <w:spacing w:val="-5"/>
        </w:rPr>
        <w:t>层但均不可采。不整合覆</w:t>
      </w:r>
      <w:r>
        <w:rPr/>
        <w:t>于下元古界大盘道组地层或海西期花岗岩之上。</w:t>
      </w:r>
    </w:p>
    <w:p>
      <w:pPr>
        <w:spacing w:after="0" w:line="364" w:lineRule="auto"/>
        <w:jc w:val="both"/>
        <w:sectPr>
          <w:pgSz w:w="11910" w:h="16840"/>
          <w:pgMar w:header="0" w:footer="913" w:top="1360" w:bottom="1180" w:left="940" w:right="940"/>
        </w:sectPr>
      </w:pPr>
    </w:p>
    <w:p>
      <w:pPr>
        <w:pStyle w:val="ListParagraph"/>
        <w:numPr>
          <w:ilvl w:val="0"/>
          <w:numId w:val="23"/>
        </w:numPr>
        <w:tabs>
          <w:tab w:pos="1560" w:val="left" w:leader="none"/>
        </w:tabs>
        <w:spacing w:line="240" w:lineRule="auto" w:before="61" w:after="0"/>
        <w:ind w:left="1559" w:right="0" w:hanging="602"/>
        <w:jc w:val="left"/>
        <w:rPr>
          <w:sz w:val="24"/>
        </w:rPr>
      </w:pPr>
      <w:r>
        <w:rPr>
          <w:sz w:val="24"/>
        </w:rPr>
        <w:t>构造</w:t>
      </w:r>
    </w:p>
    <w:p>
      <w:pPr>
        <w:pStyle w:val="BodyText"/>
        <w:spacing w:before="158"/>
        <w:ind w:left="958"/>
      </w:pPr>
      <w:r>
        <w:rPr/>
        <w:t>①断层</w:t>
      </w:r>
    </w:p>
    <w:p>
      <w:pPr>
        <w:pStyle w:val="BodyText"/>
        <w:spacing w:line="364" w:lineRule="auto" w:before="161"/>
        <w:ind w:left="478" w:right="471" w:firstLine="480"/>
        <w:jc w:val="both"/>
      </w:pPr>
      <w:r>
        <w:rPr>
          <w:spacing w:val="-4"/>
        </w:rPr>
        <w:t>本矿区处于岭东定国山向斜轴部附近，地层走向近东西，向斜轴以北向南倾斜，向</w:t>
      </w:r>
      <w:r>
        <w:rPr/>
        <w:t>斜轴南，向北倾斜倾角</w:t>
      </w:r>
      <w:r>
        <w:rPr>
          <w:rFonts w:ascii="Times New Roman" w:hAnsi="Times New Roman" w:eastAsia="Times New Roman"/>
        </w:rPr>
        <w:t>10</w:t>
      </w:r>
      <w:r>
        <w:rPr/>
        <w:t>～</w:t>
      </w:r>
      <w:r>
        <w:rPr>
          <w:rFonts w:ascii="Times New Roman" w:hAnsi="Times New Roman" w:eastAsia="Times New Roman"/>
        </w:rPr>
        <w:t>12°</w:t>
      </w:r>
      <w:r>
        <w:rPr/>
        <w:t>，在矿区的西北部有</w:t>
      </w:r>
      <w:r>
        <w:rPr>
          <w:rFonts w:ascii="Times New Roman" w:hAnsi="Times New Roman" w:eastAsia="Times New Roman"/>
        </w:rPr>
        <w:t>R9</w:t>
      </w:r>
      <w:r>
        <w:rPr/>
        <w:t>正断层向西北方向倾斜，断层倾角</w:t>
      </w:r>
      <w:r>
        <w:rPr>
          <w:rFonts w:ascii="Times New Roman" w:hAnsi="Times New Roman" w:eastAsia="Times New Roman"/>
          <w:spacing w:val="-4"/>
        </w:rPr>
        <w:t>80°</w:t>
      </w:r>
      <w:r>
        <w:rPr>
          <w:spacing w:val="-2"/>
        </w:rPr>
        <w:t>，落差</w:t>
      </w:r>
      <w:r>
        <w:rPr>
          <w:rFonts w:ascii="Times New Roman" w:hAnsi="Times New Roman" w:eastAsia="Times New Roman"/>
        </w:rPr>
        <w:t>65</w:t>
      </w:r>
      <w:r>
        <w:rPr>
          <w:spacing w:val="-5"/>
        </w:rPr>
        <w:t>米，对该区的煤层没有太大的影响，在矿区东部矿区外有</w:t>
      </w:r>
      <w:r>
        <w:rPr>
          <w:rFonts w:ascii="Times New Roman" w:hAnsi="Times New Roman" w:eastAsia="Times New Roman"/>
          <w:spacing w:val="-4"/>
        </w:rPr>
        <w:t>R11</w:t>
      </w:r>
      <w:r>
        <w:rPr>
          <w:spacing w:val="-6"/>
        </w:rPr>
        <w:t>正断层，不影响矿区内开采。在矿区的中部有一近东西向的向斜，构造复杂程度属中等。井田内发</w:t>
      </w:r>
      <w:r>
        <w:rPr/>
        <w:t>育的主要断层如下表</w:t>
      </w:r>
      <w:r>
        <w:rPr>
          <w:rFonts w:ascii="Times New Roman" w:hAnsi="Times New Roman" w:eastAsia="Times New Roman"/>
        </w:rPr>
        <w:t>3.3-6</w:t>
      </w:r>
      <w:r>
        <w:rPr/>
        <w:t>。</w:t>
      </w:r>
    </w:p>
    <w:p>
      <w:pPr>
        <w:pStyle w:val="Heading4"/>
        <w:tabs>
          <w:tab w:pos="986" w:val="left" w:leader="none"/>
        </w:tabs>
        <w:spacing w:line="306" w:lineRule="exact"/>
        <w:ind w:left="5"/>
        <w:jc w:val="center"/>
      </w:pPr>
      <w:r>
        <w:rPr/>
        <w:t>表</w:t>
      </w:r>
      <w:r>
        <w:rPr>
          <w:rFonts w:ascii="Times New Roman" w:eastAsia="Times New Roman"/>
        </w:rPr>
        <w:t>3.3-6</w:t>
        <w:tab/>
      </w:r>
      <w:r>
        <w:rPr/>
        <w:t>主要断层特征表</w:t>
      </w:r>
    </w:p>
    <w:p>
      <w:pPr>
        <w:pStyle w:val="BodyText"/>
        <w:spacing w:before="3"/>
        <w:rPr>
          <w:b/>
          <w:sz w:val="12"/>
        </w:rPr>
      </w:pPr>
    </w:p>
    <w:tbl>
      <w:tblPr>
        <w:tblW w:w="0" w:type="auto"/>
        <w:jc w:val="left"/>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2"/>
        <w:gridCol w:w="898"/>
        <w:gridCol w:w="1134"/>
        <w:gridCol w:w="992"/>
        <w:gridCol w:w="1134"/>
        <w:gridCol w:w="1134"/>
        <w:gridCol w:w="2694"/>
      </w:tblGrid>
      <w:tr>
        <w:trPr>
          <w:trHeight w:val="570" w:hRule="atLeast"/>
        </w:trPr>
        <w:tc>
          <w:tcPr>
            <w:tcW w:w="1052" w:type="dxa"/>
          </w:tcPr>
          <w:p>
            <w:pPr>
              <w:pStyle w:val="TableParagraph"/>
              <w:spacing w:before="143"/>
              <w:ind w:left="106" w:right="96"/>
              <w:rPr>
                <w:sz w:val="22"/>
              </w:rPr>
            </w:pPr>
            <w:r>
              <w:rPr>
                <w:sz w:val="22"/>
              </w:rPr>
              <w:t>断层号</w:t>
            </w:r>
          </w:p>
        </w:tc>
        <w:tc>
          <w:tcPr>
            <w:tcW w:w="898" w:type="dxa"/>
          </w:tcPr>
          <w:p>
            <w:pPr>
              <w:pStyle w:val="TableParagraph"/>
              <w:spacing w:before="143"/>
              <w:ind w:left="132" w:right="121"/>
              <w:rPr>
                <w:sz w:val="22"/>
              </w:rPr>
            </w:pPr>
            <w:r>
              <w:rPr>
                <w:sz w:val="22"/>
              </w:rPr>
              <w:t>性 质</w:t>
            </w:r>
          </w:p>
        </w:tc>
        <w:tc>
          <w:tcPr>
            <w:tcW w:w="1134" w:type="dxa"/>
          </w:tcPr>
          <w:p>
            <w:pPr>
              <w:pStyle w:val="TableParagraph"/>
              <w:spacing w:before="143"/>
              <w:ind w:left="290"/>
              <w:jc w:val="left"/>
              <w:rPr>
                <w:sz w:val="22"/>
              </w:rPr>
            </w:pPr>
            <w:r>
              <w:rPr>
                <w:sz w:val="22"/>
              </w:rPr>
              <w:t>走 向</w:t>
            </w:r>
          </w:p>
        </w:tc>
        <w:tc>
          <w:tcPr>
            <w:tcW w:w="992" w:type="dxa"/>
          </w:tcPr>
          <w:p>
            <w:pPr>
              <w:pStyle w:val="TableParagraph"/>
              <w:spacing w:before="1"/>
              <w:ind w:left="201" w:right="191"/>
              <w:rPr>
                <w:sz w:val="22"/>
              </w:rPr>
            </w:pPr>
            <w:r>
              <w:rPr>
                <w:sz w:val="22"/>
              </w:rPr>
              <w:t>倾 角</w:t>
            </w:r>
          </w:p>
        </w:tc>
        <w:tc>
          <w:tcPr>
            <w:tcW w:w="1134" w:type="dxa"/>
          </w:tcPr>
          <w:p>
            <w:pPr>
              <w:pStyle w:val="TableParagraph"/>
              <w:spacing w:before="143"/>
              <w:ind w:left="63" w:right="53"/>
              <w:rPr>
                <w:sz w:val="22"/>
              </w:rPr>
            </w:pPr>
            <w:r>
              <w:rPr>
                <w:sz w:val="22"/>
              </w:rPr>
              <w:t>倾 向</w:t>
            </w:r>
          </w:p>
        </w:tc>
        <w:tc>
          <w:tcPr>
            <w:tcW w:w="1134" w:type="dxa"/>
          </w:tcPr>
          <w:p>
            <w:pPr>
              <w:pStyle w:val="TableParagraph"/>
              <w:spacing w:before="1"/>
              <w:ind w:left="292"/>
              <w:jc w:val="left"/>
              <w:rPr>
                <w:sz w:val="22"/>
              </w:rPr>
            </w:pPr>
            <w:r>
              <w:rPr>
                <w:spacing w:val="-1"/>
                <w:sz w:val="22"/>
              </w:rPr>
              <w:t>落 差</w:t>
            </w:r>
          </w:p>
          <w:p>
            <w:pPr>
              <w:pStyle w:val="TableParagraph"/>
              <w:spacing w:line="264" w:lineRule="exact" w:before="4"/>
              <w:ind w:left="261"/>
              <w:jc w:val="left"/>
              <w:rPr>
                <w:sz w:val="22"/>
              </w:rPr>
            </w:pPr>
            <w:r>
              <w:rPr>
                <w:sz w:val="22"/>
              </w:rPr>
              <w:t>（</w:t>
            </w:r>
            <w:r>
              <w:rPr>
                <w:rFonts w:ascii="Times New Roman" w:eastAsia="Times New Roman"/>
                <w:sz w:val="22"/>
              </w:rPr>
              <w:t>m</w:t>
            </w:r>
            <w:r>
              <w:rPr>
                <w:sz w:val="22"/>
              </w:rPr>
              <w:t>）</w:t>
            </w:r>
          </w:p>
        </w:tc>
        <w:tc>
          <w:tcPr>
            <w:tcW w:w="2694" w:type="dxa"/>
          </w:tcPr>
          <w:p>
            <w:pPr>
              <w:pStyle w:val="TableParagraph"/>
              <w:tabs>
                <w:tab w:pos="449" w:val="left" w:leader="none"/>
                <w:tab w:pos="891" w:val="left" w:leader="none"/>
                <w:tab w:pos="1330" w:val="left" w:leader="none"/>
              </w:tabs>
              <w:spacing w:before="143"/>
              <w:ind w:left="10"/>
              <w:rPr>
                <w:sz w:val="22"/>
              </w:rPr>
            </w:pPr>
            <w:r>
              <w:rPr>
                <w:sz w:val="22"/>
              </w:rPr>
              <w:t>控</w:t>
              <w:tab/>
              <w:t>制</w:t>
              <w:tab/>
              <w:t>程</w:t>
              <w:tab/>
              <w:t>度</w:t>
            </w:r>
          </w:p>
        </w:tc>
      </w:tr>
      <w:tr>
        <w:trPr>
          <w:trHeight w:val="856" w:hRule="atLeast"/>
        </w:trPr>
        <w:tc>
          <w:tcPr>
            <w:tcW w:w="1052" w:type="dxa"/>
          </w:tcPr>
          <w:p>
            <w:pPr>
              <w:pStyle w:val="TableParagraph"/>
              <w:spacing w:before="4"/>
              <w:jc w:val="left"/>
              <w:rPr>
                <w:b/>
                <w:sz w:val="23"/>
              </w:rPr>
            </w:pPr>
          </w:p>
          <w:p>
            <w:pPr>
              <w:pStyle w:val="TableParagraph"/>
              <w:ind w:left="106" w:right="96"/>
              <w:rPr>
                <w:rFonts w:ascii="Times New Roman"/>
                <w:sz w:val="22"/>
              </w:rPr>
            </w:pPr>
            <w:r>
              <w:rPr>
                <w:rFonts w:ascii="Times New Roman"/>
                <w:sz w:val="22"/>
              </w:rPr>
              <w:t>R9</w:t>
            </w:r>
          </w:p>
        </w:tc>
        <w:tc>
          <w:tcPr>
            <w:tcW w:w="898" w:type="dxa"/>
          </w:tcPr>
          <w:p>
            <w:pPr>
              <w:pStyle w:val="TableParagraph"/>
              <w:spacing w:before="2"/>
              <w:jc w:val="left"/>
              <w:rPr>
                <w:b/>
                <w:sz w:val="22"/>
              </w:rPr>
            </w:pPr>
          </w:p>
          <w:p>
            <w:pPr>
              <w:pStyle w:val="TableParagraph"/>
              <w:ind w:left="11"/>
              <w:rPr>
                <w:sz w:val="22"/>
              </w:rPr>
            </w:pPr>
            <w:r>
              <w:rPr>
                <w:w w:val="100"/>
                <w:sz w:val="22"/>
              </w:rPr>
              <w:t>正</w:t>
            </w:r>
          </w:p>
        </w:tc>
        <w:tc>
          <w:tcPr>
            <w:tcW w:w="1134" w:type="dxa"/>
          </w:tcPr>
          <w:p>
            <w:pPr>
              <w:pStyle w:val="TableParagraph"/>
              <w:spacing w:before="4"/>
              <w:jc w:val="left"/>
              <w:rPr>
                <w:b/>
                <w:sz w:val="23"/>
              </w:rPr>
            </w:pPr>
          </w:p>
          <w:p>
            <w:pPr>
              <w:pStyle w:val="TableParagraph"/>
              <w:ind w:right="161"/>
              <w:jc w:val="right"/>
              <w:rPr>
                <w:rFonts w:ascii="Times New Roman" w:hAnsi="Times New Roman"/>
                <w:sz w:val="22"/>
              </w:rPr>
            </w:pPr>
            <w:r>
              <w:rPr>
                <w:rFonts w:ascii="Times New Roman" w:hAnsi="Times New Roman"/>
                <w:sz w:val="22"/>
              </w:rPr>
              <w:t>N218°W</w:t>
            </w:r>
          </w:p>
        </w:tc>
        <w:tc>
          <w:tcPr>
            <w:tcW w:w="992" w:type="dxa"/>
          </w:tcPr>
          <w:p>
            <w:pPr>
              <w:pStyle w:val="TableParagraph"/>
              <w:spacing w:line="252" w:lineRule="exact"/>
              <w:ind w:left="200" w:right="191"/>
              <w:rPr>
                <w:rFonts w:ascii="Times New Roman" w:hAnsi="Times New Roman"/>
                <w:sz w:val="22"/>
              </w:rPr>
            </w:pPr>
            <w:r>
              <w:rPr>
                <w:rFonts w:ascii="Times New Roman" w:hAnsi="Times New Roman"/>
                <w:sz w:val="22"/>
              </w:rPr>
              <w:t>80°</w:t>
            </w:r>
          </w:p>
        </w:tc>
        <w:tc>
          <w:tcPr>
            <w:tcW w:w="1134" w:type="dxa"/>
          </w:tcPr>
          <w:p>
            <w:pPr>
              <w:pStyle w:val="TableParagraph"/>
              <w:spacing w:before="4"/>
              <w:jc w:val="left"/>
              <w:rPr>
                <w:b/>
                <w:sz w:val="23"/>
              </w:rPr>
            </w:pPr>
          </w:p>
          <w:p>
            <w:pPr>
              <w:pStyle w:val="TableParagraph"/>
              <w:ind w:left="63" w:right="53"/>
              <w:rPr>
                <w:rFonts w:ascii="Times New Roman" w:hAnsi="Times New Roman"/>
                <w:sz w:val="22"/>
              </w:rPr>
            </w:pPr>
            <w:r>
              <w:rPr>
                <w:rFonts w:ascii="Times New Roman" w:hAnsi="Times New Roman"/>
                <w:sz w:val="22"/>
              </w:rPr>
              <w:t>S208°W</w:t>
            </w:r>
          </w:p>
        </w:tc>
        <w:tc>
          <w:tcPr>
            <w:tcW w:w="1134" w:type="dxa"/>
          </w:tcPr>
          <w:p>
            <w:pPr>
              <w:pStyle w:val="TableParagraph"/>
              <w:spacing w:before="4"/>
              <w:jc w:val="left"/>
              <w:rPr>
                <w:b/>
                <w:sz w:val="23"/>
              </w:rPr>
            </w:pPr>
          </w:p>
          <w:p>
            <w:pPr>
              <w:pStyle w:val="TableParagraph"/>
              <w:ind w:left="61" w:right="53"/>
              <w:rPr>
                <w:rFonts w:ascii="Times New Roman"/>
                <w:sz w:val="22"/>
              </w:rPr>
            </w:pPr>
            <w:r>
              <w:rPr>
                <w:rFonts w:ascii="Times New Roman"/>
                <w:sz w:val="22"/>
              </w:rPr>
              <w:t>65</w:t>
            </w:r>
          </w:p>
        </w:tc>
        <w:tc>
          <w:tcPr>
            <w:tcW w:w="2694" w:type="dxa"/>
          </w:tcPr>
          <w:p>
            <w:pPr>
              <w:pStyle w:val="TableParagraph"/>
              <w:spacing w:before="1"/>
              <w:ind w:left="108" w:firstLine="45"/>
              <w:jc w:val="left"/>
              <w:rPr>
                <w:sz w:val="22"/>
              </w:rPr>
            </w:pPr>
            <w:r>
              <w:rPr>
                <w:sz w:val="22"/>
              </w:rPr>
              <w:t>断层西部边界，</w:t>
            </w:r>
            <w:r>
              <w:rPr>
                <w:rFonts w:ascii="Times New Roman" w:eastAsia="Times New Roman"/>
                <w:sz w:val="22"/>
              </w:rPr>
              <w:t>57-101</w:t>
            </w:r>
            <w:r>
              <w:rPr>
                <w:sz w:val="22"/>
              </w:rPr>
              <w:t>、</w:t>
            </w:r>
          </w:p>
          <w:p>
            <w:pPr>
              <w:pStyle w:val="TableParagraph"/>
              <w:spacing w:line="280" w:lineRule="atLeast" w:before="4"/>
              <w:ind w:left="466" w:right="47" w:hanging="358"/>
              <w:jc w:val="left"/>
              <w:rPr>
                <w:sz w:val="22"/>
              </w:rPr>
            </w:pPr>
            <w:r>
              <w:rPr>
                <w:rFonts w:ascii="Times New Roman" w:eastAsia="Times New Roman"/>
                <w:sz w:val="22"/>
              </w:rPr>
              <w:t>56-84 </w:t>
            </w:r>
            <w:r>
              <w:rPr>
                <w:sz w:val="22"/>
              </w:rPr>
              <w:t>之间控制，</w:t>
            </w:r>
            <w:r>
              <w:rPr>
                <w:rFonts w:ascii="Times New Roman" w:eastAsia="Times New Roman"/>
                <w:sz w:val="22"/>
              </w:rPr>
              <w:t>200 </w:t>
            </w:r>
            <w:r>
              <w:rPr>
                <w:sz w:val="22"/>
              </w:rPr>
              <w:t>米钻孔控制位置可靠。</w:t>
            </w:r>
          </w:p>
        </w:tc>
      </w:tr>
      <w:tr>
        <w:trPr>
          <w:trHeight w:val="285" w:hRule="atLeast"/>
        </w:trPr>
        <w:tc>
          <w:tcPr>
            <w:tcW w:w="1052" w:type="dxa"/>
          </w:tcPr>
          <w:p>
            <w:pPr>
              <w:pStyle w:val="TableParagraph"/>
              <w:spacing w:line="251" w:lineRule="exact" w:before="14"/>
              <w:ind w:left="106" w:right="92"/>
              <w:rPr>
                <w:rFonts w:ascii="Times New Roman"/>
                <w:sz w:val="22"/>
              </w:rPr>
            </w:pPr>
            <w:r>
              <w:rPr>
                <w:rFonts w:ascii="Times New Roman"/>
                <w:sz w:val="22"/>
              </w:rPr>
              <w:t>R11</w:t>
            </w:r>
          </w:p>
        </w:tc>
        <w:tc>
          <w:tcPr>
            <w:tcW w:w="898" w:type="dxa"/>
          </w:tcPr>
          <w:p>
            <w:pPr>
              <w:pStyle w:val="TableParagraph"/>
              <w:spacing w:line="263" w:lineRule="exact" w:before="1"/>
              <w:ind w:left="11"/>
              <w:rPr>
                <w:sz w:val="22"/>
              </w:rPr>
            </w:pPr>
            <w:r>
              <w:rPr>
                <w:w w:val="100"/>
                <w:sz w:val="22"/>
              </w:rPr>
              <w:t>正</w:t>
            </w:r>
          </w:p>
        </w:tc>
        <w:tc>
          <w:tcPr>
            <w:tcW w:w="1134" w:type="dxa"/>
          </w:tcPr>
          <w:p>
            <w:pPr>
              <w:pStyle w:val="TableParagraph"/>
              <w:spacing w:line="251" w:lineRule="exact" w:before="14"/>
              <w:ind w:right="178"/>
              <w:jc w:val="right"/>
              <w:rPr>
                <w:rFonts w:ascii="Times New Roman" w:hAnsi="Times New Roman"/>
                <w:sz w:val="22"/>
              </w:rPr>
            </w:pPr>
            <w:r>
              <w:rPr>
                <w:rFonts w:ascii="Times New Roman" w:hAnsi="Times New Roman"/>
                <w:sz w:val="22"/>
              </w:rPr>
              <w:t>S246°W</w:t>
            </w:r>
          </w:p>
        </w:tc>
        <w:tc>
          <w:tcPr>
            <w:tcW w:w="992" w:type="dxa"/>
          </w:tcPr>
          <w:p>
            <w:pPr>
              <w:pStyle w:val="TableParagraph"/>
              <w:spacing w:line="252" w:lineRule="exact"/>
              <w:ind w:left="200" w:right="191"/>
              <w:rPr>
                <w:rFonts w:ascii="Times New Roman" w:hAnsi="Times New Roman"/>
                <w:sz w:val="22"/>
              </w:rPr>
            </w:pPr>
            <w:r>
              <w:rPr>
                <w:rFonts w:ascii="Times New Roman" w:hAnsi="Times New Roman"/>
                <w:sz w:val="22"/>
              </w:rPr>
              <w:t>85°</w:t>
            </w:r>
          </w:p>
        </w:tc>
        <w:tc>
          <w:tcPr>
            <w:tcW w:w="1134" w:type="dxa"/>
          </w:tcPr>
          <w:p>
            <w:pPr>
              <w:pStyle w:val="TableParagraph"/>
              <w:spacing w:line="251" w:lineRule="exact" w:before="14"/>
              <w:ind w:left="61" w:right="53"/>
              <w:rPr>
                <w:rFonts w:ascii="Times New Roman" w:hAnsi="Times New Roman"/>
                <w:sz w:val="22"/>
              </w:rPr>
            </w:pPr>
            <w:r>
              <w:rPr>
                <w:rFonts w:ascii="Times New Roman" w:hAnsi="Times New Roman"/>
                <w:sz w:val="22"/>
              </w:rPr>
              <w:t>S76°E</w:t>
            </w:r>
          </w:p>
        </w:tc>
        <w:tc>
          <w:tcPr>
            <w:tcW w:w="1134" w:type="dxa"/>
          </w:tcPr>
          <w:p>
            <w:pPr>
              <w:pStyle w:val="TableParagraph"/>
              <w:spacing w:line="251" w:lineRule="exact" w:before="14"/>
              <w:ind w:left="64" w:right="52"/>
              <w:rPr>
                <w:rFonts w:ascii="Times New Roman"/>
                <w:sz w:val="22"/>
              </w:rPr>
            </w:pPr>
            <w:r>
              <w:rPr>
                <w:rFonts w:ascii="Times New Roman"/>
                <w:sz w:val="22"/>
              </w:rPr>
              <w:t>240</w:t>
            </w:r>
          </w:p>
        </w:tc>
        <w:tc>
          <w:tcPr>
            <w:tcW w:w="2694" w:type="dxa"/>
          </w:tcPr>
          <w:p>
            <w:pPr>
              <w:pStyle w:val="TableParagraph"/>
              <w:spacing w:line="263" w:lineRule="exact" w:before="1"/>
              <w:ind w:left="10"/>
              <w:rPr>
                <w:sz w:val="22"/>
              </w:rPr>
            </w:pPr>
            <w:r>
              <w:rPr>
                <w:sz w:val="22"/>
              </w:rPr>
              <w:t>可靠程度差。</w:t>
            </w:r>
          </w:p>
        </w:tc>
      </w:tr>
      <w:tr>
        <w:trPr>
          <w:trHeight w:val="285" w:hRule="atLeast"/>
        </w:trPr>
        <w:tc>
          <w:tcPr>
            <w:tcW w:w="1052" w:type="dxa"/>
          </w:tcPr>
          <w:p>
            <w:pPr>
              <w:pStyle w:val="TableParagraph"/>
              <w:spacing w:line="263" w:lineRule="exact" w:before="1"/>
              <w:ind w:left="106" w:right="96"/>
              <w:rPr>
                <w:rFonts w:ascii="Times New Roman" w:eastAsia="Times New Roman"/>
                <w:sz w:val="22"/>
              </w:rPr>
            </w:pPr>
            <w:r>
              <w:rPr>
                <w:sz w:val="22"/>
              </w:rPr>
              <w:t>推 </w:t>
            </w:r>
            <w:r>
              <w:rPr>
                <w:rFonts w:ascii="Times New Roman" w:eastAsia="Times New Roman"/>
                <w:sz w:val="22"/>
              </w:rPr>
              <w:t>1</w:t>
            </w:r>
          </w:p>
        </w:tc>
        <w:tc>
          <w:tcPr>
            <w:tcW w:w="898" w:type="dxa"/>
          </w:tcPr>
          <w:p>
            <w:pPr>
              <w:pStyle w:val="TableParagraph"/>
              <w:spacing w:line="263" w:lineRule="exact" w:before="1"/>
              <w:ind w:left="11"/>
              <w:rPr>
                <w:sz w:val="22"/>
              </w:rPr>
            </w:pPr>
            <w:r>
              <w:rPr>
                <w:w w:val="100"/>
                <w:sz w:val="22"/>
              </w:rPr>
              <w:t>正</w:t>
            </w:r>
          </w:p>
        </w:tc>
        <w:tc>
          <w:tcPr>
            <w:tcW w:w="1134" w:type="dxa"/>
          </w:tcPr>
          <w:p>
            <w:pPr>
              <w:pStyle w:val="TableParagraph"/>
              <w:spacing w:line="251" w:lineRule="exact" w:before="14"/>
              <w:ind w:right="203"/>
              <w:jc w:val="right"/>
              <w:rPr>
                <w:rFonts w:ascii="Times New Roman" w:hAnsi="Times New Roman"/>
                <w:sz w:val="22"/>
              </w:rPr>
            </w:pPr>
            <w:r>
              <w:rPr>
                <w:rFonts w:ascii="Times New Roman" w:hAnsi="Times New Roman"/>
                <w:sz w:val="22"/>
              </w:rPr>
              <w:t>S182°N</w:t>
            </w:r>
          </w:p>
        </w:tc>
        <w:tc>
          <w:tcPr>
            <w:tcW w:w="992" w:type="dxa"/>
          </w:tcPr>
          <w:p>
            <w:pPr>
              <w:pStyle w:val="TableParagraph"/>
              <w:spacing w:line="253" w:lineRule="exact"/>
              <w:ind w:left="200" w:right="191"/>
              <w:rPr>
                <w:rFonts w:ascii="Times New Roman" w:hAnsi="Times New Roman"/>
                <w:sz w:val="22"/>
              </w:rPr>
            </w:pPr>
            <w:r>
              <w:rPr>
                <w:rFonts w:ascii="Times New Roman" w:hAnsi="Times New Roman"/>
                <w:sz w:val="22"/>
              </w:rPr>
              <w:t>70°</w:t>
            </w:r>
          </w:p>
        </w:tc>
        <w:tc>
          <w:tcPr>
            <w:tcW w:w="1134" w:type="dxa"/>
          </w:tcPr>
          <w:p>
            <w:pPr>
              <w:pStyle w:val="TableParagraph"/>
              <w:spacing w:line="251" w:lineRule="exact" w:before="14"/>
              <w:ind w:left="61" w:right="53"/>
              <w:rPr>
                <w:rFonts w:ascii="Times New Roman" w:hAnsi="Times New Roman"/>
                <w:sz w:val="22"/>
              </w:rPr>
            </w:pPr>
            <w:r>
              <w:rPr>
                <w:rFonts w:ascii="Times New Roman" w:hAnsi="Times New Roman"/>
                <w:sz w:val="22"/>
              </w:rPr>
              <w:t>E92°S</w:t>
            </w:r>
          </w:p>
        </w:tc>
        <w:tc>
          <w:tcPr>
            <w:tcW w:w="1134" w:type="dxa"/>
          </w:tcPr>
          <w:p>
            <w:pPr>
              <w:pStyle w:val="TableParagraph"/>
              <w:spacing w:line="251" w:lineRule="exact" w:before="14"/>
              <w:ind w:left="61" w:right="53"/>
              <w:rPr>
                <w:rFonts w:ascii="Times New Roman"/>
                <w:sz w:val="22"/>
              </w:rPr>
            </w:pPr>
            <w:r>
              <w:rPr>
                <w:rFonts w:ascii="Times New Roman"/>
                <w:sz w:val="22"/>
              </w:rPr>
              <w:t>45</w:t>
            </w:r>
          </w:p>
        </w:tc>
        <w:tc>
          <w:tcPr>
            <w:tcW w:w="2694" w:type="dxa"/>
          </w:tcPr>
          <w:p>
            <w:pPr>
              <w:pStyle w:val="TableParagraph"/>
              <w:spacing w:line="263" w:lineRule="exact" w:before="1"/>
              <w:ind w:left="12"/>
              <w:rPr>
                <w:sz w:val="22"/>
              </w:rPr>
            </w:pPr>
            <w:r>
              <w:rPr>
                <w:sz w:val="22"/>
              </w:rPr>
              <w:t>推断断层，可靠程度差。</w:t>
            </w:r>
          </w:p>
        </w:tc>
      </w:tr>
    </w:tbl>
    <w:p>
      <w:pPr>
        <w:pStyle w:val="BodyText"/>
        <w:spacing w:before="1"/>
        <w:ind w:left="958"/>
      </w:pPr>
      <w:r>
        <w:rPr/>
        <w:t>②褶曲</w:t>
      </w:r>
    </w:p>
    <w:p>
      <w:pPr>
        <w:pStyle w:val="BodyText"/>
        <w:spacing w:line="362" w:lineRule="auto" w:before="161"/>
        <w:ind w:left="478" w:right="424" w:firstLine="480"/>
      </w:pPr>
      <w:r>
        <w:rPr/>
        <w:t>在矿区下部</w:t>
      </w:r>
      <w:r>
        <w:rPr>
          <w:rFonts w:ascii="Times New Roman" w:hAnsi="Times New Roman" w:eastAsia="Times New Roman"/>
        </w:rPr>
        <w:t>57-99</w:t>
      </w:r>
      <w:r>
        <w:rPr/>
        <w:t>及</w:t>
      </w:r>
      <w:r>
        <w:rPr>
          <w:rFonts w:ascii="Times New Roman" w:hAnsi="Times New Roman" w:eastAsia="Times New Roman"/>
        </w:rPr>
        <w:t>57-126</w:t>
      </w:r>
      <w:r>
        <w:rPr/>
        <w:t>钻孔间发育有一条</w:t>
      </w:r>
      <w:r>
        <w:rPr>
          <w:rFonts w:ascii="Times New Roman" w:hAnsi="Times New Roman" w:eastAsia="Times New Roman"/>
        </w:rPr>
        <w:t>N80°E</w:t>
      </w:r>
      <w:r>
        <w:rPr/>
        <w:t>延展方向的褶曲构造，为向斜构造，贯穿整个矿区范围。该褶曲通过钻孔控制，较为可靠。</w:t>
      </w:r>
    </w:p>
    <w:p>
      <w:pPr>
        <w:pStyle w:val="BodyText"/>
        <w:spacing w:before="5"/>
        <w:ind w:left="958"/>
      </w:pPr>
      <w:r>
        <w:rPr>
          <w:rFonts w:ascii="Times New Roman" w:eastAsia="Times New Roman"/>
        </w:rPr>
        <w:t>5</w:t>
      </w:r>
      <w:r>
        <w:rPr/>
        <w:t>、可采煤层及煤质</w:t>
      </w:r>
    </w:p>
    <w:p>
      <w:pPr>
        <w:pStyle w:val="ListParagraph"/>
        <w:numPr>
          <w:ilvl w:val="0"/>
          <w:numId w:val="24"/>
        </w:numPr>
        <w:tabs>
          <w:tab w:pos="1560" w:val="left" w:leader="none"/>
        </w:tabs>
        <w:spacing w:line="240" w:lineRule="auto" w:before="158" w:after="0"/>
        <w:ind w:left="1559" w:right="0" w:hanging="602"/>
        <w:jc w:val="left"/>
        <w:rPr>
          <w:sz w:val="24"/>
        </w:rPr>
      </w:pPr>
      <w:r>
        <w:rPr>
          <w:sz w:val="24"/>
        </w:rPr>
        <w:t>可采煤层</w:t>
      </w:r>
    </w:p>
    <w:p>
      <w:pPr>
        <w:pStyle w:val="BodyText"/>
        <w:spacing w:line="364" w:lineRule="auto" w:before="160"/>
        <w:ind w:left="478" w:right="477" w:firstLine="480"/>
        <w:jc w:val="both"/>
      </w:pPr>
      <w:r>
        <w:rPr>
          <w:spacing w:val="-4"/>
        </w:rPr>
        <w:t>双鸭山市岭东地区煤层编号是正序编号，即由上到下由小到大编号。岭东地区煤层</w:t>
      </w:r>
      <w:r>
        <w:rPr>
          <w:spacing w:val="-7"/>
        </w:rPr>
        <w:t>编号是由《双鸭山煤田窑地北部精查地质报告》对煤层编号而来，所说的新变化也由来</w:t>
      </w:r>
      <w:r>
        <w:rPr>
          <w:spacing w:val="-4"/>
        </w:rPr>
        <w:t>已久，主要依据</w:t>
      </w:r>
      <w:r>
        <w:rPr>
          <w:rFonts w:ascii="Times New Roman" w:eastAsia="Times New Roman"/>
        </w:rPr>
        <w:t>1973</w:t>
      </w:r>
      <w:r>
        <w:rPr>
          <w:spacing w:val="-7"/>
        </w:rPr>
        <w:t>年《双鸭山煤田岭东煤矿生产地质报告》而来，由于生产实际揭露</w:t>
      </w:r>
      <w:r>
        <w:rPr>
          <w:spacing w:val="-4"/>
        </w:rPr>
        <w:t>各主要可采煤层中间出现许多薄煤层，为了方便起见，将原来的旧编号改为现在的新编</w:t>
      </w:r>
      <w:r>
        <w:rPr/>
        <w:t>号，现将双鸭山市岭东地区新老煤层编号对照如下：</w:t>
      </w:r>
    </w:p>
    <w:p>
      <w:pPr>
        <w:pStyle w:val="Heading4"/>
        <w:spacing w:line="303" w:lineRule="exact"/>
        <w:ind w:left="2602"/>
        <w:jc w:val="both"/>
      </w:pPr>
      <w:r>
        <w:rPr/>
        <w:t>表</w:t>
      </w:r>
      <w:r>
        <w:rPr>
          <w:rFonts w:ascii="Times New Roman" w:eastAsia="Times New Roman"/>
        </w:rPr>
        <w:t>3.3-7 </w:t>
      </w:r>
      <w:r>
        <w:rPr/>
        <w:t>双鸭山市岭东地区新老煤层号对应表</w:t>
      </w:r>
    </w:p>
    <w:p>
      <w:pPr>
        <w:pStyle w:val="BodyText"/>
        <w:spacing w:before="6"/>
        <w:rPr>
          <w:b/>
          <w:sz w:val="12"/>
        </w:rPr>
      </w:pPr>
    </w:p>
    <w:tbl>
      <w:tblPr>
        <w:tblW w:w="0" w:type="auto"/>
        <w:jc w:val="left"/>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6"/>
        <w:gridCol w:w="4097"/>
      </w:tblGrid>
      <w:tr>
        <w:trPr>
          <w:trHeight w:val="574" w:hRule="atLeast"/>
        </w:trPr>
        <w:tc>
          <w:tcPr>
            <w:tcW w:w="4096" w:type="dxa"/>
          </w:tcPr>
          <w:p>
            <w:pPr>
              <w:pStyle w:val="TableParagraph"/>
              <w:spacing w:before="145"/>
              <w:ind w:left="1037" w:right="1029"/>
              <w:rPr>
                <w:sz w:val="22"/>
              </w:rPr>
            </w:pPr>
            <w:r>
              <w:rPr>
                <w:sz w:val="22"/>
              </w:rPr>
              <w:t>原精查报告煤层编号</w:t>
            </w:r>
          </w:p>
        </w:tc>
        <w:tc>
          <w:tcPr>
            <w:tcW w:w="4097" w:type="dxa"/>
          </w:tcPr>
          <w:p>
            <w:pPr>
              <w:pStyle w:val="TableParagraph"/>
              <w:spacing w:before="145"/>
              <w:ind w:left="818" w:right="809"/>
              <w:rPr>
                <w:sz w:val="22"/>
              </w:rPr>
            </w:pPr>
            <w:r>
              <w:rPr>
                <w:sz w:val="22"/>
              </w:rPr>
              <w:t>现储量核实报告煤层编号</w:t>
            </w:r>
          </w:p>
        </w:tc>
      </w:tr>
      <w:tr>
        <w:trPr>
          <w:trHeight w:val="252" w:hRule="atLeast"/>
        </w:trPr>
        <w:tc>
          <w:tcPr>
            <w:tcW w:w="4096" w:type="dxa"/>
          </w:tcPr>
          <w:p>
            <w:pPr>
              <w:pStyle w:val="TableParagraph"/>
              <w:spacing w:line="233" w:lineRule="exact"/>
              <w:ind w:left="11"/>
              <w:rPr>
                <w:rFonts w:ascii="Times New Roman"/>
                <w:sz w:val="22"/>
              </w:rPr>
            </w:pPr>
            <w:r>
              <w:rPr>
                <w:rFonts w:ascii="Times New Roman"/>
                <w:w w:val="100"/>
                <w:sz w:val="22"/>
              </w:rPr>
              <w:t>0</w:t>
            </w:r>
          </w:p>
        </w:tc>
        <w:tc>
          <w:tcPr>
            <w:tcW w:w="4097" w:type="dxa"/>
          </w:tcPr>
          <w:p>
            <w:pPr>
              <w:pStyle w:val="TableParagraph"/>
              <w:spacing w:line="233" w:lineRule="exact"/>
              <w:ind w:left="7"/>
              <w:rPr>
                <w:rFonts w:ascii="Times New Roman"/>
                <w:sz w:val="22"/>
              </w:rPr>
            </w:pPr>
            <w:r>
              <w:rPr>
                <w:rFonts w:ascii="Times New Roman"/>
                <w:w w:val="100"/>
                <w:sz w:val="22"/>
              </w:rPr>
              <w:t>5</w:t>
            </w:r>
          </w:p>
        </w:tc>
      </w:tr>
      <w:tr>
        <w:trPr>
          <w:trHeight w:val="252" w:hRule="atLeast"/>
        </w:trPr>
        <w:tc>
          <w:tcPr>
            <w:tcW w:w="4096" w:type="dxa"/>
          </w:tcPr>
          <w:p>
            <w:pPr>
              <w:pStyle w:val="TableParagraph"/>
              <w:spacing w:line="233" w:lineRule="exact"/>
              <w:ind w:left="11"/>
              <w:rPr>
                <w:rFonts w:ascii="Times New Roman"/>
                <w:sz w:val="22"/>
              </w:rPr>
            </w:pPr>
            <w:r>
              <w:rPr>
                <w:rFonts w:ascii="Times New Roman"/>
                <w:w w:val="100"/>
                <w:sz w:val="22"/>
              </w:rPr>
              <w:t>1</w:t>
            </w:r>
          </w:p>
        </w:tc>
        <w:tc>
          <w:tcPr>
            <w:tcW w:w="4097" w:type="dxa"/>
          </w:tcPr>
          <w:p>
            <w:pPr>
              <w:pStyle w:val="TableParagraph"/>
              <w:spacing w:line="233" w:lineRule="exact"/>
              <w:ind w:left="816" w:right="809"/>
              <w:rPr>
                <w:rFonts w:ascii="Times New Roman"/>
                <w:sz w:val="22"/>
              </w:rPr>
            </w:pPr>
            <w:r>
              <w:rPr>
                <w:rFonts w:ascii="Times New Roman"/>
                <w:sz w:val="22"/>
              </w:rPr>
              <w:t>10</w:t>
            </w:r>
          </w:p>
        </w:tc>
      </w:tr>
      <w:tr>
        <w:trPr>
          <w:trHeight w:val="287" w:hRule="atLeast"/>
        </w:trPr>
        <w:tc>
          <w:tcPr>
            <w:tcW w:w="4096" w:type="dxa"/>
          </w:tcPr>
          <w:p>
            <w:pPr>
              <w:pStyle w:val="TableParagraph"/>
              <w:spacing w:line="252" w:lineRule="exact" w:before="15"/>
              <w:ind w:left="1037" w:right="1026"/>
              <w:rPr>
                <w:rFonts w:ascii="Times New Roman"/>
                <w:sz w:val="22"/>
              </w:rPr>
            </w:pPr>
            <w:r>
              <w:rPr>
                <w:rFonts w:ascii="Times New Roman"/>
                <w:sz w:val="22"/>
              </w:rPr>
              <w:t>11/2</w:t>
            </w:r>
          </w:p>
        </w:tc>
        <w:tc>
          <w:tcPr>
            <w:tcW w:w="4097" w:type="dxa"/>
          </w:tcPr>
          <w:p>
            <w:pPr>
              <w:pStyle w:val="TableParagraph"/>
              <w:spacing w:line="252" w:lineRule="exact" w:before="15"/>
              <w:ind w:left="816" w:right="809"/>
              <w:rPr>
                <w:rFonts w:ascii="Times New Roman"/>
                <w:sz w:val="22"/>
              </w:rPr>
            </w:pPr>
            <w:r>
              <w:rPr>
                <w:rFonts w:ascii="Times New Roman"/>
                <w:sz w:val="22"/>
              </w:rPr>
              <w:t>15</w:t>
            </w:r>
          </w:p>
        </w:tc>
      </w:tr>
      <w:tr>
        <w:trPr>
          <w:trHeight w:val="252" w:hRule="atLeast"/>
        </w:trPr>
        <w:tc>
          <w:tcPr>
            <w:tcW w:w="4096" w:type="dxa"/>
          </w:tcPr>
          <w:p>
            <w:pPr>
              <w:pStyle w:val="TableParagraph"/>
              <w:spacing w:line="233" w:lineRule="exact"/>
              <w:ind w:left="11"/>
              <w:rPr>
                <w:rFonts w:ascii="Times New Roman"/>
                <w:sz w:val="22"/>
              </w:rPr>
            </w:pPr>
            <w:r>
              <w:rPr>
                <w:rFonts w:ascii="Times New Roman"/>
                <w:w w:val="100"/>
                <w:sz w:val="22"/>
              </w:rPr>
              <w:t>2</w:t>
            </w:r>
          </w:p>
        </w:tc>
        <w:tc>
          <w:tcPr>
            <w:tcW w:w="4097" w:type="dxa"/>
          </w:tcPr>
          <w:p>
            <w:pPr>
              <w:pStyle w:val="TableParagraph"/>
              <w:spacing w:line="233" w:lineRule="exact"/>
              <w:ind w:left="816" w:right="809"/>
              <w:rPr>
                <w:rFonts w:ascii="Times New Roman"/>
                <w:sz w:val="22"/>
              </w:rPr>
            </w:pPr>
            <w:r>
              <w:rPr>
                <w:rFonts w:ascii="Times New Roman"/>
                <w:sz w:val="22"/>
              </w:rPr>
              <w:t>20</w:t>
            </w:r>
          </w:p>
        </w:tc>
      </w:tr>
      <w:tr>
        <w:trPr>
          <w:trHeight w:val="299" w:hRule="atLeast"/>
        </w:trPr>
        <w:tc>
          <w:tcPr>
            <w:tcW w:w="4096" w:type="dxa"/>
          </w:tcPr>
          <w:p>
            <w:pPr>
              <w:pStyle w:val="TableParagraph"/>
              <w:spacing w:before="21"/>
              <w:ind w:left="1037" w:right="1026"/>
              <w:rPr>
                <w:rFonts w:ascii="Times New Roman"/>
                <w:sz w:val="22"/>
              </w:rPr>
            </w:pPr>
            <w:r>
              <w:rPr>
                <w:rFonts w:ascii="Times New Roman"/>
                <w:sz w:val="22"/>
              </w:rPr>
              <w:t>21/2</w:t>
            </w:r>
          </w:p>
        </w:tc>
        <w:tc>
          <w:tcPr>
            <w:tcW w:w="4097" w:type="dxa"/>
          </w:tcPr>
          <w:p>
            <w:pPr>
              <w:pStyle w:val="TableParagraph"/>
              <w:spacing w:before="21"/>
              <w:ind w:left="816" w:right="809"/>
              <w:rPr>
                <w:rFonts w:ascii="Times New Roman"/>
                <w:sz w:val="22"/>
              </w:rPr>
            </w:pPr>
            <w:r>
              <w:rPr>
                <w:rFonts w:ascii="Times New Roman"/>
                <w:sz w:val="22"/>
              </w:rPr>
              <w:t>25</w:t>
            </w:r>
          </w:p>
        </w:tc>
      </w:tr>
      <w:tr>
        <w:trPr>
          <w:trHeight w:val="262" w:hRule="atLeast"/>
        </w:trPr>
        <w:tc>
          <w:tcPr>
            <w:tcW w:w="4096" w:type="dxa"/>
          </w:tcPr>
          <w:p>
            <w:pPr>
              <w:pStyle w:val="TableParagraph"/>
              <w:spacing w:line="240" w:lineRule="exact" w:before="3"/>
              <w:ind w:left="11"/>
              <w:rPr>
                <w:rFonts w:ascii="Times New Roman"/>
                <w:sz w:val="22"/>
              </w:rPr>
            </w:pPr>
            <w:r>
              <w:rPr>
                <w:rFonts w:ascii="Times New Roman"/>
                <w:w w:val="100"/>
                <w:sz w:val="22"/>
              </w:rPr>
              <w:t>3</w:t>
            </w:r>
          </w:p>
        </w:tc>
        <w:tc>
          <w:tcPr>
            <w:tcW w:w="4097" w:type="dxa"/>
          </w:tcPr>
          <w:p>
            <w:pPr>
              <w:pStyle w:val="TableParagraph"/>
              <w:spacing w:line="240" w:lineRule="exact" w:before="3"/>
              <w:ind w:left="816" w:right="809"/>
              <w:rPr>
                <w:rFonts w:ascii="Times New Roman"/>
                <w:sz w:val="22"/>
              </w:rPr>
            </w:pPr>
            <w:r>
              <w:rPr>
                <w:rFonts w:ascii="Times New Roman"/>
                <w:sz w:val="22"/>
              </w:rPr>
              <w:t>30</w:t>
            </w:r>
          </w:p>
        </w:tc>
      </w:tr>
      <w:tr>
        <w:trPr>
          <w:trHeight w:val="262" w:hRule="atLeast"/>
        </w:trPr>
        <w:tc>
          <w:tcPr>
            <w:tcW w:w="4096" w:type="dxa"/>
          </w:tcPr>
          <w:p>
            <w:pPr>
              <w:pStyle w:val="TableParagraph"/>
              <w:spacing w:line="240" w:lineRule="exact" w:before="3"/>
              <w:ind w:left="11"/>
              <w:rPr>
                <w:rFonts w:ascii="Times New Roman"/>
                <w:sz w:val="22"/>
              </w:rPr>
            </w:pPr>
            <w:r>
              <w:rPr>
                <w:rFonts w:ascii="Times New Roman"/>
                <w:w w:val="100"/>
                <w:sz w:val="22"/>
              </w:rPr>
              <w:t>4</w:t>
            </w:r>
          </w:p>
        </w:tc>
        <w:tc>
          <w:tcPr>
            <w:tcW w:w="4097" w:type="dxa"/>
          </w:tcPr>
          <w:p>
            <w:pPr>
              <w:pStyle w:val="TableParagraph"/>
              <w:spacing w:line="240" w:lineRule="exact" w:before="3"/>
              <w:ind w:left="816" w:right="809"/>
              <w:rPr>
                <w:rFonts w:ascii="Times New Roman"/>
                <w:sz w:val="22"/>
              </w:rPr>
            </w:pPr>
            <w:r>
              <w:rPr>
                <w:rFonts w:ascii="Times New Roman"/>
                <w:sz w:val="22"/>
              </w:rPr>
              <w:t>40</w:t>
            </w:r>
          </w:p>
        </w:tc>
      </w:tr>
      <w:tr>
        <w:trPr>
          <w:trHeight w:val="263" w:hRule="atLeast"/>
        </w:trPr>
        <w:tc>
          <w:tcPr>
            <w:tcW w:w="4096" w:type="dxa"/>
          </w:tcPr>
          <w:p>
            <w:pPr>
              <w:pStyle w:val="TableParagraph"/>
              <w:spacing w:line="239" w:lineRule="exact" w:before="4"/>
              <w:ind w:left="11"/>
              <w:rPr>
                <w:rFonts w:ascii="Times New Roman"/>
                <w:sz w:val="22"/>
              </w:rPr>
            </w:pPr>
            <w:r>
              <w:rPr>
                <w:rFonts w:ascii="Times New Roman"/>
                <w:w w:val="100"/>
                <w:sz w:val="22"/>
              </w:rPr>
              <w:t>5</w:t>
            </w:r>
          </w:p>
        </w:tc>
        <w:tc>
          <w:tcPr>
            <w:tcW w:w="4097" w:type="dxa"/>
          </w:tcPr>
          <w:p>
            <w:pPr>
              <w:pStyle w:val="TableParagraph"/>
              <w:spacing w:line="239" w:lineRule="exact" w:before="4"/>
              <w:ind w:left="816" w:right="809"/>
              <w:rPr>
                <w:rFonts w:ascii="Times New Roman"/>
                <w:sz w:val="22"/>
              </w:rPr>
            </w:pPr>
            <w:r>
              <w:rPr>
                <w:rFonts w:ascii="Times New Roman"/>
                <w:sz w:val="22"/>
              </w:rPr>
              <w:t>50</w:t>
            </w:r>
          </w:p>
        </w:tc>
      </w:tr>
    </w:tbl>
    <w:p>
      <w:pPr>
        <w:spacing w:after="0" w:line="239" w:lineRule="exact"/>
        <w:rPr>
          <w:rFonts w:ascii="Times New Roman"/>
          <w:sz w:val="22"/>
        </w:rPr>
        <w:sectPr>
          <w:pgSz w:w="11910" w:h="16840"/>
          <w:pgMar w:header="0" w:footer="913" w:top="1340" w:bottom="1180" w:left="940" w:right="940"/>
        </w:sectPr>
      </w:pPr>
    </w:p>
    <w:p>
      <w:pPr>
        <w:pStyle w:val="BodyText"/>
        <w:spacing w:line="364" w:lineRule="auto" w:before="61"/>
        <w:ind w:left="478" w:right="473" w:firstLine="480"/>
        <w:jc w:val="both"/>
      </w:pPr>
      <w:r>
        <w:rPr>
          <w:rFonts w:ascii="Times New Roman" w:hAnsi="Times New Roman" w:eastAsia="Times New Roman"/>
        </w:rPr>
        <w:t>5#</w:t>
      </w:r>
      <w:r>
        <w:rPr>
          <w:spacing w:val="-5"/>
        </w:rPr>
        <w:t>煤层</w:t>
      </w:r>
      <w:r>
        <w:rPr/>
        <w:t>（新编号</w:t>
      </w:r>
      <w:r>
        <w:rPr>
          <w:spacing w:val="-8"/>
        </w:rPr>
        <w:t>）：</w:t>
      </w:r>
      <w:r>
        <w:rPr/>
        <w:t>煤层厚度</w:t>
      </w:r>
      <w:r>
        <w:rPr>
          <w:rFonts w:ascii="Times New Roman" w:hAnsi="Times New Roman" w:eastAsia="Times New Roman"/>
        </w:rPr>
        <w:t>0</w:t>
      </w:r>
      <w:r>
        <w:rPr/>
        <w:t>～</w:t>
      </w:r>
      <w:r>
        <w:rPr>
          <w:rFonts w:ascii="Times New Roman" w:hAnsi="Times New Roman" w:eastAsia="Times New Roman"/>
        </w:rPr>
        <w:t>0.55</w:t>
      </w:r>
      <w:r>
        <w:rPr>
          <w:spacing w:val="-3"/>
        </w:rPr>
        <w:t>米，见煤工程平均厚度</w:t>
      </w:r>
      <w:r>
        <w:rPr>
          <w:rFonts w:ascii="Times New Roman" w:hAnsi="Times New Roman" w:eastAsia="Times New Roman"/>
        </w:rPr>
        <w:t>0.53</w:t>
      </w:r>
      <w:r>
        <w:rPr>
          <w:spacing w:val="-6"/>
        </w:rPr>
        <w:t>米，单一结构，煤</w:t>
      </w:r>
      <w:r>
        <w:rPr>
          <w:spacing w:val="-7"/>
        </w:rPr>
        <w:t>层顶、底板岩性均为粉、细砂岩，该层局部于Ⅰ线北部发育，由</w:t>
      </w:r>
      <w:r>
        <w:rPr>
          <w:rFonts w:ascii="Times New Roman" w:hAnsi="Times New Roman" w:eastAsia="Times New Roman"/>
        </w:rPr>
        <w:t>56—87</w:t>
      </w:r>
      <w:r>
        <w:rPr>
          <w:spacing w:val="-2"/>
        </w:rPr>
        <w:t>号孔和东盛煤矿</w:t>
      </w:r>
      <w:r>
        <w:rPr/>
        <w:t>揭露。与其下</w:t>
      </w:r>
      <w:r>
        <w:rPr>
          <w:rFonts w:ascii="Times New Roman" w:hAnsi="Times New Roman" w:eastAsia="Times New Roman"/>
        </w:rPr>
        <w:t>10</w:t>
      </w:r>
      <w:r>
        <w:rPr/>
        <w:t>煤层间距</w:t>
      </w:r>
      <w:r>
        <w:rPr>
          <w:rFonts w:ascii="Times New Roman" w:hAnsi="Times New Roman" w:eastAsia="Times New Roman"/>
        </w:rPr>
        <w:t>40</w:t>
      </w:r>
      <w:r>
        <w:rPr/>
        <w:t>～</w:t>
      </w:r>
      <w:r>
        <w:rPr>
          <w:rFonts w:ascii="Times New Roman" w:hAnsi="Times New Roman" w:eastAsia="Times New Roman"/>
        </w:rPr>
        <w:t>50</w:t>
      </w:r>
      <w:r>
        <w:rPr/>
        <w:t>米。</w:t>
      </w:r>
    </w:p>
    <w:p>
      <w:pPr>
        <w:pStyle w:val="BodyText"/>
        <w:spacing w:line="307" w:lineRule="exact"/>
        <w:ind w:left="958"/>
      </w:pPr>
      <w:r>
        <w:rPr>
          <w:rFonts w:ascii="Times New Roman" w:hAnsi="Times New Roman" w:eastAsia="Times New Roman"/>
        </w:rPr>
        <w:t>10#</w:t>
      </w:r>
      <w:r>
        <w:rPr/>
        <w:t>煤层：单一结构，以亮煤为主，夹有条带状暗煤。煤厚</w:t>
      </w:r>
      <w:r>
        <w:rPr>
          <w:rFonts w:ascii="Times New Roman" w:hAnsi="Times New Roman" w:eastAsia="Times New Roman"/>
        </w:rPr>
        <w:t>0.76—1.12</w:t>
      </w:r>
      <w:r>
        <w:rPr/>
        <w:t>米，平均厚度</w:t>
      </w:r>
    </w:p>
    <w:p>
      <w:pPr>
        <w:pStyle w:val="BodyText"/>
        <w:spacing w:line="364" w:lineRule="auto" w:before="158"/>
        <w:ind w:left="478" w:right="476"/>
      </w:pPr>
      <w:r>
        <w:rPr>
          <w:rFonts w:ascii="Times New Roman" w:eastAsia="Times New Roman"/>
        </w:rPr>
        <w:t>0.88</w:t>
      </w:r>
      <w:r>
        <w:rPr/>
        <w:t>米。浅部煤层厚度变化较大，深部煤层稳定，该层煤自西向东变厚，煤层顶板岩性为粉砂岩，底板岩性为细砂岩，与其下</w:t>
      </w:r>
      <w:r>
        <w:rPr>
          <w:rFonts w:ascii="Times New Roman" w:eastAsia="Times New Roman"/>
        </w:rPr>
        <w:t>15</w:t>
      </w:r>
      <w:r>
        <w:rPr/>
        <w:t>煤层间距</w:t>
      </w:r>
      <w:r>
        <w:rPr>
          <w:rFonts w:ascii="Times New Roman" w:eastAsia="Times New Roman"/>
        </w:rPr>
        <w:t>21</w:t>
      </w:r>
      <w:r>
        <w:rPr/>
        <w:t>～</w:t>
      </w:r>
      <w:r>
        <w:rPr>
          <w:rFonts w:ascii="Times New Roman" w:eastAsia="Times New Roman"/>
        </w:rPr>
        <w:t>29</w:t>
      </w:r>
      <w:r>
        <w:rPr/>
        <w:t>米。</w:t>
      </w:r>
    </w:p>
    <w:p>
      <w:pPr>
        <w:pStyle w:val="BodyText"/>
        <w:spacing w:line="364" w:lineRule="auto"/>
        <w:ind w:left="478" w:right="476" w:firstLine="480"/>
      </w:pPr>
      <w:r>
        <w:rPr>
          <w:rFonts w:ascii="Times New Roman" w:eastAsia="Times New Roman"/>
        </w:rPr>
        <w:t>15#</w:t>
      </w:r>
      <w:r>
        <w:rPr/>
        <w:t>煤层：煤厚</w:t>
      </w:r>
      <w:r>
        <w:rPr>
          <w:rFonts w:ascii="Times New Roman" w:eastAsia="Times New Roman"/>
        </w:rPr>
        <w:t>0.59</w:t>
      </w:r>
      <w:r>
        <w:rPr/>
        <w:t>～</w:t>
      </w:r>
      <w:r>
        <w:rPr>
          <w:rFonts w:ascii="Times New Roman" w:eastAsia="Times New Roman"/>
        </w:rPr>
        <w:t>0.72</w:t>
      </w:r>
      <w:r>
        <w:rPr/>
        <w:t>米，平均厚度</w:t>
      </w:r>
      <w:r>
        <w:rPr>
          <w:rFonts w:ascii="Times New Roman" w:eastAsia="Times New Roman"/>
        </w:rPr>
        <w:t>0.66</w:t>
      </w:r>
      <w:r>
        <w:rPr/>
        <w:t>米。向南稍变薄。大部分为单一结构。煤层顶板岩性为粉砂岩，底板岩性为粉砂岩。与其下</w:t>
      </w:r>
      <w:r>
        <w:rPr>
          <w:rFonts w:ascii="Times New Roman" w:eastAsia="Times New Roman"/>
        </w:rPr>
        <w:t>20</w:t>
      </w:r>
      <w:r>
        <w:rPr/>
        <w:t>煤层间距</w:t>
      </w:r>
      <w:r>
        <w:rPr>
          <w:rFonts w:ascii="Times New Roman" w:eastAsia="Times New Roman"/>
        </w:rPr>
        <w:t>26</w:t>
      </w:r>
      <w:r>
        <w:rPr/>
        <w:t>米。</w:t>
      </w:r>
    </w:p>
    <w:p>
      <w:pPr>
        <w:pStyle w:val="BodyText"/>
        <w:spacing w:line="364" w:lineRule="auto"/>
        <w:ind w:left="478" w:right="476" w:firstLine="480"/>
        <w:jc w:val="both"/>
      </w:pPr>
      <w:r>
        <w:rPr>
          <w:rFonts w:ascii="Times New Roman" w:eastAsia="Times New Roman"/>
        </w:rPr>
        <w:t>20#</w:t>
      </w:r>
      <w:r>
        <w:rPr/>
        <w:t>煤层：煤层厚度</w:t>
      </w:r>
      <w:r>
        <w:rPr>
          <w:rFonts w:ascii="Times New Roman" w:eastAsia="Times New Roman"/>
        </w:rPr>
        <w:t>0.78</w:t>
      </w:r>
      <w:r>
        <w:rPr/>
        <w:t>～</w:t>
      </w:r>
      <w:r>
        <w:rPr>
          <w:rFonts w:ascii="Times New Roman" w:eastAsia="Times New Roman"/>
        </w:rPr>
        <w:t>1.48</w:t>
      </w:r>
      <w:r>
        <w:rPr/>
        <w:t>米，平均厚度</w:t>
      </w:r>
      <w:r>
        <w:rPr>
          <w:rFonts w:ascii="Times New Roman" w:eastAsia="Times New Roman"/>
        </w:rPr>
        <w:t>0.91</w:t>
      </w:r>
      <w:r>
        <w:rPr/>
        <w:t>米。向东逐渐变薄，扩大区两侧煤层厚度略厚约为</w:t>
      </w:r>
      <w:r>
        <w:rPr>
          <w:rFonts w:ascii="Times New Roman" w:eastAsia="Times New Roman"/>
        </w:rPr>
        <w:t>0.81</w:t>
      </w:r>
      <w:r>
        <w:rPr/>
        <w:t>～</w:t>
      </w:r>
      <w:r>
        <w:rPr>
          <w:rFonts w:ascii="Times New Roman" w:eastAsia="Times New Roman"/>
        </w:rPr>
        <w:t>1.40</w:t>
      </w:r>
      <w:r>
        <w:rPr/>
        <w:t>米，单一结构，以亮煤为主，夹条带状镜煤及暗煤。煤层顶板岩性为细砂岩，底板岩性为粉砂岩。详见煤层成果表</w:t>
      </w:r>
      <w:r>
        <w:rPr>
          <w:rFonts w:ascii="Times New Roman" w:eastAsia="Times New Roman"/>
        </w:rPr>
        <w:t>3.3-8</w:t>
      </w:r>
      <w:r>
        <w:rPr/>
        <w:t>。</w:t>
      </w:r>
    </w:p>
    <w:p>
      <w:pPr>
        <w:pStyle w:val="Heading4"/>
        <w:spacing w:line="307" w:lineRule="exact"/>
        <w:ind w:left="2002"/>
        <w:jc w:val="both"/>
      </w:pPr>
      <w:r>
        <w:rPr/>
        <w:t>表</w:t>
      </w:r>
      <w:r>
        <w:rPr>
          <w:rFonts w:ascii="Times New Roman" w:eastAsia="Times New Roman"/>
        </w:rPr>
        <w:t>3.3-8 </w:t>
      </w:r>
      <w:r>
        <w:rPr/>
        <w:t>主要可采煤层厚度、层间距、顶底板岩性统计表</w:t>
      </w:r>
    </w:p>
    <w:p>
      <w:pPr>
        <w:pStyle w:val="BodyText"/>
        <w:spacing w:before="2"/>
        <w:rPr>
          <w:b/>
          <w:sz w:val="12"/>
        </w:rPr>
      </w:pPr>
    </w:p>
    <w:tbl>
      <w:tblPr>
        <w:tblW w:w="0" w:type="auto"/>
        <w:jc w:val="lef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3"/>
        <w:gridCol w:w="1543"/>
        <w:gridCol w:w="1543"/>
        <w:gridCol w:w="1543"/>
        <w:gridCol w:w="1543"/>
        <w:gridCol w:w="1543"/>
      </w:tblGrid>
      <w:tr>
        <w:trPr>
          <w:trHeight w:val="617" w:hRule="atLeast"/>
        </w:trPr>
        <w:tc>
          <w:tcPr>
            <w:tcW w:w="1543" w:type="dxa"/>
            <w:vMerge w:val="restart"/>
          </w:tcPr>
          <w:p>
            <w:pPr>
              <w:pStyle w:val="TableParagraph"/>
              <w:spacing w:before="5"/>
              <w:jc w:val="left"/>
              <w:rPr>
                <w:b/>
                <w:sz w:val="26"/>
              </w:rPr>
            </w:pPr>
          </w:p>
          <w:p>
            <w:pPr>
              <w:pStyle w:val="TableParagraph"/>
              <w:spacing w:before="1"/>
              <w:ind w:left="255" w:right="246"/>
              <w:rPr>
                <w:sz w:val="22"/>
              </w:rPr>
            </w:pPr>
            <w:r>
              <w:rPr>
                <w:sz w:val="22"/>
              </w:rPr>
              <w:t>煤层</w:t>
            </w:r>
          </w:p>
        </w:tc>
        <w:tc>
          <w:tcPr>
            <w:tcW w:w="1543" w:type="dxa"/>
            <w:vMerge w:val="restart"/>
          </w:tcPr>
          <w:p>
            <w:pPr>
              <w:pStyle w:val="TableParagraph"/>
              <w:spacing w:before="5"/>
              <w:jc w:val="left"/>
              <w:rPr>
                <w:b/>
                <w:sz w:val="26"/>
              </w:rPr>
            </w:pPr>
          </w:p>
          <w:p>
            <w:pPr>
              <w:pStyle w:val="TableParagraph"/>
              <w:spacing w:before="1"/>
              <w:ind w:left="111"/>
              <w:jc w:val="left"/>
              <w:rPr>
                <w:sz w:val="22"/>
              </w:rPr>
            </w:pPr>
            <w:r>
              <w:rPr>
                <w:sz w:val="22"/>
              </w:rPr>
              <w:t>层间距（米）</w:t>
            </w:r>
          </w:p>
        </w:tc>
        <w:tc>
          <w:tcPr>
            <w:tcW w:w="1543" w:type="dxa"/>
          </w:tcPr>
          <w:p>
            <w:pPr>
              <w:pStyle w:val="TableParagraph"/>
              <w:spacing w:before="166"/>
              <w:ind w:left="255" w:right="245"/>
              <w:rPr>
                <w:sz w:val="22"/>
              </w:rPr>
            </w:pPr>
            <w:r>
              <w:rPr>
                <w:sz w:val="22"/>
              </w:rPr>
              <w:t>最小</w:t>
            </w:r>
            <w:r>
              <w:rPr>
                <w:rFonts w:ascii="Times New Roman" w:eastAsia="Times New Roman"/>
                <w:sz w:val="22"/>
              </w:rPr>
              <w:t>-</w:t>
            </w:r>
            <w:r>
              <w:rPr>
                <w:sz w:val="22"/>
              </w:rPr>
              <w:t>最大</w:t>
            </w:r>
          </w:p>
        </w:tc>
        <w:tc>
          <w:tcPr>
            <w:tcW w:w="1543" w:type="dxa"/>
            <w:vMerge w:val="restart"/>
          </w:tcPr>
          <w:p>
            <w:pPr>
              <w:pStyle w:val="TableParagraph"/>
              <w:spacing w:before="5"/>
              <w:jc w:val="left"/>
              <w:rPr>
                <w:b/>
                <w:sz w:val="26"/>
              </w:rPr>
            </w:pPr>
          </w:p>
          <w:p>
            <w:pPr>
              <w:pStyle w:val="TableParagraph"/>
              <w:spacing w:before="1"/>
              <w:ind w:left="255" w:right="245"/>
              <w:rPr>
                <w:sz w:val="22"/>
              </w:rPr>
            </w:pPr>
            <w:r>
              <w:rPr>
                <w:sz w:val="22"/>
              </w:rPr>
              <w:t>结构</w:t>
            </w:r>
          </w:p>
        </w:tc>
        <w:tc>
          <w:tcPr>
            <w:tcW w:w="1543" w:type="dxa"/>
            <w:vMerge w:val="restart"/>
          </w:tcPr>
          <w:p>
            <w:pPr>
              <w:pStyle w:val="TableParagraph"/>
              <w:spacing w:line="242" w:lineRule="auto" w:before="195"/>
              <w:ind w:left="551" w:right="538"/>
              <w:rPr>
                <w:sz w:val="22"/>
              </w:rPr>
            </w:pPr>
            <w:r>
              <w:rPr>
                <w:sz w:val="22"/>
              </w:rPr>
              <w:t>顶板岩性</w:t>
            </w:r>
          </w:p>
        </w:tc>
        <w:tc>
          <w:tcPr>
            <w:tcW w:w="1543" w:type="dxa"/>
            <w:vMerge w:val="restart"/>
          </w:tcPr>
          <w:p>
            <w:pPr>
              <w:pStyle w:val="TableParagraph"/>
              <w:spacing w:line="242" w:lineRule="auto" w:before="195"/>
              <w:ind w:left="551" w:right="537"/>
              <w:rPr>
                <w:sz w:val="22"/>
              </w:rPr>
            </w:pPr>
            <w:r>
              <w:rPr>
                <w:sz w:val="22"/>
              </w:rPr>
              <w:t>底板岩性</w:t>
            </w:r>
          </w:p>
        </w:tc>
      </w:tr>
      <w:tr>
        <w:trPr>
          <w:trHeight w:val="332" w:hRule="atLeast"/>
        </w:trPr>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tcPr>
          <w:p>
            <w:pPr>
              <w:pStyle w:val="TableParagraph"/>
              <w:spacing w:before="23"/>
              <w:ind w:left="255" w:right="246"/>
              <w:rPr>
                <w:rFonts w:ascii="Times New Roman" w:eastAsia="Times New Roman"/>
                <w:sz w:val="22"/>
              </w:rPr>
            </w:pPr>
            <w:r>
              <w:rPr>
                <w:sz w:val="22"/>
              </w:rPr>
              <w:t>平均</w:t>
            </w:r>
            <w:r>
              <w:rPr>
                <w:rFonts w:ascii="Times New Roman" w:eastAsia="Times New Roman"/>
                <w:sz w:val="22"/>
              </w:rPr>
              <w:t>(</w:t>
            </w:r>
            <w:r>
              <w:rPr>
                <w:sz w:val="22"/>
              </w:rPr>
              <w:t>米</w:t>
            </w:r>
            <w:r>
              <w:rPr>
                <w:rFonts w:ascii="Times New Roman" w:eastAsia="Times New Roman"/>
                <w:sz w:val="22"/>
              </w:rPr>
              <w:t>)</w:t>
            </w:r>
          </w:p>
        </w:tc>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vMerge/>
            <w:tcBorders>
              <w:top w:val="nil"/>
            </w:tcBorders>
          </w:tcPr>
          <w:p>
            <w:pPr>
              <w:rPr>
                <w:sz w:val="2"/>
                <w:szCs w:val="2"/>
              </w:rPr>
            </w:pPr>
          </w:p>
        </w:tc>
      </w:tr>
      <w:tr>
        <w:trPr>
          <w:trHeight w:val="331" w:hRule="atLeast"/>
        </w:trPr>
        <w:tc>
          <w:tcPr>
            <w:tcW w:w="1543" w:type="dxa"/>
            <w:vMerge w:val="restart"/>
          </w:tcPr>
          <w:p>
            <w:pPr>
              <w:pStyle w:val="TableParagraph"/>
              <w:spacing w:before="209"/>
              <w:ind w:left="255" w:right="246"/>
              <w:rPr>
                <w:rFonts w:ascii="Times New Roman"/>
                <w:sz w:val="22"/>
              </w:rPr>
            </w:pPr>
            <w:r>
              <w:rPr>
                <w:rFonts w:ascii="Times New Roman"/>
                <w:sz w:val="22"/>
              </w:rPr>
              <w:t>5#</w:t>
            </w:r>
          </w:p>
        </w:tc>
        <w:tc>
          <w:tcPr>
            <w:tcW w:w="1543" w:type="dxa"/>
            <w:vMerge w:val="restart"/>
          </w:tcPr>
          <w:p>
            <w:pPr>
              <w:pStyle w:val="TableParagraph"/>
              <w:spacing w:before="209"/>
              <w:ind w:left="514"/>
              <w:jc w:val="left"/>
              <w:rPr>
                <w:rFonts w:ascii="Times New Roman"/>
                <w:sz w:val="22"/>
              </w:rPr>
            </w:pPr>
            <w:r>
              <w:rPr>
                <w:rFonts w:ascii="Times New Roman"/>
                <w:sz w:val="22"/>
              </w:rPr>
              <w:t>40-50</w:t>
            </w:r>
          </w:p>
        </w:tc>
        <w:tc>
          <w:tcPr>
            <w:tcW w:w="1543" w:type="dxa"/>
          </w:tcPr>
          <w:p>
            <w:pPr>
              <w:pStyle w:val="TableParagraph"/>
              <w:spacing w:before="39"/>
              <w:ind w:left="255" w:right="245"/>
              <w:rPr>
                <w:rFonts w:ascii="Times New Roman" w:hAnsi="Times New Roman"/>
                <w:sz w:val="22"/>
              </w:rPr>
            </w:pPr>
            <w:r>
              <w:rPr>
                <w:rFonts w:ascii="Times New Roman" w:hAnsi="Times New Roman"/>
                <w:sz w:val="22"/>
              </w:rPr>
              <w:t>0—0.51</w:t>
            </w:r>
          </w:p>
        </w:tc>
        <w:tc>
          <w:tcPr>
            <w:tcW w:w="1543" w:type="dxa"/>
            <w:vMerge w:val="restart"/>
          </w:tcPr>
          <w:p>
            <w:pPr>
              <w:pStyle w:val="TableParagraph"/>
              <w:spacing w:before="194"/>
              <w:ind w:left="255" w:right="245"/>
              <w:rPr>
                <w:sz w:val="22"/>
              </w:rPr>
            </w:pPr>
            <w:r>
              <w:rPr>
                <w:sz w:val="22"/>
              </w:rPr>
              <w:t>单一</w:t>
            </w:r>
          </w:p>
        </w:tc>
        <w:tc>
          <w:tcPr>
            <w:tcW w:w="1543" w:type="dxa"/>
            <w:vMerge w:val="restart"/>
          </w:tcPr>
          <w:p>
            <w:pPr>
              <w:pStyle w:val="TableParagraph"/>
              <w:spacing w:before="194"/>
              <w:ind w:left="440"/>
              <w:jc w:val="left"/>
              <w:rPr>
                <w:sz w:val="22"/>
              </w:rPr>
            </w:pPr>
            <w:r>
              <w:rPr>
                <w:sz w:val="22"/>
              </w:rPr>
              <w:t>粉砂岩</w:t>
            </w:r>
          </w:p>
        </w:tc>
        <w:tc>
          <w:tcPr>
            <w:tcW w:w="1543" w:type="dxa"/>
            <w:vMerge w:val="restart"/>
          </w:tcPr>
          <w:p>
            <w:pPr>
              <w:pStyle w:val="TableParagraph"/>
              <w:spacing w:before="194"/>
              <w:ind w:left="440"/>
              <w:jc w:val="left"/>
              <w:rPr>
                <w:sz w:val="22"/>
              </w:rPr>
            </w:pPr>
            <w:r>
              <w:rPr>
                <w:sz w:val="22"/>
              </w:rPr>
              <w:t>细砂岩</w:t>
            </w:r>
          </w:p>
        </w:tc>
      </w:tr>
      <w:tr>
        <w:trPr>
          <w:trHeight w:val="332" w:hRule="atLeast"/>
        </w:trPr>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tcPr>
          <w:p>
            <w:pPr>
              <w:pStyle w:val="TableParagraph"/>
              <w:spacing w:before="37"/>
              <w:ind w:left="255" w:right="243"/>
              <w:rPr>
                <w:rFonts w:ascii="Times New Roman"/>
                <w:sz w:val="22"/>
              </w:rPr>
            </w:pPr>
            <w:r>
              <w:rPr>
                <w:rFonts w:ascii="Times New Roman"/>
                <w:sz w:val="22"/>
              </w:rPr>
              <w:t>0.46</w:t>
            </w:r>
          </w:p>
        </w:tc>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vMerge/>
            <w:tcBorders>
              <w:top w:val="nil"/>
            </w:tcBorders>
          </w:tcPr>
          <w:p>
            <w:pPr>
              <w:rPr>
                <w:sz w:val="2"/>
                <w:szCs w:val="2"/>
              </w:rPr>
            </w:pPr>
          </w:p>
        </w:tc>
      </w:tr>
      <w:tr>
        <w:trPr>
          <w:trHeight w:val="648" w:hRule="atLeast"/>
        </w:trPr>
        <w:tc>
          <w:tcPr>
            <w:tcW w:w="1543" w:type="dxa"/>
            <w:vMerge w:val="restart"/>
          </w:tcPr>
          <w:p>
            <w:pPr>
              <w:pStyle w:val="TableParagraph"/>
              <w:spacing w:before="8"/>
              <w:jc w:val="left"/>
              <w:rPr>
                <w:b/>
                <w:sz w:val="28"/>
              </w:rPr>
            </w:pPr>
          </w:p>
          <w:p>
            <w:pPr>
              <w:pStyle w:val="TableParagraph"/>
              <w:spacing w:before="1"/>
              <w:ind w:left="255" w:right="246"/>
              <w:rPr>
                <w:rFonts w:ascii="Times New Roman"/>
                <w:sz w:val="22"/>
              </w:rPr>
            </w:pPr>
            <w:r>
              <w:rPr>
                <w:rFonts w:ascii="Times New Roman"/>
                <w:sz w:val="22"/>
              </w:rPr>
              <w:t>10#</w:t>
            </w:r>
          </w:p>
        </w:tc>
        <w:tc>
          <w:tcPr>
            <w:tcW w:w="1543" w:type="dxa"/>
            <w:vMerge w:val="restart"/>
          </w:tcPr>
          <w:p>
            <w:pPr>
              <w:pStyle w:val="TableParagraph"/>
              <w:spacing w:before="8"/>
              <w:jc w:val="left"/>
              <w:rPr>
                <w:b/>
                <w:sz w:val="28"/>
              </w:rPr>
            </w:pPr>
          </w:p>
          <w:p>
            <w:pPr>
              <w:pStyle w:val="TableParagraph"/>
              <w:spacing w:before="1"/>
              <w:ind w:left="514"/>
              <w:jc w:val="left"/>
              <w:rPr>
                <w:rFonts w:ascii="Times New Roman"/>
                <w:sz w:val="22"/>
              </w:rPr>
            </w:pPr>
            <w:r>
              <w:rPr>
                <w:rFonts w:ascii="Times New Roman"/>
                <w:sz w:val="22"/>
              </w:rPr>
              <w:t>21-29</w:t>
            </w:r>
          </w:p>
        </w:tc>
        <w:tc>
          <w:tcPr>
            <w:tcW w:w="1543" w:type="dxa"/>
          </w:tcPr>
          <w:p>
            <w:pPr>
              <w:pStyle w:val="TableParagraph"/>
              <w:spacing w:before="197"/>
              <w:ind w:left="255" w:right="248"/>
              <w:rPr>
                <w:rFonts w:ascii="Times New Roman" w:hAnsi="Times New Roman"/>
                <w:sz w:val="22"/>
              </w:rPr>
            </w:pPr>
            <w:r>
              <w:rPr>
                <w:rFonts w:ascii="Times New Roman" w:hAnsi="Times New Roman"/>
                <w:sz w:val="22"/>
              </w:rPr>
              <w:t>0.52—0.84</w:t>
            </w:r>
          </w:p>
        </w:tc>
        <w:tc>
          <w:tcPr>
            <w:tcW w:w="1543" w:type="dxa"/>
            <w:vMerge w:val="restart"/>
          </w:tcPr>
          <w:p>
            <w:pPr>
              <w:pStyle w:val="TableParagraph"/>
              <w:spacing w:before="7"/>
              <w:jc w:val="left"/>
              <w:rPr>
                <w:b/>
                <w:sz w:val="27"/>
              </w:rPr>
            </w:pPr>
          </w:p>
          <w:p>
            <w:pPr>
              <w:pStyle w:val="TableParagraph"/>
              <w:ind w:left="255" w:right="245"/>
              <w:rPr>
                <w:sz w:val="22"/>
              </w:rPr>
            </w:pPr>
            <w:r>
              <w:rPr>
                <w:sz w:val="22"/>
              </w:rPr>
              <w:t>单一</w:t>
            </w:r>
          </w:p>
        </w:tc>
        <w:tc>
          <w:tcPr>
            <w:tcW w:w="1543" w:type="dxa"/>
            <w:vMerge w:val="restart"/>
          </w:tcPr>
          <w:p>
            <w:pPr>
              <w:pStyle w:val="TableParagraph"/>
              <w:spacing w:before="7"/>
              <w:jc w:val="left"/>
              <w:rPr>
                <w:b/>
                <w:sz w:val="27"/>
              </w:rPr>
            </w:pPr>
          </w:p>
          <w:p>
            <w:pPr>
              <w:pStyle w:val="TableParagraph"/>
              <w:ind w:left="440"/>
              <w:jc w:val="left"/>
              <w:rPr>
                <w:sz w:val="22"/>
              </w:rPr>
            </w:pPr>
            <w:r>
              <w:rPr>
                <w:sz w:val="22"/>
              </w:rPr>
              <w:t>粉砂岩</w:t>
            </w:r>
          </w:p>
        </w:tc>
        <w:tc>
          <w:tcPr>
            <w:tcW w:w="1543" w:type="dxa"/>
            <w:vMerge w:val="restart"/>
          </w:tcPr>
          <w:p>
            <w:pPr>
              <w:pStyle w:val="TableParagraph"/>
              <w:spacing w:before="7"/>
              <w:jc w:val="left"/>
              <w:rPr>
                <w:b/>
                <w:sz w:val="27"/>
              </w:rPr>
            </w:pPr>
          </w:p>
          <w:p>
            <w:pPr>
              <w:pStyle w:val="TableParagraph"/>
              <w:ind w:left="440"/>
              <w:jc w:val="left"/>
              <w:rPr>
                <w:sz w:val="22"/>
              </w:rPr>
            </w:pPr>
            <w:r>
              <w:rPr>
                <w:sz w:val="22"/>
              </w:rPr>
              <w:t>细砂岩</w:t>
            </w:r>
          </w:p>
        </w:tc>
      </w:tr>
      <w:tr>
        <w:trPr>
          <w:trHeight w:val="332" w:hRule="atLeast"/>
        </w:trPr>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tcPr>
          <w:p>
            <w:pPr>
              <w:pStyle w:val="TableParagraph"/>
              <w:spacing w:before="37"/>
              <w:ind w:left="255" w:right="243"/>
              <w:rPr>
                <w:rFonts w:ascii="Times New Roman"/>
                <w:sz w:val="22"/>
              </w:rPr>
            </w:pPr>
            <w:r>
              <w:rPr>
                <w:rFonts w:ascii="Times New Roman"/>
                <w:sz w:val="22"/>
              </w:rPr>
              <w:t>0.68</w:t>
            </w:r>
          </w:p>
        </w:tc>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vMerge/>
            <w:tcBorders>
              <w:top w:val="nil"/>
            </w:tcBorders>
          </w:tcPr>
          <w:p>
            <w:pPr>
              <w:rPr>
                <w:sz w:val="2"/>
                <w:szCs w:val="2"/>
              </w:rPr>
            </w:pPr>
          </w:p>
        </w:tc>
      </w:tr>
      <w:tr>
        <w:trPr>
          <w:trHeight w:val="648" w:hRule="atLeast"/>
        </w:trPr>
        <w:tc>
          <w:tcPr>
            <w:tcW w:w="1543" w:type="dxa"/>
            <w:vMerge w:val="restart"/>
          </w:tcPr>
          <w:p>
            <w:pPr>
              <w:pStyle w:val="TableParagraph"/>
              <w:spacing w:before="8"/>
              <w:jc w:val="left"/>
              <w:rPr>
                <w:b/>
                <w:sz w:val="28"/>
              </w:rPr>
            </w:pPr>
          </w:p>
          <w:p>
            <w:pPr>
              <w:pStyle w:val="TableParagraph"/>
              <w:ind w:left="255" w:right="246"/>
              <w:rPr>
                <w:rFonts w:ascii="Times New Roman"/>
                <w:sz w:val="22"/>
              </w:rPr>
            </w:pPr>
            <w:r>
              <w:rPr>
                <w:rFonts w:ascii="Times New Roman"/>
                <w:sz w:val="22"/>
              </w:rPr>
              <w:t>15#</w:t>
            </w:r>
          </w:p>
        </w:tc>
        <w:tc>
          <w:tcPr>
            <w:tcW w:w="1543" w:type="dxa"/>
            <w:vMerge w:val="restart"/>
          </w:tcPr>
          <w:p>
            <w:pPr>
              <w:pStyle w:val="TableParagraph"/>
              <w:spacing w:before="8"/>
              <w:jc w:val="left"/>
              <w:rPr>
                <w:b/>
                <w:sz w:val="28"/>
              </w:rPr>
            </w:pPr>
          </w:p>
          <w:p>
            <w:pPr>
              <w:pStyle w:val="TableParagraph"/>
              <w:ind w:left="255" w:right="246"/>
              <w:rPr>
                <w:rFonts w:ascii="Times New Roman"/>
                <w:sz w:val="22"/>
              </w:rPr>
            </w:pPr>
            <w:r>
              <w:rPr>
                <w:rFonts w:ascii="Times New Roman"/>
                <w:sz w:val="22"/>
              </w:rPr>
              <w:t>26</w:t>
            </w:r>
          </w:p>
        </w:tc>
        <w:tc>
          <w:tcPr>
            <w:tcW w:w="1543" w:type="dxa"/>
          </w:tcPr>
          <w:p>
            <w:pPr>
              <w:pStyle w:val="TableParagraph"/>
              <w:spacing w:before="197"/>
              <w:ind w:left="255" w:right="248"/>
              <w:rPr>
                <w:rFonts w:ascii="Times New Roman" w:hAnsi="Times New Roman"/>
                <w:sz w:val="22"/>
              </w:rPr>
            </w:pPr>
            <w:r>
              <w:rPr>
                <w:rFonts w:ascii="Times New Roman" w:hAnsi="Times New Roman"/>
                <w:sz w:val="22"/>
              </w:rPr>
              <w:t>0.59—0.59</w:t>
            </w:r>
          </w:p>
        </w:tc>
        <w:tc>
          <w:tcPr>
            <w:tcW w:w="1543" w:type="dxa"/>
            <w:vMerge w:val="restart"/>
          </w:tcPr>
          <w:p>
            <w:pPr>
              <w:pStyle w:val="TableParagraph"/>
              <w:spacing w:before="6"/>
              <w:jc w:val="left"/>
              <w:rPr>
                <w:b/>
                <w:sz w:val="27"/>
              </w:rPr>
            </w:pPr>
          </w:p>
          <w:p>
            <w:pPr>
              <w:pStyle w:val="TableParagraph"/>
              <w:spacing w:before="1"/>
              <w:ind w:left="255" w:right="245"/>
              <w:rPr>
                <w:sz w:val="22"/>
              </w:rPr>
            </w:pPr>
            <w:r>
              <w:rPr>
                <w:sz w:val="22"/>
              </w:rPr>
              <w:t>单一</w:t>
            </w:r>
          </w:p>
        </w:tc>
        <w:tc>
          <w:tcPr>
            <w:tcW w:w="1543" w:type="dxa"/>
            <w:vMerge w:val="restart"/>
          </w:tcPr>
          <w:p>
            <w:pPr>
              <w:pStyle w:val="TableParagraph"/>
              <w:spacing w:before="6"/>
              <w:jc w:val="left"/>
              <w:rPr>
                <w:b/>
                <w:sz w:val="27"/>
              </w:rPr>
            </w:pPr>
          </w:p>
          <w:p>
            <w:pPr>
              <w:pStyle w:val="TableParagraph"/>
              <w:spacing w:before="1"/>
              <w:ind w:left="440"/>
              <w:jc w:val="left"/>
              <w:rPr>
                <w:sz w:val="22"/>
              </w:rPr>
            </w:pPr>
            <w:r>
              <w:rPr>
                <w:sz w:val="22"/>
              </w:rPr>
              <w:t>粉砂岩</w:t>
            </w:r>
          </w:p>
        </w:tc>
        <w:tc>
          <w:tcPr>
            <w:tcW w:w="1543" w:type="dxa"/>
            <w:vMerge w:val="restart"/>
          </w:tcPr>
          <w:p>
            <w:pPr>
              <w:pStyle w:val="TableParagraph"/>
              <w:spacing w:before="6"/>
              <w:jc w:val="left"/>
              <w:rPr>
                <w:b/>
                <w:sz w:val="27"/>
              </w:rPr>
            </w:pPr>
          </w:p>
          <w:p>
            <w:pPr>
              <w:pStyle w:val="TableParagraph"/>
              <w:spacing w:before="1"/>
              <w:ind w:left="440"/>
              <w:jc w:val="left"/>
              <w:rPr>
                <w:sz w:val="22"/>
              </w:rPr>
            </w:pPr>
            <w:r>
              <w:rPr>
                <w:sz w:val="22"/>
              </w:rPr>
              <w:t>细砂岩</w:t>
            </w:r>
          </w:p>
        </w:tc>
      </w:tr>
      <w:tr>
        <w:trPr>
          <w:trHeight w:val="332" w:hRule="atLeast"/>
        </w:trPr>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tcPr>
          <w:p>
            <w:pPr>
              <w:pStyle w:val="TableParagraph"/>
              <w:spacing w:before="37"/>
              <w:ind w:left="255" w:right="243"/>
              <w:rPr>
                <w:rFonts w:ascii="Times New Roman"/>
                <w:sz w:val="22"/>
              </w:rPr>
            </w:pPr>
            <w:r>
              <w:rPr>
                <w:rFonts w:ascii="Times New Roman"/>
                <w:sz w:val="22"/>
              </w:rPr>
              <w:t>0.59</w:t>
            </w:r>
          </w:p>
        </w:tc>
        <w:tc>
          <w:tcPr>
            <w:tcW w:w="1543" w:type="dxa"/>
            <w:vMerge/>
            <w:tcBorders>
              <w:top w:val="nil"/>
            </w:tcBorders>
          </w:tcPr>
          <w:p>
            <w:pPr>
              <w:rPr>
                <w:sz w:val="2"/>
                <w:szCs w:val="2"/>
              </w:rPr>
            </w:pPr>
          </w:p>
        </w:tc>
        <w:tc>
          <w:tcPr>
            <w:tcW w:w="1543" w:type="dxa"/>
            <w:vMerge/>
            <w:tcBorders>
              <w:top w:val="nil"/>
            </w:tcBorders>
          </w:tcPr>
          <w:p>
            <w:pPr>
              <w:rPr>
                <w:sz w:val="2"/>
                <w:szCs w:val="2"/>
              </w:rPr>
            </w:pPr>
          </w:p>
        </w:tc>
        <w:tc>
          <w:tcPr>
            <w:tcW w:w="1543" w:type="dxa"/>
            <w:vMerge/>
            <w:tcBorders>
              <w:top w:val="nil"/>
            </w:tcBorders>
          </w:tcPr>
          <w:p>
            <w:pPr>
              <w:rPr>
                <w:sz w:val="2"/>
                <w:szCs w:val="2"/>
              </w:rPr>
            </w:pPr>
          </w:p>
        </w:tc>
      </w:tr>
      <w:tr>
        <w:trPr>
          <w:trHeight w:val="648" w:hRule="atLeast"/>
        </w:trPr>
        <w:tc>
          <w:tcPr>
            <w:tcW w:w="1543" w:type="dxa"/>
          </w:tcPr>
          <w:p>
            <w:pPr>
              <w:pStyle w:val="TableParagraph"/>
              <w:spacing w:before="197"/>
              <w:ind w:left="255" w:right="246"/>
              <w:rPr>
                <w:rFonts w:ascii="Times New Roman"/>
                <w:sz w:val="22"/>
              </w:rPr>
            </w:pPr>
            <w:r>
              <w:rPr>
                <w:rFonts w:ascii="Times New Roman"/>
                <w:sz w:val="22"/>
              </w:rPr>
              <w:t>20#</w:t>
            </w:r>
          </w:p>
        </w:tc>
        <w:tc>
          <w:tcPr>
            <w:tcW w:w="1543" w:type="dxa"/>
          </w:tcPr>
          <w:p>
            <w:pPr>
              <w:pStyle w:val="TableParagraph"/>
              <w:jc w:val="left"/>
              <w:rPr>
                <w:rFonts w:ascii="Times New Roman"/>
                <w:sz w:val="22"/>
              </w:rPr>
            </w:pPr>
          </w:p>
        </w:tc>
        <w:tc>
          <w:tcPr>
            <w:tcW w:w="1543" w:type="dxa"/>
          </w:tcPr>
          <w:p>
            <w:pPr>
              <w:pStyle w:val="TableParagraph"/>
              <w:spacing w:before="197"/>
              <w:ind w:left="255" w:right="248"/>
              <w:rPr>
                <w:rFonts w:ascii="Times New Roman" w:hAnsi="Times New Roman"/>
                <w:sz w:val="22"/>
              </w:rPr>
            </w:pPr>
            <w:r>
              <w:rPr>
                <w:rFonts w:ascii="Times New Roman" w:hAnsi="Times New Roman"/>
                <w:sz w:val="22"/>
              </w:rPr>
              <w:t>0.60—1.48</w:t>
            </w:r>
          </w:p>
        </w:tc>
        <w:tc>
          <w:tcPr>
            <w:tcW w:w="1543" w:type="dxa"/>
          </w:tcPr>
          <w:p>
            <w:pPr>
              <w:pStyle w:val="TableParagraph"/>
              <w:spacing w:before="182"/>
              <w:ind w:left="255" w:right="245"/>
              <w:rPr>
                <w:sz w:val="22"/>
              </w:rPr>
            </w:pPr>
            <w:r>
              <w:rPr>
                <w:sz w:val="22"/>
              </w:rPr>
              <w:t>单一</w:t>
            </w:r>
          </w:p>
        </w:tc>
        <w:tc>
          <w:tcPr>
            <w:tcW w:w="1543" w:type="dxa"/>
          </w:tcPr>
          <w:p>
            <w:pPr>
              <w:pStyle w:val="TableParagraph"/>
              <w:spacing w:before="182"/>
              <w:ind w:left="440"/>
              <w:jc w:val="left"/>
              <w:rPr>
                <w:sz w:val="22"/>
              </w:rPr>
            </w:pPr>
            <w:r>
              <w:rPr>
                <w:sz w:val="22"/>
              </w:rPr>
              <w:t>细砂岩</w:t>
            </w:r>
          </w:p>
        </w:tc>
        <w:tc>
          <w:tcPr>
            <w:tcW w:w="1543" w:type="dxa"/>
          </w:tcPr>
          <w:p>
            <w:pPr>
              <w:pStyle w:val="TableParagraph"/>
              <w:spacing w:before="182"/>
              <w:ind w:left="440"/>
              <w:jc w:val="left"/>
              <w:rPr>
                <w:sz w:val="22"/>
              </w:rPr>
            </w:pPr>
            <w:r>
              <w:rPr>
                <w:sz w:val="22"/>
              </w:rPr>
              <w:t>粉砂岩</w:t>
            </w:r>
          </w:p>
        </w:tc>
      </w:tr>
    </w:tbl>
    <w:p>
      <w:pPr>
        <w:pStyle w:val="ListParagraph"/>
        <w:numPr>
          <w:ilvl w:val="0"/>
          <w:numId w:val="24"/>
        </w:numPr>
        <w:tabs>
          <w:tab w:pos="1560" w:val="left" w:leader="none"/>
        </w:tabs>
        <w:spacing w:line="240" w:lineRule="auto" w:before="0" w:after="0"/>
        <w:ind w:left="1559" w:right="0" w:hanging="602"/>
        <w:jc w:val="left"/>
        <w:rPr>
          <w:sz w:val="24"/>
        </w:rPr>
      </w:pPr>
      <w:r>
        <w:rPr>
          <w:sz w:val="24"/>
        </w:rPr>
        <w:t>煤质</w:t>
      </w:r>
    </w:p>
    <w:p>
      <w:pPr>
        <w:pStyle w:val="BodyText"/>
        <w:spacing w:before="160"/>
        <w:ind w:left="958"/>
      </w:pPr>
      <w:r>
        <w:rPr/>
        <w:t>①煤的物理性质及煤岩特征</w:t>
      </w:r>
    </w:p>
    <w:p>
      <w:pPr>
        <w:pStyle w:val="BodyText"/>
        <w:spacing w:line="364" w:lineRule="auto" w:before="161"/>
        <w:ind w:left="478" w:right="477" w:firstLine="480"/>
        <w:jc w:val="both"/>
      </w:pPr>
      <w:r>
        <w:rPr>
          <w:spacing w:val="-5"/>
        </w:rPr>
        <w:t>肉眼观察本区煤的物理性质为黑色，小碎块，具有玻璃与沥青光泽、性脆，有内生</w:t>
      </w:r>
      <w:r>
        <w:rPr>
          <w:spacing w:val="-4"/>
        </w:rPr>
        <w:t>裂隙，呈块状及粉状，宏观煤岩类型为半亮</w:t>
      </w:r>
      <w:r>
        <w:rPr>
          <w:rFonts w:ascii="Times New Roman" w:hAnsi="Times New Roman" w:eastAsia="Times New Roman"/>
        </w:rPr>
        <w:t>—</w:t>
      </w:r>
      <w:r>
        <w:rPr>
          <w:spacing w:val="-6"/>
        </w:rPr>
        <w:t>半暗型，呈条带状结构，亮暗煤相间，互</w:t>
      </w:r>
      <w:r>
        <w:rPr/>
        <w:t>层状，镜煤呈线理状，夹在暗煤中间，岩矿杂质含量中等。</w:t>
      </w:r>
    </w:p>
    <w:p>
      <w:pPr>
        <w:pStyle w:val="BodyText"/>
        <w:spacing w:line="364" w:lineRule="auto"/>
        <w:ind w:left="478" w:right="471" w:firstLine="480"/>
        <w:jc w:val="both"/>
      </w:pPr>
      <w:r>
        <w:rPr/>
        <w:t>本矿区煤的视密度根据煤层及煤种的不同变化较大，从</w:t>
      </w:r>
      <w:r>
        <w:rPr>
          <w:rFonts w:ascii="Times New Roman" w:hAnsi="Times New Roman" w:eastAsia="Times New Roman"/>
        </w:rPr>
        <w:t>1.35g/cm3—1.40 g/cm</w:t>
      </w:r>
      <w:r>
        <w:rPr>
          <w:rFonts w:ascii="Times New Roman" w:hAnsi="Times New Roman" w:eastAsia="Times New Roman"/>
          <w:position w:val="8"/>
          <w:sz w:val="15"/>
        </w:rPr>
        <w:t>3</w:t>
      </w:r>
      <w:r>
        <w:rPr/>
        <w:t>，平均视密度</w:t>
      </w:r>
      <w:r>
        <w:rPr>
          <w:rFonts w:ascii="Times New Roman" w:hAnsi="Times New Roman" w:eastAsia="Times New Roman"/>
        </w:rPr>
        <w:t>1.35 g/cm</w:t>
      </w:r>
      <w:r>
        <w:rPr>
          <w:rFonts w:ascii="Times New Roman" w:hAnsi="Times New Roman" w:eastAsia="Times New Roman"/>
          <w:position w:val="8"/>
          <w:sz w:val="15"/>
        </w:rPr>
        <w:t>3</w:t>
      </w:r>
      <w:r>
        <w:rPr/>
        <w:t>，各可采煤层视密度见表</w:t>
      </w:r>
      <w:r>
        <w:rPr>
          <w:rFonts w:ascii="Times New Roman" w:hAnsi="Times New Roman" w:eastAsia="Times New Roman"/>
        </w:rPr>
        <w:t>3.3-9</w:t>
      </w:r>
      <w:r>
        <w:rPr/>
        <w:t>。</w:t>
      </w:r>
    </w:p>
    <w:p>
      <w:pPr>
        <w:pStyle w:val="Heading4"/>
        <w:spacing w:line="306" w:lineRule="exact"/>
        <w:ind w:left="3202"/>
        <w:jc w:val="both"/>
      </w:pPr>
      <w:r>
        <w:rPr/>
        <w:t>表</w:t>
      </w:r>
      <w:r>
        <w:rPr>
          <w:rFonts w:ascii="Times New Roman" w:eastAsia="Times New Roman"/>
        </w:rPr>
        <w:t>3.3-9 </w:t>
      </w:r>
      <w:r>
        <w:rPr/>
        <w:t>各可采煤层视密度统计表</w:t>
      </w:r>
    </w:p>
    <w:p>
      <w:pPr>
        <w:spacing w:after="0" w:line="306" w:lineRule="exact"/>
        <w:jc w:val="both"/>
        <w:sectPr>
          <w:footerReference w:type="default" r:id="rId12"/>
          <w:pgSz w:w="11910" w:h="16840"/>
          <w:pgMar w:footer="993" w:header="0" w:top="1340" w:bottom="1180" w:left="940" w:right="940"/>
          <w:pgNumType w:start="40"/>
        </w:sectPr>
      </w:pPr>
    </w:p>
    <w:p>
      <w:pPr>
        <w:pStyle w:val="BodyText"/>
        <w:spacing w:before="2"/>
        <w:rPr>
          <w:b/>
          <w:sz w:val="20"/>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8"/>
        <w:gridCol w:w="1808"/>
        <w:gridCol w:w="1808"/>
        <w:gridCol w:w="1808"/>
        <w:gridCol w:w="1808"/>
      </w:tblGrid>
      <w:tr>
        <w:trPr>
          <w:trHeight w:val="448" w:hRule="atLeast"/>
        </w:trPr>
        <w:tc>
          <w:tcPr>
            <w:tcW w:w="1808" w:type="dxa"/>
          </w:tcPr>
          <w:p>
            <w:pPr>
              <w:pStyle w:val="TableParagraph"/>
              <w:spacing w:before="84"/>
              <w:ind w:left="333" w:right="321"/>
              <w:rPr>
                <w:sz w:val="22"/>
              </w:rPr>
            </w:pPr>
            <w:r>
              <w:rPr>
                <w:sz w:val="22"/>
              </w:rPr>
              <w:t>煤层</w:t>
            </w:r>
          </w:p>
        </w:tc>
        <w:tc>
          <w:tcPr>
            <w:tcW w:w="1808" w:type="dxa"/>
          </w:tcPr>
          <w:p>
            <w:pPr>
              <w:pStyle w:val="TableParagraph"/>
              <w:spacing w:before="98"/>
              <w:ind w:left="333" w:right="323"/>
              <w:rPr>
                <w:rFonts w:ascii="Times New Roman"/>
                <w:sz w:val="22"/>
              </w:rPr>
            </w:pPr>
            <w:r>
              <w:rPr>
                <w:rFonts w:ascii="Times New Roman"/>
                <w:sz w:val="22"/>
              </w:rPr>
              <w:t>5#</w:t>
            </w:r>
          </w:p>
        </w:tc>
        <w:tc>
          <w:tcPr>
            <w:tcW w:w="1808" w:type="dxa"/>
          </w:tcPr>
          <w:p>
            <w:pPr>
              <w:pStyle w:val="TableParagraph"/>
              <w:spacing w:before="98"/>
              <w:ind w:left="332" w:right="324"/>
              <w:rPr>
                <w:rFonts w:ascii="Times New Roman"/>
                <w:sz w:val="22"/>
              </w:rPr>
            </w:pPr>
            <w:r>
              <w:rPr>
                <w:rFonts w:ascii="Times New Roman"/>
                <w:sz w:val="22"/>
              </w:rPr>
              <w:t>10#</w:t>
            </w:r>
          </w:p>
        </w:tc>
        <w:tc>
          <w:tcPr>
            <w:tcW w:w="1808" w:type="dxa"/>
          </w:tcPr>
          <w:p>
            <w:pPr>
              <w:pStyle w:val="TableParagraph"/>
              <w:spacing w:before="98"/>
              <w:ind w:left="333" w:right="324"/>
              <w:rPr>
                <w:rFonts w:ascii="Times New Roman"/>
                <w:sz w:val="22"/>
              </w:rPr>
            </w:pPr>
            <w:r>
              <w:rPr>
                <w:rFonts w:ascii="Times New Roman"/>
                <w:sz w:val="22"/>
              </w:rPr>
              <w:t>15#</w:t>
            </w:r>
          </w:p>
        </w:tc>
        <w:tc>
          <w:tcPr>
            <w:tcW w:w="1808" w:type="dxa"/>
          </w:tcPr>
          <w:p>
            <w:pPr>
              <w:pStyle w:val="TableParagraph"/>
              <w:spacing w:before="98"/>
              <w:ind w:left="333" w:right="323"/>
              <w:rPr>
                <w:rFonts w:ascii="Times New Roman"/>
                <w:sz w:val="22"/>
              </w:rPr>
            </w:pPr>
            <w:r>
              <w:rPr>
                <w:rFonts w:ascii="Times New Roman"/>
                <w:sz w:val="22"/>
              </w:rPr>
              <w:t>20#</w:t>
            </w:r>
          </w:p>
        </w:tc>
      </w:tr>
      <w:tr>
        <w:trPr>
          <w:trHeight w:val="439" w:hRule="atLeast"/>
        </w:trPr>
        <w:tc>
          <w:tcPr>
            <w:tcW w:w="1808" w:type="dxa"/>
            <w:vMerge w:val="restart"/>
          </w:tcPr>
          <w:p>
            <w:pPr>
              <w:pStyle w:val="TableParagraph"/>
              <w:spacing w:before="160"/>
              <w:ind w:left="333" w:right="324"/>
              <w:rPr>
                <w:sz w:val="22"/>
              </w:rPr>
            </w:pPr>
            <w:r>
              <w:rPr>
                <w:sz w:val="22"/>
              </w:rPr>
              <w:t>视相对密度</w:t>
            </w:r>
          </w:p>
          <w:p>
            <w:pPr>
              <w:pStyle w:val="TableParagraph"/>
              <w:spacing w:before="3"/>
              <w:ind w:left="333" w:right="324"/>
              <w:rPr>
                <w:sz w:val="22"/>
              </w:rPr>
            </w:pPr>
            <w:r>
              <w:rPr>
                <w:sz w:val="22"/>
              </w:rPr>
              <w:t>（</w:t>
            </w:r>
            <w:r>
              <w:rPr>
                <w:rFonts w:ascii="Times New Roman" w:eastAsia="Times New Roman"/>
                <w:sz w:val="22"/>
              </w:rPr>
              <w:t>t/m3</w:t>
            </w:r>
            <w:r>
              <w:rPr>
                <w:sz w:val="22"/>
              </w:rPr>
              <w:t>）</w:t>
            </w:r>
          </w:p>
        </w:tc>
        <w:tc>
          <w:tcPr>
            <w:tcW w:w="1808" w:type="dxa"/>
          </w:tcPr>
          <w:p>
            <w:pPr>
              <w:pStyle w:val="TableParagraph"/>
              <w:spacing w:before="93"/>
              <w:ind w:left="332" w:right="324"/>
              <w:rPr>
                <w:rFonts w:ascii="Times New Roman"/>
                <w:sz w:val="22"/>
              </w:rPr>
            </w:pPr>
            <w:r>
              <w:rPr>
                <w:rFonts w:ascii="Times New Roman"/>
                <w:sz w:val="22"/>
              </w:rPr>
              <w:t>1.40-1.30</w:t>
            </w:r>
          </w:p>
        </w:tc>
        <w:tc>
          <w:tcPr>
            <w:tcW w:w="1808" w:type="dxa"/>
          </w:tcPr>
          <w:p>
            <w:pPr>
              <w:pStyle w:val="TableParagraph"/>
              <w:spacing w:before="93"/>
              <w:ind w:left="330" w:right="324"/>
              <w:rPr>
                <w:rFonts w:ascii="Times New Roman"/>
                <w:sz w:val="22"/>
              </w:rPr>
            </w:pPr>
            <w:r>
              <w:rPr>
                <w:rFonts w:ascii="Times New Roman"/>
                <w:sz w:val="22"/>
              </w:rPr>
              <w:t>1.45-1.35</w:t>
            </w:r>
          </w:p>
        </w:tc>
        <w:tc>
          <w:tcPr>
            <w:tcW w:w="1808" w:type="dxa"/>
          </w:tcPr>
          <w:p>
            <w:pPr>
              <w:pStyle w:val="TableParagraph"/>
              <w:spacing w:before="93"/>
              <w:ind w:left="333" w:right="324"/>
              <w:rPr>
                <w:rFonts w:ascii="Times New Roman"/>
                <w:sz w:val="22"/>
              </w:rPr>
            </w:pPr>
            <w:r>
              <w:rPr>
                <w:rFonts w:ascii="Times New Roman"/>
                <w:sz w:val="22"/>
              </w:rPr>
              <w:t>1.45-1.35</w:t>
            </w:r>
          </w:p>
        </w:tc>
        <w:tc>
          <w:tcPr>
            <w:tcW w:w="1808" w:type="dxa"/>
          </w:tcPr>
          <w:p>
            <w:pPr>
              <w:pStyle w:val="TableParagraph"/>
              <w:spacing w:before="93"/>
              <w:ind w:left="332" w:right="324"/>
              <w:rPr>
                <w:rFonts w:ascii="Times New Roman"/>
                <w:sz w:val="22"/>
              </w:rPr>
            </w:pPr>
            <w:r>
              <w:rPr>
                <w:rFonts w:ascii="Times New Roman"/>
                <w:sz w:val="22"/>
              </w:rPr>
              <w:t>1.40-1.30</w:t>
            </w:r>
          </w:p>
        </w:tc>
      </w:tr>
      <w:tr>
        <w:trPr>
          <w:trHeight w:val="438" w:hRule="atLeast"/>
        </w:trPr>
        <w:tc>
          <w:tcPr>
            <w:tcW w:w="1808" w:type="dxa"/>
            <w:vMerge/>
            <w:tcBorders>
              <w:top w:val="nil"/>
            </w:tcBorders>
          </w:tcPr>
          <w:p>
            <w:pPr>
              <w:rPr>
                <w:sz w:val="2"/>
                <w:szCs w:val="2"/>
              </w:rPr>
            </w:pPr>
          </w:p>
        </w:tc>
        <w:tc>
          <w:tcPr>
            <w:tcW w:w="1808" w:type="dxa"/>
          </w:tcPr>
          <w:p>
            <w:pPr>
              <w:pStyle w:val="TableParagraph"/>
              <w:spacing w:before="93"/>
              <w:ind w:left="332" w:right="324"/>
              <w:rPr>
                <w:rFonts w:ascii="Times New Roman"/>
                <w:sz w:val="22"/>
              </w:rPr>
            </w:pPr>
            <w:r>
              <w:rPr>
                <w:rFonts w:ascii="Times New Roman"/>
                <w:sz w:val="22"/>
              </w:rPr>
              <w:t>1.35</w:t>
            </w:r>
          </w:p>
        </w:tc>
        <w:tc>
          <w:tcPr>
            <w:tcW w:w="1808" w:type="dxa"/>
          </w:tcPr>
          <w:p>
            <w:pPr>
              <w:pStyle w:val="TableParagraph"/>
              <w:spacing w:before="93"/>
              <w:ind w:left="333" w:right="322"/>
              <w:rPr>
                <w:rFonts w:ascii="Times New Roman"/>
                <w:sz w:val="22"/>
              </w:rPr>
            </w:pPr>
            <w:r>
              <w:rPr>
                <w:rFonts w:ascii="Times New Roman"/>
                <w:sz w:val="22"/>
              </w:rPr>
              <w:t>1.40</w:t>
            </w:r>
          </w:p>
        </w:tc>
        <w:tc>
          <w:tcPr>
            <w:tcW w:w="1808" w:type="dxa"/>
          </w:tcPr>
          <w:p>
            <w:pPr>
              <w:pStyle w:val="TableParagraph"/>
              <w:spacing w:before="93"/>
              <w:ind w:left="333" w:right="324"/>
              <w:rPr>
                <w:rFonts w:ascii="Times New Roman"/>
                <w:sz w:val="22"/>
              </w:rPr>
            </w:pPr>
            <w:r>
              <w:rPr>
                <w:rFonts w:ascii="Times New Roman"/>
                <w:sz w:val="22"/>
              </w:rPr>
              <w:t>1.40</w:t>
            </w:r>
          </w:p>
        </w:tc>
        <w:tc>
          <w:tcPr>
            <w:tcW w:w="1808" w:type="dxa"/>
          </w:tcPr>
          <w:p>
            <w:pPr>
              <w:pStyle w:val="TableParagraph"/>
              <w:spacing w:before="93"/>
              <w:ind w:left="332" w:right="324"/>
              <w:rPr>
                <w:rFonts w:ascii="Times New Roman"/>
                <w:sz w:val="22"/>
              </w:rPr>
            </w:pPr>
            <w:r>
              <w:rPr>
                <w:rFonts w:ascii="Times New Roman"/>
                <w:sz w:val="22"/>
              </w:rPr>
              <w:t>1.35</w:t>
            </w:r>
          </w:p>
        </w:tc>
      </w:tr>
    </w:tbl>
    <w:p>
      <w:pPr>
        <w:pStyle w:val="BodyText"/>
        <w:spacing w:before="3"/>
        <w:ind w:left="958"/>
      </w:pPr>
      <w:r>
        <w:rPr/>
        <w:t>②煤的化学性质</w:t>
      </w:r>
    </w:p>
    <w:p>
      <w:pPr>
        <w:pStyle w:val="BodyText"/>
        <w:spacing w:before="158"/>
        <w:ind w:left="958"/>
      </w:pPr>
      <w:r>
        <w:rPr/>
        <w:t>水分：煤的水分含量较低，全区原煤水分为</w:t>
      </w:r>
      <w:r>
        <w:rPr>
          <w:rFonts w:ascii="Times New Roman" w:eastAsia="Times New Roman"/>
        </w:rPr>
        <w:t>1.31-1.48%</w:t>
      </w:r>
      <w:r>
        <w:rPr/>
        <w:t>，平均</w:t>
      </w:r>
      <w:r>
        <w:rPr>
          <w:rFonts w:ascii="Times New Roman" w:eastAsia="Times New Roman"/>
        </w:rPr>
        <w:t>1.38%</w:t>
      </w:r>
      <w:r>
        <w:rPr/>
        <w:t>。</w:t>
      </w:r>
    </w:p>
    <w:p>
      <w:pPr>
        <w:pStyle w:val="BodyText"/>
        <w:spacing w:line="364" w:lineRule="auto" w:before="160"/>
        <w:ind w:left="478" w:right="473" w:firstLine="480"/>
        <w:jc w:val="both"/>
      </w:pPr>
      <w:r>
        <w:rPr/>
        <w:t>灰分：原煤灰分为</w:t>
      </w:r>
      <w:r>
        <w:rPr>
          <w:rFonts w:ascii="Times New Roman" w:eastAsia="Times New Roman"/>
        </w:rPr>
        <w:t>26.80-33.80%,</w:t>
      </w:r>
      <w:r>
        <w:rPr/>
        <w:t>平均为</w:t>
      </w:r>
      <w:r>
        <w:rPr>
          <w:rFonts w:ascii="Times New Roman" w:eastAsia="Times New Roman"/>
        </w:rPr>
        <w:t>30.30%</w:t>
      </w:r>
      <w:r>
        <w:rPr/>
        <w:t>，浮煤灰分为</w:t>
      </w:r>
      <w:r>
        <w:rPr>
          <w:rFonts w:ascii="Times New Roman" w:eastAsia="Times New Roman"/>
        </w:rPr>
        <w:t>6.59-23.44%</w:t>
      </w:r>
      <w:r>
        <w:rPr/>
        <w:t>，平均为</w:t>
      </w:r>
      <w:r>
        <w:rPr>
          <w:rFonts w:ascii="Times New Roman" w:eastAsia="Times New Roman"/>
        </w:rPr>
        <w:t>10.96</w:t>
      </w:r>
      <w:r>
        <w:rPr/>
        <w:t>，为中低灰煤。其中：</w:t>
      </w:r>
      <w:r>
        <w:rPr>
          <w:rFonts w:ascii="Times New Roman" w:eastAsia="Times New Roman"/>
        </w:rPr>
        <w:t>10#</w:t>
      </w:r>
      <w:r>
        <w:rPr/>
        <w:t>煤层：原煤灰分</w:t>
      </w:r>
      <w:r>
        <w:rPr>
          <w:rFonts w:ascii="Times New Roman" w:eastAsia="Times New Roman"/>
        </w:rPr>
        <w:t>28.40</w:t>
      </w:r>
      <w:r>
        <w:rPr/>
        <w:t>～</w:t>
      </w:r>
      <w:r>
        <w:rPr>
          <w:rFonts w:ascii="Times New Roman" w:eastAsia="Times New Roman"/>
        </w:rPr>
        <w:t>33.80%</w:t>
      </w:r>
      <w:r>
        <w:rPr/>
        <w:t>，平均为</w:t>
      </w:r>
      <w:r>
        <w:rPr>
          <w:rFonts w:ascii="Times New Roman" w:eastAsia="Times New Roman"/>
        </w:rPr>
        <w:t>30.2%</w:t>
      </w:r>
      <w:r>
        <w:rPr/>
        <w:t>，为中灰煤。</w:t>
      </w:r>
      <w:r>
        <w:rPr>
          <w:rFonts w:ascii="Times New Roman" w:eastAsia="Times New Roman"/>
        </w:rPr>
        <w:t>20#</w:t>
      </w:r>
      <w:r>
        <w:rPr/>
        <w:t>煤层原煤灰分为</w:t>
      </w:r>
      <w:r>
        <w:rPr>
          <w:rFonts w:ascii="Times New Roman" w:eastAsia="Times New Roman"/>
        </w:rPr>
        <w:t>26.80-31.50%</w:t>
      </w:r>
      <w:r>
        <w:rPr/>
        <w:t>，平均为</w:t>
      </w:r>
      <w:r>
        <w:rPr>
          <w:rFonts w:ascii="Times New Roman" w:eastAsia="Times New Roman"/>
        </w:rPr>
        <w:t>28.2%</w:t>
      </w:r>
      <w:r>
        <w:rPr/>
        <w:t>，为中灰低煤。综上所述本矿区煤层均以低中灰煤为主。</w:t>
      </w:r>
    </w:p>
    <w:p>
      <w:pPr>
        <w:pStyle w:val="BodyText"/>
        <w:spacing w:line="305" w:lineRule="exact"/>
        <w:ind w:left="958"/>
      </w:pPr>
      <w:r>
        <w:rPr/>
        <w:t>挥发份：原煤挥发分产率为</w:t>
      </w:r>
      <w:r>
        <w:rPr>
          <w:rFonts w:ascii="Times New Roman" w:eastAsia="Times New Roman"/>
        </w:rPr>
        <w:t>20.44-22.77%</w:t>
      </w:r>
      <w:r>
        <w:rPr/>
        <w:t>，平均为</w:t>
      </w:r>
      <w:r>
        <w:rPr>
          <w:rFonts w:ascii="Times New Roman" w:eastAsia="Times New Roman"/>
        </w:rPr>
        <w:t>21.55%</w:t>
      </w:r>
      <w:r>
        <w:rPr/>
        <w:t>。</w:t>
      </w:r>
    </w:p>
    <w:p>
      <w:pPr>
        <w:pStyle w:val="BodyText"/>
        <w:spacing w:before="161"/>
        <w:ind w:left="958"/>
      </w:pPr>
      <w:r>
        <w:rPr/>
        <w:t>元素分析：本矿区碳元素含量（</w:t>
      </w:r>
      <w:r>
        <w:rPr>
          <w:rFonts w:ascii="Times New Roman" w:eastAsia="Times New Roman"/>
        </w:rPr>
        <w:t>Cdaf</w:t>
      </w:r>
      <w:r>
        <w:rPr/>
        <w:t>）为</w:t>
      </w:r>
      <w:r>
        <w:rPr>
          <w:rFonts w:ascii="Times New Roman" w:eastAsia="Times New Roman"/>
        </w:rPr>
        <w:t>87.14-91.87%</w:t>
      </w:r>
      <w:r>
        <w:rPr/>
        <w:t>，平均</w:t>
      </w:r>
      <w:r>
        <w:rPr>
          <w:rFonts w:ascii="Times New Roman" w:eastAsia="Times New Roman"/>
        </w:rPr>
        <w:t>89.87%</w:t>
      </w:r>
      <w:r>
        <w:rPr/>
        <w:t>。氢元素含量</w:t>
      </w:r>
    </w:p>
    <w:p>
      <w:pPr>
        <w:pStyle w:val="BodyText"/>
        <w:spacing w:line="364" w:lineRule="auto" w:before="158"/>
        <w:ind w:left="478" w:right="466"/>
      </w:pPr>
      <w:r>
        <w:rPr/>
        <w:t>（</w:t>
      </w:r>
      <w:r>
        <w:rPr>
          <w:rFonts w:ascii="Times New Roman" w:eastAsia="Times New Roman"/>
        </w:rPr>
        <w:t>Hdaf</w:t>
      </w:r>
      <w:r>
        <w:rPr/>
        <w:t>）为</w:t>
      </w:r>
      <w:r>
        <w:rPr>
          <w:rFonts w:ascii="Times New Roman" w:eastAsia="Times New Roman"/>
        </w:rPr>
        <w:t>3.89-7.74%</w:t>
      </w:r>
      <w:r>
        <w:rPr/>
        <w:t>，平均</w:t>
      </w:r>
      <w:r>
        <w:rPr>
          <w:rFonts w:ascii="Times New Roman" w:eastAsia="Times New Roman"/>
        </w:rPr>
        <w:t>4.57%</w:t>
      </w:r>
      <w:r>
        <w:rPr/>
        <w:t>，氮元素含量（</w:t>
      </w:r>
      <w:r>
        <w:rPr>
          <w:rFonts w:ascii="Times New Roman" w:eastAsia="Times New Roman"/>
        </w:rPr>
        <w:t>Ndaf</w:t>
      </w:r>
      <w:r>
        <w:rPr/>
        <w:t>）为</w:t>
      </w:r>
      <w:r>
        <w:rPr>
          <w:rFonts w:ascii="Times New Roman" w:eastAsia="Times New Roman"/>
        </w:rPr>
        <w:t>,1.05-1.94%</w:t>
      </w:r>
      <w:r>
        <w:rPr/>
        <w:t>，平均</w:t>
      </w:r>
      <w:r>
        <w:rPr>
          <w:rFonts w:ascii="Times New Roman" w:eastAsia="Times New Roman"/>
        </w:rPr>
        <w:t>1.40%</w:t>
      </w:r>
      <w:r>
        <w:rPr/>
        <w:t>， 氧及硫元素含量（（</w:t>
      </w:r>
      <w:r>
        <w:rPr>
          <w:rFonts w:ascii="Times New Roman" w:eastAsia="Times New Roman"/>
        </w:rPr>
        <w:t>O+S</w:t>
      </w:r>
      <w:r>
        <w:rPr/>
        <w:t>）</w:t>
      </w:r>
      <w:r>
        <w:rPr>
          <w:rFonts w:ascii="Times New Roman" w:eastAsia="Times New Roman"/>
        </w:rPr>
        <w:t>daf</w:t>
      </w:r>
      <w:r>
        <w:rPr/>
        <w:t>），</w:t>
      </w:r>
      <w:r>
        <w:rPr>
          <w:rFonts w:ascii="Times New Roman" w:eastAsia="Times New Roman"/>
        </w:rPr>
        <w:t>3.00-6.95%</w:t>
      </w:r>
      <w:r>
        <w:rPr/>
        <w:t>，平均</w:t>
      </w:r>
      <w:r>
        <w:rPr>
          <w:rFonts w:ascii="Times New Roman" w:eastAsia="Times New Roman"/>
        </w:rPr>
        <w:t>4.22%</w:t>
      </w:r>
      <w:r>
        <w:rPr/>
        <w:t>。</w:t>
      </w:r>
    </w:p>
    <w:p>
      <w:pPr>
        <w:pStyle w:val="BodyText"/>
        <w:spacing w:line="364" w:lineRule="auto"/>
        <w:ind w:left="478" w:right="418" w:firstLine="480"/>
      </w:pPr>
      <w:r>
        <w:rPr/>
        <w:t>有害元素：煤层</w:t>
      </w:r>
      <w:r>
        <w:rPr>
          <w:rFonts w:ascii="Times New Roman" w:eastAsia="Times New Roman"/>
        </w:rPr>
        <w:t>Cl</w:t>
      </w:r>
      <w:r>
        <w:rPr/>
        <w:t>元素、</w:t>
      </w:r>
      <w:r>
        <w:rPr>
          <w:rFonts w:ascii="Times New Roman" w:eastAsia="Times New Roman"/>
        </w:rPr>
        <w:t>As</w:t>
      </w:r>
      <w:r>
        <w:rPr/>
        <w:t>元素、</w:t>
      </w:r>
      <w:r>
        <w:rPr>
          <w:rFonts w:ascii="Times New Roman" w:eastAsia="Times New Roman"/>
        </w:rPr>
        <w:t>P</w:t>
      </w:r>
      <w:r>
        <w:rPr/>
        <w:t>元素含量极低，全硫为特低硫</w:t>
      </w:r>
      <w:r>
        <w:rPr>
          <w:rFonts w:ascii="Times New Roman" w:eastAsia="Times New Roman"/>
        </w:rPr>
        <w:t>-</w:t>
      </w:r>
      <w:r>
        <w:rPr/>
        <w:t>低中硫，以特低硫煤为主。</w:t>
      </w:r>
    </w:p>
    <w:p>
      <w:pPr>
        <w:pStyle w:val="BodyText"/>
        <w:spacing w:line="306" w:lineRule="exact"/>
        <w:ind w:left="958"/>
      </w:pPr>
      <w:r>
        <w:rPr/>
        <w:t>微量元素：各煤层原煤微量元素：镓含量为</w:t>
      </w:r>
      <w:r>
        <w:rPr>
          <w:rFonts w:ascii="Times New Roman" w:hAnsi="Times New Roman" w:eastAsia="Times New Roman"/>
        </w:rPr>
        <w:t>1-6μg/g</w:t>
      </w:r>
      <w:r>
        <w:rPr/>
        <w:t>，平均为</w:t>
      </w:r>
      <w:r>
        <w:rPr>
          <w:rFonts w:ascii="Times New Roman" w:hAnsi="Times New Roman" w:eastAsia="Times New Roman"/>
        </w:rPr>
        <w:t>3.76μg/g</w:t>
      </w:r>
      <w:r>
        <w:rPr/>
        <w:t>；锗含量为</w:t>
      </w:r>
    </w:p>
    <w:p>
      <w:pPr>
        <w:pStyle w:val="BodyText"/>
        <w:spacing w:before="159"/>
        <w:ind w:left="478"/>
      </w:pPr>
      <w:r>
        <w:rPr>
          <w:rFonts w:ascii="Times New Roman" w:hAnsi="Times New Roman" w:eastAsia="Times New Roman"/>
        </w:rPr>
        <w:t>2-9μg/g</w:t>
      </w:r>
      <w:r>
        <w:rPr/>
        <w:t>，平均为</w:t>
      </w:r>
      <w:r>
        <w:rPr>
          <w:rFonts w:ascii="Times New Roman" w:hAnsi="Times New Roman" w:eastAsia="Times New Roman"/>
        </w:rPr>
        <w:t>3.56μg/g</w:t>
      </w:r>
      <w:r>
        <w:rPr/>
        <w:t>。</w:t>
      </w:r>
    </w:p>
    <w:p>
      <w:pPr>
        <w:pStyle w:val="Heading4"/>
        <w:spacing w:before="158"/>
        <w:ind w:left="1373" w:right="1368"/>
        <w:jc w:val="center"/>
      </w:pPr>
      <w:r>
        <w:rPr/>
        <w:pict>
          <v:line style="position:absolute;mso-position-horizontal-relative:page;mso-position-vertical-relative:paragraph;z-index:-286040064" from="65.650002pt,31.609997pt" to="162.950002pt,60.359997pt" stroked="true" strokeweight=".5pt" strokecolor="#000000">
            <v:stroke dashstyle="solid"/>
            <w10:wrap type="none"/>
          </v:line>
        </w:pict>
      </w:r>
      <w:r>
        <w:rPr/>
        <w:t>表</w:t>
      </w:r>
      <w:r>
        <w:rPr>
          <w:rFonts w:ascii="Times New Roman" w:eastAsia="Times New Roman"/>
        </w:rPr>
        <w:t>3.3-10</w:t>
      </w:r>
      <w:r>
        <w:rPr>
          <w:rFonts w:ascii="Times New Roman" w:eastAsia="Times New Roman"/>
          <w:spacing w:val="59"/>
        </w:rPr>
        <w:t> </w:t>
      </w:r>
      <w:r>
        <w:rPr/>
        <w:t>工业分析表</w:t>
      </w:r>
    </w:p>
    <w:p>
      <w:pPr>
        <w:pStyle w:val="BodyText"/>
        <w:spacing w:before="5"/>
        <w:rPr>
          <w:b/>
          <w:sz w:val="12"/>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1701"/>
        <w:gridCol w:w="1698"/>
        <w:gridCol w:w="1934"/>
        <w:gridCol w:w="1934"/>
      </w:tblGrid>
      <w:tr>
        <w:trPr>
          <w:trHeight w:val="571" w:hRule="atLeast"/>
        </w:trPr>
        <w:tc>
          <w:tcPr>
            <w:tcW w:w="1951" w:type="dxa"/>
          </w:tcPr>
          <w:p>
            <w:pPr>
              <w:pStyle w:val="TableParagraph"/>
              <w:spacing w:before="2"/>
              <w:ind w:left="535"/>
              <w:jc w:val="left"/>
              <w:rPr>
                <w:sz w:val="22"/>
              </w:rPr>
            </w:pPr>
            <w:r>
              <w:rPr>
                <w:spacing w:val="-2"/>
                <w:sz w:val="22"/>
              </w:rPr>
              <w:t>煤层编号</w:t>
            </w:r>
          </w:p>
          <w:p>
            <w:pPr>
              <w:pStyle w:val="TableParagraph"/>
              <w:spacing w:line="263" w:lineRule="exact" w:before="4"/>
              <w:ind w:left="535"/>
              <w:jc w:val="left"/>
              <w:rPr>
                <w:sz w:val="22"/>
              </w:rPr>
            </w:pPr>
            <w:r>
              <w:rPr>
                <w:spacing w:val="-2"/>
                <w:sz w:val="22"/>
              </w:rPr>
              <w:t>化验项目</w:t>
            </w:r>
          </w:p>
        </w:tc>
        <w:tc>
          <w:tcPr>
            <w:tcW w:w="1701" w:type="dxa"/>
          </w:tcPr>
          <w:p>
            <w:pPr>
              <w:pStyle w:val="TableParagraph"/>
              <w:spacing w:before="158"/>
              <w:ind w:left="252" w:right="243"/>
              <w:rPr>
                <w:rFonts w:ascii="Times New Roman"/>
                <w:sz w:val="22"/>
              </w:rPr>
            </w:pPr>
            <w:r>
              <w:rPr>
                <w:rFonts w:ascii="Times New Roman"/>
                <w:sz w:val="22"/>
              </w:rPr>
              <w:t>5#</w:t>
            </w:r>
          </w:p>
        </w:tc>
        <w:tc>
          <w:tcPr>
            <w:tcW w:w="1698" w:type="dxa"/>
          </w:tcPr>
          <w:p>
            <w:pPr>
              <w:pStyle w:val="TableParagraph"/>
              <w:spacing w:before="158"/>
              <w:ind w:left="663" w:right="655"/>
              <w:rPr>
                <w:rFonts w:ascii="Times New Roman"/>
                <w:sz w:val="22"/>
              </w:rPr>
            </w:pPr>
            <w:r>
              <w:rPr>
                <w:rFonts w:ascii="Times New Roman"/>
                <w:sz w:val="22"/>
              </w:rPr>
              <w:t>10#</w:t>
            </w:r>
          </w:p>
        </w:tc>
        <w:tc>
          <w:tcPr>
            <w:tcW w:w="1934" w:type="dxa"/>
          </w:tcPr>
          <w:p>
            <w:pPr>
              <w:pStyle w:val="TableParagraph"/>
              <w:spacing w:before="158"/>
              <w:ind w:left="368" w:right="358"/>
              <w:rPr>
                <w:rFonts w:ascii="Times New Roman"/>
                <w:sz w:val="22"/>
              </w:rPr>
            </w:pPr>
            <w:r>
              <w:rPr>
                <w:rFonts w:ascii="Times New Roman"/>
                <w:sz w:val="22"/>
              </w:rPr>
              <w:t>15#</w:t>
            </w:r>
          </w:p>
        </w:tc>
        <w:tc>
          <w:tcPr>
            <w:tcW w:w="1934" w:type="dxa"/>
          </w:tcPr>
          <w:p>
            <w:pPr>
              <w:pStyle w:val="TableParagraph"/>
              <w:spacing w:before="158"/>
              <w:ind w:left="368" w:right="358"/>
              <w:rPr>
                <w:rFonts w:ascii="Times New Roman"/>
                <w:sz w:val="22"/>
              </w:rPr>
            </w:pPr>
            <w:r>
              <w:rPr>
                <w:rFonts w:ascii="Times New Roman"/>
                <w:sz w:val="22"/>
              </w:rPr>
              <w:t>20#</w:t>
            </w:r>
          </w:p>
        </w:tc>
      </w:tr>
      <w:tr>
        <w:trPr>
          <w:trHeight w:val="252" w:hRule="atLeast"/>
        </w:trPr>
        <w:tc>
          <w:tcPr>
            <w:tcW w:w="1951" w:type="dxa"/>
            <w:vMerge w:val="restart"/>
          </w:tcPr>
          <w:p>
            <w:pPr>
              <w:pStyle w:val="TableParagraph"/>
              <w:spacing w:before="146"/>
              <w:ind w:left="609"/>
              <w:jc w:val="left"/>
              <w:rPr>
                <w:rFonts w:ascii="Times New Roman"/>
                <w:sz w:val="22"/>
              </w:rPr>
            </w:pPr>
            <w:r>
              <w:rPr>
                <w:rFonts w:ascii="Times New Roman"/>
                <w:sz w:val="22"/>
              </w:rPr>
              <w:t>Mad(%)</w:t>
            </w:r>
          </w:p>
        </w:tc>
        <w:tc>
          <w:tcPr>
            <w:tcW w:w="1701" w:type="dxa"/>
          </w:tcPr>
          <w:p>
            <w:pPr>
              <w:pStyle w:val="TableParagraph"/>
              <w:spacing w:line="233" w:lineRule="exact"/>
              <w:ind w:left="249" w:right="243"/>
              <w:rPr>
                <w:rFonts w:ascii="Times New Roman"/>
                <w:sz w:val="22"/>
              </w:rPr>
            </w:pPr>
            <w:r>
              <w:rPr>
                <w:rFonts w:ascii="Times New Roman"/>
                <w:sz w:val="22"/>
              </w:rPr>
              <w:t>0.89-4.52</w:t>
            </w:r>
          </w:p>
        </w:tc>
        <w:tc>
          <w:tcPr>
            <w:tcW w:w="1698" w:type="dxa"/>
          </w:tcPr>
          <w:p>
            <w:pPr>
              <w:pStyle w:val="TableParagraph"/>
              <w:spacing w:line="233" w:lineRule="exact"/>
              <w:ind w:left="430"/>
              <w:jc w:val="left"/>
              <w:rPr>
                <w:rFonts w:ascii="Times New Roman"/>
                <w:sz w:val="22"/>
              </w:rPr>
            </w:pPr>
            <w:r>
              <w:rPr>
                <w:rFonts w:ascii="Times New Roman"/>
                <w:sz w:val="22"/>
              </w:rPr>
              <w:t>0.93-3.11</w:t>
            </w:r>
          </w:p>
        </w:tc>
        <w:tc>
          <w:tcPr>
            <w:tcW w:w="1934" w:type="dxa"/>
          </w:tcPr>
          <w:p>
            <w:pPr>
              <w:pStyle w:val="TableParagraph"/>
              <w:spacing w:line="233" w:lineRule="exact"/>
              <w:ind w:left="544"/>
              <w:jc w:val="left"/>
              <w:rPr>
                <w:rFonts w:ascii="Times New Roman"/>
                <w:sz w:val="22"/>
              </w:rPr>
            </w:pPr>
            <w:r>
              <w:rPr>
                <w:rFonts w:ascii="Times New Roman"/>
                <w:sz w:val="22"/>
              </w:rPr>
              <w:t>0.74-3.91</w:t>
            </w:r>
          </w:p>
        </w:tc>
        <w:tc>
          <w:tcPr>
            <w:tcW w:w="1934" w:type="dxa"/>
          </w:tcPr>
          <w:p>
            <w:pPr>
              <w:pStyle w:val="TableParagraph"/>
              <w:spacing w:line="233" w:lineRule="exact"/>
              <w:ind w:left="368" w:right="360"/>
              <w:rPr>
                <w:rFonts w:ascii="Times New Roman"/>
                <w:sz w:val="22"/>
              </w:rPr>
            </w:pPr>
            <w:r>
              <w:rPr>
                <w:rFonts w:ascii="Times New Roman"/>
                <w:sz w:val="22"/>
              </w:rPr>
              <w:t>0.88-6.54</w:t>
            </w:r>
          </w:p>
        </w:tc>
      </w:tr>
      <w:tr>
        <w:trPr>
          <w:trHeight w:val="285" w:hRule="atLeast"/>
        </w:trPr>
        <w:tc>
          <w:tcPr>
            <w:tcW w:w="1951" w:type="dxa"/>
            <w:vMerge/>
            <w:tcBorders>
              <w:top w:val="nil"/>
            </w:tcBorders>
          </w:tcPr>
          <w:p>
            <w:pPr>
              <w:rPr>
                <w:sz w:val="2"/>
                <w:szCs w:val="2"/>
              </w:rPr>
            </w:pPr>
          </w:p>
        </w:tc>
        <w:tc>
          <w:tcPr>
            <w:tcW w:w="1701" w:type="dxa"/>
          </w:tcPr>
          <w:p>
            <w:pPr>
              <w:pStyle w:val="TableParagraph"/>
              <w:spacing w:line="264" w:lineRule="exact" w:before="1"/>
              <w:ind w:left="252" w:right="243"/>
              <w:rPr>
                <w:sz w:val="22"/>
              </w:rPr>
            </w:pPr>
            <w:r>
              <w:rPr>
                <w:rFonts w:ascii="Times New Roman" w:eastAsia="Times New Roman"/>
                <w:sz w:val="22"/>
              </w:rPr>
              <w:t>1.76</w:t>
            </w:r>
            <w:r>
              <w:rPr>
                <w:sz w:val="22"/>
              </w:rPr>
              <w:t>（</w:t>
            </w:r>
            <w:r>
              <w:rPr>
                <w:rFonts w:ascii="Times New Roman" w:eastAsia="Times New Roman"/>
                <w:sz w:val="22"/>
              </w:rPr>
              <w:t>20</w:t>
            </w:r>
            <w:r>
              <w:rPr>
                <w:sz w:val="22"/>
              </w:rPr>
              <w:t>）</w:t>
            </w:r>
          </w:p>
        </w:tc>
        <w:tc>
          <w:tcPr>
            <w:tcW w:w="1698" w:type="dxa"/>
          </w:tcPr>
          <w:p>
            <w:pPr>
              <w:pStyle w:val="TableParagraph"/>
              <w:spacing w:line="264" w:lineRule="exact" w:before="1"/>
              <w:ind w:right="314"/>
              <w:jc w:val="right"/>
              <w:rPr>
                <w:sz w:val="22"/>
              </w:rPr>
            </w:pPr>
            <w:r>
              <w:rPr>
                <w:rFonts w:ascii="Times New Roman" w:eastAsia="Times New Roman"/>
                <w:sz w:val="22"/>
              </w:rPr>
              <w:t>1.55</w:t>
            </w:r>
            <w:r>
              <w:rPr>
                <w:sz w:val="22"/>
              </w:rPr>
              <w:t>（</w:t>
            </w:r>
            <w:r>
              <w:rPr>
                <w:rFonts w:ascii="Times New Roman" w:eastAsia="Times New Roman"/>
                <w:sz w:val="22"/>
              </w:rPr>
              <w:t>24</w:t>
            </w:r>
            <w:r>
              <w:rPr>
                <w:sz w:val="22"/>
              </w:rPr>
              <w:t>）</w:t>
            </w:r>
          </w:p>
        </w:tc>
        <w:tc>
          <w:tcPr>
            <w:tcW w:w="1934" w:type="dxa"/>
          </w:tcPr>
          <w:p>
            <w:pPr>
              <w:pStyle w:val="TableParagraph"/>
              <w:spacing w:line="264" w:lineRule="exact" w:before="1"/>
              <w:ind w:left="443"/>
              <w:jc w:val="left"/>
              <w:rPr>
                <w:sz w:val="22"/>
              </w:rPr>
            </w:pPr>
            <w:r>
              <w:rPr>
                <w:rFonts w:ascii="Times New Roman" w:eastAsia="Times New Roman"/>
                <w:sz w:val="22"/>
              </w:rPr>
              <w:t>1.43</w:t>
            </w:r>
            <w:r>
              <w:rPr>
                <w:sz w:val="22"/>
              </w:rPr>
              <w:t>（</w:t>
            </w:r>
            <w:r>
              <w:rPr>
                <w:rFonts w:ascii="Times New Roman" w:eastAsia="Times New Roman"/>
                <w:sz w:val="22"/>
              </w:rPr>
              <w:t>31</w:t>
            </w:r>
            <w:r>
              <w:rPr>
                <w:sz w:val="22"/>
              </w:rPr>
              <w:t>）</w:t>
            </w:r>
          </w:p>
        </w:tc>
        <w:tc>
          <w:tcPr>
            <w:tcW w:w="1934" w:type="dxa"/>
          </w:tcPr>
          <w:p>
            <w:pPr>
              <w:pStyle w:val="TableParagraph"/>
              <w:spacing w:line="264" w:lineRule="exact" w:before="1"/>
              <w:ind w:left="368" w:right="358"/>
              <w:rPr>
                <w:sz w:val="22"/>
              </w:rPr>
            </w:pPr>
            <w:r>
              <w:rPr>
                <w:rFonts w:ascii="Times New Roman" w:eastAsia="Times New Roman"/>
                <w:sz w:val="22"/>
              </w:rPr>
              <w:t>1.57</w:t>
            </w:r>
            <w:r>
              <w:rPr>
                <w:sz w:val="22"/>
              </w:rPr>
              <w:t>（</w:t>
            </w:r>
            <w:r>
              <w:rPr>
                <w:rFonts w:ascii="Times New Roman" w:eastAsia="Times New Roman"/>
                <w:sz w:val="22"/>
              </w:rPr>
              <w:t>40</w:t>
            </w:r>
            <w:r>
              <w:rPr>
                <w:sz w:val="22"/>
              </w:rPr>
              <w:t>）</w:t>
            </w:r>
          </w:p>
        </w:tc>
      </w:tr>
      <w:tr>
        <w:trPr>
          <w:trHeight w:val="492" w:hRule="atLeast"/>
        </w:trPr>
        <w:tc>
          <w:tcPr>
            <w:tcW w:w="1951" w:type="dxa"/>
            <w:vMerge w:val="restart"/>
          </w:tcPr>
          <w:p>
            <w:pPr>
              <w:pStyle w:val="TableParagraph"/>
              <w:spacing w:before="11"/>
              <w:jc w:val="left"/>
              <w:rPr>
                <w:b/>
                <w:sz w:val="20"/>
              </w:rPr>
            </w:pPr>
          </w:p>
          <w:p>
            <w:pPr>
              <w:pStyle w:val="TableParagraph"/>
              <w:ind w:left="657" w:right="645"/>
              <w:rPr>
                <w:rFonts w:ascii="Times New Roman"/>
                <w:sz w:val="22"/>
              </w:rPr>
            </w:pPr>
            <w:r>
              <w:rPr>
                <w:rFonts w:ascii="Times New Roman"/>
                <w:sz w:val="22"/>
              </w:rPr>
              <w:t>Ad(%)</w:t>
            </w:r>
          </w:p>
        </w:tc>
        <w:tc>
          <w:tcPr>
            <w:tcW w:w="1701" w:type="dxa"/>
          </w:tcPr>
          <w:p>
            <w:pPr>
              <w:pStyle w:val="TableParagraph"/>
              <w:spacing w:before="119"/>
              <w:ind w:left="252" w:right="241"/>
              <w:rPr>
                <w:rFonts w:ascii="Times New Roman"/>
                <w:sz w:val="22"/>
              </w:rPr>
            </w:pPr>
            <w:r>
              <w:rPr>
                <w:rFonts w:ascii="Times New Roman"/>
                <w:sz w:val="22"/>
              </w:rPr>
              <w:t>14.33-50.57</w:t>
            </w:r>
          </w:p>
        </w:tc>
        <w:tc>
          <w:tcPr>
            <w:tcW w:w="1698" w:type="dxa"/>
          </w:tcPr>
          <w:p>
            <w:pPr>
              <w:pStyle w:val="TableParagraph"/>
              <w:spacing w:before="119"/>
              <w:ind w:right="304"/>
              <w:jc w:val="right"/>
              <w:rPr>
                <w:rFonts w:ascii="Times New Roman"/>
                <w:sz w:val="22"/>
              </w:rPr>
            </w:pPr>
            <w:r>
              <w:rPr>
                <w:rFonts w:ascii="Times New Roman"/>
                <w:sz w:val="22"/>
              </w:rPr>
              <w:t>15.77-65.88</w:t>
            </w:r>
          </w:p>
        </w:tc>
        <w:tc>
          <w:tcPr>
            <w:tcW w:w="1934" w:type="dxa"/>
          </w:tcPr>
          <w:p>
            <w:pPr>
              <w:pStyle w:val="TableParagraph"/>
              <w:spacing w:before="119"/>
              <w:ind w:left="438"/>
              <w:jc w:val="left"/>
              <w:rPr>
                <w:rFonts w:ascii="Times New Roman"/>
                <w:sz w:val="22"/>
              </w:rPr>
            </w:pPr>
            <w:r>
              <w:rPr>
                <w:rFonts w:ascii="Times New Roman"/>
                <w:sz w:val="22"/>
              </w:rPr>
              <w:t>11.27-48.71</w:t>
            </w:r>
          </w:p>
        </w:tc>
        <w:tc>
          <w:tcPr>
            <w:tcW w:w="1934" w:type="dxa"/>
          </w:tcPr>
          <w:p>
            <w:pPr>
              <w:pStyle w:val="TableParagraph"/>
              <w:spacing w:before="119"/>
              <w:ind w:left="368" w:right="360"/>
              <w:rPr>
                <w:rFonts w:ascii="Times New Roman"/>
                <w:sz w:val="22"/>
              </w:rPr>
            </w:pPr>
            <w:r>
              <w:rPr>
                <w:rFonts w:ascii="Times New Roman"/>
                <w:sz w:val="22"/>
              </w:rPr>
              <w:t>6.09-69.05</w:t>
            </w:r>
          </w:p>
        </w:tc>
      </w:tr>
      <w:tr>
        <w:trPr>
          <w:trHeight w:val="285" w:hRule="atLeast"/>
        </w:trPr>
        <w:tc>
          <w:tcPr>
            <w:tcW w:w="1951" w:type="dxa"/>
            <w:vMerge/>
            <w:tcBorders>
              <w:top w:val="nil"/>
            </w:tcBorders>
          </w:tcPr>
          <w:p>
            <w:pPr>
              <w:rPr>
                <w:sz w:val="2"/>
                <w:szCs w:val="2"/>
              </w:rPr>
            </w:pPr>
          </w:p>
        </w:tc>
        <w:tc>
          <w:tcPr>
            <w:tcW w:w="1701" w:type="dxa"/>
          </w:tcPr>
          <w:p>
            <w:pPr>
              <w:pStyle w:val="TableParagraph"/>
              <w:spacing w:line="263" w:lineRule="exact" w:before="2"/>
              <w:ind w:left="252" w:right="243"/>
              <w:rPr>
                <w:sz w:val="22"/>
              </w:rPr>
            </w:pPr>
            <w:r>
              <w:rPr>
                <w:rFonts w:ascii="Times New Roman" w:eastAsia="Times New Roman"/>
                <w:sz w:val="22"/>
              </w:rPr>
              <w:t>23.26</w:t>
            </w:r>
            <w:r>
              <w:rPr>
                <w:sz w:val="22"/>
              </w:rPr>
              <w:t>（</w:t>
            </w:r>
            <w:r>
              <w:rPr>
                <w:rFonts w:ascii="Times New Roman" w:eastAsia="Times New Roman"/>
                <w:sz w:val="22"/>
              </w:rPr>
              <w:t>20</w:t>
            </w:r>
            <w:r>
              <w:rPr>
                <w:sz w:val="22"/>
              </w:rPr>
              <w:t>）</w:t>
            </w:r>
          </w:p>
        </w:tc>
        <w:tc>
          <w:tcPr>
            <w:tcW w:w="1698" w:type="dxa"/>
          </w:tcPr>
          <w:p>
            <w:pPr>
              <w:pStyle w:val="TableParagraph"/>
              <w:spacing w:line="263" w:lineRule="exact" w:before="2"/>
              <w:ind w:right="259"/>
              <w:jc w:val="right"/>
              <w:rPr>
                <w:sz w:val="22"/>
              </w:rPr>
            </w:pPr>
            <w:r>
              <w:rPr>
                <w:rFonts w:ascii="Times New Roman" w:eastAsia="Times New Roman"/>
                <w:sz w:val="22"/>
              </w:rPr>
              <w:t>27.51</w:t>
            </w:r>
            <w:r>
              <w:rPr>
                <w:sz w:val="22"/>
              </w:rPr>
              <w:t>（</w:t>
            </w:r>
            <w:r>
              <w:rPr>
                <w:rFonts w:ascii="Times New Roman" w:eastAsia="Times New Roman"/>
                <w:sz w:val="22"/>
              </w:rPr>
              <w:t>24</w:t>
            </w:r>
            <w:r>
              <w:rPr>
                <w:sz w:val="22"/>
              </w:rPr>
              <w:t>）</w:t>
            </w:r>
          </w:p>
        </w:tc>
        <w:tc>
          <w:tcPr>
            <w:tcW w:w="1934" w:type="dxa"/>
          </w:tcPr>
          <w:p>
            <w:pPr>
              <w:pStyle w:val="TableParagraph"/>
              <w:spacing w:line="263" w:lineRule="exact" w:before="2"/>
              <w:ind w:left="388"/>
              <w:jc w:val="left"/>
              <w:rPr>
                <w:sz w:val="22"/>
              </w:rPr>
            </w:pPr>
            <w:r>
              <w:rPr>
                <w:rFonts w:ascii="Times New Roman" w:eastAsia="Times New Roman"/>
                <w:sz w:val="22"/>
              </w:rPr>
              <w:t>24.10</w:t>
            </w:r>
            <w:r>
              <w:rPr>
                <w:sz w:val="22"/>
              </w:rPr>
              <w:t>（</w:t>
            </w:r>
            <w:r>
              <w:rPr>
                <w:rFonts w:ascii="Times New Roman" w:eastAsia="Times New Roman"/>
                <w:sz w:val="22"/>
              </w:rPr>
              <w:t>31</w:t>
            </w:r>
            <w:r>
              <w:rPr>
                <w:sz w:val="22"/>
              </w:rPr>
              <w:t>）</w:t>
            </w:r>
          </w:p>
        </w:tc>
        <w:tc>
          <w:tcPr>
            <w:tcW w:w="1934" w:type="dxa"/>
          </w:tcPr>
          <w:p>
            <w:pPr>
              <w:pStyle w:val="TableParagraph"/>
              <w:spacing w:line="263" w:lineRule="exact" w:before="2"/>
              <w:ind w:left="368" w:right="360"/>
              <w:rPr>
                <w:sz w:val="22"/>
              </w:rPr>
            </w:pPr>
            <w:r>
              <w:rPr>
                <w:rFonts w:ascii="Times New Roman" w:eastAsia="Times New Roman"/>
                <w:sz w:val="22"/>
              </w:rPr>
              <w:t>14.80</w:t>
            </w:r>
            <w:r>
              <w:rPr>
                <w:sz w:val="22"/>
              </w:rPr>
              <w:t>（</w:t>
            </w:r>
            <w:r>
              <w:rPr>
                <w:rFonts w:ascii="Times New Roman" w:eastAsia="Times New Roman"/>
                <w:sz w:val="22"/>
              </w:rPr>
              <w:t>40</w:t>
            </w:r>
            <w:r>
              <w:rPr>
                <w:sz w:val="22"/>
              </w:rPr>
              <w:t>）</w:t>
            </w:r>
          </w:p>
        </w:tc>
      </w:tr>
      <w:tr>
        <w:trPr>
          <w:trHeight w:val="492" w:hRule="atLeast"/>
        </w:trPr>
        <w:tc>
          <w:tcPr>
            <w:tcW w:w="1951" w:type="dxa"/>
            <w:vMerge w:val="restart"/>
          </w:tcPr>
          <w:p>
            <w:pPr>
              <w:pStyle w:val="TableParagraph"/>
              <w:spacing w:before="10"/>
              <w:jc w:val="left"/>
              <w:rPr>
                <w:b/>
                <w:sz w:val="20"/>
              </w:rPr>
            </w:pPr>
          </w:p>
          <w:p>
            <w:pPr>
              <w:pStyle w:val="TableParagraph"/>
              <w:ind w:left="590"/>
              <w:jc w:val="left"/>
              <w:rPr>
                <w:rFonts w:ascii="Times New Roman"/>
                <w:sz w:val="22"/>
              </w:rPr>
            </w:pPr>
            <w:r>
              <w:rPr>
                <w:rFonts w:ascii="Times New Roman"/>
                <w:sz w:val="22"/>
              </w:rPr>
              <w:t>Vdaf(%)</w:t>
            </w:r>
          </w:p>
        </w:tc>
        <w:tc>
          <w:tcPr>
            <w:tcW w:w="1701" w:type="dxa"/>
          </w:tcPr>
          <w:p>
            <w:pPr>
              <w:pStyle w:val="TableParagraph"/>
              <w:spacing w:before="120"/>
              <w:ind w:left="252" w:right="241"/>
              <w:rPr>
                <w:rFonts w:ascii="Times New Roman"/>
                <w:sz w:val="22"/>
              </w:rPr>
            </w:pPr>
            <w:r>
              <w:rPr>
                <w:rFonts w:ascii="Times New Roman"/>
                <w:sz w:val="22"/>
              </w:rPr>
              <w:t>20.77-38.33</w:t>
            </w:r>
          </w:p>
        </w:tc>
        <w:tc>
          <w:tcPr>
            <w:tcW w:w="1698" w:type="dxa"/>
          </w:tcPr>
          <w:p>
            <w:pPr>
              <w:pStyle w:val="TableParagraph"/>
              <w:spacing w:before="120"/>
              <w:ind w:right="304"/>
              <w:jc w:val="right"/>
              <w:rPr>
                <w:rFonts w:ascii="Times New Roman"/>
                <w:sz w:val="22"/>
              </w:rPr>
            </w:pPr>
            <w:r>
              <w:rPr>
                <w:rFonts w:ascii="Times New Roman"/>
                <w:sz w:val="22"/>
              </w:rPr>
              <w:t>13.55-44.72</w:t>
            </w:r>
          </w:p>
        </w:tc>
        <w:tc>
          <w:tcPr>
            <w:tcW w:w="1934" w:type="dxa"/>
          </w:tcPr>
          <w:p>
            <w:pPr>
              <w:pStyle w:val="TableParagraph"/>
              <w:spacing w:before="120"/>
              <w:ind w:left="434"/>
              <w:jc w:val="left"/>
              <w:rPr>
                <w:rFonts w:ascii="Times New Roman"/>
                <w:sz w:val="22"/>
              </w:rPr>
            </w:pPr>
            <w:r>
              <w:rPr>
                <w:rFonts w:ascii="Times New Roman"/>
                <w:sz w:val="22"/>
              </w:rPr>
              <w:t>25.16-43.37</w:t>
            </w:r>
          </w:p>
        </w:tc>
        <w:tc>
          <w:tcPr>
            <w:tcW w:w="1934" w:type="dxa"/>
          </w:tcPr>
          <w:p>
            <w:pPr>
              <w:pStyle w:val="TableParagraph"/>
              <w:spacing w:before="120"/>
              <w:ind w:left="368" w:right="360"/>
              <w:rPr>
                <w:rFonts w:ascii="Times New Roman"/>
                <w:sz w:val="22"/>
              </w:rPr>
            </w:pPr>
            <w:r>
              <w:rPr>
                <w:rFonts w:ascii="Times New Roman"/>
                <w:sz w:val="22"/>
              </w:rPr>
              <w:t>25.63-37.83</w:t>
            </w:r>
          </w:p>
        </w:tc>
      </w:tr>
      <w:tr>
        <w:trPr>
          <w:trHeight w:val="286" w:hRule="atLeast"/>
        </w:trPr>
        <w:tc>
          <w:tcPr>
            <w:tcW w:w="1951" w:type="dxa"/>
            <w:vMerge/>
            <w:tcBorders>
              <w:top w:val="nil"/>
            </w:tcBorders>
          </w:tcPr>
          <w:p>
            <w:pPr>
              <w:rPr>
                <w:sz w:val="2"/>
                <w:szCs w:val="2"/>
              </w:rPr>
            </w:pPr>
          </w:p>
        </w:tc>
        <w:tc>
          <w:tcPr>
            <w:tcW w:w="1701" w:type="dxa"/>
          </w:tcPr>
          <w:p>
            <w:pPr>
              <w:pStyle w:val="TableParagraph"/>
              <w:spacing w:line="263" w:lineRule="exact" w:before="3"/>
              <w:ind w:left="252" w:right="243"/>
              <w:rPr>
                <w:sz w:val="22"/>
              </w:rPr>
            </w:pPr>
            <w:r>
              <w:rPr>
                <w:rFonts w:ascii="Times New Roman" w:eastAsia="Times New Roman"/>
                <w:sz w:val="22"/>
              </w:rPr>
              <w:t>34.70</w:t>
            </w:r>
            <w:r>
              <w:rPr>
                <w:sz w:val="22"/>
              </w:rPr>
              <w:t>（</w:t>
            </w:r>
            <w:r>
              <w:rPr>
                <w:rFonts w:ascii="Times New Roman" w:eastAsia="Times New Roman"/>
                <w:sz w:val="22"/>
              </w:rPr>
              <w:t>20</w:t>
            </w:r>
            <w:r>
              <w:rPr>
                <w:sz w:val="22"/>
              </w:rPr>
              <w:t>）</w:t>
            </w:r>
          </w:p>
        </w:tc>
        <w:tc>
          <w:tcPr>
            <w:tcW w:w="1698" w:type="dxa"/>
          </w:tcPr>
          <w:p>
            <w:pPr>
              <w:pStyle w:val="TableParagraph"/>
              <w:spacing w:line="263" w:lineRule="exact" w:before="3"/>
              <w:ind w:right="259"/>
              <w:jc w:val="right"/>
              <w:rPr>
                <w:sz w:val="22"/>
              </w:rPr>
            </w:pPr>
            <w:r>
              <w:rPr>
                <w:rFonts w:ascii="Times New Roman" w:eastAsia="Times New Roman"/>
                <w:sz w:val="22"/>
              </w:rPr>
              <w:t>33.63</w:t>
            </w:r>
            <w:r>
              <w:rPr>
                <w:sz w:val="22"/>
              </w:rPr>
              <w:t>（</w:t>
            </w:r>
            <w:r>
              <w:rPr>
                <w:rFonts w:ascii="Times New Roman" w:eastAsia="Times New Roman"/>
                <w:sz w:val="22"/>
              </w:rPr>
              <w:t>24</w:t>
            </w:r>
            <w:r>
              <w:rPr>
                <w:sz w:val="22"/>
              </w:rPr>
              <w:t>）</w:t>
            </w:r>
          </w:p>
        </w:tc>
        <w:tc>
          <w:tcPr>
            <w:tcW w:w="1934" w:type="dxa"/>
          </w:tcPr>
          <w:p>
            <w:pPr>
              <w:pStyle w:val="TableParagraph"/>
              <w:spacing w:line="263" w:lineRule="exact" w:before="3"/>
              <w:ind w:left="388"/>
              <w:jc w:val="left"/>
              <w:rPr>
                <w:sz w:val="22"/>
              </w:rPr>
            </w:pPr>
            <w:r>
              <w:rPr>
                <w:rFonts w:ascii="Times New Roman" w:eastAsia="Times New Roman"/>
                <w:sz w:val="22"/>
              </w:rPr>
              <w:t>34.00</w:t>
            </w:r>
            <w:r>
              <w:rPr>
                <w:sz w:val="22"/>
              </w:rPr>
              <w:t>（</w:t>
            </w:r>
            <w:r>
              <w:rPr>
                <w:rFonts w:ascii="Times New Roman" w:eastAsia="Times New Roman"/>
                <w:sz w:val="22"/>
              </w:rPr>
              <w:t>31</w:t>
            </w:r>
            <w:r>
              <w:rPr>
                <w:sz w:val="22"/>
              </w:rPr>
              <w:t>）</w:t>
            </w:r>
          </w:p>
        </w:tc>
        <w:tc>
          <w:tcPr>
            <w:tcW w:w="1934" w:type="dxa"/>
          </w:tcPr>
          <w:p>
            <w:pPr>
              <w:pStyle w:val="TableParagraph"/>
              <w:spacing w:line="263" w:lineRule="exact" w:before="3"/>
              <w:ind w:left="368" w:right="360"/>
              <w:rPr>
                <w:sz w:val="22"/>
              </w:rPr>
            </w:pPr>
            <w:r>
              <w:rPr>
                <w:rFonts w:ascii="Times New Roman" w:eastAsia="Times New Roman"/>
                <w:sz w:val="22"/>
              </w:rPr>
              <w:t>32.90</w:t>
            </w:r>
            <w:r>
              <w:rPr>
                <w:sz w:val="22"/>
              </w:rPr>
              <w:t>（</w:t>
            </w:r>
            <w:r>
              <w:rPr>
                <w:rFonts w:ascii="Times New Roman" w:eastAsia="Times New Roman"/>
                <w:sz w:val="22"/>
              </w:rPr>
              <w:t>40</w:t>
            </w:r>
            <w:r>
              <w:rPr>
                <w:sz w:val="22"/>
              </w:rPr>
              <w:t>）</w:t>
            </w:r>
          </w:p>
        </w:tc>
      </w:tr>
      <w:tr>
        <w:trPr>
          <w:trHeight w:val="285" w:hRule="atLeast"/>
        </w:trPr>
        <w:tc>
          <w:tcPr>
            <w:tcW w:w="1951" w:type="dxa"/>
          </w:tcPr>
          <w:p>
            <w:pPr>
              <w:pStyle w:val="TableParagraph"/>
              <w:spacing w:line="265" w:lineRule="exact"/>
              <w:ind w:left="480"/>
              <w:jc w:val="left"/>
              <w:rPr>
                <w:sz w:val="22"/>
              </w:rPr>
            </w:pPr>
            <w:r>
              <w:rPr>
                <w:sz w:val="22"/>
              </w:rPr>
              <w:t>容重（</w:t>
            </w:r>
            <w:r>
              <w:rPr>
                <w:rFonts w:ascii="Times New Roman" w:eastAsia="Times New Roman"/>
                <w:sz w:val="22"/>
              </w:rPr>
              <w:t>d</w:t>
            </w:r>
            <w:r>
              <w:rPr>
                <w:sz w:val="22"/>
              </w:rPr>
              <w:t>）</w:t>
            </w:r>
          </w:p>
        </w:tc>
        <w:tc>
          <w:tcPr>
            <w:tcW w:w="1701" w:type="dxa"/>
          </w:tcPr>
          <w:p>
            <w:pPr>
              <w:pStyle w:val="TableParagraph"/>
              <w:spacing w:line="250" w:lineRule="exact" w:before="14"/>
              <w:ind w:left="252" w:right="241"/>
              <w:rPr>
                <w:rFonts w:ascii="Times New Roman"/>
                <w:sz w:val="22"/>
              </w:rPr>
            </w:pPr>
            <w:r>
              <w:rPr>
                <w:rFonts w:ascii="Times New Roman"/>
                <w:sz w:val="22"/>
              </w:rPr>
              <w:t>1.35</w:t>
            </w:r>
          </w:p>
        </w:tc>
        <w:tc>
          <w:tcPr>
            <w:tcW w:w="1698" w:type="dxa"/>
          </w:tcPr>
          <w:p>
            <w:pPr>
              <w:pStyle w:val="TableParagraph"/>
              <w:spacing w:line="250" w:lineRule="exact" w:before="14"/>
              <w:ind w:left="663" w:right="653"/>
              <w:rPr>
                <w:rFonts w:ascii="Times New Roman"/>
                <w:sz w:val="22"/>
              </w:rPr>
            </w:pPr>
            <w:r>
              <w:rPr>
                <w:rFonts w:ascii="Times New Roman"/>
                <w:sz w:val="22"/>
              </w:rPr>
              <w:t>1.4</w:t>
            </w:r>
          </w:p>
        </w:tc>
        <w:tc>
          <w:tcPr>
            <w:tcW w:w="1934" w:type="dxa"/>
          </w:tcPr>
          <w:p>
            <w:pPr>
              <w:pStyle w:val="TableParagraph"/>
              <w:spacing w:line="250" w:lineRule="exact" w:before="14"/>
              <w:ind w:left="367" w:right="360"/>
              <w:rPr>
                <w:rFonts w:ascii="Times New Roman"/>
                <w:sz w:val="22"/>
              </w:rPr>
            </w:pPr>
            <w:r>
              <w:rPr>
                <w:rFonts w:ascii="Times New Roman"/>
                <w:sz w:val="22"/>
              </w:rPr>
              <w:t>1.4</w:t>
            </w:r>
          </w:p>
        </w:tc>
        <w:tc>
          <w:tcPr>
            <w:tcW w:w="1934" w:type="dxa"/>
          </w:tcPr>
          <w:p>
            <w:pPr>
              <w:pStyle w:val="TableParagraph"/>
              <w:spacing w:line="250" w:lineRule="exact" w:before="14"/>
              <w:ind w:left="368" w:right="360"/>
              <w:rPr>
                <w:rFonts w:ascii="Times New Roman"/>
                <w:sz w:val="22"/>
              </w:rPr>
            </w:pPr>
            <w:r>
              <w:rPr>
                <w:rFonts w:ascii="Times New Roman"/>
                <w:sz w:val="22"/>
              </w:rPr>
              <w:t>1.35</w:t>
            </w:r>
          </w:p>
        </w:tc>
      </w:tr>
    </w:tbl>
    <w:p>
      <w:pPr>
        <w:spacing w:before="2"/>
        <w:ind w:left="1373" w:right="1368" w:firstLine="0"/>
        <w:jc w:val="center"/>
        <w:rPr>
          <w:b/>
          <w:sz w:val="24"/>
        </w:rPr>
      </w:pPr>
      <w:r>
        <w:rPr/>
        <w:pict>
          <v:line style="position:absolute;mso-position-horizontal-relative:page;mso-position-vertical-relative:paragraph;z-index:-286039040" from="65.650002pt,23.719995pt" to="168.350002pt,52.469995pt" stroked="true" strokeweight=".5pt" strokecolor="#000000">
            <v:stroke dashstyle="solid"/>
            <w10:wrap type="none"/>
          </v:line>
        </w:pict>
      </w:r>
      <w:r>
        <w:rPr>
          <w:b/>
          <w:sz w:val="24"/>
        </w:rPr>
        <w:t>表</w:t>
      </w:r>
      <w:r>
        <w:rPr>
          <w:rFonts w:ascii="Times New Roman" w:eastAsia="Times New Roman"/>
          <w:b/>
          <w:sz w:val="24"/>
        </w:rPr>
        <w:t>3.3-11</w:t>
      </w:r>
      <w:r>
        <w:rPr>
          <w:rFonts w:ascii="Times New Roman" w:eastAsia="Times New Roman"/>
          <w:b/>
          <w:spacing w:val="44"/>
          <w:sz w:val="24"/>
        </w:rPr>
        <w:t> </w:t>
      </w:r>
      <w:r>
        <w:rPr>
          <w:b/>
          <w:sz w:val="24"/>
        </w:rPr>
        <w:t>有害组分表</w:t>
      </w:r>
    </w:p>
    <w:p>
      <w:pPr>
        <w:pStyle w:val="BodyText"/>
        <w:spacing w:before="4"/>
        <w:rPr>
          <w:b/>
          <w:sz w:val="12"/>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619"/>
        <w:gridCol w:w="1839"/>
        <w:gridCol w:w="1840"/>
        <w:gridCol w:w="1840"/>
      </w:tblGrid>
      <w:tr>
        <w:trPr>
          <w:trHeight w:val="570" w:hRule="atLeast"/>
        </w:trPr>
        <w:tc>
          <w:tcPr>
            <w:tcW w:w="2059" w:type="dxa"/>
          </w:tcPr>
          <w:p>
            <w:pPr>
              <w:pStyle w:val="TableParagraph"/>
              <w:ind w:left="753"/>
              <w:jc w:val="left"/>
              <w:rPr>
                <w:sz w:val="22"/>
              </w:rPr>
            </w:pPr>
            <w:r>
              <w:rPr>
                <w:sz w:val="22"/>
              </w:rPr>
              <w:t>煤层编号</w:t>
            </w:r>
          </w:p>
          <w:p>
            <w:pPr>
              <w:pStyle w:val="TableParagraph"/>
              <w:spacing w:line="264" w:lineRule="exact" w:before="4"/>
              <w:ind w:left="588"/>
              <w:jc w:val="left"/>
              <w:rPr>
                <w:sz w:val="22"/>
              </w:rPr>
            </w:pPr>
            <w:r>
              <w:rPr>
                <w:sz w:val="22"/>
              </w:rPr>
              <w:t>化验项目</w:t>
            </w:r>
          </w:p>
        </w:tc>
        <w:tc>
          <w:tcPr>
            <w:tcW w:w="1619" w:type="dxa"/>
          </w:tcPr>
          <w:p>
            <w:pPr>
              <w:pStyle w:val="TableParagraph"/>
              <w:spacing w:before="157"/>
              <w:ind w:left="256" w:right="247"/>
              <w:rPr>
                <w:rFonts w:ascii="Times New Roman"/>
                <w:sz w:val="22"/>
              </w:rPr>
            </w:pPr>
            <w:r>
              <w:rPr>
                <w:rFonts w:ascii="Times New Roman"/>
                <w:sz w:val="22"/>
              </w:rPr>
              <w:t>5#</w:t>
            </w:r>
          </w:p>
        </w:tc>
        <w:tc>
          <w:tcPr>
            <w:tcW w:w="1839" w:type="dxa"/>
          </w:tcPr>
          <w:p>
            <w:pPr>
              <w:pStyle w:val="TableParagraph"/>
              <w:spacing w:before="157"/>
              <w:ind w:left="365" w:right="358"/>
              <w:rPr>
                <w:rFonts w:ascii="Times New Roman"/>
                <w:sz w:val="22"/>
              </w:rPr>
            </w:pPr>
            <w:r>
              <w:rPr>
                <w:rFonts w:ascii="Times New Roman"/>
                <w:sz w:val="22"/>
              </w:rPr>
              <w:t>10#</w:t>
            </w:r>
          </w:p>
        </w:tc>
        <w:tc>
          <w:tcPr>
            <w:tcW w:w="1840" w:type="dxa"/>
          </w:tcPr>
          <w:p>
            <w:pPr>
              <w:pStyle w:val="TableParagraph"/>
              <w:spacing w:before="157"/>
              <w:ind w:left="239" w:right="229"/>
              <w:rPr>
                <w:rFonts w:ascii="Times New Roman"/>
                <w:sz w:val="22"/>
              </w:rPr>
            </w:pPr>
            <w:r>
              <w:rPr>
                <w:rFonts w:ascii="Times New Roman"/>
                <w:sz w:val="22"/>
              </w:rPr>
              <w:t>15#</w:t>
            </w:r>
          </w:p>
        </w:tc>
        <w:tc>
          <w:tcPr>
            <w:tcW w:w="1840" w:type="dxa"/>
          </w:tcPr>
          <w:p>
            <w:pPr>
              <w:pStyle w:val="TableParagraph"/>
              <w:spacing w:before="157"/>
              <w:ind w:left="239" w:right="230"/>
              <w:rPr>
                <w:rFonts w:ascii="Times New Roman"/>
                <w:sz w:val="22"/>
              </w:rPr>
            </w:pPr>
            <w:r>
              <w:rPr>
                <w:rFonts w:ascii="Times New Roman"/>
                <w:sz w:val="22"/>
              </w:rPr>
              <w:t>20#</w:t>
            </w:r>
          </w:p>
        </w:tc>
      </w:tr>
      <w:tr>
        <w:trPr>
          <w:trHeight w:val="689" w:hRule="atLeast"/>
        </w:trPr>
        <w:tc>
          <w:tcPr>
            <w:tcW w:w="2059" w:type="dxa"/>
          </w:tcPr>
          <w:p>
            <w:pPr>
              <w:pStyle w:val="TableParagraph"/>
              <w:spacing w:before="12"/>
              <w:jc w:val="left"/>
              <w:rPr>
                <w:b/>
                <w:sz w:val="16"/>
              </w:rPr>
            </w:pPr>
          </w:p>
          <w:p>
            <w:pPr>
              <w:pStyle w:val="TableParagraph"/>
              <w:spacing w:before="1"/>
              <w:ind w:left="320" w:right="308"/>
              <w:rPr>
                <w:rFonts w:ascii="Times New Roman"/>
                <w:sz w:val="22"/>
              </w:rPr>
            </w:pPr>
            <w:r>
              <w:rPr>
                <w:rFonts w:ascii="Times New Roman"/>
                <w:sz w:val="22"/>
              </w:rPr>
              <w:t>Std(%)</w:t>
            </w:r>
          </w:p>
        </w:tc>
        <w:tc>
          <w:tcPr>
            <w:tcW w:w="1619" w:type="dxa"/>
          </w:tcPr>
          <w:p>
            <w:pPr>
              <w:pStyle w:val="TableParagraph"/>
              <w:spacing w:line="252" w:lineRule="exact" w:before="90"/>
              <w:ind w:left="258" w:right="247"/>
              <w:rPr>
                <w:rFonts w:ascii="Times New Roman"/>
                <w:sz w:val="22"/>
              </w:rPr>
            </w:pPr>
            <w:r>
              <w:rPr>
                <w:rFonts w:ascii="Times New Roman"/>
                <w:sz w:val="22"/>
                <w:u w:val="single"/>
              </w:rPr>
              <w:t>0.338-0.380</w:t>
            </w:r>
          </w:p>
          <w:p>
            <w:pPr>
              <w:pStyle w:val="TableParagraph"/>
              <w:spacing w:line="252" w:lineRule="exact"/>
              <w:ind w:left="258" w:right="247"/>
              <w:rPr>
                <w:rFonts w:ascii="Times New Roman"/>
                <w:sz w:val="22"/>
              </w:rPr>
            </w:pPr>
            <w:r>
              <w:rPr>
                <w:rFonts w:ascii="Times New Roman"/>
                <w:sz w:val="22"/>
              </w:rPr>
              <w:t>0.34</w:t>
            </w:r>
          </w:p>
        </w:tc>
        <w:tc>
          <w:tcPr>
            <w:tcW w:w="1839" w:type="dxa"/>
          </w:tcPr>
          <w:p>
            <w:pPr>
              <w:pStyle w:val="TableParagraph"/>
              <w:spacing w:line="252" w:lineRule="exact" w:before="90"/>
              <w:ind w:left="367" w:right="358"/>
              <w:rPr>
                <w:rFonts w:ascii="Times New Roman"/>
                <w:sz w:val="22"/>
              </w:rPr>
            </w:pPr>
            <w:r>
              <w:rPr>
                <w:rFonts w:ascii="Times New Roman"/>
                <w:sz w:val="22"/>
                <w:u w:val="single"/>
              </w:rPr>
              <w:t>0.230-0.433</w:t>
            </w:r>
          </w:p>
          <w:p>
            <w:pPr>
              <w:pStyle w:val="TableParagraph"/>
              <w:spacing w:line="252" w:lineRule="exact"/>
              <w:ind w:left="367" w:right="358"/>
              <w:rPr>
                <w:rFonts w:ascii="Times New Roman"/>
                <w:sz w:val="22"/>
              </w:rPr>
            </w:pPr>
            <w:r>
              <w:rPr>
                <w:rFonts w:ascii="Times New Roman"/>
                <w:sz w:val="22"/>
              </w:rPr>
              <w:t>0.32</w:t>
            </w:r>
          </w:p>
        </w:tc>
        <w:tc>
          <w:tcPr>
            <w:tcW w:w="1840" w:type="dxa"/>
          </w:tcPr>
          <w:p>
            <w:pPr>
              <w:pStyle w:val="TableParagraph"/>
              <w:spacing w:line="252" w:lineRule="exact" w:before="90"/>
              <w:ind w:left="238" w:right="231"/>
              <w:rPr>
                <w:rFonts w:ascii="Times New Roman"/>
                <w:sz w:val="22"/>
              </w:rPr>
            </w:pPr>
            <w:r>
              <w:rPr>
                <w:rFonts w:ascii="Times New Roman"/>
                <w:sz w:val="22"/>
                <w:u w:val="single"/>
              </w:rPr>
              <w:t>0.33-0.435</w:t>
            </w:r>
          </w:p>
          <w:p>
            <w:pPr>
              <w:pStyle w:val="TableParagraph"/>
              <w:spacing w:line="252" w:lineRule="exact"/>
              <w:ind w:left="239" w:right="229"/>
              <w:rPr>
                <w:rFonts w:ascii="Times New Roman"/>
                <w:sz w:val="22"/>
              </w:rPr>
            </w:pPr>
            <w:r>
              <w:rPr>
                <w:rFonts w:ascii="Times New Roman"/>
                <w:sz w:val="22"/>
              </w:rPr>
              <w:t>0.345</w:t>
            </w:r>
          </w:p>
        </w:tc>
        <w:tc>
          <w:tcPr>
            <w:tcW w:w="1840" w:type="dxa"/>
          </w:tcPr>
          <w:p>
            <w:pPr>
              <w:pStyle w:val="TableParagraph"/>
              <w:spacing w:line="252" w:lineRule="exact" w:before="90"/>
              <w:ind w:left="239" w:right="230"/>
              <w:rPr>
                <w:rFonts w:ascii="Times New Roman"/>
                <w:sz w:val="22"/>
              </w:rPr>
            </w:pPr>
            <w:r>
              <w:rPr>
                <w:rFonts w:ascii="Times New Roman"/>
                <w:sz w:val="22"/>
                <w:u w:val="single"/>
              </w:rPr>
              <w:t>0.218-0.635</w:t>
            </w:r>
          </w:p>
          <w:p>
            <w:pPr>
              <w:pStyle w:val="TableParagraph"/>
              <w:spacing w:line="252" w:lineRule="exact"/>
              <w:ind w:left="239" w:right="230"/>
              <w:rPr>
                <w:rFonts w:ascii="Times New Roman"/>
                <w:sz w:val="22"/>
              </w:rPr>
            </w:pPr>
            <w:r>
              <w:rPr>
                <w:rFonts w:ascii="Times New Roman"/>
                <w:sz w:val="22"/>
              </w:rPr>
              <w:t>0.339</w:t>
            </w:r>
          </w:p>
        </w:tc>
      </w:tr>
    </w:tbl>
    <w:p>
      <w:pPr>
        <w:spacing w:after="0" w:line="252" w:lineRule="exact"/>
        <w:rPr>
          <w:rFonts w:ascii="Times New Roman"/>
          <w:sz w:val="22"/>
        </w:rPr>
        <w:sectPr>
          <w:pgSz w:w="11910" w:h="16840"/>
          <w:pgMar w:header="0" w:footer="993" w:top="1580" w:bottom="1180" w:left="940" w:right="940"/>
        </w:sect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619"/>
        <w:gridCol w:w="1839"/>
        <w:gridCol w:w="1840"/>
        <w:gridCol w:w="1840"/>
      </w:tblGrid>
      <w:tr>
        <w:trPr>
          <w:trHeight w:val="462" w:hRule="atLeast"/>
        </w:trPr>
        <w:tc>
          <w:tcPr>
            <w:tcW w:w="2059" w:type="dxa"/>
          </w:tcPr>
          <w:p>
            <w:pPr>
              <w:pStyle w:val="TableParagraph"/>
              <w:spacing w:before="105"/>
              <w:ind w:left="320" w:right="308"/>
              <w:rPr>
                <w:rFonts w:ascii="Times New Roman"/>
                <w:sz w:val="22"/>
              </w:rPr>
            </w:pPr>
            <w:r>
              <w:rPr>
                <w:rFonts w:ascii="Times New Roman"/>
                <w:sz w:val="22"/>
              </w:rPr>
              <w:t>Pd(%)</w:t>
            </w:r>
          </w:p>
        </w:tc>
        <w:tc>
          <w:tcPr>
            <w:tcW w:w="1619" w:type="dxa"/>
          </w:tcPr>
          <w:p>
            <w:pPr>
              <w:pStyle w:val="TableParagraph"/>
              <w:spacing w:before="105"/>
              <w:ind w:left="258" w:right="247"/>
              <w:rPr>
                <w:rFonts w:ascii="Times New Roman"/>
                <w:sz w:val="22"/>
              </w:rPr>
            </w:pPr>
            <w:r>
              <w:rPr>
                <w:rFonts w:ascii="Times New Roman"/>
                <w:sz w:val="22"/>
              </w:rPr>
              <w:t>0.007</w:t>
            </w:r>
          </w:p>
        </w:tc>
        <w:tc>
          <w:tcPr>
            <w:tcW w:w="1839" w:type="dxa"/>
          </w:tcPr>
          <w:p>
            <w:pPr>
              <w:pStyle w:val="TableParagraph"/>
              <w:spacing w:before="105"/>
              <w:ind w:left="367" w:right="358"/>
              <w:rPr>
                <w:rFonts w:ascii="Times New Roman"/>
                <w:sz w:val="22"/>
              </w:rPr>
            </w:pPr>
            <w:r>
              <w:rPr>
                <w:rFonts w:ascii="Times New Roman"/>
                <w:sz w:val="22"/>
              </w:rPr>
              <w:t>0.009</w:t>
            </w:r>
          </w:p>
        </w:tc>
        <w:tc>
          <w:tcPr>
            <w:tcW w:w="1840" w:type="dxa"/>
          </w:tcPr>
          <w:p>
            <w:pPr>
              <w:pStyle w:val="TableParagraph"/>
              <w:spacing w:before="105"/>
              <w:ind w:left="239" w:right="229"/>
              <w:rPr>
                <w:rFonts w:ascii="Times New Roman"/>
                <w:sz w:val="22"/>
              </w:rPr>
            </w:pPr>
            <w:r>
              <w:rPr>
                <w:rFonts w:ascii="Times New Roman"/>
                <w:sz w:val="22"/>
              </w:rPr>
              <w:t>0.015</w:t>
            </w:r>
          </w:p>
        </w:tc>
        <w:tc>
          <w:tcPr>
            <w:tcW w:w="1840" w:type="dxa"/>
          </w:tcPr>
          <w:p>
            <w:pPr>
              <w:pStyle w:val="TableParagraph"/>
              <w:spacing w:before="105"/>
              <w:ind w:left="615"/>
              <w:jc w:val="left"/>
              <w:rPr>
                <w:rFonts w:ascii="Times New Roman"/>
                <w:sz w:val="22"/>
              </w:rPr>
            </w:pPr>
            <w:r>
              <w:rPr>
                <w:rFonts w:ascii="Times New Roman"/>
                <w:sz w:val="22"/>
              </w:rPr>
              <w:t>0.0085</w:t>
            </w:r>
          </w:p>
        </w:tc>
      </w:tr>
    </w:tbl>
    <w:p>
      <w:pPr>
        <w:spacing w:before="1"/>
        <w:ind w:left="1370" w:right="1368" w:firstLine="0"/>
        <w:jc w:val="center"/>
        <w:rPr>
          <w:b/>
          <w:sz w:val="24"/>
        </w:rPr>
      </w:pPr>
      <w:r>
        <w:rPr/>
        <w:pict>
          <v:shape style="position:absolute;margin-left:65.663002pt;margin-top:23.522997pt;width:101.8pt;height:31.2pt;mso-position-horizontal-relative:page;mso-position-vertical-relative:paragraph;z-index:-286038016" coordorigin="1313,470" coordsize="2036,624" path="m3345,1094l1313,482,1317,470,3349,1082,3345,1094xe" filled="true" fillcolor="#000000" stroked="false">
            <v:path arrowok="t"/>
            <v:fill type="solid"/>
            <w10:wrap type="none"/>
          </v:shape>
        </w:pict>
      </w:r>
      <w:r>
        <w:rPr>
          <w:b/>
          <w:sz w:val="24"/>
        </w:rPr>
        <w:t>表</w:t>
      </w:r>
      <w:r>
        <w:rPr>
          <w:rFonts w:ascii="Times New Roman" w:eastAsia="Times New Roman"/>
          <w:b/>
          <w:sz w:val="24"/>
        </w:rPr>
        <w:t>3.3-12  </w:t>
      </w:r>
      <w:r>
        <w:rPr>
          <w:b/>
          <w:sz w:val="24"/>
        </w:rPr>
        <w:t>发热量表</w:t>
      </w:r>
    </w:p>
    <w:p>
      <w:pPr>
        <w:pStyle w:val="BodyText"/>
        <w:spacing w:before="5"/>
        <w:rPr>
          <w:b/>
          <w:sz w:val="12"/>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619"/>
        <w:gridCol w:w="1839"/>
        <w:gridCol w:w="1840"/>
        <w:gridCol w:w="1840"/>
      </w:tblGrid>
      <w:tr>
        <w:trPr>
          <w:trHeight w:val="570" w:hRule="atLeast"/>
        </w:trPr>
        <w:tc>
          <w:tcPr>
            <w:tcW w:w="2059" w:type="dxa"/>
          </w:tcPr>
          <w:p>
            <w:pPr>
              <w:pStyle w:val="TableParagraph"/>
              <w:ind w:left="588"/>
              <w:jc w:val="left"/>
              <w:rPr>
                <w:sz w:val="22"/>
              </w:rPr>
            </w:pPr>
            <w:r>
              <w:rPr>
                <w:spacing w:val="-2"/>
                <w:sz w:val="22"/>
              </w:rPr>
              <w:t>煤层编号</w:t>
            </w:r>
          </w:p>
          <w:p>
            <w:pPr>
              <w:pStyle w:val="TableParagraph"/>
              <w:spacing w:line="265" w:lineRule="exact" w:before="3"/>
              <w:ind w:left="588"/>
              <w:jc w:val="left"/>
              <w:rPr>
                <w:sz w:val="22"/>
              </w:rPr>
            </w:pPr>
            <w:r>
              <w:rPr>
                <w:spacing w:val="-2"/>
                <w:sz w:val="22"/>
              </w:rPr>
              <w:t>化验项目</w:t>
            </w:r>
          </w:p>
        </w:tc>
        <w:tc>
          <w:tcPr>
            <w:tcW w:w="1619" w:type="dxa"/>
          </w:tcPr>
          <w:p>
            <w:pPr>
              <w:pStyle w:val="TableParagraph"/>
              <w:spacing w:before="156"/>
              <w:ind w:left="256" w:right="247"/>
              <w:rPr>
                <w:rFonts w:ascii="Times New Roman"/>
                <w:sz w:val="22"/>
              </w:rPr>
            </w:pPr>
            <w:r>
              <w:rPr>
                <w:rFonts w:ascii="Times New Roman"/>
                <w:sz w:val="22"/>
              </w:rPr>
              <w:t>5#</w:t>
            </w:r>
          </w:p>
        </w:tc>
        <w:tc>
          <w:tcPr>
            <w:tcW w:w="1839" w:type="dxa"/>
          </w:tcPr>
          <w:p>
            <w:pPr>
              <w:pStyle w:val="TableParagraph"/>
              <w:spacing w:before="156"/>
              <w:ind w:left="365" w:right="358"/>
              <w:rPr>
                <w:rFonts w:ascii="Times New Roman"/>
                <w:sz w:val="22"/>
              </w:rPr>
            </w:pPr>
            <w:r>
              <w:rPr>
                <w:rFonts w:ascii="Times New Roman"/>
                <w:sz w:val="22"/>
              </w:rPr>
              <w:t>10#</w:t>
            </w:r>
          </w:p>
        </w:tc>
        <w:tc>
          <w:tcPr>
            <w:tcW w:w="1840" w:type="dxa"/>
          </w:tcPr>
          <w:p>
            <w:pPr>
              <w:pStyle w:val="TableParagraph"/>
              <w:spacing w:before="156"/>
              <w:ind w:left="239" w:right="229"/>
              <w:rPr>
                <w:rFonts w:ascii="Times New Roman"/>
                <w:sz w:val="22"/>
              </w:rPr>
            </w:pPr>
            <w:r>
              <w:rPr>
                <w:rFonts w:ascii="Times New Roman"/>
                <w:sz w:val="22"/>
              </w:rPr>
              <w:t>15#</w:t>
            </w:r>
          </w:p>
        </w:tc>
        <w:tc>
          <w:tcPr>
            <w:tcW w:w="1840" w:type="dxa"/>
          </w:tcPr>
          <w:p>
            <w:pPr>
              <w:pStyle w:val="TableParagraph"/>
              <w:spacing w:before="156"/>
              <w:ind w:left="239" w:right="230"/>
              <w:rPr>
                <w:rFonts w:ascii="Times New Roman"/>
                <w:sz w:val="22"/>
              </w:rPr>
            </w:pPr>
            <w:r>
              <w:rPr>
                <w:rFonts w:ascii="Times New Roman"/>
                <w:sz w:val="22"/>
              </w:rPr>
              <w:t>20#</w:t>
            </w:r>
          </w:p>
        </w:tc>
      </w:tr>
      <w:tr>
        <w:trPr>
          <w:trHeight w:val="847" w:hRule="atLeast"/>
        </w:trPr>
        <w:tc>
          <w:tcPr>
            <w:tcW w:w="2059" w:type="dxa"/>
          </w:tcPr>
          <w:p>
            <w:pPr>
              <w:pStyle w:val="TableParagraph"/>
              <w:jc w:val="left"/>
              <w:rPr>
                <w:b/>
                <w:sz w:val="23"/>
              </w:rPr>
            </w:pPr>
          </w:p>
          <w:p>
            <w:pPr>
              <w:pStyle w:val="TableParagraph"/>
              <w:ind w:left="320" w:right="308"/>
              <w:rPr>
                <w:rFonts w:ascii="Times New Roman" w:hAnsi="Times New Roman"/>
                <w:sz w:val="22"/>
              </w:rPr>
            </w:pPr>
            <w:r>
              <w:rPr>
                <w:rFonts w:ascii="Times New Roman" w:hAnsi="Times New Roman"/>
                <w:sz w:val="22"/>
              </w:rPr>
              <w:t>Qnet·ar(MJ/kg)</w:t>
            </w:r>
          </w:p>
        </w:tc>
        <w:tc>
          <w:tcPr>
            <w:tcW w:w="1619" w:type="dxa"/>
          </w:tcPr>
          <w:p>
            <w:pPr>
              <w:pStyle w:val="TableParagraph"/>
              <w:jc w:val="left"/>
              <w:rPr>
                <w:b/>
                <w:sz w:val="23"/>
              </w:rPr>
            </w:pPr>
          </w:p>
          <w:p>
            <w:pPr>
              <w:pStyle w:val="TableParagraph"/>
              <w:ind w:left="258" w:right="247"/>
              <w:rPr>
                <w:rFonts w:ascii="Times New Roman"/>
                <w:sz w:val="22"/>
              </w:rPr>
            </w:pPr>
            <w:r>
              <w:rPr>
                <w:rFonts w:ascii="Times New Roman"/>
                <w:sz w:val="22"/>
              </w:rPr>
              <w:t>20.07</w:t>
            </w:r>
          </w:p>
        </w:tc>
        <w:tc>
          <w:tcPr>
            <w:tcW w:w="1839" w:type="dxa"/>
          </w:tcPr>
          <w:p>
            <w:pPr>
              <w:pStyle w:val="TableParagraph"/>
              <w:spacing w:line="252" w:lineRule="exact" w:before="168"/>
              <w:ind w:left="367" w:right="358"/>
              <w:rPr>
                <w:rFonts w:ascii="Times New Roman"/>
                <w:sz w:val="22"/>
              </w:rPr>
            </w:pPr>
            <w:r>
              <w:rPr>
                <w:rFonts w:ascii="Times New Roman"/>
                <w:sz w:val="22"/>
                <w:u w:val="single"/>
              </w:rPr>
              <w:t>20.90-23.56</w:t>
            </w:r>
          </w:p>
          <w:p>
            <w:pPr>
              <w:pStyle w:val="TableParagraph"/>
              <w:spacing w:line="252" w:lineRule="exact"/>
              <w:ind w:left="367" w:right="358"/>
              <w:rPr>
                <w:rFonts w:ascii="Times New Roman"/>
                <w:sz w:val="22"/>
              </w:rPr>
            </w:pPr>
            <w:r>
              <w:rPr>
                <w:rFonts w:ascii="Times New Roman"/>
                <w:sz w:val="22"/>
              </w:rPr>
              <w:t>21.66</w:t>
            </w:r>
          </w:p>
        </w:tc>
        <w:tc>
          <w:tcPr>
            <w:tcW w:w="1840" w:type="dxa"/>
          </w:tcPr>
          <w:p>
            <w:pPr>
              <w:pStyle w:val="TableParagraph"/>
              <w:jc w:val="left"/>
              <w:rPr>
                <w:b/>
                <w:sz w:val="23"/>
              </w:rPr>
            </w:pPr>
          </w:p>
          <w:p>
            <w:pPr>
              <w:pStyle w:val="TableParagraph"/>
              <w:ind w:left="239" w:right="229"/>
              <w:rPr>
                <w:rFonts w:ascii="Times New Roman"/>
                <w:sz w:val="22"/>
              </w:rPr>
            </w:pPr>
            <w:r>
              <w:rPr>
                <w:rFonts w:ascii="Times New Roman"/>
                <w:sz w:val="22"/>
              </w:rPr>
              <w:t>21.30</w:t>
            </w:r>
          </w:p>
        </w:tc>
        <w:tc>
          <w:tcPr>
            <w:tcW w:w="1840" w:type="dxa"/>
          </w:tcPr>
          <w:p>
            <w:pPr>
              <w:pStyle w:val="TableParagraph"/>
              <w:spacing w:line="252" w:lineRule="exact" w:before="168"/>
              <w:ind w:left="239" w:right="230"/>
              <w:rPr>
                <w:rFonts w:ascii="Times New Roman"/>
                <w:sz w:val="22"/>
              </w:rPr>
            </w:pPr>
            <w:r>
              <w:rPr>
                <w:rFonts w:ascii="Times New Roman"/>
                <w:sz w:val="22"/>
                <w:u w:val="single"/>
              </w:rPr>
              <w:t>18.26-24.40</w:t>
            </w:r>
          </w:p>
          <w:p>
            <w:pPr>
              <w:pStyle w:val="TableParagraph"/>
              <w:spacing w:line="252" w:lineRule="exact"/>
              <w:ind w:left="239" w:right="230"/>
              <w:rPr>
                <w:rFonts w:ascii="Times New Roman"/>
                <w:sz w:val="22"/>
              </w:rPr>
            </w:pPr>
            <w:r>
              <w:rPr>
                <w:rFonts w:ascii="Times New Roman"/>
                <w:sz w:val="22"/>
              </w:rPr>
              <w:t>21.45</w:t>
            </w:r>
          </w:p>
        </w:tc>
      </w:tr>
      <w:tr>
        <w:trPr>
          <w:trHeight w:val="845" w:hRule="atLeast"/>
        </w:trPr>
        <w:tc>
          <w:tcPr>
            <w:tcW w:w="2059" w:type="dxa"/>
          </w:tcPr>
          <w:p>
            <w:pPr>
              <w:pStyle w:val="TableParagraph"/>
              <w:jc w:val="left"/>
              <w:rPr>
                <w:b/>
                <w:sz w:val="23"/>
              </w:rPr>
            </w:pPr>
          </w:p>
          <w:p>
            <w:pPr>
              <w:pStyle w:val="TableParagraph"/>
              <w:ind w:left="317" w:right="308"/>
              <w:rPr>
                <w:rFonts w:ascii="Times New Roman" w:hAnsi="Times New Roman"/>
                <w:sz w:val="22"/>
              </w:rPr>
            </w:pPr>
            <w:r>
              <w:rPr>
                <w:rFonts w:ascii="Times New Roman" w:hAnsi="Times New Roman"/>
                <w:sz w:val="22"/>
              </w:rPr>
              <w:t>Qgr·d(MJ/kg)</w:t>
            </w:r>
          </w:p>
        </w:tc>
        <w:tc>
          <w:tcPr>
            <w:tcW w:w="1619" w:type="dxa"/>
          </w:tcPr>
          <w:p>
            <w:pPr>
              <w:pStyle w:val="TableParagraph"/>
              <w:jc w:val="left"/>
              <w:rPr>
                <w:b/>
                <w:sz w:val="23"/>
              </w:rPr>
            </w:pPr>
          </w:p>
          <w:p>
            <w:pPr>
              <w:pStyle w:val="TableParagraph"/>
              <w:ind w:left="258" w:right="247"/>
              <w:rPr>
                <w:rFonts w:ascii="Times New Roman"/>
                <w:sz w:val="22"/>
              </w:rPr>
            </w:pPr>
            <w:r>
              <w:rPr>
                <w:rFonts w:ascii="Times New Roman"/>
                <w:sz w:val="22"/>
              </w:rPr>
              <w:t>22.14</w:t>
            </w:r>
          </w:p>
        </w:tc>
        <w:tc>
          <w:tcPr>
            <w:tcW w:w="1839" w:type="dxa"/>
          </w:tcPr>
          <w:p>
            <w:pPr>
              <w:pStyle w:val="TableParagraph"/>
              <w:spacing w:line="252" w:lineRule="exact" w:before="168"/>
              <w:ind w:left="367" w:right="358"/>
              <w:rPr>
                <w:rFonts w:ascii="Times New Roman"/>
                <w:sz w:val="22"/>
              </w:rPr>
            </w:pPr>
            <w:r>
              <w:rPr>
                <w:rFonts w:ascii="Times New Roman"/>
                <w:sz w:val="22"/>
                <w:u w:val="single"/>
              </w:rPr>
              <w:t>22.40-25.32</w:t>
            </w:r>
          </w:p>
          <w:p>
            <w:pPr>
              <w:pStyle w:val="TableParagraph"/>
              <w:spacing w:line="252" w:lineRule="exact"/>
              <w:ind w:left="367" w:right="358"/>
              <w:rPr>
                <w:rFonts w:ascii="Times New Roman"/>
                <w:sz w:val="22"/>
              </w:rPr>
            </w:pPr>
            <w:r>
              <w:rPr>
                <w:rFonts w:ascii="Times New Roman"/>
                <w:sz w:val="22"/>
              </w:rPr>
              <w:t>23.86</w:t>
            </w:r>
          </w:p>
        </w:tc>
        <w:tc>
          <w:tcPr>
            <w:tcW w:w="1840" w:type="dxa"/>
          </w:tcPr>
          <w:p>
            <w:pPr>
              <w:pStyle w:val="TableParagraph"/>
              <w:jc w:val="left"/>
              <w:rPr>
                <w:b/>
                <w:sz w:val="23"/>
              </w:rPr>
            </w:pPr>
          </w:p>
          <w:p>
            <w:pPr>
              <w:pStyle w:val="TableParagraph"/>
              <w:ind w:left="239" w:right="229"/>
              <w:rPr>
                <w:rFonts w:ascii="Times New Roman"/>
                <w:sz w:val="22"/>
              </w:rPr>
            </w:pPr>
            <w:r>
              <w:rPr>
                <w:rFonts w:ascii="Times New Roman"/>
                <w:sz w:val="22"/>
              </w:rPr>
              <w:t>23.06</w:t>
            </w:r>
          </w:p>
        </w:tc>
        <w:tc>
          <w:tcPr>
            <w:tcW w:w="1840" w:type="dxa"/>
          </w:tcPr>
          <w:p>
            <w:pPr>
              <w:pStyle w:val="TableParagraph"/>
              <w:spacing w:line="252" w:lineRule="exact" w:before="168"/>
              <w:ind w:left="239" w:right="230"/>
              <w:rPr>
                <w:rFonts w:ascii="Times New Roman"/>
                <w:sz w:val="22"/>
              </w:rPr>
            </w:pPr>
            <w:r>
              <w:rPr>
                <w:rFonts w:ascii="Times New Roman"/>
                <w:sz w:val="22"/>
                <w:u w:val="single"/>
              </w:rPr>
              <w:t>19.30-26.54</w:t>
            </w:r>
          </w:p>
          <w:p>
            <w:pPr>
              <w:pStyle w:val="TableParagraph"/>
              <w:spacing w:line="252" w:lineRule="exact"/>
              <w:ind w:left="239" w:right="230"/>
              <w:rPr>
                <w:rFonts w:ascii="Times New Roman"/>
                <w:sz w:val="22"/>
              </w:rPr>
            </w:pPr>
            <w:r>
              <w:rPr>
                <w:rFonts w:ascii="Times New Roman"/>
                <w:sz w:val="22"/>
              </w:rPr>
              <w:t>23.28</w:t>
            </w:r>
          </w:p>
        </w:tc>
      </w:tr>
    </w:tbl>
    <w:p>
      <w:pPr>
        <w:pStyle w:val="BodyText"/>
        <w:ind w:left="958"/>
      </w:pPr>
      <w:r>
        <w:rPr/>
        <w:t>③煤的工艺性能</w:t>
      </w:r>
    </w:p>
    <w:p>
      <w:pPr>
        <w:pStyle w:val="BodyText"/>
        <w:spacing w:line="364" w:lineRule="auto" w:before="161"/>
        <w:ind w:left="478" w:right="471" w:firstLine="480"/>
        <w:jc w:val="both"/>
      </w:pPr>
      <w:r>
        <w:rPr>
          <w:spacing w:val="-3"/>
        </w:rPr>
        <w:t>煤的粘结性：对煤的焦渣指数和粘结指数</w:t>
      </w:r>
      <w:r>
        <w:rPr/>
        <w:t>（</w:t>
      </w:r>
      <w:r>
        <w:rPr>
          <w:rFonts w:ascii="Times New Roman" w:hAnsi="Times New Roman" w:eastAsia="Times New Roman"/>
        </w:rPr>
        <w:t>GR.I</w:t>
      </w:r>
      <w:r>
        <w:rPr/>
        <w:t>）</w:t>
      </w:r>
      <w:r>
        <w:rPr>
          <w:spacing w:val="-3"/>
        </w:rPr>
        <w:t>进行了测试，测试结果是焦渣指</w:t>
      </w:r>
      <w:r>
        <w:rPr/>
        <w:t>数一般多为</w:t>
      </w:r>
      <w:r>
        <w:rPr>
          <w:rFonts w:ascii="Times New Roman" w:hAnsi="Times New Roman" w:eastAsia="Times New Roman"/>
        </w:rPr>
        <w:t>0—7mm</w:t>
      </w:r>
      <w:r>
        <w:rPr>
          <w:spacing w:val="-3"/>
        </w:rPr>
        <w:t>，属微膨胀熔融粘结型。粘结指数</w:t>
      </w:r>
      <w:r>
        <w:rPr/>
        <w:t>（</w:t>
      </w:r>
      <w:r>
        <w:rPr>
          <w:rFonts w:ascii="Times New Roman" w:hAnsi="Times New Roman" w:eastAsia="Times New Roman"/>
        </w:rPr>
        <w:t>GR.I</w:t>
      </w:r>
      <w:r>
        <w:rPr/>
        <w:t>）最小值为</w:t>
      </w:r>
      <w:r>
        <w:rPr>
          <w:rFonts w:ascii="Times New Roman" w:hAnsi="Times New Roman" w:eastAsia="Times New Roman"/>
          <w:spacing w:val="-5"/>
        </w:rPr>
        <w:t>6</w:t>
      </w:r>
      <w:r>
        <w:rPr>
          <w:spacing w:val="-2"/>
        </w:rPr>
        <w:t>，最高</w:t>
      </w:r>
      <w:r>
        <w:rPr>
          <w:rFonts w:ascii="Times New Roman" w:hAnsi="Times New Roman" w:eastAsia="Times New Roman"/>
          <w:spacing w:val="-4"/>
        </w:rPr>
        <w:t>25</w:t>
      </w:r>
      <w:r>
        <w:rPr>
          <w:spacing w:val="-8"/>
        </w:rPr>
        <w:t>，本</w:t>
      </w:r>
      <w:r>
        <w:rPr/>
        <w:t>矿区主要为弱粘结煤。另外，在低温干馏试验中所得半焦焦型以</w:t>
      </w:r>
      <w:r>
        <w:rPr>
          <w:rFonts w:ascii="Times New Roman" w:hAnsi="Times New Roman" w:eastAsia="Times New Roman"/>
        </w:rPr>
        <w:t>A</w:t>
      </w:r>
      <w:r>
        <w:rPr/>
        <w:t>型为主，亦说明本矿区煤的结焦性较弱。</w:t>
      </w:r>
    </w:p>
    <w:p>
      <w:pPr>
        <w:pStyle w:val="BodyText"/>
        <w:spacing w:line="305" w:lineRule="exact"/>
        <w:ind w:left="958"/>
        <w:jc w:val="both"/>
      </w:pPr>
      <w:r>
        <w:rPr>
          <w:spacing w:val="17"/>
        </w:rPr>
        <w:t>煤的发热量： 原煤干燥基低位发热量</w:t>
      </w:r>
      <w:r>
        <w:rPr/>
        <w:t>（</w:t>
      </w:r>
      <w:r>
        <w:rPr>
          <w:spacing w:val="-89"/>
        </w:rPr>
        <w:t> </w:t>
      </w:r>
      <w:r>
        <w:rPr>
          <w:rFonts w:ascii="Times New Roman" w:eastAsia="Times New Roman"/>
          <w:spacing w:val="2"/>
        </w:rPr>
        <w:t>Qgr.d</w:t>
      </w:r>
      <w:r>
        <w:rPr>
          <w:spacing w:val="2"/>
        </w:rPr>
        <w:t>）</w:t>
      </w:r>
      <w:r>
        <w:rPr>
          <w:spacing w:val="-28"/>
        </w:rPr>
        <w:t> 为</w:t>
      </w:r>
      <w:r>
        <w:rPr>
          <w:rFonts w:ascii="Times New Roman" w:eastAsia="Times New Roman"/>
        </w:rPr>
        <w:t>18.56-21.75MJ/kg </w:t>
      </w:r>
      <w:r>
        <w:rPr>
          <w:spacing w:val="-6"/>
        </w:rPr>
        <w:t>， 平均为</w:t>
      </w:r>
    </w:p>
    <w:p>
      <w:pPr>
        <w:pStyle w:val="BodyText"/>
        <w:spacing w:line="364" w:lineRule="auto" w:before="158"/>
        <w:ind w:left="958" w:right="6473" w:hanging="480"/>
      </w:pPr>
      <w:r>
        <w:rPr>
          <w:rFonts w:ascii="Times New Roman" w:eastAsia="Times New Roman"/>
        </w:rPr>
        <w:t>20.15MJ/kg</w:t>
      </w:r>
      <w:r>
        <w:rPr/>
        <w:t>，为中发热量煤。煤的焦油产率</w:t>
      </w:r>
    </w:p>
    <w:p>
      <w:pPr>
        <w:pStyle w:val="BodyText"/>
        <w:spacing w:line="364" w:lineRule="auto"/>
        <w:ind w:left="478" w:right="420" w:firstLine="480"/>
      </w:pPr>
      <w:r>
        <w:rPr>
          <w:rFonts w:ascii="Times New Roman" w:eastAsia="Times New Roman"/>
        </w:rPr>
        <w:t>10#</w:t>
      </w:r>
      <w:r>
        <w:rPr/>
        <w:t>煤层焦油产率（</w:t>
      </w:r>
      <w:r>
        <w:rPr>
          <w:rFonts w:ascii="Times New Roman" w:eastAsia="Times New Roman"/>
        </w:rPr>
        <w:t>Tar.ad</w:t>
      </w:r>
      <w:r>
        <w:rPr/>
        <w:t>）为</w:t>
      </w:r>
      <w:r>
        <w:rPr>
          <w:rFonts w:ascii="Times New Roman" w:eastAsia="Times New Roman"/>
        </w:rPr>
        <w:t>1.9-3.8%</w:t>
      </w:r>
      <w:r>
        <w:rPr/>
        <w:t>，平均为</w:t>
      </w:r>
      <w:r>
        <w:rPr>
          <w:rFonts w:ascii="Times New Roman" w:eastAsia="Times New Roman"/>
        </w:rPr>
        <w:t>3.4%</w:t>
      </w:r>
      <w:r>
        <w:rPr/>
        <w:t>；</w:t>
      </w:r>
      <w:r>
        <w:rPr>
          <w:rFonts w:ascii="Times New Roman" w:eastAsia="Times New Roman"/>
        </w:rPr>
        <w:t>20#</w:t>
      </w:r>
      <w:r>
        <w:rPr/>
        <w:t>煤层焦油产率（</w:t>
      </w:r>
      <w:r>
        <w:rPr>
          <w:rFonts w:ascii="Times New Roman" w:eastAsia="Times New Roman"/>
        </w:rPr>
        <w:t>Tar.ad</w:t>
      </w:r>
      <w:r>
        <w:rPr/>
        <w:t>） 为</w:t>
      </w:r>
      <w:r>
        <w:rPr>
          <w:rFonts w:ascii="Times New Roman" w:eastAsia="Times New Roman"/>
        </w:rPr>
        <w:t>1.2-3.8%</w:t>
      </w:r>
      <w:r>
        <w:rPr/>
        <w:t>，平均为</w:t>
      </w:r>
      <w:r>
        <w:rPr>
          <w:rFonts w:ascii="Times New Roman" w:eastAsia="Times New Roman"/>
        </w:rPr>
        <w:t>3.36%</w:t>
      </w:r>
      <w:r>
        <w:rPr/>
        <w:t>；可见所有煤层均为低油煤。</w:t>
      </w:r>
    </w:p>
    <w:p>
      <w:pPr>
        <w:pStyle w:val="BodyText"/>
        <w:spacing w:line="360" w:lineRule="auto"/>
        <w:ind w:left="478" w:right="471" w:firstLine="480"/>
        <w:jc w:val="both"/>
      </w:pPr>
      <w:r>
        <w:rPr>
          <w:position w:val="2"/>
        </w:rPr>
        <w:t>煤灰成分：本矿区原煤的灰成分主要以</w:t>
      </w:r>
      <w:r>
        <w:rPr>
          <w:rFonts w:ascii="Times New Roman" w:eastAsia="Times New Roman"/>
          <w:position w:val="2"/>
        </w:rPr>
        <w:t>SiO</w:t>
      </w:r>
      <w:r>
        <w:rPr>
          <w:rFonts w:ascii="Times New Roman" w:eastAsia="Times New Roman"/>
          <w:position w:val="2"/>
          <w:vertAlign w:val="subscript"/>
        </w:rPr>
        <w:t>2</w:t>
      </w:r>
      <w:r>
        <w:rPr>
          <w:rFonts w:ascii="Times New Roman" w:eastAsia="Times New Roman"/>
          <w:position w:val="2"/>
          <w:vertAlign w:val="baseline"/>
        </w:rPr>
        <w:t> </w:t>
      </w:r>
      <w:r>
        <w:rPr>
          <w:position w:val="2"/>
          <w:vertAlign w:val="baseline"/>
        </w:rPr>
        <w:t>和</w:t>
      </w:r>
      <w:r>
        <w:rPr>
          <w:rFonts w:ascii="Times New Roman" w:eastAsia="Times New Roman"/>
          <w:position w:val="2"/>
          <w:vertAlign w:val="baseline"/>
        </w:rPr>
        <w:t>Al</w:t>
      </w:r>
      <w:r>
        <w:rPr>
          <w:rFonts w:ascii="Times New Roman" w:eastAsia="Times New Roman"/>
          <w:position w:val="2"/>
          <w:vertAlign w:val="subscript"/>
        </w:rPr>
        <w:t>2</w:t>
      </w:r>
      <w:r>
        <w:rPr>
          <w:rFonts w:ascii="Times New Roman" w:eastAsia="Times New Roman"/>
          <w:position w:val="2"/>
          <w:vertAlign w:val="baseline"/>
        </w:rPr>
        <w:t>O</w:t>
      </w:r>
      <w:r>
        <w:rPr>
          <w:rFonts w:ascii="Times New Roman" w:eastAsia="Times New Roman"/>
          <w:position w:val="2"/>
          <w:vertAlign w:val="subscript"/>
        </w:rPr>
        <w:t>3</w:t>
      </w:r>
      <w:r>
        <w:rPr>
          <w:position w:val="2"/>
          <w:vertAlign w:val="baseline"/>
        </w:rPr>
        <w:t>为主，两者含量大于</w:t>
      </w:r>
      <w:r>
        <w:rPr>
          <w:rFonts w:ascii="Times New Roman" w:eastAsia="Times New Roman"/>
          <w:position w:val="2"/>
          <w:vertAlign w:val="baseline"/>
        </w:rPr>
        <w:t>80%</w:t>
      </w:r>
      <w:r>
        <w:rPr>
          <w:position w:val="2"/>
          <w:vertAlign w:val="baseline"/>
        </w:rPr>
        <w:t>，其次为</w:t>
      </w:r>
      <w:r>
        <w:rPr>
          <w:rFonts w:ascii="Times New Roman" w:eastAsia="Times New Roman"/>
          <w:position w:val="2"/>
          <w:vertAlign w:val="baseline"/>
        </w:rPr>
        <w:t>Fe</w:t>
      </w:r>
      <w:r>
        <w:rPr>
          <w:rFonts w:ascii="Times New Roman" w:eastAsia="Times New Roman"/>
          <w:position w:val="2"/>
          <w:vertAlign w:val="subscript"/>
        </w:rPr>
        <w:t>2</w:t>
      </w:r>
      <w:r>
        <w:rPr>
          <w:rFonts w:ascii="Times New Roman" w:eastAsia="Times New Roman"/>
          <w:position w:val="2"/>
          <w:vertAlign w:val="baseline"/>
        </w:rPr>
        <w:t>O</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CaO</w:t>
      </w:r>
      <w:r>
        <w:rPr>
          <w:position w:val="2"/>
          <w:vertAlign w:val="baseline"/>
        </w:rPr>
        <w:t>，其它氧化物含量均较低。</w:t>
      </w:r>
    </w:p>
    <w:p>
      <w:pPr>
        <w:pStyle w:val="Heading4"/>
        <w:numPr>
          <w:ilvl w:val="3"/>
          <w:numId w:val="21"/>
        </w:numPr>
        <w:tabs>
          <w:tab w:pos="1199" w:val="left" w:leader="none"/>
        </w:tabs>
        <w:spacing w:line="240" w:lineRule="auto" w:before="2" w:after="0"/>
        <w:ind w:left="1198" w:right="0" w:hanging="721"/>
        <w:jc w:val="left"/>
      </w:pPr>
      <w:r>
        <w:rPr/>
        <w:t>井田开拓与开采</w:t>
      </w:r>
    </w:p>
    <w:p>
      <w:pPr>
        <w:pStyle w:val="BodyText"/>
        <w:spacing w:before="158"/>
        <w:ind w:left="958"/>
      </w:pPr>
      <w:r>
        <w:rPr>
          <w:rFonts w:ascii="Times New Roman" w:eastAsia="Times New Roman"/>
        </w:rPr>
        <w:t>1</w:t>
      </w:r>
      <w:r>
        <w:rPr/>
        <w:t>、井田开拓方式</w:t>
      </w:r>
    </w:p>
    <w:p>
      <w:pPr>
        <w:pStyle w:val="BodyText"/>
        <w:spacing w:before="161"/>
        <w:ind w:left="958"/>
      </w:pPr>
      <w:r>
        <w:rPr/>
        <w:t>矿井仍采用斜井开拓方式，改扩建后共有三条直通地面的井筒。</w:t>
      </w:r>
    </w:p>
    <w:p>
      <w:pPr>
        <w:pStyle w:val="BodyText"/>
        <w:spacing w:line="364" w:lineRule="auto" w:before="158"/>
        <w:ind w:left="478" w:right="353" w:firstLine="480"/>
      </w:pPr>
      <w:r>
        <w:rPr>
          <w:spacing w:val="-2"/>
        </w:rPr>
        <w:t>本次资源整合设计平行于副井</w:t>
      </w:r>
      <w:r>
        <w:rPr/>
        <w:t>（原源丰主井</w:t>
      </w:r>
      <w:r>
        <w:rPr>
          <w:spacing w:val="-17"/>
        </w:rPr>
        <w:t>）</w:t>
      </w:r>
      <w:r>
        <w:rPr>
          <w:spacing w:val="-3"/>
        </w:rPr>
        <w:t>新建一条主井，主井采用钢丝绳蕊皮</w:t>
      </w:r>
      <w:r>
        <w:rPr>
          <w:spacing w:val="-15"/>
        </w:rPr>
        <w:t>带运输机运输，担负矿井煤炭提升，副井主要担负矸石提升，设备、材料和人员的运送。</w:t>
      </w:r>
      <w:r>
        <w:rPr/>
        <w:t>风井担负回风任务。</w:t>
      </w:r>
    </w:p>
    <w:p>
      <w:pPr>
        <w:pStyle w:val="BodyText"/>
        <w:spacing w:line="364" w:lineRule="auto"/>
        <w:ind w:left="478" w:right="473" w:firstLine="480"/>
        <w:jc w:val="both"/>
      </w:pPr>
      <w:r>
        <w:rPr/>
        <w:t>目前该矿井在</w:t>
      </w:r>
      <w:r>
        <w:rPr>
          <w:rFonts w:ascii="Times New Roman" w:eastAsia="Times New Roman"/>
        </w:rPr>
        <w:t>-113m </w:t>
      </w:r>
      <w:r>
        <w:rPr>
          <w:spacing w:val="-3"/>
        </w:rPr>
        <w:t>标高布置井底车场，水泵硐室和水仓。已于</w:t>
      </w:r>
      <w:r>
        <w:rPr>
          <w:rFonts w:ascii="Times New Roman" w:eastAsia="Times New Roman"/>
        </w:rPr>
        <w:t>-110m </w:t>
      </w:r>
      <w:r>
        <w:rPr>
          <w:spacing w:val="-14"/>
        </w:rPr>
        <w:t>水平揭露 </w:t>
      </w:r>
      <w:r>
        <w:rPr>
          <w:rFonts w:ascii="Times New Roman" w:eastAsia="Times New Roman"/>
          <w:spacing w:val="-7"/>
        </w:rPr>
        <w:t>20 </w:t>
      </w:r>
      <w:r>
        <w:rPr>
          <w:spacing w:val="-10"/>
        </w:rPr>
        <w:t>煤层，沿 </w:t>
      </w:r>
      <w:r>
        <w:rPr>
          <w:rFonts w:ascii="Times New Roman" w:eastAsia="Times New Roman"/>
        </w:rPr>
        <w:t>20 </w:t>
      </w:r>
      <w:r>
        <w:rPr>
          <w:spacing w:val="-3"/>
        </w:rPr>
        <w:t>层施工了水平运输及回风大巷，采区已划分并施工了 </w:t>
      </w:r>
      <w:r>
        <w:rPr>
          <w:rFonts w:ascii="Times New Roman" w:eastAsia="Times New Roman"/>
        </w:rPr>
        <w:t>2 </w:t>
      </w:r>
      <w:r>
        <w:rPr/>
        <w:t>个采区的运输、回</w:t>
      </w:r>
      <w:r>
        <w:rPr>
          <w:spacing w:val="-2"/>
        </w:rPr>
        <w:t>风上下山，在</w:t>
      </w:r>
      <w:r>
        <w:rPr>
          <w:rFonts w:ascii="Times New Roman" w:eastAsia="Times New Roman"/>
        </w:rPr>
        <w:t>-65m </w:t>
      </w:r>
      <w:r>
        <w:rPr>
          <w:spacing w:val="-12"/>
        </w:rPr>
        <w:t>标高揭露 </w:t>
      </w:r>
      <w:r>
        <w:rPr>
          <w:rFonts w:ascii="Times New Roman" w:eastAsia="Times New Roman"/>
        </w:rPr>
        <w:t>10 </w:t>
      </w:r>
      <w:r>
        <w:rPr>
          <w:spacing w:val="-2"/>
        </w:rPr>
        <w:t>煤层施工了采区运输和回风上山。即将形成各安全生产</w:t>
      </w:r>
      <w:r>
        <w:rPr/>
        <w:t>系统。</w:t>
      </w:r>
    </w:p>
    <w:p>
      <w:pPr>
        <w:pStyle w:val="BodyText"/>
        <w:spacing w:line="305" w:lineRule="exact"/>
        <w:ind w:left="958"/>
        <w:jc w:val="both"/>
      </w:pPr>
      <w:r>
        <w:rPr/>
        <w:t>矿井移交生产时一个采区生产，即</w:t>
      </w:r>
      <w:r>
        <w:rPr>
          <w:rFonts w:ascii="Times New Roman" w:eastAsia="Times New Roman"/>
        </w:rPr>
        <w:t>-65 </w:t>
      </w:r>
      <w:r>
        <w:rPr/>
        <w:t>标高布置 </w:t>
      </w:r>
      <w:r>
        <w:rPr>
          <w:rFonts w:ascii="Times New Roman" w:eastAsia="Times New Roman"/>
        </w:rPr>
        <w:t>10 </w:t>
      </w:r>
      <w:r>
        <w:rPr/>
        <w:t>煤层中部车场至 </w:t>
      </w:r>
      <w:r>
        <w:rPr>
          <w:rFonts w:ascii="Times New Roman" w:eastAsia="Times New Roman"/>
        </w:rPr>
        <w:t>10 </w:t>
      </w:r>
      <w:r>
        <w:rPr/>
        <w:t>煤层一采区。</w:t>
      </w:r>
    </w:p>
    <w:p>
      <w:pPr>
        <w:spacing w:after="0" w:line="305" w:lineRule="exact"/>
        <w:jc w:val="both"/>
        <w:sectPr>
          <w:pgSz w:w="11910" w:h="16840"/>
          <w:pgMar w:header="0" w:footer="993" w:top="1400" w:bottom="1180" w:left="940" w:right="940"/>
        </w:sectPr>
      </w:pPr>
    </w:p>
    <w:p>
      <w:pPr>
        <w:pStyle w:val="BodyText"/>
        <w:spacing w:line="362" w:lineRule="auto" w:before="41"/>
        <w:ind w:left="958" w:right="1385" w:hanging="480"/>
      </w:pPr>
      <w:r>
        <w:rPr/>
        <w:t>二采区为备用采区。采区内各煤层采用大联合布置，通过水平石门进行联络。井上下对照图见附图。</w:t>
      </w:r>
    </w:p>
    <w:p>
      <w:pPr>
        <w:pStyle w:val="BodyText"/>
        <w:spacing w:before="5"/>
        <w:ind w:left="972"/>
      </w:pPr>
      <w:r>
        <w:rPr>
          <w:rFonts w:ascii="Times New Roman" w:eastAsia="Times New Roman"/>
        </w:rPr>
        <w:t>2</w:t>
      </w:r>
      <w:r>
        <w:rPr/>
        <w:t>、井口数目</w:t>
      </w:r>
    </w:p>
    <w:p>
      <w:pPr>
        <w:pStyle w:val="BodyText"/>
        <w:spacing w:line="362" w:lineRule="auto" w:before="161"/>
        <w:ind w:left="478" w:right="477" w:firstLine="480"/>
      </w:pPr>
      <w:r>
        <w:rPr>
          <w:spacing w:val="-6"/>
        </w:rPr>
        <w:t>本矿井改扩建后布置 </w:t>
      </w:r>
      <w:r>
        <w:rPr>
          <w:rFonts w:ascii="Times New Roman" w:eastAsia="Times New Roman"/>
        </w:rPr>
        <w:t>3 </w:t>
      </w:r>
      <w:r>
        <w:rPr>
          <w:spacing w:val="-8"/>
        </w:rPr>
        <w:t>条井筒，分别为主井、副井、及风井。主井井筒新建，副井</w:t>
      </w:r>
      <w:r>
        <w:rPr/>
        <w:t>井筒为原源丰主井，风井井筒为原源丰风井。</w:t>
      </w:r>
    </w:p>
    <w:p>
      <w:pPr>
        <w:pStyle w:val="BodyText"/>
        <w:spacing w:before="5"/>
        <w:ind w:left="958"/>
      </w:pPr>
      <w:r>
        <w:rPr>
          <w:rFonts w:ascii="Times New Roman" w:eastAsia="Times New Roman"/>
        </w:rPr>
        <w:t>3</w:t>
      </w:r>
      <w:r>
        <w:rPr/>
        <w:t>、井筒用途、装备及布置</w:t>
      </w:r>
    </w:p>
    <w:p>
      <w:pPr>
        <w:pStyle w:val="ListParagraph"/>
        <w:numPr>
          <w:ilvl w:val="0"/>
          <w:numId w:val="25"/>
        </w:numPr>
        <w:tabs>
          <w:tab w:pos="1560" w:val="left" w:leader="none"/>
        </w:tabs>
        <w:spacing w:line="364" w:lineRule="auto" w:before="158" w:after="0"/>
        <w:ind w:left="478" w:right="477" w:firstLine="480"/>
        <w:jc w:val="both"/>
        <w:rPr>
          <w:sz w:val="24"/>
        </w:rPr>
      </w:pPr>
      <w:r>
        <w:rPr>
          <w:spacing w:val="-11"/>
          <w:sz w:val="24"/>
        </w:rPr>
        <w:t>主井：井口标高 </w:t>
      </w:r>
      <w:r>
        <w:rPr>
          <w:rFonts w:ascii="Times New Roman" w:hAnsi="Times New Roman" w:eastAsia="Times New Roman"/>
          <w:sz w:val="24"/>
        </w:rPr>
        <w:t>218.5m</w:t>
      </w:r>
      <w:r>
        <w:rPr>
          <w:spacing w:val="-17"/>
          <w:sz w:val="24"/>
        </w:rPr>
        <w:t>，倾角 </w:t>
      </w:r>
      <w:r>
        <w:rPr>
          <w:rFonts w:ascii="Times New Roman" w:hAnsi="Times New Roman" w:eastAsia="Times New Roman"/>
          <w:sz w:val="24"/>
        </w:rPr>
        <w:t>25°</w:t>
      </w:r>
      <w:r>
        <w:rPr>
          <w:spacing w:val="-17"/>
          <w:sz w:val="24"/>
        </w:rPr>
        <w:t>，斜长 </w:t>
      </w:r>
      <w:r>
        <w:rPr>
          <w:rFonts w:ascii="Times New Roman" w:hAnsi="Times New Roman" w:eastAsia="Times New Roman"/>
          <w:sz w:val="24"/>
        </w:rPr>
        <w:t>880m</w:t>
      </w:r>
      <w:r>
        <w:rPr>
          <w:spacing w:val="-4"/>
          <w:sz w:val="24"/>
        </w:rPr>
        <w:t>。主井装备一台钢丝绳芯皮带</w:t>
      </w:r>
      <w:r>
        <w:rPr>
          <w:spacing w:val="-6"/>
          <w:sz w:val="24"/>
        </w:rPr>
        <w:t>运输机担负运煤，井筒内敷设洒水、压风管路并兼作矿井的安全出口，为本井辅助进入</w:t>
      </w:r>
      <w:r>
        <w:rPr>
          <w:sz w:val="24"/>
        </w:rPr>
        <w:t>风井。</w:t>
      </w:r>
    </w:p>
    <w:p>
      <w:pPr>
        <w:pStyle w:val="ListParagraph"/>
        <w:numPr>
          <w:ilvl w:val="0"/>
          <w:numId w:val="25"/>
        </w:numPr>
        <w:tabs>
          <w:tab w:pos="1560" w:val="left" w:leader="none"/>
        </w:tabs>
        <w:spacing w:line="364" w:lineRule="auto" w:before="0" w:after="0"/>
        <w:ind w:left="478" w:right="351" w:firstLine="480"/>
        <w:jc w:val="both"/>
        <w:rPr>
          <w:sz w:val="24"/>
        </w:rPr>
      </w:pPr>
      <w:r>
        <w:rPr>
          <w:spacing w:val="-12"/>
          <w:sz w:val="24"/>
        </w:rPr>
        <w:t>副井：井口标高 </w:t>
      </w:r>
      <w:r>
        <w:rPr>
          <w:rFonts w:ascii="Times New Roman" w:hAnsi="Times New Roman" w:eastAsia="Times New Roman"/>
          <w:spacing w:val="-4"/>
          <w:sz w:val="24"/>
        </w:rPr>
        <w:t>217.6m</w:t>
      </w:r>
      <w:r>
        <w:rPr>
          <w:spacing w:val="-17"/>
          <w:sz w:val="24"/>
        </w:rPr>
        <w:t>，倾角 </w:t>
      </w:r>
      <w:r>
        <w:rPr>
          <w:rFonts w:ascii="Times New Roman" w:hAnsi="Times New Roman" w:eastAsia="Times New Roman"/>
          <w:spacing w:val="-6"/>
          <w:sz w:val="24"/>
        </w:rPr>
        <w:t>23°</w:t>
      </w:r>
      <w:r>
        <w:rPr>
          <w:spacing w:val="-17"/>
          <w:sz w:val="24"/>
        </w:rPr>
        <w:t>，斜长 </w:t>
      </w:r>
      <w:r>
        <w:rPr>
          <w:rFonts w:ascii="Times New Roman" w:hAnsi="Times New Roman" w:eastAsia="Times New Roman"/>
          <w:sz w:val="24"/>
        </w:rPr>
        <w:t>850m</w:t>
      </w:r>
      <w:r>
        <w:rPr>
          <w:spacing w:val="-14"/>
          <w:sz w:val="24"/>
        </w:rPr>
        <w:t>。井筒铺设 </w:t>
      </w:r>
      <w:r>
        <w:rPr>
          <w:rFonts w:ascii="Times New Roman" w:hAnsi="Times New Roman" w:eastAsia="Times New Roman"/>
          <w:sz w:val="24"/>
        </w:rPr>
        <w:t>24</w:t>
      </w:r>
      <w:r>
        <w:rPr>
          <w:rFonts w:ascii="Times New Roman" w:hAnsi="Times New Roman" w:eastAsia="Times New Roman"/>
          <w:spacing w:val="1"/>
          <w:sz w:val="24"/>
        </w:rPr>
        <w:t> </w:t>
      </w:r>
      <w:r>
        <w:rPr>
          <w:rFonts w:ascii="Times New Roman" w:hAnsi="Times New Roman" w:eastAsia="Times New Roman"/>
          <w:sz w:val="24"/>
        </w:rPr>
        <w:t>kg/m</w:t>
      </w:r>
      <w:r>
        <w:rPr>
          <w:rFonts w:ascii="Times New Roman" w:hAnsi="Times New Roman" w:eastAsia="Times New Roman"/>
          <w:spacing w:val="3"/>
          <w:sz w:val="24"/>
        </w:rPr>
        <w:t> </w:t>
      </w:r>
      <w:r>
        <w:rPr>
          <w:spacing w:val="-3"/>
          <w:sz w:val="24"/>
        </w:rPr>
        <w:t>异形轨道，</w:t>
      </w:r>
      <w:r>
        <w:rPr>
          <w:sz w:val="24"/>
        </w:rPr>
        <w:t>采用单钩串车提升方式，井筒内敷设洒水、压风、电缆等，担负矸石提升、升降人员、材料设备等提升任务并兼作矿井主要入风井和安全出口。</w:t>
      </w:r>
    </w:p>
    <w:p>
      <w:pPr>
        <w:pStyle w:val="ListParagraph"/>
        <w:numPr>
          <w:ilvl w:val="0"/>
          <w:numId w:val="25"/>
        </w:numPr>
        <w:tabs>
          <w:tab w:pos="1566" w:val="left" w:leader="none"/>
        </w:tabs>
        <w:spacing w:line="364" w:lineRule="auto" w:before="0" w:after="0"/>
        <w:ind w:left="478" w:right="473" w:firstLine="480"/>
        <w:jc w:val="both"/>
        <w:rPr>
          <w:sz w:val="24"/>
        </w:rPr>
      </w:pPr>
      <w:r>
        <w:rPr>
          <w:spacing w:val="-6"/>
          <w:sz w:val="24"/>
        </w:rPr>
        <w:t>风井：井口标高 </w:t>
      </w:r>
      <w:r>
        <w:rPr>
          <w:rFonts w:ascii="Times New Roman" w:hAnsi="Times New Roman" w:eastAsia="Times New Roman"/>
          <w:sz w:val="24"/>
        </w:rPr>
        <w:t>214.22m</w:t>
      </w:r>
      <w:r>
        <w:rPr>
          <w:spacing w:val="-11"/>
          <w:sz w:val="24"/>
        </w:rPr>
        <w:t>，倾角 </w:t>
      </w:r>
      <w:r>
        <w:rPr>
          <w:rFonts w:ascii="Times New Roman" w:hAnsi="Times New Roman" w:eastAsia="Times New Roman"/>
          <w:sz w:val="24"/>
        </w:rPr>
        <w:t>23°</w:t>
      </w:r>
      <w:r>
        <w:rPr>
          <w:spacing w:val="-12"/>
          <w:sz w:val="24"/>
        </w:rPr>
        <w:t>，斜长 </w:t>
      </w:r>
      <w:r>
        <w:rPr>
          <w:rFonts w:ascii="Times New Roman" w:hAnsi="Times New Roman" w:eastAsia="Times New Roman"/>
          <w:sz w:val="24"/>
        </w:rPr>
        <w:t>840m</w:t>
      </w:r>
      <w:r>
        <w:rPr>
          <w:sz w:val="24"/>
        </w:rPr>
        <w:t>。担负矿井的回风任务，设</w:t>
      </w:r>
      <w:r>
        <w:rPr>
          <w:spacing w:val="-5"/>
          <w:sz w:val="24"/>
        </w:rPr>
        <w:t>有行人台阶，兼作矿井的另 </w:t>
      </w:r>
      <w:r>
        <w:rPr>
          <w:rFonts w:ascii="Times New Roman" w:hAnsi="Times New Roman" w:eastAsia="Times New Roman"/>
          <w:sz w:val="24"/>
        </w:rPr>
        <w:t>1 </w:t>
      </w:r>
      <w:r>
        <w:rPr>
          <w:sz w:val="24"/>
        </w:rPr>
        <w:t>个安全出口。</w:t>
      </w:r>
    </w:p>
    <w:p>
      <w:pPr>
        <w:pStyle w:val="BodyText"/>
        <w:ind w:left="1378"/>
        <w:jc w:val="both"/>
      </w:pPr>
      <w:r>
        <w:rPr/>
        <w:t>井筒特征见表 </w:t>
      </w:r>
      <w:r>
        <w:rPr>
          <w:rFonts w:ascii="Times New Roman" w:eastAsia="Times New Roman"/>
        </w:rPr>
        <w:t>3.3-13</w:t>
      </w:r>
      <w:r>
        <w:rPr/>
        <w:t>。</w:t>
      </w:r>
    </w:p>
    <w:p>
      <w:pPr>
        <w:pStyle w:val="Heading4"/>
        <w:spacing w:before="119" w:after="4"/>
        <w:ind w:left="1373" w:right="1361"/>
        <w:jc w:val="center"/>
      </w:pPr>
      <w:r>
        <w:rPr/>
        <w:t>表 3.3-13 井筒特征表</w:t>
      </w:r>
    </w:p>
    <w:tbl>
      <w:tblPr>
        <w:tblW w:w="0" w:type="auto"/>
        <w:jc w:val="left"/>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1"/>
        <w:gridCol w:w="1117"/>
        <w:gridCol w:w="1609"/>
        <w:gridCol w:w="1609"/>
        <w:gridCol w:w="1610"/>
      </w:tblGrid>
      <w:tr>
        <w:trPr>
          <w:trHeight w:val="393" w:hRule="atLeast"/>
        </w:trPr>
        <w:tc>
          <w:tcPr>
            <w:tcW w:w="2598" w:type="dxa"/>
            <w:gridSpan w:val="2"/>
          </w:tcPr>
          <w:p>
            <w:pPr>
              <w:pStyle w:val="TableParagraph"/>
              <w:spacing w:before="55"/>
              <w:ind w:left="858"/>
              <w:jc w:val="left"/>
              <w:rPr>
                <w:sz w:val="22"/>
              </w:rPr>
            </w:pPr>
            <w:r>
              <w:rPr>
                <w:sz w:val="22"/>
              </w:rPr>
              <w:t>井筒名称</w:t>
            </w:r>
          </w:p>
        </w:tc>
        <w:tc>
          <w:tcPr>
            <w:tcW w:w="1609" w:type="dxa"/>
          </w:tcPr>
          <w:p>
            <w:pPr>
              <w:pStyle w:val="TableParagraph"/>
              <w:spacing w:before="55"/>
              <w:ind w:left="95" w:right="86"/>
              <w:rPr>
                <w:sz w:val="22"/>
              </w:rPr>
            </w:pPr>
            <w:r>
              <w:rPr>
                <w:sz w:val="22"/>
              </w:rPr>
              <w:t>主井</w:t>
            </w:r>
          </w:p>
        </w:tc>
        <w:tc>
          <w:tcPr>
            <w:tcW w:w="1609" w:type="dxa"/>
          </w:tcPr>
          <w:p>
            <w:pPr>
              <w:pStyle w:val="TableParagraph"/>
              <w:spacing w:before="55"/>
              <w:ind w:left="97" w:right="85"/>
              <w:rPr>
                <w:sz w:val="22"/>
              </w:rPr>
            </w:pPr>
            <w:r>
              <w:rPr>
                <w:sz w:val="22"/>
              </w:rPr>
              <w:t>副井</w:t>
            </w:r>
          </w:p>
        </w:tc>
        <w:tc>
          <w:tcPr>
            <w:tcW w:w="1610" w:type="dxa"/>
          </w:tcPr>
          <w:p>
            <w:pPr>
              <w:pStyle w:val="TableParagraph"/>
              <w:spacing w:before="55"/>
              <w:ind w:left="97" w:right="88"/>
              <w:rPr>
                <w:sz w:val="22"/>
              </w:rPr>
            </w:pPr>
            <w:r>
              <w:rPr>
                <w:sz w:val="22"/>
              </w:rPr>
              <w:t>风井</w:t>
            </w:r>
          </w:p>
        </w:tc>
      </w:tr>
      <w:tr>
        <w:trPr>
          <w:trHeight w:val="392" w:hRule="atLeast"/>
        </w:trPr>
        <w:tc>
          <w:tcPr>
            <w:tcW w:w="1481" w:type="dxa"/>
            <w:vMerge w:val="restart"/>
          </w:tcPr>
          <w:p>
            <w:pPr>
              <w:pStyle w:val="TableParagraph"/>
              <w:spacing w:before="113"/>
              <w:ind w:left="138" w:right="131"/>
              <w:rPr>
                <w:sz w:val="22"/>
              </w:rPr>
            </w:pPr>
            <w:r>
              <w:rPr>
                <w:sz w:val="22"/>
              </w:rPr>
              <w:t>井口坐标</w:t>
            </w:r>
          </w:p>
          <w:p>
            <w:pPr>
              <w:pStyle w:val="TableParagraph"/>
              <w:spacing w:before="3"/>
              <w:ind w:left="141" w:right="131"/>
              <w:rPr>
                <w:sz w:val="22"/>
              </w:rPr>
            </w:pPr>
            <w:r>
              <w:rPr>
                <w:sz w:val="22"/>
              </w:rPr>
              <w:t>（</w:t>
            </w:r>
            <w:r>
              <w:rPr>
                <w:rFonts w:ascii="Times New Roman" w:eastAsia="Times New Roman"/>
                <w:sz w:val="22"/>
              </w:rPr>
              <w:t>m</w:t>
            </w:r>
            <w:r>
              <w:rPr>
                <w:sz w:val="22"/>
              </w:rPr>
              <w:t>）</w:t>
            </w:r>
          </w:p>
        </w:tc>
        <w:tc>
          <w:tcPr>
            <w:tcW w:w="1117" w:type="dxa"/>
          </w:tcPr>
          <w:p>
            <w:pPr>
              <w:pStyle w:val="TableParagraph"/>
              <w:spacing w:before="70"/>
              <w:ind w:left="478"/>
              <w:jc w:val="left"/>
              <w:rPr>
                <w:rFonts w:ascii="Times New Roman"/>
                <w:sz w:val="22"/>
              </w:rPr>
            </w:pPr>
            <w:r>
              <w:rPr>
                <w:rFonts w:ascii="Times New Roman"/>
                <w:w w:val="100"/>
                <w:sz w:val="22"/>
              </w:rPr>
              <w:t>X</w:t>
            </w:r>
          </w:p>
        </w:tc>
        <w:tc>
          <w:tcPr>
            <w:tcW w:w="1609" w:type="dxa"/>
          </w:tcPr>
          <w:p>
            <w:pPr>
              <w:pStyle w:val="TableParagraph"/>
              <w:spacing w:before="70"/>
              <w:ind w:left="95" w:right="86"/>
              <w:rPr>
                <w:rFonts w:ascii="Times New Roman"/>
                <w:sz w:val="22"/>
              </w:rPr>
            </w:pPr>
            <w:r>
              <w:rPr>
                <w:rFonts w:ascii="Times New Roman"/>
                <w:sz w:val="22"/>
              </w:rPr>
              <w:t>5160674.9336</w:t>
            </w:r>
          </w:p>
        </w:tc>
        <w:tc>
          <w:tcPr>
            <w:tcW w:w="1609" w:type="dxa"/>
          </w:tcPr>
          <w:p>
            <w:pPr>
              <w:pStyle w:val="TableParagraph"/>
              <w:spacing w:before="70"/>
              <w:ind w:left="97" w:right="85"/>
              <w:rPr>
                <w:rFonts w:ascii="Times New Roman"/>
                <w:sz w:val="22"/>
              </w:rPr>
            </w:pPr>
            <w:r>
              <w:rPr>
                <w:rFonts w:ascii="Times New Roman"/>
                <w:sz w:val="22"/>
              </w:rPr>
              <w:t>5160648.6800</w:t>
            </w:r>
          </w:p>
        </w:tc>
        <w:tc>
          <w:tcPr>
            <w:tcW w:w="1610" w:type="dxa"/>
          </w:tcPr>
          <w:p>
            <w:pPr>
              <w:pStyle w:val="TableParagraph"/>
              <w:spacing w:before="70"/>
              <w:ind w:left="97" w:right="88"/>
              <w:rPr>
                <w:rFonts w:ascii="Times New Roman"/>
                <w:sz w:val="22"/>
              </w:rPr>
            </w:pPr>
            <w:r>
              <w:rPr>
                <w:rFonts w:ascii="Times New Roman"/>
                <w:sz w:val="22"/>
              </w:rPr>
              <w:t>5160644.9740</w:t>
            </w:r>
          </w:p>
        </w:tc>
      </w:tr>
      <w:tr>
        <w:trPr>
          <w:trHeight w:val="393" w:hRule="atLeast"/>
        </w:trPr>
        <w:tc>
          <w:tcPr>
            <w:tcW w:w="1481" w:type="dxa"/>
            <w:vMerge/>
            <w:tcBorders>
              <w:top w:val="nil"/>
            </w:tcBorders>
          </w:tcPr>
          <w:p>
            <w:pPr>
              <w:rPr>
                <w:sz w:val="2"/>
                <w:szCs w:val="2"/>
              </w:rPr>
            </w:pPr>
          </w:p>
        </w:tc>
        <w:tc>
          <w:tcPr>
            <w:tcW w:w="1117" w:type="dxa"/>
          </w:tcPr>
          <w:p>
            <w:pPr>
              <w:pStyle w:val="TableParagraph"/>
              <w:spacing w:before="67"/>
              <w:ind w:left="478"/>
              <w:jc w:val="left"/>
              <w:rPr>
                <w:rFonts w:ascii="Times New Roman"/>
                <w:sz w:val="22"/>
              </w:rPr>
            </w:pPr>
            <w:r>
              <w:rPr>
                <w:rFonts w:ascii="Times New Roman"/>
                <w:w w:val="100"/>
                <w:sz w:val="22"/>
              </w:rPr>
              <w:t>Y</w:t>
            </w:r>
          </w:p>
        </w:tc>
        <w:tc>
          <w:tcPr>
            <w:tcW w:w="1609" w:type="dxa"/>
          </w:tcPr>
          <w:p>
            <w:pPr>
              <w:pStyle w:val="TableParagraph"/>
              <w:spacing w:before="67"/>
              <w:ind w:left="97" w:right="86"/>
              <w:rPr>
                <w:rFonts w:ascii="Times New Roman"/>
                <w:sz w:val="22"/>
              </w:rPr>
            </w:pPr>
            <w:r>
              <w:rPr>
                <w:rFonts w:ascii="Times New Roman"/>
                <w:sz w:val="22"/>
              </w:rPr>
              <w:t>44437040.5407</w:t>
            </w:r>
          </w:p>
        </w:tc>
        <w:tc>
          <w:tcPr>
            <w:tcW w:w="1609" w:type="dxa"/>
          </w:tcPr>
          <w:p>
            <w:pPr>
              <w:pStyle w:val="TableParagraph"/>
              <w:spacing w:before="67"/>
              <w:ind w:left="97" w:right="85"/>
              <w:rPr>
                <w:rFonts w:ascii="Times New Roman"/>
                <w:sz w:val="22"/>
              </w:rPr>
            </w:pPr>
            <w:r>
              <w:rPr>
                <w:rFonts w:ascii="Times New Roman"/>
                <w:sz w:val="22"/>
              </w:rPr>
              <w:t>44436986.5836</w:t>
            </w:r>
          </w:p>
        </w:tc>
        <w:tc>
          <w:tcPr>
            <w:tcW w:w="1610" w:type="dxa"/>
          </w:tcPr>
          <w:p>
            <w:pPr>
              <w:pStyle w:val="TableParagraph"/>
              <w:spacing w:before="67"/>
              <w:ind w:left="97" w:right="88"/>
              <w:rPr>
                <w:rFonts w:ascii="Times New Roman"/>
                <w:sz w:val="22"/>
              </w:rPr>
            </w:pPr>
            <w:r>
              <w:rPr>
                <w:rFonts w:ascii="Times New Roman"/>
                <w:sz w:val="22"/>
              </w:rPr>
              <w:t>44436949.4646</w:t>
            </w:r>
          </w:p>
        </w:tc>
      </w:tr>
      <w:tr>
        <w:trPr>
          <w:trHeight w:val="393" w:hRule="atLeast"/>
        </w:trPr>
        <w:tc>
          <w:tcPr>
            <w:tcW w:w="2598" w:type="dxa"/>
            <w:gridSpan w:val="2"/>
          </w:tcPr>
          <w:p>
            <w:pPr>
              <w:pStyle w:val="TableParagraph"/>
              <w:spacing w:before="53"/>
              <w:ind w:left="553"/>
              <w:jc w:val="left"/>
              <w:rPr>
                <w:sz w:val="22"/>
              </w:rPr>
            </w:pPr>
            <w:r>
              <w:rPr>
                <w:sz w:val="22"/>
              </w:rPr>
              <w:t>井口标高（</w:t>
            </w:r>
            <w:r>
              <w:rPr>
                <w:rFonts w:ascii="Times New Roman" w:eastAsia="Times New Roman"/>
                <w:sz w:val="22"/>
              </w:rPr>
              <w:t>m</w:t>
            </w:r>
            <w:r>
              <w:rPr>
                <w:sz w:val="22"/>
              </w:rPr>
              <w:t>）</w:t>
            </w:r>
          </w:p>
        </w:tc>
        <w:tc>
          <w:tcPr>
            <w:tcW w:w="1609" w:type="dxa"/>
          </w:tcPr>
          <w:p>
            <w:pPr>
              <w:pStyle w:val="TableParagraph"/>
              <w:spacing w:before="68"/>
              <w:ind w:left="97" w:right="86"/>
              <w:rPr>
                <w:rFonts w:ascii="Times New Roman"/>
                <w:sz w:val="22"/>
              </w:rPr>
            </w:pPr>
            <w:r>
              <w:rPr>
                <w:rFonts w:ascii="Times New Roman"/>
                <w:sz w:val="22"/>
              </w:rPr>
              <w:t>218.5</w:t>
            </w:r>
          </w:p>
        </w:tc>
        <w:tc>
          <w:tcPr>
            <w:tcW w:w="1609" w:type="dxa"/>
          </w:tcPr>
          <w:p>
            <w:pPr>
              <w:pStyle w:val="TableParagraph"/>
              <w:spacing w:before="68"/>
              <w:ind w:left="95" w:right="86"/>
              <w:rPr>
                <w:rFonts w:ascii="Times New Roman"/>
                <w:sz w:val="22"/>
              </w:rPr>
            </w:pPr>
            <w:r>
              <w:rPr>
                <w:rFonts w:ascii="Times New Roman"/>
                <w:sz w:val="22"/>
              </w:rPr>
              <w:t>217.60</w:t>
            </w:r>
          </w:p>
        </w:tc>
        <w:tc>
          <w:tcPr>
            <w:tcW w:w="1610" w:type="dxa"/>
          </w:tcPr>
          <w:p>
            <w:pPr>
              <w:pStyle w:val="TableParagraph"/>
              <w:spacing w:before="68"/>
              <w:ind w:left="97" w:right="86"/>
              <w:rPr>
                <w:rFonts w:ascii="Times New Roman"/>
                <w:sz w:val="22"/>
              </w:rPr>
            </w:pPr>
            <w:r>
              <w:rPr>
                <w:rFonts w:ascii="Times New Roman"/>
                <w:sz w:val="22"/>
              </w:rPr>
              <w:t>214.22</w:t>
            </w:r>
          </w:p>
        </w:tc>
      </w:tr>
      <w:tr>
        <w:trPr>
          <w:trHeight w:val="392" w:hRule="atLeast"/>
        </w:trPr>
        <w:tc>
          <w:tcPr>
            <w:tcW w:w="2598" w:type="dxa"/>
            <w:gridSpan w:val="2"/>
          </w:tcPr>
          <w:p>
            <w:pPr>
              <w:pStyle w:val="TableParagraph"/>
              <w:spacing w:before="53"/>
              <w:ind w:left="747"/>
              <w:jc w:val="left"/>
              <w:rPr>
                <w:sz w:val="22"/>
              </w:rPr>
            </w:pPr>
            <w:r>
              <w:rPr>
                <w:sz w:val="22"/>
              </w:rPr>
              <w:t>提升方位角</w:t>
            </w:r>
          </w:p>
        </w:tc>
        <w:tc>
          <w:tcPr>
            <w:tcW w:w="1609" w:type="dxa"/>
          </w:tcPr>
          <w:p>
            <w:pPr>
              <w:pStyle w:val="TableParagraph"/>
              <w:spacing w:before="53"/>
              <w:ind w:left="93" w:right="86"/>
              <w:rPr>
                <w:sz w:val="22"/>
              </w:rPr>
            </w:pPr>
            <w:r>
              <w:rPr>
                <w:rFonts w:ascii="Times New Roman" w:hAnsi="Times New Roman"/>
                <w:sz w:val="22"/>
              </w:rPr>
              <w:t>29</w:t>
            </w:r>
            <w:r>
              <w:rPr>
                <w:sz w:val="22"/>
              </w:rPr>
              <w:t>°</w:t>
            </w:r>
            <w:r>
              <w:rPr>
                <w:rFonts w:ascii="Times New Roman" w:hAnsi="Times New Roman"/>
                <w:sz w:val="22"/>
              </w:rPr>
              <w:t>00</w:t>
            </w:r>
            <w:r>
              <w:rPr>
                <w:sz w:val="22"/>
              </w:rPr>
              <w:t>′</w:t>
            </w:r>
          </w:p>
        </w:tc>
        <w:tc>
          <w:tcPr>
            <w:tcW w:w="1609" w:type="dxa"/>
          </w:tcPr>
          <w:p>
            <w:pPr>
              <w:pStyle w:val="TableParagraph"/>
              <w:spacing w:before="53"/>
              <w:ind w:left="95" w:right="86"/>
              <w:rPr>
                <w:sz w:val="22"/>
              </w:rPr>
            </w:pPr>
            <w:r>
              <w:rPr>
                <w:rFonts w:ascii="Times New Roman" w:hAnsi="Times New Roman"/>
                <w:sz w:val="22"/>
              </w:rPr>
              <w:t>29</w:t>
            </w:r>
            <w:r>
              <w:rPr>
                <w:sz w:val="22"/>
              </w:rPr>
              <w:t>°</w:t>
            </w:r>
            <w:r>
              <w:rPr>
                <w:rFonts w:ascii="Times New Roman" w:hAnsi="Times New Roman"/>
                <w:sz w:val="22"/>
              </w:rPr>
              <w:t>00</w:t>
            </w:r>
            <w:r>
              <w:rPr>
                <w:sz w:val="22"/>
              </w:rPr>
              <w:t>′</w:t>
            </w:r>
          </w:p>
        </w:tc>
        <w:tc>
          <w:tcPr>
            <w:tcW w:w="1610" w:type="dxa"/>
          </w:tcPr>
          <w:p>
            <w:pPr>
              <w:pStyle w:val="TableParagraph"/>
              <w:spacing w:before="53"/>
              <w:ind w:left="97" w:right="86"/>
              <w:rPr>
                <w:sz w:val="22"/>
              </w:rPr>
            </w:pPr>
            <w:r>
              <w:rPr>
                <w:rFonts w:ascii="Times New Roman" w:hAnsi="Times New Roman"/>
                <w:sz w:val="22"/>
              </w:rPr>
              <w:t>29</w:t>
            </w:r>
            <w:r>
              <w:rPr>
                <w:sz w:val="22"/>
              </w:rPr>
              <w:t>°</w:t>
            </w:r>
            <w:r>
              <w:rPr>
                <w:rFonts w:ascii="Times New Roman" w:hAnsi="Times New Roman"/>
                <w:sz w:val="22"/>
              </w:rPr>
              <w:t>00</w:t>
            </w:r>
            <w:r>
              <w:rPr>
                <w:sz w:val="22"/>
              </w:rPr>
              <w:t>′</w:t>
            </w:r>
          </w:p>
        </w:tc>
      </w:tr>
      <w:tr>
        <w:trPr>
          <w:trHeight w:val="392" w:hRule="atLeast"/>
        </w:trPr>
        <w:tc>
          <w:tcPr>
            <w:tcW w:w="2598" w:type="dxa"/>
            <w:gridSpan w:val="2"/>
          </w:tcPr>
          <w:p>
            <w:pPr>
              <w:pStyle w:val="TableParagraph"/>
              <w:spacing w:before="53"/>
              <w:ind w:left="553"/>
              <w:jc w:val="left"/>
              <w:rPr>
                <w:sz w:val="22"/>
              </w:rPr>
            </w:pPr>
            <w:r>
              <w:rPr>
                <w:sz w:val="22"/>
              </w:rPr>
              <w:t>井筒长度（</w:t>
            </w:r>
            <w:r>
              <w:rPr>
                <w:rFonts w:ascii="Times New Roman" w:eastAsia="Times New Roman"/>
                <w:sz w:val="22"/>
              </w:rPr>
              <w:t>m</w:t>
            </w:r>
            <w:r>
              <w:rPr>
                <w:sz w:val="22"/>
              </w:rPr>
              <w:t>）</w:t>
            </w:r>
          </w:p>
        </w:tc>
        <w:tc>
          <w:tcPr>
            <w:tcW w:w="1609" w:type="dxa"/>
          </w:tcPr>
          <w:p>
            <w:pPr>
              <w:pStyle w:val="TableParagraph"/>
              <w:spacing w:before="68"/>
              <w:ind w:left="95" w:right="86"/>
              <w:rPr>
                <w:rFonts w:ascii="Times New Roman"/>
                <w:sz w:val="22"/>
              </w:rPr>
            </w:pPr>
            <w:r>
              <w:rPr>
                <w:rFonts w:ascii="Times New Roman"/>
                <w:sz w:val="22"/>
              </w:rPr>
              <w:t>880</w:t>
            </w:r>
          </w:p>
        </w:tc>
        <w:tc>
          <w:tcPr>
            <w:tcW w:w="1609" w:type="dxa"/>
          </w:tcPr>
          <w:p>
            <w:pPr>
              <w:pStyle w:val="TableParagraph"/>
              <w:spacing w:before="68"/>
              <w:ind w:left="93" w:right="86"/>
              <w:rPr>
                <w:rFonts w:ascii="Times New Roman"/>
                <w:sz w:val="22"/>
              </w:rPr>
            </w:pPr>
            <w:r>
              <w:rPr>
                <w:rFonts w:ascii="Times New Roman"/>
                <w:sz w:val="22"/>
              </w:rPr>
              <w:t>850</w:t>
            </w:r>
          </w:p>
        </w:tc>
        <w:tc>
          <w:tcPr>
            <w:tcW w:w="1610" w:type="dxa"/>
          </w:tcPr>
          <w:p>
            <w:pPr>
              <w:pStyle w:val="TableParagraph"/>
              <w:spacing w:before="68"/>
              <w:ind w:left="97" w:right="88"/>
              <w:rPr>
                <w:rFonts w:ascii="Times New Roman"/>
                <w:sz w:val="22"/>
              </w:rPr>
            </w:pPr>
            <w:r>
              <w:rPr>
                <w:rFonts w:ascii="Times New Roman"/>
                <w:sz w:val="22"/>
              </w:rPr>
              <w:t>840</w:t>
            </w:r>
          </w:p>
        </w:tc>
      </w:tr>
      <w:tr>
        <w:trPr>
          <w:trHeight w:val="392" w:hRule="atLeast"/>
        </w:trPr>
        <w:tc>
          <w:tcPr>
            <w:tcW w:w="2598" w:type="dxa"/>
            <w:gridSpan w:val="2"/>
          </w:tcPr>
          <w:p>
            <w:pPr>
              <w:pStyle w:val="TableParagraph"/>
              <w:spacing w:before="53"/>
              <w:ind w:left="529"/>
              <w:jc w:val="left"/>
              <w:rPr>
                <w:sz w:val="22"/>
              </w:rPr>
            </w:pPr>
            <w:r>
              <w:rPr>
                <w:sz w:val="22"/>
              </w:rPr>
              <w:t>井筒倾角（°）</w:t>
            </w:r>
          </w:p>
        </w:tc>
        <w:tc>
          <w:tcPr>
            <w:tcW w:w="1609" w:type="dxa"/>
          </w:tcPr>
          <w:p>
            <w:pPr>
              <w:pStyle w:val="TableParagraph"/>
              <w:spacing w:before="68"/>
              <w:ind w:left="95" w:right="86"/>
              <w:rPr>
                <w:rFonts w:ascii="Times New Roman"/>
                <w:sz w:val="22"/>
              </w:rPr>
            </w:pPr>
            <w:r>
              <w:rPr>
                <w:rFonts w:ascii="Times New Roman"/>
                <w:sz w:val="22"/>
              </w:rPr>
              <w:t>25</w:t>
            </w:r>
          </w:p>
        </w:tc>
        <w:tc>
          <w:tcPr>
            <w:tcW w:w="1609" w:type="dxa"/>
          </w:tcPr>
          <w:p>
            <w:pPr>
              <w:pStyle w:val="TableParagraph"/>
              <w:spacing w:before="68"/>
              <w:ind w:left="93" w:right="86"/>
              <w:rPr>
                <w:rFonts w:ascii="Times New Roman"/>
                <w:sz w:val="22"/>
              </w:rPr>
            </w:pPr>
            <w:r>
              <w:rPr>
                <w:rFonts w:ascii="Times New Roman"/>
                <w:sz w:val="22"/>
              </w:rPr>
              <w:t>23</w:t>
            </w:r>
          </w:p>
        </w:tc>
        <w:tc>
          <w:tcPr>
            <w:tcW w:w="1610" w:type="dxa"/>
          </w:tcPr>
          <w:p>
            <w:pPr>
              <w:pStyle w:val="TableParagraph"/>
              <w:spacing w:before="68"/>
              <w:ind w:left="97" w:right="88"/>
              <w:rPr>
                <w:rFonts w:ascii="Times New Roman"/>
                <w:sz w:val="22"/>
              </w:rPr>
            </w:pPr>
            <w:r>
              <w:rPr>
                <w:rFonts w:ascii="Times New Roman"/>
                <w:sz w:val="22"/>
              </w:rPr>
              <w:t>24</w:t>
            </w:r>
          </w:p>
        </w:tc>
      </w:tr>
      <w:tr>
        <w:trPr>
          <w:trHeight w:val="392" w:hRule="atLeast"/>
        </w:trPr>
        <w:tc>
          <w:tcPr>
            <w:tcW w:w="2598" w:type="dxa"/>
            <w:gridSpan w:val="2"/>
          </w:tcPr>
          <w:p>
            <w:pPr>
              <w:pStyle w:val="TableParagraph"/>
              <w:spacing w:before="54"/>
              <w:ind w:left="858"/>
              <w:jc w:val="left"/>
              <w:rPr>
                <w:sz w:val="22"/>
              </w:rPr>
            </w:pPr>
            <w:r>
              <w:rPr>
                <w:sz w:val="22"/>
              </w:rPr>
              <w:t>水平高程</w:t>
            </w:r>
          </w:p>
        </w:tc>
        <w:tc>
          <w:tcPr>
            <w:tcW w:w="1609" w:type="dxa"/>
          </w:tcPr>
          <w:p>
            <w:pPr>
              <w:pStyle w:val="TableParagraph"/>
              <w:spacing w:before="68"/>
              <w:ind w:left="97" w:right="83"/>
              <w:rPr>
                <w:rFonts w:ascii="Times New Roman"/>
                <w:sz w:val="22"/>
              </w:rPr>
            </w:pPr>
            <w:r>
              <w:rPr>
                <w:rFonts w:ascii="Times New Roman"/>
                <w:sz w:val="22"/>
              </w:rPr>
              <w:t>-113.0</w:t>
            </w:r>
          </w:p>
        </w:tc>
        <w:tc>
          <w:tcPr>
            <w:tcW w:w="1609" w:type="dxa"/>
          </w:tcPr>
          <w:p>
            <w:pPr>
              <w:pStyle w:val="TableParagraph"/>
              <w:spacing w:before="68"/>
              <w:ind w:left="97" w:right="85"/>
              <w:rPr>
                <w:rFonts w:ascii="Times New Roman"/>
                <w:sz w:val="22"/>
              </w:rPr>
            </w:pPr>
            <w:r>
              <w:rPr>
                <w:rFonts w:ascii="Times New Roman"/>
                <w:sz w:val="22"/>
              </w:rPr>
              <w:t>-113.0</w:t>
            </w:r>
          </w:p>
        </w:tc>
        <w:tc>
          <w:tcPr>
            <w:tcW w:w="1610" w:type="dxa"/>
          </w:tcPr>
          <w:p>
            <w:pPr>
              <w:pStyle w:val="TableParagraph"/>
              <w:spacing w:before="68"/>
              <w:ind w:left="97" w:right="88"/>
              <w:rPr>
                <w:rFonts w:ascii="Times New Roman"/>
                <w:sz w:val="22"/>
              </w:rPr>
            </w:pPr>
            <w:r>
              <w:rPr>
                <w:rFonts w:ascii="Times New Roman"/>
                <w:sz w:val="22"/>
              </w:rPr>
              <w:t>-113.0</w:t>
            </w:r>
          </w:p>
        </w:tc>
      </w:tr>
      <w:tr>
        <w:trPr>
          <w:trHeight w:val="393" w:hRule="atLeast"/>
        </w:trPr>
        <w:tc>
          <w:tcPr>
            <w:tcW w:w="1481" w:type="dxa"/>
            <w:vMerge w:val="restart"/>
          </w:tcPr>
          <w:p>
            <w:pPr>
              <w:pStyle w:val="TableParagraph"/>
              <w:spacing w:before="10"/>
              <w:jc w:val="left"/>
              <w:rPr>
                <w:b/>
                <w:sz w:val="15"/>
              </w:rPr>
            </w:pPr>
          </w:p>
          <w:p>
            <w:pPr>
              <w:pStyle w:val="TableParagraph"/>
              <w:spacing w:before="1"/>
              <w:ind w:left="298"/>
              <w:jc w:val="left"/>
              <w:rPr>
                <w:sz w:val="22"/>
              </w:rPr>
            </w:pPr>
            <w:r>
              <w:rPr>
                <w:sz w:val="22"/>
              </w:rPr>
              <w:t>井筒断面</w:t>
            </w:r>
          </w:p>
          <w:p>
            <w:pPr>
              <w:pStyle w:val="TableParagraph"/>
              <w:spacing w:before="3"/>
              <w:ind w:left="399"/>
              <w:jc w:val="left"/>
              <w:rPr>
                <w:sz w:val="22"/>
              </w:rPr>
            </w:pPr>
            <w:r>
              <w:rPr>
                <w:sz w:val="22"/>
              </w:rPr>
              <w:t>（</w:t>
            </w:r>
            <w:r>
              <w:rPr>
                <w:rFonts w:ascii="Times New Roman" w:eastAsia="Times New Roman"/>
                <w:sz w:val="22"/>
              </w:rPr>
              <w:t>m</w:t>
            </w:r>
            <w:r>
              <w:rPr>
                <w:rFonts w:ascii="Times New Roman" w:eastAsia="Times New Roman"/>
                <w:position w:val="7"/>
                <w:sz w:val="14"/>
              </w:rPr>
              <w:t>2</w:t>
            </w:r>
            <w:r>
              <w:rPr>
                <w:sz w:val="22"/>
              </w:rPr>
              <w:t>）</w:t>
            </w:r>
          </w:p>
        </w:tc>
        <w:tc>
          <w:tcPr>
            <w:tcW w:w="1117" w:type="dxa"/>
          </w:tcPr>
          <w:p>
            <w:pPr>
              <w:pStyle w:val="TableParagraph"/>
              <w:spacing w:before="54"/>
              <w:ind w:left="447"/>
              <w:jc w:val="left"/>
              <w:rPr>
                <w:sz w:val="22"/>
              </w:rPr>
            </w:pPr>
            <w:r>
              <w:rPr>
                <w:w w:val="100"/>
                <w:sz w:val="22"/>
              </w:rPr>
              <w:t>净</w:t>
            </w:r>
          </w:p>
        </w:tc>
        <w:tc>
          <w:tcPr>
            <w:tcW w:w="1609" w:type="dxa"/>
          </w:tcPr>
          <w:p>
            <w:pPr>
              <w:pStyle w:val="TableParagraph"/>
              <w:spacing w:before="69"/>
              <w:ind w:left="97" w:right="86"/>
              <w:rPr>
                <w:rFonts w:ascii="Times New Roman"/>
                <w:sz w:val="22"/>
              </w:rPr>
            </w:pPr>
            <w:r>
              <w:rPr>
                <w:rFonts w:ascii="Times New Roman"/>
                <w:sz w:val="22"/>
              </w:rPr>
              <w:t>7.2</w:t>
            </w:r>
          </w:p>
        </w:tc>
        <w:tc>
          <w:tcPr>
            <w:tcW w:w="1609" w:type="dxa"/>
          </w:tcPr>
          <w:p>
            <w:pPr>
              <w:pStyle w:val="TableParagraph"/>
              <w:spacing w:before="69"/>
              <w:ind w:left="95" w:right="86"/>
              <w:rPr>
                <w:rFonts w:ascii="Times New Roman"/>
                <w:sz w:val="22"/>
              </w:rPr>
            </w:pPr>
            <w:r>
              <w:rPr>
                <w:rFonts w:ascii="Times New Roman"/>
                <w:sz w:val="22"/>
              </w:rPr>
              <w:t>7.2</w:t>
            </w:r>
          </w:p>
        </w:tc>
        <w:tc>
          <w:tcPr>
            <w:tcW w:w="1610" w:type="dxa"/>
          </w:tcPr>
          <w:p>
            <w:pPr>
              <w:pStyle w:val="TableParagraph"/>
              <w:spacing w:before="69"/>
              <w:ind w:left="97" w:right="86"/>
              <w:rPr>
                <w:rFonts w:ascii="Times New Roman"/>
                <w:sz w:val="22"/>
              </w:rPr>
            </w:pPr>
            <w:r>
              <w:rPr>
                <w:rFonts w:ascii="Times New Roman"/>
                <w:sz w:val="22"/>
              </w:rPr>
              <w:t>8.0</w:t>
            </w:r>
          </w:p>
        </w:tc>
      </w:tr>
      <w:tr>
        <w:trPr>
          <w:trHeight w:val="572" w:hRule="atLeast"/>
        </w:trPr>
        <w:tc>
          <w:tcPr>
            <w:tcW w:w="1481" w:type="dxa"/>
            <w:vMerge/>
            <w:tcBorders>
              <w:top w:val="nil"/>
            </w:tcBorders>
          </w:tcPr>
          <w:p>
            <w:pPr>
              <w:rPr>
                <w:sz w:val="2"/>
                <w:szCs w:val="2"/>
              </w:rPr>
            </w:pPr>
          </w:p>
        </w:tc>
        <w:tc>
          <w:tcPr>
            <w:tcW w:w="1117" w:type="dxa"/>
          </w:tcPr>
          <w:p>
            <w:pPr>
              <w:pStyle w:val="TableParagraph"/>
              <w:spacing w:before="1"/>
              <w:ind w:left="197" w:right="188"/>
              <w:rPr>
                <w:sz w:val="22"/>
              </w:rPr>
            </w:pPr>
            <w:r>
              <w:rPr>
                <w:sz w:val="22"/>
              </w:rPr>
              <w:t>掘进</w:t>
            </w:r>
          </w:p>
          <w:p>
            <w:pPr>
              <w:pStyle w:val="TableParagraph"/>
              <w:spacing w:line="266" w:lineRule="exact" w:before="4"/>
              <w:ind w:left="197" w:right="188"/>
              <w:rPr>
                <w:sz w:val="22"/>
              </w:rPr>
            </w:pPr>
            <w:r>
              <w:rPr>
                <w:sz w:val="22"/>
              </w:rPr>
              <w:t>（</w:t>
            </w:r>
            <w:r>
              <w:rPr>
                <w:rFonts w:ascii="Times New Roman" w:eastAsia="Times New Roman"/>
                <w:sz w:val="22"/>
              </w:rPr>
              <w:t>m</w:t>
            </w:r>
            <w:r>
              <w:rPr>
                <w:rFonts w:ascii="Times New Roman" w:eastAsia="Times New Roman"/>
                <w:position w:val="7"/>
                <w:sz w:val="14"/>
              </w:rPr>
              <w:t>2</w:t>
            </w:r>
            <w:r>
              <w:rPr>
                <w:sz w:val="22"/>
              </w:rPr>
              <w:t>）</w:t>
            </w:r>
          </w:p>
        </w:tc>
        <w:tc>
          <w:tcPr>
            <w:tcW w:w="1609" w:type="dxa"/>
          </w:tcPr>
          <w:p>
            <w:pPr>
              <w:pStyle w:val="TableParagraph"/>
              <w:spacing w:before="158"/>
              <w:ind w:left="97" w:right="86"/>
              <w:rPr>
                <w:rFonts w:ascii="Times New Roman"/>
                <w:sz w:val="22"/>
              </w:rPr>
            </w:pPr>
            <w:r>
              <w:rPr>
                <w:rFonts w:ascii="Times New Roman"/>
                <w:sz w:val="22"/>
              </w:rPr>
              <w:t>8.0</w:t>
            </w:r>
          </w:p>
        </w:tc>
        <w:tc>
          <w:tcPr>
            <w:tcW w:w="1609" w:type="dxa"/>
          </w:tcPr>
          <w:p>
            <w:pPr>
              <w:pStyle w:val="TableParagraph"/>
              <w:spacing w:before="158"/>
              <w:ind w:left="95" w:right="86"/>
              <w:rPr>
                <w:rFonts w:ascii="Times New Roman"/>
                <w:sz w:val="22"/>
              </w:rPr>
            </w:pPr>
            <w:r>
              <w:rPr>
                <w:rFonts w:ascii="Times New Roman"/>
                <w:sz w:val="22"/>
              </w:rPr>
              <w:t>8.0</w:t>
            </w:r>
          </w:p>
        </w:tc>
        <w:tc>
          <w:tcPr>
            <w:tcW w:w="1610" w:type="dxa"/>
          </w:tcPr>
          <w:p>
            <w:pPr>
              <w:pStyle w:val="TableParagraph"/>
              <w:spacing w:before="158"/>
              <w:ind w:left="97" w:right="86"/>
              <w:rPr>
                <w:rFonts w:ascii="Times New Roman"/>
                <w:sz w:val="22"/>
              </w:rPr>
            </w:pPr>
            <w:r>
              <w:rPr>
                <w:rFonts w:ascii="Times New Roman"/>
                <w:sz w:val="22"/>
              </w:rPr>
              <w:t>9.1</w:t>
            </w:r>
          </w:p>
        </w:tc>
      </w:tr>
      <w:tr>
        <w:trPr>
          <w:trHeight w:val="392" w:hRule="atLeast"/>
        </w:trPr>
        <w:tc>
          <w:tcPr>
            <w:tcW w:w="2598" w:type="dxa"/>
            <w:gridSpan w:val="2"/>
          </w:tcPr>
          <w:p>
            <w:pPr>
              <w:pStyle w:val="TableParagraph"/>
              <w:spacing w:before="54"/>
              <w:ind w:left="858"/>
              <w:jc w:val="left"/>
              <w:rPr>
                <w:sz w:val="22"/>
              </w:rPr>
            </w:pPr>
            <w:r>
              <w:rPr>
                <w:sz w:val="22"/>
              </w:rPr>
              <w:t>支护方式</w:t>
            </w:r>
          </w:p>
        </w:tc>
        <w:tc>
          <w:tcPr>
            <w:tcW w:w="1609" w:type="dxa"/>
          </w:tcPr>
          <w:p>
            <w:pPr>
              <w:pStyle w:val="TableParagraph"/>
              <w:spacing w:before="54"/>
              <w:ind w:left="95" w:right="86"/>
              <w:rPr>
                <w:sz w:val="22"/>
              </w:rPr>
            </w:pPr>
            <w:r>
              <w:rPr>
                <w:sz w:val="22"/>
              </w:rPr>
              <w:t>锚喷</w:t>
            </w:r>
          </w:p>
        </w:tc>
        <w:tc>
          <w:tcPr>
            <w:tcW w:w="1609" w:type="dxa"/>
          </w:tcPr>
          <w:p>
            <w:pPr>
              <w:pStyle w:val="TableParagraph"/>
              <w:spacing w:before="54"/>
              <w:ind w:left="97" w:right="85"/>
              <w:rPr>
                <w:sz w:val="22"/>
              </w:rPr>
            </w:pPr>
            <w:r>
              <w:rPr>
                <w:sz w:val="22"/>
              </w:rPr>
              <w:t>锚喷</w:t>
            </w:r>
          </w:p>
        </w:tc>
        <w:tc>
          <w:tcPr>
            <w:tcW w:w="1610" w:type="dxa"/>
          </w:tcPr>
          <w:p>
            <w:pPr>
              <w:pStyle w:val="TableParagraph"/>
              <w:spacing w:before="54"/>
              <w:ind w:left="97" w:right="88"/>
              <w:rPr>
                <w:sz w:val="22"/>
              </w:rPr>
            </w:pPr>
            <w:r>
              <w:rPr>
                <w:sz w:val="22"/>
              </w:rPr>
              <w:t>锚喷</w:t>
            </w:r>
          </w:p>
        </w:tc>
      </w:tr>
      <w:tr>
        <w:trPr>
          <w:trHeight w:val="1555" w:hRule="atLeast"/>
        </w:trPr>
        <w:tc>
          <w:tcPr>
            <w:tcW w:w="2598" w:type="dxa"/>
            <w:gridSpan w:val="2"/>
          </w:tcPr>
          <w:p>
            <w:pPr>
              <w:pStyle w:val="TableParagraph"/>
              <w:jc w:val="left"/>
              <w:rPr>
                <w:b/>
                <w:sz w:val="22"/>
              </w:rPr>
            </w:pPr>
          </w:p>
          <w:p>
            <w:pPr>
              <w:pStyle w:val="TableParagraph"/>
              <w:spacing w:before="7"/>
              <w:jc w:val="left"/>
              <w:rPr>
                <w:b/>
                <w:sz w:val="27"/>
              </w:rPr>
            </w:pPr>
          </w:p>
          <w:p>
            <w:pPr>
              <w:pStyle w:val="TableParagraph"/>
              <w:ind w:left="1059" w:right="1048"/>
              <w:rPr>
                <w:sz w:val="22"/>
              </w:rPr>
            </w:pPr>
            <w:r>
              <w:rPr>
                <w:sz w:val="22"/>
              </w:rPr>
              <w:t>装备</w:t>
            </w:r>
          </w:p>
        </w:tc>
        <w:tc>
          <w:tcPr>
            <w:tcW w:w="1609" w:type="dxa"/>
          </w:tcPr>
          <w:p>
            <w:pPr>
              <w:pStyle w:val="TableParagraph"/>
              <w:spacing w:before="4"/>
              <w:jc w:val="left"/>
              <w:rPr>
                <w:b/>
                <w:sz w:val="27"/>
              </w:rPr>
            </w:pPr>
          </w:p>
          <w:p>
            <w:pPr>
              <w:pStyle w:val="TableParagraph"/>
              <w:spacing w:line="242" w:lineRule="auto"/>
              <w:ind w:left="144" w:right="132"/>
              <w:jc w:val="both"/>
              <w:rPr>
                <w:sz w:val="22"/>
              </w:rPr>
            </w:pPr>
            <w:r>
              <w:rPr>
                <w:sz w:val="22"/>
              </w:rPr>
              <w:t>皮带、排水、供水、压风管路、各种电缆</w:t>
            </w:r>
          </w:p>
        </w:tc>
        <w:tc>
          <w:tcPr>
            <w:tcW w:w="1609" w:type="dxa"/>
          </w:tcPr>
          <w:p>
            <w:pPr>
              <w:pStyle w:val="TableParagraph"/>
              <w:spacing w:before="1"/>
              <w:jc w:val="left"/>
              <w:rPr>
                <w:b/>
                <w:sz w:val="16"/>
              </w:rPr>
            </w:pPr>
          </w:p>
          <w:p>
            <w:pPr>
              <w:pStyle w:val="TableParagraph"/>
              <w:spacing w:line="242" w:lineRule="auto"/>
              <w:ind w:left="107" w:right="-15" w:firstLine="2"/>
              <w:jc w:val="left"/>
              <w:rPr>
                <w:sz w:val="22"/>
              </w:rPr>
            </w:pPr>
            <w:r>
              <w:rPr>
                <w:rFonts w:ascii="Times New Roman" w:eastAsia="Times New Roman"/>
                <w:sz w:val="22"/>
              </w:rPr>
              <w:t>30kg/m</w:t>
            </w:r>
            <w:r>
              <w:rPr>
                <w:rFonts w:ascii="Times New Roman" w:eastAsia="Times New Roman"/>
                <w:spacing w:val="-2"/>
                <w:sz w:val="22"/>
              </w:rPr>
              <w:t> </w:t>
            </w:r>
            <w:r>
              <w:rPr>
                <w:spacing w:val="-2"/>
                <w:sz w:val="22"/>
              </w:rPr>
              <w:t>钢轨、</w:t>
            </w:r>
            <w:r>
              <w:rPr>
                <w:spacing w:val="-3"/>
                <w:sz w:val="22"/>
              </w:rPr>
              <w:t>供水、压风管</w:t>
            </w:r>
            <w:r>
              <w:rPr>
                <w:spacing w:val="-10"/>
                <w:sz w:val="22"/>
              </w:rPr>
              <w:t>路、通讯信号、</w:t>
            </w:r>
            <w:r>
              <w:rPr>
                <w:spacing w:val="-3"/>
                <w:sz w:val="22"/>
              </w:rPr>
              <w:t>架空乘人装置</w:t>
            </w:r>
          </w:p>
        </w:tc>
        <w:tc>
          <w:tcPr>
            <w:tcW w:w="1610" w:type="dxa"/>
          </w:tcPr>
          <w:p>
            <w:pPr>
              <w:pStyle w:val="TableParagraph"/>
              <w:spacing w:before="79"/>
              <w:ind w:left="110" w:right="93"/>
              <w:rPr>
                <w:sz w:val="22"/>
              </w:rPr>
            </w:pPr>
            <w:r>
              <w:rPr>
                <w:rFonts w:ascii="Times New Roman" w:hAnsi="Times New Roman" w:eastAsia="Times New Roman"/>
                <w:sz w:val="22"/>
              </w:rPr>
              <w:t>FBCDZ-NO17( C)-2</w:t>
            </w:r>
            <w:r>
              <w:rPr>
                <w:sz w:val="22"/>
              </w:rPr>
              <w:t>×</w:t>
            </w:r>
            <w:r>
              <w:rPr>
                <w:rFonts w:ascii="Times New Roman" w:hAnsi="Times New Roman" w:eastAsia="Times New Roman"/>
                <w:sz w:val="22"/>
              </w:rPr>
              <w:t>132 </w:t>
            </w:r>
            <w:r>
              <w:rPr>
                <w:sz w:val="22"/>
              </w:rPr>
              <w:t>型</w:t>
            </w:r>
          </w:p>
          <w:p>
            <w:pPr>
              <w:pStyle w:val="TableParagraph"/>
              <w:spacing w:line="242" w:lineRule="auto" w:before="5"/>
              <w:ind w:left="144" w:right="133"/>
              <w:rPr>
                <w:sz w:val="22"/>
              </w:rPr>
            </w:pPr>
            <w:r>
              <w:rPr>
                <w:sz w:val="22"/>
              </w:rPr>
              <w:t>矿用节能型轴流对旋式通风机</w:t>
            </w:r>
          </w:p>
        </w:tc>
      </w:tr>
    </w:tbl>
    <w:p>
      <w:pPr>
        <w:spacing w:after="0" w:line="242" w:lineRule="auto"/>
        <w:rPr>
          <w:sz w:val="22"/>
        </w:rPr>
        <w:sectPr>
          <w:pgSz w:w="11910" w:h="16840"/>
          <w:pgMar w:header="0" w:footer="993" w:top="1360" w:bottom="1180" w:left="940" w:right="940"/>
        </w:sectPr>
      </w:pPr>
    </w:p>
    <w:p>
      <w:pPr>
        <w:pStyle w:val="ListParagraph"/>
        <w:numPr>
          <w:ilvl w:val="3"/>
          <w:numId w:val="21"/>
        </w:numPr>
        <w:tabs>
          <w:tab w:pos="1199" w:val="left" w:leader="none"/>
        </w:tabs>
        <w:spacing w:line="240" w:lineRule="auto" w:before="61" w:after="0"/>
        <w:ind w:left="1198" w:right="0" w:hanging="721"/>
        <w:jc w:val="both"/>
        <w:rPr>
          <w:b/>
          <w:sz w:val="24"/>
        </w:rPr>
      </w:pPr>
      <w:r>
        <w:rPr>
          <w:b/>
          <w:sz w:val="24"/>
        </w:rPr>
        <w:t>矿井通风</w:t>
      </w:r>
    </w:p>
    <w:p>
      <w:pPr>
        <w:pStyle w:val="BodyText"/>
        <w:spacing w:line="364" w:lineRule="auto" w:before="158"/>
        <w:ind w:left="478" w:right="477" w:firstLine="480"/>
        <w:jc w:val="both"/>
      </w:pPr>
      <w:r>
        <w:rPr>
          <w:spacing w:val="-6"/>
        </w:rPr>
        <w:t>根据矿井开拓部署，本着初期投资少，采区生产集中，便于管理，尽量减少占地和</w:t>
      </w:r>
      <w:r>
        <w:rPr>
          <w:spacing w:val="-7"/>
        </w:rPr>
        <w:t>压煤的原则，本矿井通风系统采用分区式，通风方式采用抽出式，通风系统合理，保证</w:t>
      </w:r>
      <w:r>
        <w:rPr/>
        <w:t>矿井通风安全。</w:t>
      </w:r>
    </w:p>
    <w:p>
      <w:pPr>
        <w:pStyle w:val="BodyText"/>
        <w:spacing w:line="364" w:lineRule="auto"/>
        <w:ind w:left="478" w:right="471" w:firstLine="480"/>
        <w:jc w:val="both"/>
      </w:pPr>
      <w:r>
        <w:rPr>
          <w:spacing w:val="-6"/>
        </w:rPr>
        <w:t>矿井风井通风机选用 </w:t>
      </w:r>
      <w:r>
        <w:rPr>
          <w:rFonts w:ascii="Times New Roman" w:hAnsi="Times New Roman" w:eastAsia="Times New Roman"/>
        </w:rPr>
        <w:t>FBCDZ-NO17(C)-2×132 </w:t>
      </w:r>
      <w:r>
        <w:rPr/>
        <w:t>型矿用节能型轴流对旋式通风机，主</w:t>
      </w:r>
      <w:r>
        <w:rPr>
          <w:spacing w:val="-3"/>
        </w:rPr>
        <w:t>通风机的运行效率初期大于 </w:t>
      </w:r>
      <w:r>
        <w:rPr>
          <w:rFonts w:ascii="Times New Roman" w:hAnsi="Times New Roman" w:eastAsia="Times New Roman"/>
        </w:rPr>
        <w:t>70</w:t>
      </w:r>
      <w:r>
        <w:rPr>
          <w:spacing w:val="-5"/>
        </w:rPr>
        <w:t>％，后期达到 </w:t>
      </w:r>
      <w:r>
        <w:rPr>
          <w:rFonts w:ascii="Times New Roman" w:hAnsi="Times New Roman" w:eastAsia="Times New Roman"/>
        </w:rPr>
        <w:t>80</w:t>
      </w:r>
      <w:r>
        <w:rPr/>
        <w:t>％，均在高效区域内。且风机通风机电</w:t>
      </w:r>
      <w:r>
        <w:rPr>
          <w:spacing w:val="-6"/>
        </w:rPr>
        <w:t>机采用变频调速，可根据矿井通风工况的变化调节转速，使风机始终运行在高效区，减小了电能损耗。通风机扩散器采用合理的扩散角，减小动压损失；通风机进风风道断面</w:t>
      </w:r>
      <w:r>
        <w:rPr>
          <w:spacing w:val="-5"/>
        </w:rPr>
        <w:t>发生变化处设计缓变段，尽可能避免其角度和截面大小急剧变化；风道拐弯处应呈流线</w:t>
      </w:r>
      <w:r>
        <w:rPr/>
        <w:t>型，最大限度减小通风装置各种阻力损失。能满足生产要求。</w:t>
      </w:r>
    </w:p>
    <w:p>
      <w:pPr>
        <w:pStyle w:val="Heading4"/>
        <w:numPr>
          <w:ilvl w:val="3"/>
          <w:numId w:val="21"/>
        </w:numPr>
        <w:tabs>
          <w:tab w:pos="1199" w:val="left" w:leader="none"/>
        </w:tabs>
        <w:spacing w:line="304" w:lineRule="exact" w:before="0" w:after="0"/>
        <w:ind w:left="1198" w:right="0" w:hanging="721"/>
        <w:jc w:val="both"/>
      </w:pPr>
      <w:r>
        <w:rPr/>
        <w:t>矿井地面生产系统</w:t>
      </w:r>
    </w:p>
    <w:p>
      <w:pPr>
        <w:pStyle w:val="ListParagraph"/>
        <w:numPr>
          <w:ilvl w:val="0"/>
          <w:numId w:val="26"/>
        </w:numPr>
        <w:tabs>
          <w:tab w:pos="1560" w:val="left" w:leader="none"/>
        </w:tabs>
        <w:spacing w:line="240" w:lineRule="auto" w:before="160" w:after="0"/>
        <w:ind w:left="1559" w:right="0" w:hanging="602"/>
        <w:jc w:val="left"/>
        <w:rPr>
          <w:sz w:val="24"/>
        </w:rPr>
      </w:pPr>
      <w:r>
        <w:rPr>
          <w:sz w:val="24"/>
        </w:rPr>
        <w:t>主井生产系统</w:t>
      </w:r>
    </w:p>
    <w:p>
      <w:pPr>
        <w:pStyle w:val="BodyText"/>
        <w:spacing w:line="364" w:lineRule="auto" w:before="158"/>
        <w:ind w:left="478" w:right="425" w:firstLine="480"/>
        <w:jc w:val="both"/>
      </w:pPr>
      <w:r>
        <w:rPr>
          <w:spacing w:val="-6"/>
        </w:rPr>
        <w:t>矿井设计生产能力为 </w:t>
      </w:r>
      <w:r>
        <w:rPr>
          <w:rFonts w:ascii="Times New Roman" w:eastAsia="Times New Roman"/>
        </w:rPr>
        <w:t>30 </w:t>
      </w:r>
      <w:r>
        <w:rPr>
          <w:spacing w:val="-29"/>
        </w:rPr>
        <w:t>万 </w:t>
      </w:r>
      <w:r>
        <w:rPr>
          <w:rFonts w:ascii="Times New Roman" w:eastAsia="Times New Roman"/>
        </w:rPr>
        <w:t>t/a</w:t>
      </w:r>
      <w:r>
        <w:rPr/>
        <w:t>，采用斜井开拓方式。井下工作面来煤由工作面顺槽</w:t>
      </w:r>
      <w:r>
        <w:rPr>
          <w:spacing w:val="-4"/>
        </w:rPr>
        <w:t>带式输送机运至煤仓，煤仓下部安设 </w:t>
      </w:r>
      <w:r>
        <w:rPr>
          <w:rFonts w:ascii="Times New Roman" w:eastAsia="Times New Roman"/>
        </w:rPr>
        <w:t>1 </w:t>
      </w:r>
      <w:r>
        <w:rPr>
          <w:spacing w:val="-1"/>
        </w:rPr>
        <w:t>台给煤机，通过给煤机送入主斜井带式输送机， </w:t>
      </w:r>
      <w:r>
        <w:rPr>
          <w:spacing w:val="3"/>
        </w:rPr>
        <w:t>提升至地面主斜井井口驱动机房，经转载后进入筛分车间内的振动筛上，振动筛进行</w:t>
      </w:r>
      <w:r>
        <w:rPr>
          <w:rFonts w:ascii="Times New Roman" w:eastAsia="Times New Roman"/>
          <w:spacing w:val="3"/>
        </w:rPr>
        <w:t>50mm </w:t>
      </w:r>
      <w:r>
        <w:rPr>
          <w:spacing w:val="-21"/>
        </w:rPr>
        <w:t>分级，筛上</w:t>
      </w:r>
      <w:r>
        <w:rPr>
          <w:rFonts w:ascii="Times New Roman" w:eastAsia="Times New Roman"/>
        </w:rPr>
        <w:t>+50mm </w:t>
      </w:r>
      <w:r>
        <w:rPr>
          <w:spacing w:val="-12"/>
        </w:rPr>
        <w:t>产品经手选带式输送机清除矸石，进入块煤储煤仓；筛下</w:t>
      </w:r>
      <w:r>
        <w:rPr>
          <w:rFonts w:ascii="Times New Roman" w:eastAsia="Times New Roman"/>
        </w:rPr>
        <w:t>-50mm </w:t>
      </w:r>
      <w:r>
        <w:rPr/>
        <w:t>产品经筛下带式输送机进入混煤储煤仓。</w:t>
      </w:r>
    </w:p>
    <w:p>
      <w:pPr>
        <w:pStyle w:val="BodyText"/>
        <w:spacing w:line="362" w:lineRule="auto"/>
        <w:ind w:left="478" w:right="477" w:firstLine="480"/>
        <w:jc w:val="both"/>
      </w:pPr>
      <w:r>
        <w:rPr>
          <w:spacing w:val="-3"/>
        </w:rPr>
        <w:t>主斜井带式输送机头部卸载点和驱动装置位于主井井口房内。主井井口房内配备一</w:t>
      </w:r>
      <w:r>
        <w:rPr>
          <w:spacing w:val="-31"/>
        </w:rPr>
        <w:t>台 </w:t>
      </w:r>
      <w:r>
        <w:rPr>
          <w:rFonts w:ascii="Times New Roman" w:eastAsia="Times New Roman"/>
        </w:rPr>
        <w:t>Q=10t </w:t>
      </w:r>
      <w:r>
        <w:rPr/>
        <w:t>电动单梁起重机，承担主井井口房内设备安装、检修时的起升任务。</w:t>
      </w:r>
    </w:p>
    <w:p>
      <w:pPr>
        <w:pStyle w:val="BodyText"/>
        <w:spacing w:before="3"/>
        <w:ind w:left="958"/>
      </w:pPr>
      <w:r>
        <w:rPr/>
        <w:t>为了充分、合理地利用主井井口房的空间，将配电控制室和主井井口房联合布置。</w:t>
      </w:r>
    </w:p>
    <w:p>
      <w:pPr>
        <w:pStyle w:val="ListParagraph"/>
        <w:numPr>
          <w:ilvl w:val="0"/>
          <w:numId w:val="26"/>
        </w:numPr>
        <w:tabs>
          <w:tab w:pos="1560" w:val="left" w:leader="none"/>
        </w:tabs>
        <w:spacing w:line="240" w:lineRule="auto" w:before="161" w:after="0"/>
        <w:ind w:left="1559" w:right="0" w:hanging="602"/>
        <w:jc w:val="left"/>
        <w:rPr>
          <w:sz w:val="24"/>
        </w:rPr>
      </w:pPr>
      <w:r>
        <w:rPr>
          <w:sz w:val="24"/>
        </w:rPr>
        <w:t>副井生产系统</w:t>
      </w:r>
    </w:p>
    <w:p>
      <w:pPr>
        <w:pStyle w:val="BodyText"/>
        <w:spacing w:line="364" w:lineRule="auto" w:before="158"/>
        <w:ind w:left="478" w:right="478" w:firstLine="480"/>
      </w:pPr>
      <w:r>
        <w:rPr/>
        <w:t>本矿井矸石由矿车拉出副井，由１</w:t>
      </w:r>
      <w:r>
        <w:rPr>
          <w:rFonts w:ascii="Times New Roman" w:eastAsia="Times New Roman"/>
        </w:rPr>
        <w:t>t </w:t>
      </w:r>
      <w:r>
        <w:rPr/>
        <w:t>矿车用前倾卸载架将矿车矸石翻卸至临时排矸场。临时排矸场地占地面积为 </w:t>
      </w:r>
      <w:r>
        <w:rPr>
          <w:rFonts w:ascii="Times New Roman" w:eastAsia="Times New Roman"/>
        </w:rPr>
        <w:t>1313m</w:t>
      </w:r>
      <w:r>
        <w:rPr>
          <w:rFonts w:ascii="Times New Roman" w:eastAsia="Times New Roman"/>
          <w:position w:val="8"/>
          <w:sz w:val="15"/>
        </w:rPr>
        <w:t>2</w:t>
      </w:r>
      <w:r>
        <w:rPr/>
        <w:t>（服务期限为 </w:t>
      </w:r>
      <w:r>
        <w:rPr>
          <w:rFonts w:ascii="Times New Roman" w:eastAsia="Times New Roman"/>
        </w:rPr>
        <w:t>2 </w:t>
      </w:r>
      <w:r>
        <w:rPr/>
        <w:t>个月）。</w:t>
      </w:r>
    </w:p>
    <w:p>
      <w:pPr>
        <w:pStyle w:val="BodyText"/>
        <w:spacing w:line="364" w:lineRule="auto"/>
        <w:ind w:left="478" w:right="473" w:firstLine="480"/>
      </w:pPr>
      <w:r>
        <w:rPr>
          <w:spacing w:val="-8"/>
        </w:rPr>
        <w:t>副斜井承担辅助提升任务，装备 </w:t>
      </w:r>
      <w:r>
        <w:rPr>
          <w:rFonts w:ascii="Times New Roman" w:eastAsia="Times New Roman"/>
        </w:rPr>
        <w:t>1 </w:t>
      </w:r>
      <w:r>
        <w:rPr>
          <w:spacing w:val="-30"/>
        </w:rPr>
        <w:t>台 </w:t>
      </w:r>
      <w:r>
        <w:rPr>
          <w:rFonts w:ascii="Times New Roman" w:eastAsia="Times New Roman"/>
        </w:rPr>
        <w:t>JK-2.5 </w:t>
      </w:r>
      <w:r>
        <w:rPr>
          <w:spacing w:val="-6"/>
        </w:rPr>
        <w:t>型单绳缠绕式提升机，采用单钩串车提</w:t>
      </w:r>
      <w:r>
        <w:rPr/>
        <w:t>升，担负矿井设备、材料、矸石和人员的提升任务。</w:t>
      </w:r>
    </w:p>
    <w:p>
      <w:pPr>
        <w:pStyle w:val="ListParagraph"/>
        <w:numPr>
          <w:ilvl w:val="0"/>
          <w:numId w:val="26"/>
        </w:numPr>
        <w:tabs>
          <w:tab w:pos="1560" w:val="left" w:leader="none"/>
        </w:tabs>
        <w:spacing w:line="306" w:lineRule="exact" w:before="0" w:after="0"/>
        <w:ind w:left="1559" w:right="0" w:hanging="602"/>
        <w:jc w:val="left"/>
        <w:rPr>
          <w:sz w:val="24"/>
        </w:rPr>
      </w:pPr>
      <w:r>
        <w:rPr>
          <w:sz w:val="24"/>
        </w:rPr>
        <w:t>辅助设施</w:t>
      </w:r>
    </w:p>
    <w:p>
      <w:pPr>
        <w:pStyle w:val="BodyText"/>
        <w:spacing w:before="159"/>
        <w:ind w:left="958"/>
      </w:pPr>
      <w:r>
        <w:rPr/>
        <w:t>①矿井修理车间</w:t>
      </w:r>
    </w:p>
    <w:p>
      <w:pPr>
        <w:pStyle w:val="BodyText"/>
        <w:spacing w:before="158"/>
        <w:ind w:left="958"/>
      </w:pPr>
      <w:r>
        <w:rPr/>
        <w:t>承担全矿机电设备的日常检修和维护任务。矿井修理车间主要设备有金属切削车床</w:t>
      </w:r>
    </w:p>
    <w:p>
      <w:pPr>
        <w:pStyle w:val="BodyText"/>
        <w:spacing w:before="161"/>
        <w:ind w:left="478"/>
      </w:pPr>
      <w:r>
        <w:rPr>
          <w:rFonts w:ascii="Times New Roman" w:hAnsi="Times New Roman" w:eastAsia="Times New Roman"/>
        </w:rPr>
        <w:t>2 </w:t>
      </w:r>
      <w:r>
        <w:rPr>
          <w:spacing w:val="-18"/>
        </w:rPr>
        <w:t>台、锻压机械 </w:t>
      </w:r>
      <w:r>
        <w:rPr>
          <w:rFonts w:ascii="Times New Roman" w:hAnsi="Times New Roman" w:eastAsia="Times New Roman"/>
        </w:rPr>
        <w:t>2 </w:t>
      </w:r>
      <w:r>
        <w:rPr>
          <w:spacing w:val="-21"/>
        </w:rPr>
        <w:t>台、电焊机 </w:t>
      </w:r>
      <w:r>
        <w:rPr>
          <w:rFonts w:ascii="Times New Roman" w:hAnsi="Times New Roman" w:eastAsia="Times New Roman"/>
        </w:rPr>
        <w:t>4 </w:t>
      </w:r>
      <w:r>
        <w:rPr>
          <w:spacing w:val="-29"/>
        </w:rPr>
        <w:t>台、</w:t>
      </w:r>
      <w:r>
        <w:rPr>
          <w:rFonts w:ascii="Times New Roman" w:hAnsi="Times New Roman" w:eastAsia="Times New Roman"/>
        </w:rPr>
        <w:t>3t</w:t>
      </w:r>
      <w:r>
        <w:rPr>
          <w:spacing w:val="-58"/>
        </w:rPr>
        <w:t>、</w:t>
      </w:r>
      <w:r>
        <w:rPr>
          <w:rFonts w:ascii="Times New Roman" w:hAnsi="Times New Roman" w:eastAsia="Times New Roman"/>
        </w:rPr>
        <w:t>5t </w:t>
      </w:r>
      <w:r>
        <w:rPr>
          <w:spacing w:val="-7"/>
        </w:rPr>
        <w:t>电动单梁起重机各 </w:t>
      </w:r>
      <w:r>
        <w:rPr>
          <w:rFonts w:ascii="Times New Roman" w:hAnsi="Times New Roman" w:eastAsia="Times New Roman"/>
        </w:rPr>
        <w:t>1 </w:t>
      </w:r>
      <w:r>
        <w:rPr>
          <w:spacing w:val="-20"/>
        </w:rPr>
        <w:t>台。面积为 </w:t>
      </w:r>
      <w:r>
        <w:rPr>
          <w:rFonts w:ascii="Times New Roman" w:hAnsi="Times New Roman" w:eastAsia="Times New Roman"/>
        </w:rPr>
        <w:t>40×11=440m</w:t>
      </w:r>
      <w:r>
        <w:rPr>
          <w:rFonts w:ascii="Times New Roman" w:hAnsi="Times New Roman" w:eastAsia="Times New Roman"/>
          <w:position w:val="8"/>
          <w:sz w:val="15"/>
        </w:rPr>
        <w:t>2</w:t>
      </w:r>
      <w:r>
        <w:rPr/>
        <w:t>。</w:t>
      </w:r>
    </w:p>
    <w:p>
      <w:pPr>
        <w:pStyle w:val="BodyText"/>
        <w:spacing w:before="158"/>
        <w:ind w:left="958"/>
      </w:pPr>
      <w:r>
        <w:rPr/>
        <w:t>②坑木加工厂</w:t>
      </w:r>
    </w:p>
    <w:p>
      <w:pPr>
        <w:spacing w:after="0"/>
        <w:sectPr>
          <w:pgSz w:w="11910" w:h="16840"/>
          <w:pgMar w:header="0" w:footer="993" w:top="1340" w:bottom="1180" w:left="940" w:right="940"/>
        </w:sectPr>
      </w:pPr>
    </w:p>
    <w:p>
      <w:pPr>
        <w:pStyle w:val="BodyText"/>
        <w:spacing w:before="61"/>
        <w:ind w:left="958"/>
      </w:pPr>
      <w:r>
        <w:rPr/>
        <w:t>主要承担矿井少量用材的改制加工任务。主要设备有，木材加工机床 </w:t>
      </w:r>
      <w:r>
        <w:rPr>
          <w:rFonts w:ascii="Times New Roman" w:eastAsia="Times New Roman"/>
        </w:rPr>
        <w:t>2 </w:t>
      </w:r>
      <w:r>
        <w:rPr/>
        <w:t>台，修磨设</w:t>
      </w:r>
    </w:p>
    <w:p>
      <w:pPr>
        <w:pStyle w:val="BodyText"/>
        <w:spacing w:before="158"/>
        <w:ind w:left="478"/>
      </w:pPr>
      <w:r>
        <w:rPr/>
        <w:t>备 </w:t>
      </w:r>
      <w:r>
        <w:rPr>
          <w:rFonts w:ascii="Times New Roman" w:eastAsia="Times New Roman"/>
        </w:rPr>
        <w:t>1 </w:t>
      </w:r>
      <w:r>
        <w:rPr/>
        <w:t>台。</w:t>
      </w:r>
    </w:p>
    <w:p>
      <w:pPr>
        <w:pStyle w:val="Heading3"/>
        <w:numPr>
          <w:ilvl w:val="2"/>
          <w:numId w:val="20"/>
        </w:numPr>
        <w:tabs>
          <w:tab w:pos="1108" w:val="left" w:leader="none"/>
        </w:tabs>
        <w:spacing w:line="240" w:lineRule="auto" w:before="161" w:after="0"/>
        <w:ind w:left="1107" w:right="0" w:hanging="630"/>
        <w:jc w:val="left"/>
      </w:pPr>
      <w:bookmarkStart w:name="3.3.3场外道路工程" w:id="103"/>
      <w:bookmarkEnd w:id="103"/>
      <w:r>
        <w:rPr>
          <w:b w:val="0"/>
        </w:rPr>
      </w:r>
      <w:bookmarkStart w:name="3.3.3场外道路工程" w:id="104"/>
      <w:bookmarkEnd w:id="104"/>
      <w:r>
        <w:rPr/>
        <w:t>场外道路工程</w:t>
      </w:r>
    </w:p>
    <w:p>
      <w:pPr>
        <w:pStyle w:val="BodyText"/>
        <w:spacing w:line="364" w:lineRule="auto" w:before="186"/>
        <w:ind w:left="478" w:right="477" w:firstLine="480"/>
        <w:jc w:val="both"/>
      </w:pPr>
      <w:r>
        <w:rPr>
          <w:spacing w:val="-5"/>
        </w:rPr>
        <w:t>矿井煤炭运输方式为公路运输，公路运输具有灵活性大，除特殊雨雪天气外，对运</w:t>
      </w:r>
      <w:r>
        <w:rPr>
          <w:spacing w:val="-8"/>
        </w:rPr>
        <w:t>输生产影响小，投资少，建设快的优点，故选择公路运输方式。矿区有简易砂石路稍加</w:t>
      </w:r>
      <w:r>
        <w:rPr/>
        <w:t>平整完全满足运输需要，通往矿区西侧的环城柏油公路运往双鸭山及周边市县。</w:t>
      </w:r>
    </w:p>
    <w:p>
      <w:pPr>
        <w:pStyle w:val="Heading3"/>
        <w:numPr>
          <w:ilvl w:val="2"/>
          <w:numId w:val="20"/>
        </w:numPr>
        <w:tabs>
          <w:tab w:pos="1108" w:val="left" w:leader="none"/>
        </w:tabs>
        <w:spacing w:line="240" w:lineRule="auto" w:before="0" w:after="0"/>
        <w:ind w:left="1107" w:right="0" w:hanging="630"/>
        <w:jc w:val="left"/>
      </w:pPr>
      <w:bookmarkStart w:name="3.3.4给排水、供热与能耗" w:id="105"/>
      <w:bookmarkEnd w:id="105"/>
      <w:r>
        <w:rPr>
          <w:b w:val="0"/>
        </w:rPr>
      </w:r>
      <w:bookmarkStart w:name="3.3.4给排水、供热与能耗" w:id="106"/>
      <w:bookmarkEnd w:id="106"/>
      <w:r>
        <w:rPr/>
        <w:t>给排水、供热与能耗</w:t>
      </w:r>
    </w:p>
    <w:p>
      <w:pPr>
        <w:pStyle w:val="Heading4"/>
        <w:numPr>
          <w:ilvl w:val="3"/>
          <w:numId w:val="27"/>
        </w:numPr>
        <w:tabs>
          <w:tab w:pos="1259" w:val="left" w:leader="none"/>
        </w:tabs>
        <w:spacing w:line="240" w:lineRule="auto" w:before="183" w:after="0"/>
        <w:ind w:left="1258" w:right="0" w:hanging="781"/>
        <w:jc w:val="left"/>
      </w:pPr>
      <w:r>
        <w:rPr/>
        <w:t>给排水</w:t>
      </w:r>
    </w:p>
    <w:p>
      <w:pPr>
        <w:pStyle w:val="BodyText"/>
        <w:spacing w:before="160"/>
        <w:ind w:left="960"/>
      </w:pPr>
      <w:r>
        <w:rPr>
          <w:rFonts w:ascii="Times New Roman" w:eastAsia="Times New Roman"/>
        </w:rPr>
        <w:t>1</w:t>
      </w:r>
      <w:r>
        <w:rPr/>
        <w:t>、用水量</w:t>
      </w:r>
    </w:p>
    <w:p>
      <w:pPr>
        <w:pStyle w:val="BodyText"/>
        <w:spacing w:line="364" w:lineRule="auto" w:before="161"/>
        <w:ind w:left="478" w:right="353" w:firstLine="482"/>
      </w:pPr>
      <w:r>
        <w:rPr>
          <w:spacing w:val="-6"/>
        </w:rPr>
        <w:t>消防用水量：消火栓用水量：按《建筑设计防火规范》规定，工业场地室外消防用</w:t>
      </w:r>
      <w:r>
        <w:rPr>
          <w:spacing w:val="-20"/>
        </w:rPr>
        <w:t>水量按 </w:t>
      </w:r>
      <w:r>
        <w:rPr>
          <w:rFonts w:ascii="Times New Roman" w:eastAsia="Times New Roman"/>
        </w:rPr>
        <w:t>25L/s </w:t>
      </w:r>
      <w:r>
        <w:rPr>
          <w:spacing w:val="-6"/>
        </w:rPr>
        <w:t>计算，火灾延续时间按 </w:t>
      </w:r>
      <w:r>
        <w:rPr>
          <w:rFonts w:ascii="Times New Roman" w:eastAsia="Times New Roman"/>
        </w:rPr>
        <w:t>3 </w:t>
      </w:r>
      <w:r>
        <w:rPr/>
        <w:t>小时计算。井下消防用水量：井下消防用水量为</w:t>
      </w:r>
      <w:r>
        <w:rPr>
          <w:rFonts w:ascii="Times New Roman" w:eastAsia="Times New Roman"/>
          <w:spacing w:val="-11"/>
        </w:rPr>
        <w:t>10L/s</w:t>
      </w:r>
      <w:r>
        <w:rPr>
          <w:spacing w:val="-9"/>
        </w:rPr>
        <w:t>，火灾延续时间为 </w:t>
      </w:r>
      <w:r>
        <w:rPr>
          <w:rFonts w:ascii="Times New Roman" w:eastAsia="Times New Roman"/>
        </w:rPr>
        <w:t>6h </w:t>
      </w:r>
      <w:r>
        <w:rPr>
          <w:spacing w:val="-9"/>
        </w:rPr>
        <w:t>计；工业场地地面及井下火灾发生次数同一时间各按一次计， </w:t>
      </w:r>
      <w:r>
        <w:rPr>
          <w:spacing w:val="-30"/>
        </w:rPr>
        <w:t>共 </w:t>
      </w:r>
      <w:r>
        <w:rPr>
          <w:rFonts w:ascii="Times New Roman" w:eastAsia="Times New Roman"/>
        </w:rPr>
        <w:t>486m</w:t>
      </w:r>
      <w:r>
        <w:rPr>
          <w:rFonts w:ascii="Times New Roman" w:eastAsia="Times New Roman"/>
          <w:position w:val="8"/>
          <w:sz w:val="15"/>
        </w:rPr>
        <w:t>3</w:t>
      </w:r>
      <w:r>
        <w:rPr>
          <w:rFonts w:ascii="Times New Roman" w:eastAsia="Times New Roman"/>
        </w:rPr>
        <w:t>/</w:t>
      </w:r>
      <w:r>
        <w:rPr/>
        <w:t>次。</w:t>
      </w:r>
    </w:p>
    <w:p>
      <w:pPr>
        <w:pStyle w:val="BodyText"/>
        <w:spacing w:line="305" w:lineRule="exact"/>
        <w:ind w:left="958"/>
      </w:pPr>
      <w:r>
        <w:rPr/>
        <w:t>改扩建后生活、生产用水量见下表。</w:t>
      </w:r>
    </w:p>
    <w:p>
      <w:pPr>
        <w:pStyle w:val="Heading4"/>
        <w:tabs>
          <w:tab w:pos="1649" w:val="left" w:leader="none"/>
        </w:tabs>
        <w:spacing w:before="158" w:after="3"/>
        <w:ind w:left="489"/>
        <w:jc w:val="center"/>
      </w:pPr>
      <w:r>
        <w:rPr/>
        <w:t>表</w:t>
      </w:r>
      <w:r>
        <w:rPr>
          <w:spacing w:val="-62"/>
        </w:rPr>
        <w:t> </w:t>
      </w:r>
      <w:r>
        <w:rPr>
          <w:rFonts w:ascii="Times New Roman" w:eastAsia="Times New Roman"/>
        </w:rPr>
        <w:t>3.3-14</w:t>
        <w:tab/>
      </w:r>
      <w:r>
        <w:rPr/>
        <w:t>本工程各项用水量计算表</w:t>
      </w: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
        <w:gridCol w:w="2793"/>
        <w:gridCol w:w="2964"/>
        <w:gridCol w:w="3099"/>
      </w:tblGrid>
      <w:tr>
        <w:trPr>
          <w:trHeight w:val="653" w:hRule="atLeast"/>
        </w:trPr>
        <w:tc>
          <w:tcPr>
            <w:tcW w:w="426" w:type="dxa"/>
          </w:tcPr>
          <w:p>
            <w:pPr>
              <w:pStyle w:val="TableParagraph"/>
              <w:ind w:left="108"/>
              <w:jc w:val="left"/>
              <w:rPr>
                <w:sz w:val="21"/>
              </w:rPr>
            </w:pPr>
            <w:r>
              <w:rPr>
                <w:w w:val="99"/>
                <w:sz w:val="21"/>
              </w:rPr>
              <w:t>序</w:t>
            </w:r>
          </w:p>
          <w:p>
            <w:pPr>
              <w:pStyle w:val="TableParagraph"/>
              <w:spacing w:before="57"/>
              <w:ind w:left="108"/>
              <w:jc w:val="left"/>
              <w:rPr>
                <w:sz w:val="21"/>
              </w:rPr>
            </w:pPr>
            <w:r>
              <w:rPr>
                <w:w w:val="99"/>
                <w:sz w:val="21"/>
              </w:rPr>
              <w:t>号</w:t>
            </w:r>
          </w:p>
        </w:tc>
        <w:tc>
          <w:tcPr>
            <w:tcW w:w="2793" w:type="dxa"/>
          </w:tcPr>
          <w:p>
            <w:pPr>
              <w:pStyle w:val="TableParagraph"/>
              <w:spacing w:before="163"/>
              <w:ind w:left="430" w:right="423"/>
              <w:rPr>
                <w:sz w:val="21"/>
              </w:rPr>
            </w:pPr>
            <w:r>
              <w:rPr>
                <w:sz w:val="21"/>
              </w:rPr>
              <w:t>用水项目</w:t>
            </w:r>
          </w:p>
        </w:tc>
        <w:tc>
          <w:tcPr>
            <w:tcW w:w="2964" w:type="dxa"/>
          </w:tcPr>
          <w:p>
            <w:pPr>
              <w:pStyle w:val="TableParagraph"/>
              <w:spacing w:before="163"/>
              <w:ind w:left="58" w:right="53"/>
              <w:rPr>
                <w:sz w:val="21"/>
              </w:rPr>
            </w:pPr>
            <w:r>
              <w:rPr>
                <w:sz w:val="21"/>
              </w:rPr>
              <w:t>用水标准</w:t>
            </w:r>
          </w:p>
        </w:tc>
        <w:tc>
          <w:tcPr>
            <w:tcW w:w="3099" w:type="dxa"/>
          </w:tcPr>
          <w:p>
            <w:pPr>
              <w:pStyle w:val="TableParagraph"/>
              <w:spacing w:before="19"/>
              <w:ind w:left="81" w:right="74"/>
              <w:rPr>
                <w:sz w:val="21"/>
              </w:rPr>
            </w:pPr>
            <w:r>
              <w:rPr>
                <w:sz w:val="21"/>
              </w:rPr>
              <w:t>用水量</w:t>
            </w:r>
          </w:p>
          <w:p>
            <w:pPr>
              <w:pStyle w:val="TableParagraph"/>
              <w:spacing w:before="55"/>
              <w:ind w:left="81" w:right="70"/>
              <w:rPr>
                <w:rFonts w:ascii="Times New Roman" w:hAnsi="Times New Roman"/>
                <w:sz w:val="21"/>
              </w:rPr>
            </w:pPr>
            <w:r>
              <w:rPr>
                <w:rFonts w:ascii="Times New Roman" w:hAnsi="Times New Roman"/>
                <w:sz w:val="21"/>
              </w:rPr>
              <w:t>(m³/d)</w:t>
            </w:r>
          </w:p>
        </w:tc>
      </w:tr>
      <w:tr>
        <w:trPr>
          <w:trHeight w:val="425" w:hRule="atLeast"/>
        </w:trPr>
        <w:tc>
          <w:tcPr>
            <w:tcW w:w="426" w:type="dxa"/>
          </w:tcPr>
          <w:p>
            <w:pPr>
              <w:pStyle w:val="TableParagraph"/>
              <w:spacing w:before="49"/>
              <w:ind w:left="108"/>
              <w:jc w:val="left"/>
              <w:rPr>
                <w:sz w:val="21"/>
              </w:rPr>
            </w:pPr>
            <w:r>
              <w:rPr>
                <w:w w:val="99"/>
                <w:sz w:val="21"/>
              </w:rPr>
              <w:t>一</w:t>
            </w:r>
          </w:p>
        </w:tc>
        <w:tc>
          <w:tcPr>
            <w:tcW w:w="2793" w:type="dxa"/>
          </w:tcPr>
          <w:p>
            <w:pPr>
              <w:pStyle w:val="TableParagraph"/>
              <w:spacing w:before="49"/>
              <w:ind w:left="430" w:right="423"/>
              <w:rPr>
                <w:sz w:val="21"/>
              </w:rPr>
            </w:pPr>
            <w:r>
              <w:rPr>
                <w:sz w:val="21"/>
              </w:rPr>
              <w:t>生活用水</w:t>
            </w:r>
          </w:p>
        </w:tc>
        <w:tc>
          <w:tcPr>
            <w:tcW w:w="2964" w:type="dxa"/>
          </w:tcPr>
          <w:p>
            <w:pPr>
              <w:pStyle w:val="TableParagraph"/>
              <w:jc w:val="left"/>
              <w:rPr>
                <w:rFonts w:ascii="Times New Roman"/>
                <w:sz w:val="22"/>
              </w:rPr>
            </w:pPr>
          </w:p>
        </w:tc>
        <w:tc>
          <w:tcPr>
            <w:tcW w:w="3099" w:type="dxa"/>
          </w:tcPr>
          <w:p>
            <w:pPr>
              <w:pStyle w:val="TableParagraph"/>
              <w:jc w:val="left"/>
              <w:rPr>
                <w:rFonts w:ascii="Times New Roman"/>
                <w:sz w:val="22"/>
              </w:rPr>
            </w:pPr>
          </w:p>
        </w:tc>
      </w:tr>
      <w:tr>
        <w:trPr>
          <w:trHeight w:val="425" w:hRule="atLeast"/>
        </w:trPr>
        <w:tc>
          <w:tcPr>
            <w:tcW w:w="426" w:type="dxa"/>
          </w:tcPr>
          <w:p>
            <w:pPr>
              <w:pStyle w:val="TableParagraph"/>
              <w:spacing w:before="67"/>
              <w:ind w:left="108"/>
              <w:jc w:val="left"/>
              <w:rPr>
                <w:rFonts w:ascii="Times New Roman"/>
                <w:sz w:val="21"/>
              </w:rPr>
            </w:pPr>
            <w:r>
              <w:rPr>
                <w:rFonts w:ascii="Times New Roman"/>
                <w:w w:val="99"/>
                <w:sz w:val="21"/>
              </w:rPr>
              <w:t>1</w:t>
            </w:r>
          </w:p>
        </w:tc>
        <w:tc>
          <w:tcPr>
            <w:tcW w:w="2793" w:type="dxa"/>
          </w:tcPr>
          <w:p>
            <w:pPr>
              <w:pStyle w:val="TableParagraph"/>
              <w:spacing w:before="48"/>
              <w:ind w:left="430" w:right="423"/>
              <w:rPr>
                <w:sz w:val="21"/>
              </w:rPr>
            </w:pPr>
            <w:r>
              <w:rPr>
                <w:sz w:val="21"/>
              </w:rPr>
              <w:t>生活用水</w:t>
            </w:r>
          </w:p>
        </w:tc>
        <w:tc>
          <w:tcPr>
            <w:tcW w:w="2964" w:type="dxa"/>
          </w:tcPr>
          <w:p>
            <w:pPr>
              <w:pStyle w:val="TableParagraph"/>
              <w:spacing w:before="48"/>
              <w:ind w:left="60" w:right="50"/>
              <w:rPr>
                <w:sz w:val="21"/>
              </w:rPr>
            </w:pPr>
            <w:r>
              <w:rPr>
                <w:rFonts w:ascii="Times New Roman" w:hAnsi="Times New Roman" w:eastAsia="Times New Roman"/>
                <w:sz w:val="21"/>
              </w:rPr>
              <w:t>50L/</w:t>
            </w:r>
            <w:r>
              <w:rPr>
                <w:sz w:val="21"/>
              </w:rPr>
              <w:t>人</w:t>
            </w:r>
            <w:r>
              <w:rPr>
                <w:rFonts w:ascii="Times New Roman" w:hAnsi="Times New Roman" w:eastAsia="Times New Roman"/>
                <w:sz w:val="21"/>
              </w:rPr>
              <w:t>·</w:t>
            </w:r>
            <w:r>
              <w:rPr>
                <w:sz w:val="21"/>
              </w:rPr>
              <w:t>班；</w:t>
            </w:r>
            <w:r>
              <w:rPr>
                <w:rFonts w:ascii="Times New Roman" w:hAnsi="Times New Roman" w:eastAsia="Times New Roman"/>
                <w:sz w:val="21"/>
              </w:rPr>
              <w:t>363 </w:t>
            </w:r>
            <w:r>
              <w:rPr>
                <w:sz w:val="21"/>
              </w:rPr>
              <w:t>人</w:t>
            </w:r>
          </w:p>
        </w:tc>
        <w:tc>
          <w:tcPr>
            <w:tcW w:w="3099" w:type="dxa"/>
          </w:tcPr>
          <w:p>
            <w:pPr>
              <w:pStyle w:val="TableParagraph"/>
              <w:spacing w:before="67"/>
              <w:ind w:left="81" w:right="71"/>
              <w:rPr>
                <w:rFonts w:ascii="Times New Roman"/>
                <w:sz w:val="21"/>
              </w:rPr>
            </w:pPr>
            <w:r>
              <w:rPr>
                <w:rFonts w:ascii="Times New Roman"/>
                <w:sz w:val="21"/>
              </w:rPr>
              <w:t>18.15</w:t>
            </w:r>
          </w:p>
        </w:tc>
      </w:tr>
      <w:tr>
        <w:trPr>
          <w:trHeight w:val="425" w:hRule="atLeast"/>
        </w:trPr>
        <w:tc>
          <w:tcPr>
            <w:tcW w:w="426" w:type="dxa"/>
          </w:tcPr>
          <w:p>
            <w:pPr>
              <w:pStyle w:val="TableParagraph"/>
              <w:spacing w:before="66"/>
              <w:ind w:left="108"/>
              <w:jc w:val="left"/>
              <w:rPr>
                <w:rFonts w:ascii="Times New Roman"/>
                <w:sz w:val="21"/>
              </w:rPr>
            </w:pPr>
            <w:r>
              <w:rPr>
                <w:rFonts w:ascii="Times New Roman"/>
                <w:w w:val="99"/>
                <w:sz w:val="21"/>
              </w:rPr>
              <w:t>2</w:t>
            </w:r>
          </w:p>
        </w:tc>
        <w:tc>
          <w:tcPr>
            <w:tcW w:w="2793" w:type="dxa"/>
          </w:tcPr>
          <w:p>
            <w:pPr>
              <w:pStyle w:val="TableParagraph"/>
              <w:spacing w:before="50"/>
              <w:ind w:left="430" w:right="423"/>
              <w:rPr>
                <w:sz w:val="21"/>
              </w:rPr>
            </w:pPr>
            <w:r>
              <w:rPr>
                <w:sz w:val="21"/>
              </w:rPr>
              <w:t>食堂用水</w:t>
            </w:r>
          </w:p>
        </w:tc>
        <w:tc>
          <w:tcPr>
            <w:tcW w:w="2964" w:type="dxa"/>
          </w:tcPr>
          <w:p>
            <w:pPr>
              <w:pStyle w:val="TableParagraph"/>
              <w:spacing w:before="50"/>
              <w:ind w:left="60" w:right="50"/>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r>
              <w:rPr>
                <w:rFonts w:ascii="Times New Roman" w:hAnsi="Times New Roman" w:eastAsia="Times New Roman"/>
                <w:sz w:val="21"/>
              </w:rPr>
              <w:t>2 </w:t>
            </w:r>
            <w:r>
              <w:rPr>
                <w:sz w:val="21"/>
              </w:rPr>
              <w:t>餐</w:t>
            </w:r>
            <w:r>
              <w:rPr>
                <w:rFonts w:ascii="Times New Roman" w:hAnsi="Times New Roman" w:eastAsia="Times New Roman"/>
                <w:sz w:val="21"/>
              </w:rPr>
              <w:t>/</w:t>
            </w:r>
            <w:r>
              <w:rPr>
                <w:sz w:val="21"/>
              </w:rPr>
              <w:t>人</w:t>
            </w:r>
          </w:p>
        </w:tc>
        <w:tc>
          <w:tcPr>
            <w:tcW w:w="3099" w:type="dxa"/>
          </w:tcPr>
          <w:p>
            <w:pPr>
              <w:pStyle w:val="TableParagraph"/>
              <w:spacing w:before="66"/>
              <w:ind w:left="81" w:right="71"/>
              <w:rPr>
                <w:rFonts w:ascii="Times New Roman"/>
                <w:sz w:val="21"/>
              </w:rPr>
            </w:pPr>
            <w:r>
              <w:rPr>
                <w:rFonts w:ascii="Times New Roman"/>
                <w:sz w:val="21"/>
              </w:rPr>
              <w:t>14.52</w:t>
            </w:r>
          </w:p>
        </w:tc>
      </w:tr>
      <w:tr>
        <w:trPr>
          <w:trHeight w:val="425" w:hRule="atLeast"/>
        </w:trPr>
        <w:tc>
          <w:tcPr>
            <w:tcW w:w="426" w:type="dxa"/>
          </w:tcPr>
          <w:p>
            <w:pPr>
              <w:pStyle w:val="TableParagraph"/>
              <w:spacing w:before="66"/>
              <w:ind w:left="108"/>
              <w:jc w:val="left"/>
              <w:rPr>
                <w:rFonts w:ascii="Times New Roman"/>
                <w:sz w:val="21"/>
              </w:rPr>
            </w:pPr>
            <w:r>
              <w:rPr>
                <w:rFonts w:ascii="Times New Roman"/>
                <w:w w:val="99"/>
                <w:sz w:val="21"/>
              </w:rPr>
              <w:t>3</w:t>
            </w:r>
          </w:p>
        </w:tc>
        <w:tc>
          <w:tcPr>
            <w:tcW w:w="2793" w:type="dxa"/>
          </w:tcPr>
          <w:p>
            <w:pPr>
              <w:pStyle w:val="TableParagraph"/>
              <w:spacing w:before="49"/>
              <w:ind w:left="430" w:right="423"/>
              <w:rPr>
                <w:sz w:val="21"/>
              </w:rPr>
            </w:pPr>
            <w:r>
              <w:rPr>
                <w:sz w:val="21"/>
              </w:rPr>
              <w:t>浴室用水：淋浴用水</w:t>
            </w:r>
          </w:p>
        </w:tc>
        <w:tc>
          <w:tcPr>
            <w:tcW w:w="2964" w:type="dxa"/>
          </w:tcPr>
          <w:p>
            <w:pPr>
              <w:pStyle w:val="TableParagraph"/>
              <w:spacing w:before="49"/>
              <w:ind w:left="60" w:right="50"/>
              <w:rPr>
                <w:sz w:val="21"/>
              </w:rPr>
            </w:pPr>
            <w:r>
              <w:rPr>
                <w:rFonts w:ascii="Times New Roman" w:eastAsia="Times New Roman"/>
                <w:sz w:val="21"/>
              </w:rPr>
              <w:t>35 </w:t>
            </w:r>
            <w:r>
              <w:rPr>
                <w:sz w:val="21"/>
              </w:rPr>
              <w:t>个淋浴头；</w:t>
            </w:r>
            <w:r>
              <w:rPr>
                <w:rFonts w:ascii="Times New Roman" w:eastAsia="Times New Roman"/>
                <w:sz w:val="21"/>
              </w:rPr>
              <w:t>150L/</w:t>
            </w:r>
            <w:r>
              <w:rPr>
                <w:sz w:val="21"/>
              </w:rPr>
              <w:t>人</w:t>
            </w:r>
          </w:p>
        </w:tc>
        <w:tc>
          <w:tcPr>
            <w:tcW w:w="3099" w:type="dxa"/>
          </w:tcPr>
          <w:p>
            <w:pPr>
              <w:pStyle w:val="TableParagraph"/>
              <w:spacing w:before="66"/>
              <w:ind w:left="81" w:right="71"/>
              <w:rPr>
                <w:rFonts w:ascii="Times New Roman"/>
                <w:sz w:val="21"/>
              </w:rPr>
            </w:pPr>
            <w:r>
              <w:rPr>
                <w:rFonts w:ascii="Times New Roman"/>
                <w:sz w:val="21"/>
              </w:rPr>
              <w:t>46.65</w:t>
            </w:r>
          </w:p>
        </w:tc>
      </w:tr>
      <w:tr>
        <w:trPr>
          <w:trHeight w:val="425" w:hRule="atLeast"/>
        </w:trPr>
        <w:tc>
          <w:tcPr>
            <w:tcW w:w="426" w:type="dxa"/>
          </w:tcPr>
          <w:p>
            <w:pPr>
              <w:pStyle w:val="TableParagraph"/>
              <w:spacing w:before="65"/>
              <w:ind w:left="108"/>
              <w:jc w:val="left"/>
              <w:rPr>
                <w:rFonts w:ascii="Times New Roman"/>
                <w:sz w:val="21"/>
              </w:rPr>
            </w:pPr>
            <w:r>
              <w:rPr>
                <w:rFonts w:ascii="Times New Roman"/>
                <w:w w:val="99"/>
                <w:sz w:val="21"/>
              </w:rPr>
              <w:t>4</w:t>
            </w:r>
          </w:p>
        </w:tc>
        <w:tc>
          <w:tcPr>
            <w:tcW w:w="2793" w:type="dxa"/>
          </w:tcPr>
          <w:p>
            <w:pPr>
              <w:pStyle w:val="TableParagraph"/>
              <w:spacing w:before="49"/>
              <w:ind w:left="430" w:right="423"/>
              <w:rPr>
                <w:sz w:val="21"/>
              </w:rPr>
            </w:pPr>
            <w:r>
              <w:rPr>
                <w:sz w:val="21"/>
              </w:rPr>
              <w:t>洗衣房用水</w:t>
            </w:r>
          </w:p>
        </w:tc>
        <w:tc>
          <w:tcPr>
            <w:tcW w:w="2964" w:type="dxa"/>
          </w:tcPr>
          <w:p>
            <w:pPr>
              <w:pStyle w:val="TableParagraph"/>
              <w:spacing w:before="49"/>
              <w:ind w:left="60" w:right="52"/>
              <w:rPr>
                <w:rFonts w:ascii="Times New Roman" w:hAnsi="Times New Roman" w:eastAsia="Times New Roman"/>
                <w:sz w:val="21"/>
              </w:rPr>
            </w:pPr>
            <w:r>
              <w:rPr>
                <w:rFonts w:ascii="Times New Roman" w:hAnsi="Times New Roman" w:eastAsia="Times New Roman"/>
                <w:sz w:val="21"/>
              </w:rPr>
              <w:t>1.5kg/</w:t>
            </w:r>
            <w:r>
              <w:rPr>
                <w:sz w:val="21"/>
              </w:rPr>
              <w:t>人</w:t>
            </w:r>
            <w:r>
              <w:rPr>
                <w:rFonts w:ascii="Times New Roman" w:hAnsi="Times New Roman" w:eastAsia="Times New Roman"/>
                <w:sz w:val="21"/>
              </w:rPr>
              <w:t>·d</w:t>
            </w:r>
            <w:r>
              <w:rPr>
                <w:sz w:val="21"/>
              </w:rPr>
              <w:t>；</w:t>
            </w:r>
            <w:r>
              <w:rPr>
                <w:rFonts w:ascii="Times New Roman" w:hAnsi="Times New Roman" w:eastAsia="Times New Roman"/>
                <w:sz w:val="21"/>
              </w:rPr>
              <w:t>80L/kg</w:t>
            </w:r>
          </w:p>
        </w:tc>
        <w:tc>
          <w:tcPr>
            <w:tcW w:w="3099" w:type="dxa"/>
          </w:tcPr>
          <w:p>
            <w:pPr>
              <w:pStyle w:val="TableParagraph"/>
              <w:spacing w:before="65"/>
              <w:ind w:left="81" w:right="71"/>
              <w:rPr>
                <w:rFonts w:ascii="Times New Roman"/>
                <w:sz w:val="21"/>
              </w:rPr>
            </w:pPr>
            <w:r>
              <w:rPr>
                <w:rFonts w:ascii="Times New Roman"/>
                <w:sz w:val="21"/>
              </w:rPr>
              <w:t>34.56</w:t>
            </w:r>
          </w:p>
        </w:tc>
      </w:tr>
      <w:tr>
        <w:trPr>
          <w:trHeight w:val="425" w:hRule="atLeast"/>
        </w:trPr>
        <w:tc>
          <w:tcPr>
            <w:tcW w:w="426" w:type="dxa"/>
          </w:tcPr>
          <w:p>
            <w:pPr>
              <w:pStyle w:val="TableParagraph"/>
              <w:spacing w:before="67"/>
              <w:ind w:left="108"/>
              <w:jc w:val="left"/>
              <w:rPr>
                <w:rFonts w:ascii="Times New Roman"/>
                <w:sz w:val="21"/>
              </w:rPr>
            </w:pPr>
            <w:r>
              <w:rPr>
                <w:rFonts w:ascii="Times New Roman"/>
                <w:w w:val="99"/>
                <w:sz w:val="21"/>
              </w:rPr>
              <w:t>5</w:t>
            </w:r>
          </w:p>
        </w:tc>
        <w:tc>
          <w:tcPr>
            <w:tcW w:w="2793" w:type="dxa"/>
          </w:tcPr>
          <w:p>
            <w:pPr>
              <w:pStyle w:val="TableParagraph"/>
              <w:spacing w:before="48"/>
              <w:ind w:left="430" w:right="423"/>
              <w:rPr>
                <w:sz w:val="21"/>
              </w:rPr>
            </w:pPr>
            <w:r>
              <w:rPr>
                <w:sz w:val="21"/>
              </w:rPr>
              <w:t>锅炉房补水</w:t>
            </w:r>
          </w:p>
        </w:tc>
        <w:tc>
          <w:tcPr>
            <w:tcW w:w="2964" w:type="dxa"/>
          </w:tcPr>
          <w:p>
            <w:pPr>
              <w:pStyle w:val="TableParagraph"/>
              <w:spacing w:before="67"/>
              <w:ind w:left="8"/>
              <w:rPr>
                <w:rFonts w:ascii="Times New Roman"/>
                <w:sz w:val="21"/>
              </w:rPr>
            </w:pPr>
            <w:r>
              <w:rPr>
                <w:rFonts w:ascii="Times New Roman"/>
                <w:w w:val="99"/>
                <w:sz w:val="21"/>
              </w:rPr>
              <w:t>/</w:t>
            </w:r>
          </w:p>
        </w:tc>
        <w:tc>
          <w:tcPr>
            <w:tcW w:w="3099" w:type="dxa"/>
          </w:tcPr>
          <w:p>
            <w:pPr>
              <w:pStyle w:val="TableParagraph"/>
              <w:spacing w:before="48"/>
              <w:ind w:left="81" w:right="74"/>
              <w:rPr>
                <w:sz w:val="21"/>
              </w:rPr>
            </w:pPr>
            <w:r>
              <w:rPr>
                <w:rFonts w:ascii="Times New Roman" w:eastAsia="Times New Roman"/>
                <w:sz w:val="21"/>
              </w:rPr>
              <w:t>1.0</w:t>
            </w:r>
            <w:r>
              <w:rPr>
                <w:sz w:val="21"/>
              </w:rPr>
              <w:t>（夏季）</w:t>
            </w:r>
            <w:r>
              <w:rPr>
                <w:rFonts w:ascii="Times New Roman" w:eastAsia="Times New Roman"/>
                <w:sz w:val="21"/>
              </w:rPr>
              <w:t>/2.0</w:t>
            </w:r>
            <w:r>
              <w:rPr>
                <w:sz w:val="21"/>
              </w:rPr>
              <w:t>（冬季）</w:t>
            </w:r>
          </w:p>
        </w:tc>
      </w:tr>
      <w:tr>
        <w:trPr>
          <w:trHeight w:val="425" w:hRule="atLeast"/>
        </w:trPr>
        <w:tc>
          <w:tcPr>
            <w:tcW w:w="426" w:type="dxa"/>
          </w:tcPr>
          <w:p>
            <w:pPr>
              <w:pStyle w:val="TableParagraph"/>
              <w:jc w:val="left"/>
              <w:rPr>
                <w:rFonts w:ascii="Times New Roman"/>
                <w:sz w:val="22"/>
              </w:rPr>
            </w:pPr>
          </w:p>
        </w:tc>
        <w:tc>
          <w:tcPr>
            <w:tcW w:w="2793" w:type="dxa"/>
          </w:tcPr>
          <w:p>
            <w:pPr>
              <w:pStyle w:val="TableParagraph"/>
              <w:spacing w:before="50"/>
              <w:ind w:left="427" w:right="423"/>
              <w:rPr>
                <w:sz w:val="21"/>
              </w:rPr>
            </w:pPr>
            <w:r>
              <w:rPr>
                <w:sz w:val="21"/>
              </w:rPr>
              <w:t>小计</w:t>
            </w:r>
          </w:p>
        </w:tc>
        <w:tc>
          <w:tcPr>
            <w:tcW w:w="2964" w:type="dxa"/>
          </w:tcPr>
          <w:p>
            <w:pPr>
              <w:pStyle w:val="TableParagraph"/>
              <w:jc w:val="left"/>
              <w:rPr>
                <w:rFonts w:ascii="Times New Roman"/>
                <w:sz w:val="22"/>
              </w:rPr>
            </w:pPr>
          </w:p>
        </w:tc>
        <w:tc>
          <w:tcPr>
            <w:tcW w:w="3099" w:type="dxa"/>
          </w:tcPr>
          <w:p>
            <w:pPr>
              <w:pStyle w:val="TableParagraph"/>
              <w:spacing w:before="50"/>
              <w:ind w:left="81" w:right="74"/>
              <w:rPr>
                <w:sz w:val="21"/>
              </w:rPr>
            </w:pPr>
            <w:r>
              <w:rPr>
                <w:rFonts w:ascii="Times New Roman" w:eastAsia="Times New Roman"/>
                <w:sz w:val="21"/>
              </w:rPr>
              <w:t>114.88</w:t>
            </w:r>
            <w:r>
              <w:rPr>
                <w:sz w:val="21"/>
              </w:rPr>
              <w:t>（夏季）</w:t>
            </w:r>
            <w:r>
              <w:rPr>
                <w:rFonts w:ascii="Times New Roman" w:eastAsia="Times New Roman"/>
                <w:sz w:val="21"/>
              </w:rPr>
              <w:t>/115.88</w:t>
            </w:r>
            <w:r>
              <w:rPr>
                <w:sz w:val="21"/>
              </w:rPr>
              <w:t>（冬季）</w:t>
            </w:r>
          </w:p>
        </w:tc>
      </w:tr>
      <w:tr>
        <w:trPr>
          <w:trHeight w:val="425" w:hRule="atLeast"/>
        </w:trPr>
        <w:tc>
          <w:tcPr>
            <w:tcW w:w="426" w:type="dxa"/>
          </w:tcPr>
          <w:p>
            <w:pPr>
              <w:pStyle w:val="TableParagraph"/>
              <w:spacing w:before="49"/>
              <w:ind w:left="108"/>
              <w:jc w:val="left"/>
              <w:rPr>
                <w:sz w:val="21"/>
              </w:rPr>
            </w:pPr>
            <w:r>
              <w:rPr>
                <w:w w:val="99"/>
                <w:sz w:val="21"/>
              </w:rPr>
              <w:t>二</w:t>
            </w:r>
          </w:p>
        </w:tc>
        <w:tc>
          <w:tcPr>
            <w:tcW w:w="2793" w:type="dxa"/>
          </w:tcPr>
          <w:p>
            <w:pPr>
              <w:pStyle w:val="TableParagraph"/>
              <w:spacing w:before="49"/>
              <w:ind w:left="430" w:right="423"/>
              <w:rPr>
                <w:sz w:val="21"/>
              </w:rPr>
            </w:pPr>
            <w:r>
              <w:rPr>
                <w:sz w:val="21"/>
              </w:rPr>
              <w:t>生产用水</w:t>
            </w:r>
          </w:p>
        </w:tc>
        <w:tc>
          <w:tcPr>
            <w:tcW w:w="2964" w:type="dxa"/>
          </w:tcPr>
          <w:p>
            <w:pPr>
              <w:pStyle w:val="TableParagraph"/>
              <w:jc w:val="left"/>
              <w:rPr>
                <w:rFonts w:ascii="Times New Roman"/>
                <w:sz w:val="22"/>
              </w:rPr>
            </w:pPr>
          </w:p>
        </w:tc>
        <w:tc>
          <w:tcPr>
            <w:tcW w:w="3099" w:type="dxa"/>
          </w:tcPr>
          <w:p>
            <w:pPr>
              <w:pStyle w:val="TableParagraph"/>
              <w:jc w:val="left"/>
              <w:rPr>
                <w:rFonts w:ascii="Times New Roman"/>
                <w:sz w:val="22"/>
              </w:rPr>
            </w:pPr>
          </w:p>
        </w:tc>
      </w:tr>
      <w:tr>
        <w:trPr>
          <w:trHeight w:val="425" w:hRule="atLeast"/>
        </w:trPr>
        <w:tc>
          <w:tcPr>
            <w:tcW w:w="426" w:type="dxa"/>
          </w:tcPr>
          <w:p>
            <w:pPr>
              <w:pStyle w:val="TableParagraph"/>
              <w:spacing w:before="65"/>
              <w:ind w:left="158"/>
              <w:jc w:val="left"/>
              <w:rPr>
                <w:rFonts w:ascii="Times New Roman"/>
                <w:sz w:val="21"/>
              </w:rPr>
            </w:pPr>
            <w:r>
              <w:rPr>
                <w:rFonts w:ascii="Times New Roman"/>
                <w:w w:val="99"/>
                <w:sz w:val="21"/>
              </w:rPr>
              <w:t>1</w:t>
            </w:r>
          </w:p>
        </w:tc>
        <w:tc>
          <w:tcPr>
            <w:tcW w:w="2793" w:type="dxa"/>
          </w:tcPr>
          <w:p>
            <w:pPr>
              <w:pStyle w:val="TableParagraph"/>
              <w:spacing w:before="49"/>
              <w:ind w:left="427" w:right="423"/>
              <w:rPr>
                <w:sz w:val="21"/>
              </w:rPr>
            </w:pPr>
            <w:r>
              <w:rPr>
                <w:sz w:val="21"/>
              </w:rPr>
              <w:t>井下生产用水</w:t>
            </w:r>
          </w:p>
        </w:tc>
        <w:tc>
          <w:tcPr>
            <w:tcW w:w="2964" w:type="dxa"/>
          </w:tcPr>
          <w:p>
            <w:pPr>
              <w:pStyle w:val="TableParagraph"/>
              <w:jc w:val="left"/>
              <w:rPr>
                <w:rFonts w:ascii="Times New Roman"/>
                <w:sz w:val="22"/>
              </w:rPr>
            </w:pPr>
          </w:p>
        </w:tc>
        <w:tc>
          <w:tcPr>
            <w:tcW w:w="3099" w:type="dxa"/>
          </w:tcPr>
          <w:p>
            <w:pPr>
              <w:pStyle w:val="TableParagraph"/>
              <w:spacing w:before="65"/>
              <w:ind w:left="81" w:right="71"/>
              <w:rPr>
                <w:rFonts w:ascii="Times New Roman"/>
                <w:sz w:val="21"/>
              </w:rPr>
            </w:pPr>
            <w:r>
              <w:rPr>
                <w:rFonts w:ascii="Times New Roman"/>
                <w:sz w:val="21"/>
              </w:rPr>
              <w:t>353.7</w:t>
            </w:r>
          </w:p>
        </w:tc>
      </w:tr>
      <w:tr>
        <w:trPr>
          <w:trHeight w:val="425" w:hRule="atLeast"/>
        </w:trPr>
        <w:tc>
          <w:tcPr>
            <w:tcW w:w="426" w:type="dxa"/>
          </w:tcPr>
          <w:p>
            <w:pPr>
              <w:pStyle w:val="TableParagraph"/>
              <w:spacing w:before="67"/>
              <w:ind w:left="158"/>
              <w:jc w:val="left"/>
              <w:rPr>
                <w:rFonts w:ascii="Times New Roman"/>
                <w:sz w:val="21"/>
              </w:rPr>
            </w:pPr>
            <w:r>
              <w:rPr>
                <w:rFonts w:ascii="Times New Roman"/>
                <w:w w:val="99"/>
                <w:sz w:val="21"/>
              </w:rPr>
              <w:t>2</w:t>
            </w:r>
          </w:p>
        </w:tc>
        <w:tc>
          <w:tcPr>
            <w:tcW w:w="2793" w:type="dxa"/>
          </w:tcPr>
          <w:p>
            <w:pPr>
              <w:pStyle w:val="TableParagraph"/>
              <w:spacing w:before="48"/>
              <w:ind w:left="430" w:right="423"/>
              <w:rPr>
                <w:sz w:val="21"/>
              </w:rPr>
            </w:pPr>
            <w:r>
              <w:rPr>
                <w:sz w:val="21"/>
              </w:rPr>
              <w:t>道路洒水</w:t>
            </w:r>
          </w:p>
        </w:tc>
        <w:tc>
          <w:tcPr>
            <w:tcW w:w="2964" w:type="dxa"/>
          </w:tcPr>
          <w:p>
            <w:pPr>
              <w:pStyle w:val="TableParagraph"/>
              <w:spacing w:before="67"/>
              <w:ind w:left="60" w:right="49"/>
              <w:rPr>
                <w:rFonts w:ascii="Times New Roman"/>
                <w:sz w:val="13"/>
              </w:rPr>
            </w:pPr>
            <w:r>
              <w:rPr>
                <w:rFonts w:ascii="Times New Roman"/>
                <w:sz w:val="21"/>
              </w:rPr>
              <w:t>2L/m</w:t>
            </w:r>
            <w:r>
              <w:rPr>
                <w:rFonts w:ascii="Times New Roman"/>
                <w:position w:val="7"/>
                <w:sz w:val="13"/>
              </w:rPr>
              <w:t>2</w:t>
            </w:r>
          </w:p>
        </w:tc>
        <w:tc>
          <w:tcPr>
            <w:tcW w:w="3099" w:type="dxa"/>
          </w:tcPr>
          <w:p>
            <w:pPr>
              <w:pStyle w:val="TableParagraph"/>
              <w:spacing w:before="67"/>
              <w:ind w:left="81" w:right="71"/>
              <w:rPr>
                <w:rFonts w:ascii="Times New Roman"/>
                <w:sz w:val="21"/>
              </w:rPr>
            </w:pPr>
            <w:r>
              <w:rPr>
                <w:rFonts w:ascii="Times New Roman"/>
                <w:sz w:val="21"/>
              </w:rPr>
              <w:t>3.8</w:t>
            </w:r>
          </w:p>
        </w:tc>
      </w:tr>
      <w:tr>
        <w:trPr>
          <w:trHeight w:val="425" w:hRule="atLeast"/>
        </w:trPr>
        <w:tc>
          <w:tcPr>
            <w:tcW w:w="426" w:type="dxa"/>
          </w:tcPr>
          <w:p>
            <w:pPr>
              <w:pStyle w:val="TableParagraph"/>
              <w:spacing w:before="66"/>
              <w:ind w:left="158"/>
              <w:jc w:val="left"/>
              <w:rPr>
                <w:rFonts w:ascii="Times New Roman"/>
                <w:sz w:val="21"/>
              </w:rPr>
            </w:pPr>
            <w:r>
              <w:rPr>
                <w:rFonts w:ascii="Times New Roman"/>
                <w:w w:val="99"/>
                <w:sz w:val="21"/>
              </w:rPr>
              <w:t>3</w:t>
            </w:r>
          </w:p>
        </w:tc>
        <w:tc>
          <w:tcPr>
            <w:tcW w:w="2793" w:type="dxa"/>
          </w:tcPr>
          <w:p>
            <w:pPr>
              <w:pStyle w:val="TableParagraph"/>
              <w:spacing w:before="50"/>
              <w:ind w:left="430" w:right="421"/>
              <w:rPr>
                <w:sz w:val="21"/>
              </w:rPr>
            </w:pPr>
            <w:r>
              <w:rPr>
                <w:sz w:val="21"/>
              </w:rPr>
              <w:t>排矸场抑尘用水</w:t>
            </w:r>
          </w:p>
        </w:tc>
        <w:tc>
          <w:tcPr>
            <w:tcW w:w="2964" w:type="dxa"/>
          </w:tcPr>
          <w:p>
            <w:pPr>
              <w:pStyle w:val="TableParagraph"/>
              <w:jc w:val="left"/>
              <w:rPr>
                <w:rFonts w:ascii="Times New Roman"/>
                <w:sz w:val="22"/>
              </w:rPr>
            </w:pPr>
          </w:p>
        </w:tc>
        <w:tc>
          <w:tcPr>
            <w:tcW w:w="3099" w:type="dxa"/>
          </w:tcPr>
          <w:p>
            <w:pPr>
              <w:pStyle w:val="TableParagraph"/>
              <w:spacing w:before="66"/>
              <w:ind w:left="81" w:right="73"/>
              <w:rPr>
                <w:rFonts w:ascii="Times New Roman"/>
                <w:sz w:val="21"/>
              </w:rPr>
            </w:pPr>
            <w:r>
              <w:rPr>
                <w:rFonts w:ascii="Times New Roman"/>
                <w:sz w:val="21"/>
              </w:rPr>
              <w:t>2.6</w:t>
            </w:r>
          </w:p>
        </w:tc>
      </w:tr>
      <w:tr>
        <w:trPr>
          <w:trHeight w:val="425" w:hRule="atLeast"/>
        </w:trPr>
        <w:tc>
          <w:tcPr>
            <w:tcW w:w="426" w:type="dxa"/>
          </w:tcPr>
          <w:p>
            <w:pPr>
              <w:pStyle w:val="TableParagraph"/>
              <w:spacing w:before="66"/>
              <w:ind w:left="158"/>
              <w:jc w:val="left"/>
              <w:rPr>
                <w:rFonts w:ascii="Times New Roman"/>
                <w:sz w:val="21"/>
              </w:rPr>
            </w:pPr>
            <w:r>
              <w:rPr>
                <w:rFonts w:ascii="Times New Roman"/>
                <w:w w:val="99"/>
                <w:sz w:val="21"/>
              </w:rPr>
              <w:t>4</w:t>
            </w:r>
          </w:p>
        </w:tc>
        <w:tc>
          <w:tcPr>
            <w:tcW w:w="2793" w:type="dxa"/>
          </w:tcPr>
          <w:p>
            <w:pPr>
              <w:pStyle w:val="TableParagraph"/>
              <w:spacing w:before="49"/>
              <w:ind w:left="430" w:right="423"/>
              <w:rPr>
                <w:sz w:val="21"/>
              </w:rPr>
            </w:pPr>
            <w:r>
              <w:rPr>
                <w:sz w:val="21"/>
              </w:rPr>
              <w:t>绿化用水</w:t>
            </w:r>
          </w:p>
        </w:tc>
        <w:tc>
          <w:tcPr>
            <w:tcW w:w="2964" w:type="dxa"/>
          </w:tcPr>
          <w:p>
            <w:pPr>
              <w:pStyle w:val="TableParagraph"/>
              <w:spacing w:before="66"/>
              <w:ind w:left="60" w:right="49"/>
              <w:rPr>
                <w:rFonts w:ascii="Times New Roman"/>
                <w:sz w:val="13"/>
              </w:rPr>
            </w:pPr>
            <w:r>
              <w:rPr>
                <w:rFonts w:ascii="Times New Roman"/>
                <w:sz w:val="21"/>
              </w:rPr>
              <w:t>1L/m</w:t>
            </w:r>
            <w:r>
              <w:rPr>
                <w:rFonts w:ascii="Times New Roman"/>
                <w:position w:val="7"/>
                <w:sz w:val="13"/>
              </w:rPr>
              <w:t>2</w:t>
            </w:r>
          </w:p>
        </w:tc>
        <w:tc>
          <w:tcPr>
            <w:tcW w:w="3099" w:type="dxa"/>
          </w:tcPr>
          <w:p>
            <w:pPr>
              <w:pStyle w:val="TableParagraph"/>
              <w:spacing w:before="49"/>
              <w:ind w:left="81" w:right="74"/>
              <w:rPr>
                <w:sz w:val="21"/>
              </w:rPr>
            </w:pPr>
            <w:r>
              <w:rPr>
                <w:rFonts w:ascii="Times New Roman" w:eastAsia="Times New Roman"/>
                <w:sz w:val="21"/>
              </w:rPr>
              <w:t>4.68</w:t>
            </w:r>
            <w:r>
              <w:rPr>
                <w:sz w:val="21"/>
              </w:rPr>
              <w:t>（夏季）</w:t>
            </w:r>
          </w:p>
        </w:tc>
      </w:tr>
      <w:tr>
        <w:trPr>
          <w:trHeight w:val="425" w:hRule="atLeast"/>
        </w:trPr>
        <w:tc>
          <w:tcPr>
            <w:tcW w:w="426" w:type="dxa"/>
          </w:tcPr>
          <w:p>
            <w:pPr>
              <w:pStyle w:val="TableParagraph"/>
              <w:jc w:val="left"/>
              <w:rPr>
                <w:rFonts w:ascii="Times New Roman"/>
                <w:sz w:val="22"/>
              </w:rPr>
            </w:pPr>
          </w:p>
        </w:tc>
        <w:tc>
          <w:tcPr>
            <w:tcW w:w="2793" w:type="dxa"/>
          </w:tcPr>
          <w:p>
            <w:pPr>
              <w:pStyle w:val="TableParagraph"/>
              <w:spacing w:before="49"/>
              <w:ind w:left="427" w:right="423"/>
              <w:rPr>
                <w:sz w:val="21"/>
              </w:rPr>
            </w:pPr>
            <w:r>
              <w:rPr>
                <w:sz w:val="21"/>
              </w:rPr>
              <w:t>小计</w:t>
            </w:r>
          </w:p>
        </w:tc>
        <w:tc>
          <w:tcPr>
            <w:tcW w:w="2964" w:type="dxa"/>
          </w:tcPr>
          <w:p>
            <w:pPr>
              <w:pStyle w:val="TableParagraph"/>
              <w:jc w:val="left"/>
              <w:rPr>
                <w:rFonts w:ascii="Times New Roman"/>
                <w:sz w:val="22"/>
              </w:rPr>
            </w:pPr>
          </w:p>
        </w:tc>
        <w:tc>
          <w:tcPr>
            <w:tcW w:w="3099" w:type="dxa"/>
          </w:tcPr>
          <w:p>
            <w:pPr>
              <w:pStyle w:val="TableParagraph"/>
              <w:spacing w:before="49"/>
              <w:ind w:left="81" w:right="72"/>
              <w:rPr>
                <w:sz w:val="21"/>
              </w:rPr>
            </w:pPr>
            <w:r>
              <w:rPr>
                <w:rFonts w:ascii="Times New Roman" w:eastAsia="Times New Roman"/>
                <w:sz w:val="21"/>
              </w:rPr>
              <w:t>364.78</w:t>
            </w:r>
            <w:r>
              <w:rPr>
                <w:sz w:val="21"/>
              </w:rPr>
              <w:t>（夏季）</w:t>
            </w:r>
            <w:r>
              <w:rPr>
                <w:rFonts w:ascii="Times New Roman" w:eastAsia="Times New Roman"/>
                <w:sz w:val="21"/>
              </w:rPr>
              <w:t>/360.1</w:t>
            </w:r>
            <w:r>
              <w:rPr>
                <w:sz w:val="21"/>
              </w:rPr>
              <w:t>（冬季）</w:t>
            </w:r>
          </w:p>
        </w:tc>
      </w:tr>
      <w:tr>
        <w:trPr>
          <w:trHeight w:val="422" w:hRule="atLeast"/>
        </w:trPr>
        <w:tc>
          <w:tcPr>
            <w:tcW w:w="426" w:type="dxa"/>
          </w:tcPr>
          <w:p>
            <w:pPr>
              <w:pStyle w:val="TableParagraph"/>
              <w:jc w:val="left"/>
              <w:rPr>
                <w:rFonts w:ascii="Times New Roman"/>
                <w:sz w:val="22"/>
              </w:rPr>
            </w:pPr>
          </w:p>
        </w:tc>
        <w:tc>
          <w:tcPr>
            <w:tcW w:w="2793" w:type="dxa"/>
          </w:tcPr>
          <w:p>
            <w:pPr>
              <w:pStyle w:val="TableParagraph"/>
              <w:spacing w:before="48"/>
              <w:ind w:left="430" w:right="423"/>
              <w:rPr>
                <w:sz w:val="21"/>
              </w:rPr>
            </w:pPr>
            <w:r>
              <w:rPr>
                <w:sz w:val="21"/>
              </w:rPr>
              <w:t>未预见用水</w:t>
            </w:r>
          </w:p>
        </w:tc>
        <w:tc>
          <w:tcPr>
            <w:tcW w:w="2964" w:type="dxa"/>
          </w:tcPr>
          <w:p>
            <w:pPr>
              <w:pStyle w:val="TableParagraph"/>
              <w:spacing w:before="48"/>
              <w:ind w:left="60" w:right="53"/>
              <w:rPr>
                <w:sz w:val="21"/>
              </w:rPr>
            </w:pPr>
            <w:r>
              <w:rPr>
                <w:sz w:val="21"/>
              </w:rPr>
              <w:t>按以上各项用水之合的 </w:t>
            </w:r>
            <w:r>
              <w:rPr>
                <w:rFonts w:ascii="Times New Roman" w:eastAsia="Times New Roman"/>
                <w:sz w:val="21"/>
              </w:rPr>
              <w:t>10%</w:t>
            </w:r>
            <w:r>
              <w:rPr>
                <w:sz w:val="21"/>
              </w:rPr>
              <w:t>计</w:t>
            </w:r>
          </w:p>
        </w:tc>
        <w:tc>
          <w:tcPr>
            <w:tcW w:w="3099" w:type="dxa"/>
          </w:tcPr>
          <w:p>
            <w:pPr>
              <w:pStyle w:val="TableParagraph"/>
              <w:spacing w:before="67"/>
              <w:ind w:left="81" w:right="73"/>
              <w:rPr>
                <w:rFonts w:ascii="Times New Roman"/>
                <w:sz w:val="21"/>
              </w:rPr>
            </w:pPr>
            <w:r>
              <w:rPr>
                <w:rFonts w:ascii="Times New Roman"/>
                <w:sz w:val="21"/>
              </w:rPr>
              <w:t>48</w:t>
            </w:r>
          </w:p>
        </w:tc>
      </w:tr>
    </w:tbl>
    <w:p>
      <w:pPr>
        <w:spacing w:after="0"/>
        <w:rPr>
          <w:rFonts w:ascii="Times New Roman"/>
          <w:sz w:val="21"/>
        </w:rPr>
        <w:sectPr>
          <w:pgSz w:w="11910" w:h="16840"/>
          <w:pgMar w:header="0" w:footer="993" w:top="1340" w:bottom="1180" w:left="940" w:right="9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
        <w:gridCol w:w="2793"/>
        <w:gridCol w:w="2964"/>
        <w:gridCol w:w="3099"/>
      </w:tblGrid>
      <w:tr>
        <w:trPr>
          <w:trHeight w:val="425" w:hRule="atLeast"/>
        </w:trPr>
        <w:tc>
          <w:tcPr>
            <w:tcW w:w="426" w:type="dxa"/>
          </w:tcPr>
          <w:p>
            <w:pPr>
              <w:pStyle w:val="TableParagraph"/>
              <w:jc w:val="left"/>
              <w:rPr>
                <w:rFonts w:ascii="Times New Roman"/>
                <w:sz w:val="22"/>
              </w:rPr>
            </w:pPr>
          </w:p>
        </w:tc>
        <w:tc>
          <w:tcPr>
            <w:tcW w:w="2793" w:type="dxa"/>
          </w:tcPr>
          <w:p>
            <w:pPr>
              <w:pStyle w:val="TableParagraph"/>
              <w:spacing w:before="50"/>
              <w:ind w:left="427" w:right="423"/>
              <w:rPr>
                <w:sz w:val="21"/>
              </w:rPr>
            </w:pPr>
            <w:r>
              <w:rPr>
                <w:sz w:val="21"/>
              </w:rPr>
              <w:t>总计</w:t>
            </w:r>
          </w:p>
        </w:tc>
        <w:tc>
          <w:tcPr>
            <w:tcW w:w="2964" w:type="dxa"/>
          </w:tcPr>
          <w:p>
            <w:pPr>
              <w:pStyle w:val="TableParagraph"/>
              <w:jc w:val="left"/>
              <w:rPr>
                <w:rFonts w:ascii="Times New Roman"/>
                <w:sz w:val="22"/>
              </w:rPr>
            </w:pPr>
          </w:p>
        </w:tc>
        <w:tc>
          <w:tcPr>
            <w:tcW w:w="3099" w:type="dxa"/>
          </w:tcPr>
          <w:p>
            <w:pPr>
              <w:pStyle w:val="TableParagraph"/>
              <w:spacing w:before="50"/>
              <w:ind w:left="107"/>
              <w:jc w:val="left"/>
              <w:rPr>
                <w:sz w:val="21"/>
              </w:rPr>
            </w:pPr>
            <w:r>
              <w:rPr>
                <w:rFonts w:ascii="Times New Roman" w:eastAsia="Times New Roman"/>
                <w:sz w:val="21"/>
              </w:rPr>
              <w:t>527.66</w:t>
            </w:r>
            <w:r>
              <w:rPr>
                <w:sz w:val="21"/>
              </w:rPr>
              <w:t>（夏季）</w:t>
            </w:r>
            <w:r>
              <w:rPr>
                <w:rFonts w:ascii="Times New Roman" w:eastAsia="Times New Roman"/>
                <w:sz w:val="21"/>
              </w:rPr>
              <w:t>/523.98</w:t>
            </w:r>
            <w:r>
              <w:rPr>
                <w:sz w:val="21"/>
              </w:rPr>
              <w:t>（冬季）</w:t>
            </w:r>
          </w:p>
        </w:tc>
      </w:tr>
    </w:tbl>
    <w:p>
      <w:pPr>
        <w:pStyle w:val="BodyText"/>
        <w:spacing w:before="7"/>
        <w:rPr>
          <w:b/>
          <w:sz w:val="22"/>
        </w:rPr>
      </w:pPr>
    </w:p>
    <w:p>
      <w:pPr>
        <w:pStyle w:val="BodyText"/>
        <w:spacing w:before="74"/>
        <w:ind w:left="960"/>
      </w:pPr>
      <w:r>
        <w:rPr>
          <w:rFonts w:ascii="Times New Roman" w:eastAsia="Times New Roman"/>
        </w:rPr>
        <w:t>2</w:t>
      </w:r>
      <w:r>
        <w:rPr/>
        <w:t>、给水系统</w:t>
      </w:r>
    </w:p>
    <w:p>
      <w:pPr>
        <w:pStyle w:val="ListParagraph"/>
        <w:numPr>
          <w:ilvl w:val="4"/>
          <w:numId w:val="27"/>
        </w:numPr>
        <w:tabs>
          <w:tab w:pos="1562" w:val="left" w:leader="none"/>
        </w:tabs>
        <w:spacing w:line="240" w:lineRule="auto" w:before="161" w:after="0"/>
        <w:ind w:left="1561" w:right="0" w:hanging="602"/>
        <w:jc w:val="left"/>
        <w:rPr>
          <w:sz w:val="24"/>
        </w:rPr>
      </w:pPr>
      <w:r>
        <w:rPr>
          <w:sz w:val="24"/>
        </w:rPr>
        <w:t>水源选择</w:t>
      </w:r>
    </w:p>
    <w:p>
      <w:pPr>
        <w:pStyle w:val="BodyText"/>
        <w:spacing w:line="364" w:lineRule="auto" w:before="158"/>
        <w:ind w:left="478" w:right="414" w:firstLine="480"/>
      </w:pPr>
      <w:r>
        <w:rPr/>
        <w:t>本矿井生活用水为水源井以及部分处理后回用的矿井涌水，生产用水为处理后回用的矿井涌水。</w:t>
      </w:r>
    </w:p>
    <w:p>
      <w:pPr>
        <w:pStyle w:val="ListParagraph"/>
        <w:numPr>
          <w:ilvl w:val="4"/>
          <w:numId w:val="27"/>
        </w:numPr>
        <w:tabs>
          <w:tab w:pos="1560" w:val="left" w:leader="none"/>
        </w:tabs>
        <w:spacing w:line="306" w:lineRule="exact" w:before="0" w:after="0"/>
        <w:ind w:left="1559" w:right="0" w:hanging="602"/>
        <w:jc w:val="left"/>
        <w:rPr>
          <w:sz w:val="24"/>
        </w:rPr>
      </w:pPr>
      <w:r>
        <w:rPr>
          <w:sz w:val="24"/>
        </w:rPr>
        <w:t>给水系统</w:t>
      </w:r>
    </w:p>
    <w:p>
      <w:pPr>
        <w:pStyle w:val="BodyText"/>
        <w:spacing w:before="160"/>
        <w:ind w:left="958"/>
      </w:pPr>
      <w:r>
        <w:rPr/>
        <w:t>①生活给水系统</w:t>
      </w:r>
    </w:p>
    <w:p>
      <w:pPr>
        <w:pStyle w:val="BodyText"/>
        <w:spacing w:before="158"/>
        <w:ind w:left="958"/>
      </w:pPr>
      <w:r>
        <w:rPr/>
        <w:t>工业场地内生活给水设独立的供水系统。外部水源将输送至工业场地内生活水池</w:t>
      </w:r>
    </w:p>
    <w:p>
      <w:pPr>
        <w:pStyle w:val="BodyText"/>
        <w:spacing w:line="364" w:lineRule="auto" w:before="161"/>
        <w:ind w:left="478" w:right="473"/>
        <w:jc w:val="both"/>
      </w:pPr>
      <w:r>
        <w:rPr/>
        <w:t>（</w:t>
      </w:r>
      <w:r>
        <w:rPr>
          <w:spacing w:val="-19"/>
        </w:rPr>
        <w:t>容积 </w:t>
      </w:r>
      <w:r>
        <w:rPr>
          <w:rFonts w:ascii="Times New Roman" w:eastAsia="Times New Roman"/>
          <w:spacing w:val="-5"/>
        </w:rPr>
        <w:t>V=600m</w:t>
      </w:r>
      <w:r>
        <w:rPr>
          <w:rFonts w:ascii="Times New Roman" w:eastAsia="Times New Roman"/>
          <w:spacing w:val="-5"/>
          <w:position w:val="8"/>
          <w:sz w:val="15"/>
        </w:rPr>
        <w:t>3</w:t>
      </w:r>
      <w:r>
        <w:rPr>
          <w:spacing w:val="-5"/>
        </w:rPr>
        <w:t>），</w:t>
      </w:r>
      <w:r>
        <w:rPr>
          <w:spacing w:val="-4"/>
        </w:rPr>
        <w:t>日用消防水泵房内设生活水泵一组，采用变频控制，并在泵房内设</w:t>
      </w:r>
      <w:r>
        <w:rPr>
          <w:spacing w:val="-7"/>
        </w:rPr>
        <w:t>气压罐一组，给水系统水压和水量由变频水泵和气压罐联合供给。变频水泵选择大小流</w:t>
      </w:r>
      <w:r>
        <w:rPr/>
        <w:t>量搭配，根据系统用水量自动启停水泵。</w:t>
      </w:r>
    </w:p>
    <w:p>
      <w:pPr>
        <w:pStyle w:val="BodyText"/>
        <w:spacing w:line="304" w:lineRule="exact"/>
        <w:ind w:left="958"/>
      </w:pPr>
      <w:r>
        <w:rPr/>
        <w:t>②生产消防合用给水系统</w:t>
      </w:r>
    </w:p>
    <w:p>
      <w:pPr>
        <w:pStyle w:val="BodyText"/>
        <w:spacing w:line="362" w:lineRule="auto" w:before="160"/>
        <w:ind w:left="478" w:right="414" w:firstLine="480"/>
      </w:pPr>
      <w:r>
        <w:rPr/>
        <w:t>工业场地内生产和消防合用给水系统，其用水水源采用净化处理后的井下排水，不足部分由外部水源补充。</w:t>
      </w:r>
    </w:p>
    <w:p>
      <w:pPr>
        <w:pStyle w:val="BodyText"/>
        <w:spacing w:line="362" w:lineRule="auto" w:before="5"/>
        <w:ind w:left="478" w:right="414" w:firstLine="480"/>
      </w:pPr>
      <w:r>
        <w:rPr/>
        <w:t>在日用消防水泵房内设生产水泵和消防水泵各一组，在原煤仓顶层设水箱间，内设生产、消防合用高位水箱一座，生产、消防用水由水泵、水箱联合供给。</w:t>
      </w:r>
    </w:p>
    <w:p>
      <w:pPr>
        <w:pStyle w:val="BodyText"/>
        <w:spacing w:before="5"/>
        <w:ind w:left="958"/>
      </w:pPr>
      <w:r>
        <w:rPr/>
        <w:t>室外生产和消防用水合用给水管网，并尽量与供热管道同沟敷设。</w:t>
      </w:r>
    </w:p>
    <w:p>
      <w:pPr>
        <w:pStyle w:val="BodyText"/>
        <w:spacing w:before="161"/>
        <w:ind w:left="958"/>
      </w:pPr>
      <w:r>
        <w:rPr>
          <w:rFonts w:ascii="Times New Roman" w:eastAsia="Times New Roman"/>
        </w:rPr>
        <w:t>3</w:t>
      </w:r>
      <w:r>
        <w:rPr/>
        <w:t>、排水系统</w:t>
      </w:r>
    </w:p>
    <w:p>
      <w:pPr>
        <w:pStyle w:val="BodyText"/>
        <w:spacing w:line="364" w:lineRule="auto" w:before="158"/>
        <w:ind w:left="478" w:right="357" w:firstLine="480"/>
      </w:pPr>
      <w:r>
        <w:rPr>
          <w:spacing w:val="-7"/>
        </w:rPr>
        <w:t>矿井正常涌水量为 </w:t>
      </w:r>
      <w:r>
        <w:rPr>
          <w:rFonts w:ascii="Times New Roman" w:hAnsi="Times New Roman" w:eastAsia="Times New Roman"/>
          <w:spacing w:val="-6"/>
        </w:rPr>
        <w:t>20m³/h</w:t>
      </w:r>
      <w:r>
        <w:rPr>
          <w:spacing w:val="-9"/>
        </w:rPr>
        <w:t>，最大涌水量为 </w:t>
      </w:r>
      <w:r>
        <w:rPr>
          <w:rFonts w:ascii="Times New Roman" w:hAnsi="Times New Roman" w:eastAsia="Times New Roman"/>
          <w:spacing w:val="-6"/>
        </w:rPr>
        <w:t>50m³/h</w:t>
      </w:r>
      <w:r>
        <w:rPr>
          <w:spacing w:val="-8"/>
        </w:rPr>
        <w:t>，工业场地设处理能力 </w:t>
      </w:r>
      <w:r>
        <w:rPr>
          <w:rFonts w:ascii="Times New Roman" w:hAnsi="Times New Roman" w:eastAsia="Times New Roman"/>
        </w:rPr>
        <w:t>720m</w:t>
      </w:r>
      <w:r>
        <w:rPr>
          <w:rFonts w:ascii="Times New Roman" w:hAnsi="Times New Roman" w:eastAsia="Times New Roman"/>
          <w:position w:val="8"/>
          <w:sz w:val="15"/>
        </w:rPr>
        <w:t>3</w:t>
      </w:r>
      <w:r>
        <w:rPr>
          <w:rFonts w:ascii="Times New Roman" w:hAnsi="Times New Roman" w:eastAsia="Times New Roman"/>
        </w:rPr>
        <w:t>/d </w:t>
      </w:r>
      <w:r>
        <w:rPr/>
        <w:t>井</w:t>
      </w:r>
      <w:r>
        <w:rPr>
          <w:spacing w:val="-5"/>
        </w:rPr>
        <w:t>下水处理站一座，处理后的井下排水水质达到井下消防洒水用水的水质标准，回用于井</w:t>
      </w:r>
      <w:r>
        <w:rPr>
          <w:spacing w:val="-17"/>
        </w:rPr>
        <w:t>下消防洒水、地面生产、消防、防尘洒水、绿化等用水，多余部分排放于附近自建鱼塘， </w:t>
      </w:r>
      <w:r>
        <w:rPr>
          <w:spacing w:val="-6"/>
        </w:rPr>
        <w:t>在工业场地设处理能力 </w:t>
      </w:r>
      <w:r>
        <w:rPr>
          <w:rFonts w:ascii="Times New Roman" w:hAnsi="Times New Roman" w:eastAsia="Times New Roman"/>
        </w:rPr>
        <w:t>120m</w:t>
      </w:r>
      <w:r>
        <w:rPr>
          <w:rFonts w:ascii="Times New Roman" w:hAnsi="Times New Roman" w:eastAsia="Times New Roman"/>
          <w:position w:val="8"/>
          <w:sz w:val="15"/>
        </w:rPr>
        <w:t>3</w:t>
      </w:r>
      <w:r>
        <w:rPr>
          <w:rFonts w:ascii="Times New Roman" w:hAnsi="Times New Roman" w:eastAsia="Times New Roman"/>
        </w:rPr>
        <w:t>/d </w:t>
      </w:r>
      <w:r>
        <w:rPr>
          <w:spacing w:val="-2"/>
        </w:rPr>
        <w:t>生活污水处理站一座。处理后主要水质指标符合生产回用标准，经处理后作为生产、绿化等用水水源，全部回用不外排。</w:t>
      </w:r>
    </w:p>
    <w:p>
      <w:pPr>
        <w:pStyle w:val="BodyText"/>
        <w:spacing w:line="306" w:lineRule="exact"/>
        <w:ind w:left="958"/>
      </w:pPr>
      <w:r>
        <w:rPr>
          <w:rFonts w:ascii="Times New Roman" w:eastAsia="Times New Roman"/>
        </w:rPr>
        <w:t>4</w:t>
      </w:r>
      <w:r>
        <w:rPr/>
        <w:t>、井下消防及洒水</w:t>
      </w:r>
    </w:p>
    <w:p>
      <w:pPr>
        <w:pStyle w:val="BodyText"/>
        <w:spacing w:before="158"/>
        <w:ind w:left="958"/>
      </w:pPr>
      <w:r>
        <w:rPr/>
        <w:t>矿井设有独立完善的井下消防系统。井下消防洒水水源由处理后的井下水供给。</w:t>
      </w:r>
    </w:p>
    <w:p>
      <w:pPr>
        <w:pStyle w:val="BodyText"/>
        <w:spacing w:before="160"/>
        <w:ind w:left="958"/>
      </w:pPr>
      <w:r>
        <w:rPr>
          <w:rFonts w:ascii="Times New Roman" w:eastAsia="Times New Roman"/>
        </w:rPr>
        <w:t>5</w:t>
      </w:r>
      <w:r>
        <w:rPr/>
        <w:t>、水量平衡分析</w:t>
      </w:r>
    </w:p>
    <w:p>
      <w:pPr>
        <w:pStyle w:val="BodyText"/>
        <w:spacing w:before="158"/>
        <w:ind w:left="958"/>
      </w:pPr>
      <w:r>
        <w:rPr/>
        <w:t>本项目工业场地水量平衡见图（夏季）</w:t>
      </w:r>
      <w:r>
        <w:rPr>
          <w:rFonts w:ascii="Times New Roman" w:eastAsia="Times New Roman"/>
        </w:rPr>
        <w:t>3.3-2</w:t>
      </w:r>
      <w:r>
        <w:rPr/>
        <w:t>。</w:t>
      </w:r>
    </w:p>
    <w:p>
      <w:pPr>
        <w:spacing w:after="0"/>
        <w:sectPr>
          <w:pgSz w:w="11910" w:h="16840"/>
          <w:pgMar w:header="0" w:footer="993" w:top="1400" w:bottom="1180" w:left="940" w:right="940"/>
        </w:sectPr>
      </w:pPr>
    </w:p>
    <w:p>
      <w:pPr>
        <w:pStyle w:val="BodyText"/>
        <w:ind w:left="1508"/>
        <w:rPr>
          <w:sz w:val="20"/>
        </w:rPr>
      </w:pPr>
      <w:r>
        <w:rPr>
          <w:sz w:val="20"/>
        </w:rPr>
        <w:pict>
          <v:group style="width:350.4pt;height:283.2pt;mso-position-horizontal-relative:char;mso-position-vertical-relative:line" coordorigin="0,0" coordsize="7008,5664">
            <v:shape style="position:absolute;left:0;top:0;width:7008;height:5664" type="#_x0000_t75" stroked="false">
              <v:imagedata r:id="rId13" o:title=""/>
            </v:shape>
            <v:shape style="position:absolute;left:3107;top:3157;width:113;height:113" type="#_x0000_t75" stroked="false">
              <v:imagedata r:id="rId14" o:title=""/>
            </v:shape>
            <v:shape style="position:absolute;left:3857;top:2777;width:113;height:113" type="#_x0000_t75" stroked="false">
              <v:imagedata r:id="rId14" o:title=""/>
            </v:shape>
            <v:shape style="position:absolute;left:3817;top:2167;width:113;height:113" type="#_x0000_t75" stroked="false">
              <v:imagedata r:id="rId14" o:title=""/>
            </v:shape>
          </v:group>
        </w:pict>
      </w:r>
      <w:r>
        <w:rPr>
          <w:sz w:val="20"/>
        </w:rPr>
      </w:r>
    </w:p>
    <w:p>
      <w:pPr>
        <w:pStyle w:val="BodyText"/>
        <w:rPr>
          <w:sz w:val="20"/>
        </w:rPr>
      </w:pPr>
    </w:p>
    <w:p>
      <w:pPr>
        <w:pStyle w:val="BodyText"/>
        <w:spacing w:before="12"/>
        <w:rPr>
          <w:sz w:val="19"/>
        </w:rPr>
      </w:pPr>
    </w:p>
    <w:p>
      <w:pPr>
        <w:pStyle w:val="Heading4"/>
        <w:tabs>
          <w:tab w:pos="1050" w:val="left" w:leader="none"/>
        </w:tabs>
        <w:ind w:left="11"/>
        <w:jc w:val="center"/>
        <w:rPr>
          <w:rFonts w:ascii="Times New Roman" w:eastAsia="Times New Roman"/>
        </w:rPr>
      </w:pPr>
      <w:r>
        <w:rPr/>
        <w:t>图</w:t>
      </w:r>
      <w:r>
        <w:rPr>
          <w:spacing w:val="-62"/>
        </w:rPr>
        <w:t> </w:t>
      </w:r>
      <w:r>
        <w:rPr>
          <w:rFonts w:ascii="Times New Roman" w:eastAsia="Times New Roman"/>
        </w:rPr>
        <w:t>3.3-2</w:t>
        <w:tab/>
      </w:r>
      <w:r>
        <w:rPr>
          <w:w w:val="95"/>
        </w:rPr>
        <w:t>水量平衡图（夏季）</w:t>
      </w:r>
      <w:r>
        <w:rPr>
          <w:rFonts w:ascii="Times New Roman" w:eastAsia="Times New Roman"/>
          <w:w w:val="95"/>
        </w:rPr>
        <w:t>m</w:t>
      </w:r>
      <w:r>
        <w:rPr>
          <w:rFonts w:ascii="Times New Roman" w:eastAsia="Times New Roman"/>
          <w:w w:val="95"/>
          <w:position w:val="8"/>
          <w:sz w:val="15"/>
        </w:rPr>
        <w:t>3</w:t>
      </w:r>
      <w:r>
        <w:rPr>
          <w:rFonts w:ascii="Times New Roman" w:eastAsia="Times New Roman"/>
          <w:w w:val="95"/>
        </w:rPr>
        <w:t>/d</w:t>
      </w:r>
    </w:p>
    <w:p>
      <w:pPr>
        <w:pStyle w:val="BodyText"/>
        <w:rPr>
          <w:rFonts w:ascii="Times New Roman"/>
          <w:b/>
          <w:sz w:val="20"/>
        </w:rPr>
      </w:pPr>
    </w:p>
    <w:p>
      <w:pPr>
        <w:pStyle w:val="BodyText"/>
        <w:spacing w:before="9"/>
        <w:rPr>
          <w:rFonts w:ascii="Times New Roman"/>
          <w:b/>
          <w:sz w:val="21"/>
        </w:rPr>
      </w:pPr>
      <w:r>
        <w:rPr/>
        <w:drawing>
          <wp:anchor distT="0" distB="0" distL="0" distR="0" allowOverlap="1" layoutInCell="1" locked="0" behindDoc="0" simplePos="0" relativeHeight="13">
            <wp:simplePos x="0" y="0"/>
            <wp:positionH relativeFrom="page">
              <wp:posOffset>1528572</wp:posOffset>
            </wp:positionH>
            <wp:positionV relativeFrom="paragraph">
              <wp:posOffset>183916</wp:posOffset>
            </wp:positionV>
            <wp:extent cx="4450080" cy="3535679"/>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15" cstate="print"/>
                    <a:stretch>
                      <a:fillRect/>
                    </a:stretch>
                  </pic:blipFill>
                  <pic:spPr>
                    <a:xfrm>
                      <a:off x="0" y="0"/>
                      <a:ext cx="4450080" cy="3535679"/>
                    </a:xfrm>
                    <a:prstGeom prst="rect">
                      <a:avLst/>
                    </a:prstGeom>
                  </pic:spPr>
                </pic:pic>
              </a:graphicData>
            </a:graphic>
          </wp:anchor>
        </w:drawing>
      </w:r>
    </w:p>
    <w:p>
      <w:pPr>
        <w:tabs>
          <w:tab w:pos="1050" w:val="left" w:leader="none"/>
        </w:tabs>
        <w:spacing w:before="142"/>
        <w:ind w:left="11" w:right="0" w:firstLine="0"/>
        <w:jc w:val="center"/>
        <w:rPr>
          <w:rFonts w:ascii="Times New Roman" w:eastAsia="Times New Roman"/>
          <w:b/>
          <w:sz w:val="24"/>
        </w:rPr>
      </w:pPr>
      <w:r>
        <w:rPr>
          <w:b/>
          <w:sz w:val="24"/>
        </w:rPr>
        <w:t>图</w:t>
      </w:r>
      <w:r>
        <w:rPr>
          <w:b/>
          <w:spacing w:val="-62"/>
          <w:sz w:val="24"/>
        </w:rPr>
        <w:t> </w:t>
      </w:r>
      <w:r>
        <w:rPr>
          <w:rFonts w:ascii="Times New Roman" w:eastAsia="Times New Roman"/>
          <w:b/>
          <w:sz w:val="24"/>
        </w:rPr>
        <w:t>3.3-3</w:t>
        <w:tab/>
      </w:r>
      <w:r>
        <w:rPr>
          <w:b/>
          <w:w w:val="95"/>
          <w:sz w:val="24"/>
        </w:rPr>
        <w:t>水量平衡图（东季）</w:t>
      </w:r>
      <w:r>
        <w:rPr>
          <w:rFonts w:ascii="Times New Roman" w:eastAsia="Times New Roman"/>
          <w:b/>
          <w:w w:val="95"/>
          <w:sz w:val="24"/>
        </w:rPr>
        <w:t>m</w:t>
      </w:r>
      <w:r>
        <w:rPr>
          <w:rFonts w:ascii="Times New Roman" w:eastAsia="Times New Roman"/>
          <w:b/>
          <w:w w:val="95"/>
          <w:position w:val="8"/>
          <w:sz w:val="15"/>
        </w:rPr>
        <w:t>3</w:t>
      </w:r>
      <w:r>
        <w:rPr>
          <w:rFonts w:ascii="Times New Roman" w:eastAsia="Times New Roman"/>
          <w:b/>
          <w:w w:val="95"/>
          <w:sz w:val="24"/>
        </w:rPr>
        <w:t>/d</w:t>
      </w:r>
    </w:p>
    <w:p>
      <w:pPr>
        <w:pStyle w:val="ListParagraph"/>
        <w:numPr>
          <w:ilvl w:val="3"/>
          <w:numId w:val="27"/>
        </w:numPr>
        <w:tabs>
          <w:tab w:pos="1259" w:val="left" w:leader="none"/>
        </w:tabs>
        <w:spacing w:line="240" w:lineRule="auto" w:before="158" w:after="0"/>
        <w:ind w:left="1258" w:right="0" w:hanging="781"/>
        <w:jc w:val="left"/>
        <w:rPr>
          <w:b/>
          <w:sz w:val="24"/>
        </w:rPr>
      </w:pPr>
      <w:r>
        <w:rPr>
          <w:b/>
          <w:sz w:val="24"/>
        </w:rPr>
        <w:t>采暖供热</w:t>
      </w:r>
    </w:p>
    <w:p>
      <w:pPr>
        <w:pStyle w:val="BodyText"/>
        <w:spacing w:before="161"/>
        <w:ind w:left="958"/>
      </w:pPr>
      <w:r>
        <w:rPr>
          <w:rFonts w:ascii="Times New Roman" w:eastAsia="Times New Roman"/>
        </w:rPr>
        <w:t>1</w:t>
      </w:r>
      <w:r>
        <w:rPr/>
        <w:t>、采暖</w:t>
      </w:r>
    </w:p>
    <w:p>
      <w:pPr>
        <w:spacing w:after="0"/>
        <w:sectPr>
          <w:pgSz w:w="11910" w:h="16840"/>
          <w:pgMar w:header="0" w:footer="993" w:top="1400" w:bottom="1180" w:left="940" w:right="940"/>
        </w:sectPr>
      </w:pPr>
    </w:p>
    <w:p>
      <w:pPr>
        <w:pStyle w:val="BodyText"/>
        <w:spacing w:line="362" w:lineRule="auto" w:before="61"/>
        <w:ind w:left="478" w:right="526" w:firstLine="480"/>
      </w:pPr>
      <w:r>
        <w:rPr>
          <w:spacing w:val="-4"/>
        </w:rPr>
        <w:t>本次改扩建后由工业广场锅炉房内设置 </w:t>
      </w:r>
      <w:r>
        <w:rPr>
          <w:rFonts w:ascii="Times New Roman" w:eastAsia="Times New Roman"/>
        </w:rPr>
        <w:t>2 </w:t>
      </w:r>
      <w:r>
        <w:rPr>
          <w:spacing w:val="-30"/>
        </w:rPr>
        <w:t>台 </w:t>
      </w:r>
      <w:r>
        <w:rPr>
          <w:rFonts w:ascii="Times New Roman" w:eastAsia="Times New Roman"/>
        </w:rPr>
        <w:t>2.8MW </w:t>
      </w:r>
      <w:r>
        <w:rPr>
          <w:spacing w:val="-2"/>
        </w:rPr>
        <w:t>生物质热水锅炉供暖。废气采</w:t>
      </w:r>
      <w:r>
        <w:rPr>
          <w:spacing w:val="-4"/>
        </w:rPr>
        <w:t>用布袋除尘器除尘，烟气分别经 </w:t>
      </w:r>
      <w:r>
        <w:rPr>
          <w:rFonts w:ascii="Times New Roman" w:eastAsia="Times New Roman"/>
        </w:rPr>
        <w:t>35m </w:t>
      </w:r>
      <w:r>
        <w:rPr/>
        <w:t>高排气筒排放。</w:t>
      </w:r>
    </w:p>
    <w:p>
      <w:pPr>
        <w:pStyle w:val="BodyText"/>
        <w:spacing w:before="5"/>
        <w:ind w:left="958"/>
      </w:pPr>
      <w:r>
        <w:rPr>
          <w:rFonts w:ascii="Times New Roman" w:eastAsia="Times New Roman"/>
        </w:rPr>
        <w:t>2</w:t>
      </w:r>
      <w:r>
        <w:rPr/>
        <w:t>、井筒防冻</w:t>
      </w:r>
    </w:p>
    <w:p>
      <w:pPr>
        <w:pStyle w:val="BodyText"/>
        <w:spacing w:line="362" w:lineRule="auto" w:before="161"/>
        <w:ind w:left="478" w:right="526" w:firstLine="480"/>
      </w:pPr>
      <w:r>
        <w:rPr>
          <w:spacing w:val="-4"/>
        </w:rPr>
        <w:t>井筒防冻采用热风炉加热方式，设置 </w:t>
      </w:r>
      <w:r>
        <w:rPr>
          <w:rFonts w:ascii="Times New Roman" w:eastAsia="Times New Roman"/>
        </w:rPr>
        <w:t>1 </w:t>
      </w:r>
      <w:r>
        <w:rPr>
          <w:spacing w:val="-30"/>
        </w:rPr>
        <w:t>台 </w:t>
      </w:r>
      <w:r>
        <w:rPr>
          <w:rFonts w:ascii="Times New Roman" w:eastAsia="Times New Roman"/>
        </w:rPr>
        <w:t>4.2MW </w:t>
      </w:r>
      <w:r>
        <w:rPr>
          <w:spacing w:val="-2"/>
        </w:rPr>
        <w:t>热风炉，采用布袋除尘器除尘， </w:t>
      </w:r>
      <w:r>
        <w:rPr>
          <w:spacing w:val="-9"/>
        </w:rPr>
        <w:t>烟气除尘后经 </w:t>
      </w:r>
      <w:r>
        <w:rPr>
          <w:rFonts w:ascii="Times New Roman" w:eastAsia="Times New Roman"/>
        </w:rPr>
        <w:t>35m </w:t>
      </w:r>
      <w:r>
        <w:rPr/>
        <w:t>高烟囱排放。</w:t>
      </w:r>
    </w:p>
    <w:p>
      <w:pPr>
        <w:pStyle w:val="BodyText"/>
        <w:spacing w:before="5"/>
        <w:ind w:left="958"/>
      </w:pPr>
      <w:r>
        <w:rPr>
          <w:rFonts w:ascii="Times New Roman" w:eastAsia="Times New Roman"/>
        </w:rPr>
        <w:t>3</w:t>
      </w:r>
      <w:r>
        <w:rPr/>
        <w:t>、锅炉燃料</w:t>
      </w:r>
    </w:p>
    <w:p>
      <w:pPr>
        <w:pStyle w:val="BodyText"/>
        <w:spacing w:before="158"/>
        <w:ind w:left="958"/>
      </w:pPr>
      <w:r>
        <w:rPr/>
        <w:t>采暖、洗浴锅炉及热风炉锅炉燃烧生物质燃料。</w:t>
      </w:r>
    </w:p>
    <w:p>
      <w:pPr>
        <w:pStyle w:val="Heading3"/>
        <w:numPr>
          <w:ilvl w:val="2"/>
          <w:numId w:val="20"/>
        </w:numPr>
        <w:tabs>
          <w:tab w:pos="1108" w:val="left" w:leader="none"/>
        </w:tabs>
        <w:spacing w:line="240" w:lineRule="auto" w:before="161" w:after="0"/>
        <w:ind w:left="1107" w:right="0" w:hanging="630"/>
        <w:jc w:val="left"/>
      </w:pPr>
      <w:bookmarkStart w:name="3.3.5供电" w:id="107"/>
      <w:bookmarkEnd w:id="107"/>
      <w:r>
        <w:rPr>
          <w:b w:val="0"/>
        </w:rPr>
      </w:r>
      <w:bookmarkStart w:name="3.3.5供电" w:id="108"/>
      <w:bookmarkEnd w:id="108"/>
      <w:r>
        <w:rPr/>
        <w:t>供电</w:t>
      </w:r>
    </w:p>
    <w:p>
      <w:pPr>
        <w:pStyle w:val="BodyText"/>
        <w:spacing w:line="364" w:lineRule="auto" w:before="185"/>
        <w:ind w:left="478" w:right="414" w:firstLine="480"/>
      </w:pPr>
      <w:r>
        <w:rPr/>
        <w:t>矿井供电现有双回路电源，分别引自双矿集团供电公司岭东变电所东三线路、东四线路，电压等级 </w:t>
      </w:r>
      <w:r>
        <w:rPr>
          <w:rFonts w:ascii="Times New Roman" w:eastAsia="Times New Roman"/>
        </w:rPr>
        <w:t>10kV</w:t>
      </w:r>
      <w:r>
        <w:rPr/>
        <w:t>，供电电源可靠。采用双回路砼杆架设架空线 </w:t>
      </w:r>
      <w:r>
        <w:rPr>
          <w:rFonts w:ascii="Times New Roman" w:eastAsia="Times New Roman"/>
        </w:rPr>
        <w:t>LGJ-120mm</w:t>
      </w:r>
      <w:r>
        <w:rPr>
          <w:rFonts w:ascii="Times New Roman" w:eastAsia="Times New Roman"/>
          <w:position w:val="8"/>
          <w:sz w:val="15"/>
        </w:rPr>
        <w:t>2 </w:t>
      </w:r>
      <w:r>
        <w:rPr/>
        <w:t>至矿井变电所，供电距离 </w:t>
      </w:r>
      <w:r>
        <w:rPr>
          <w:rFonts w:ascii="Times New Roman" w:eastAsia="Times New Roman"/>
        </w:rPr>
        <w:t>3km</w:t>
      </w:r>
      <w:r>
        <w:rPr/>
        <w:t>。</w:t>
      </w:r>
    </w:p>
    <w:p>
      <w:pPr>
        <w:pStyle w:val="Heading2"/>
        <w:numPr>
          <w:ilvl w:val="1"/>
          <w:numId w:val="28"/>
        </w:numPr>
        <w:tabs>
          <w:tab w:pos="1004" w:val="left" w:leader="none"/>
        </w:tabs>
        <w:spacing w:line="384" w:lineRule="exact" w:before="0" w:after="0"/>
        <w:ind w:left="1004" w:right="0" w:hanging="526"/>
        <w:jc w:val="left"/>
      </w:pPr>
      <w:bookmarkStart w:name="3.4 污染源及环境影响因素分析" w:id="109"/>
      <w:bookmarkEnd w:id="109"/>
      <w:r>
        <w:rPr>
          <w:b w:val="0"/>
        </w:rPr>
      </w:r>
      <w:bookmarkStart w:name="_bookmark17" w:id="110"/>
      <w:bookmarkEnd w:id="110"/>
      <w:r>
        <w:rPr>
          <w:b w:val="0"/>
        </w:rPr>
      </w:r>
      <w:bookmarkStart w:name="_bookmark17" w:id="111"/>
      <w:bookmarkEnd w:id="111"/>
      <w:r>
        <w:rPr/>
        <w:t>污染源及环境影响因素分析</w:t>
      </w:r>
    </w:p>
    <w:p>
      <w:pPr>
        <w:pStyle w:val="Heading3"/>
        <w:numPr>
          <w:ilvl w:val="2"/>
          <w:numId w:val="28"/>
        </w:numPr>
        <w:tabs>
          <w:tab w:pos="1108" w:val="left" w:leader="none"/>
        </w:tabs>
        <w:spacing w:line="240" w:lineRule="auto" w:before="200" w:after="0"/>
        <w:ind w:left="1107" w:right="0" w:hanging="630"/>
        <w:jc w:val="left"/>
      </w:pPr>
      <w:bookmarkStart w:name="3.4.1原有工程现存的主要环境问题" w:id="112"/>
      <w:bookmarkEnd w:id="112"/>
      <w:r>
        <w:rPr>
          <w:b w:val="0"/>
        </w:rPr>
      </w:r>
      <w:bookmarkStart w:name="3.4.1原有工程现存的主要环境问题" w:id="113"/>
      <w:bookmarkEnd w:id="113"/>
      <w:r>
        <w:rPr/>
        <w:t>原有工程现存的主要环境问题</w:t>
      </w:r>
    </w:p>
    <w:p>
      <w:pPr>
        <w:pStyle w:val="ListParagraph"/>
        <w:numPr>
          <w:ilvl w:val="3"/>
          <w:numId w:val="28"/>
        </w:numPr>
        <w:tabs>
          <w:tab w:pos="1560" w:val="left" w:leader="none"/>
        </w:tabs>
        <w:spacing w:line="364" w:lineRule="auto" w:before="179" w:after="0"/>
        <w:ind w:left="478" w:right="357" w:firstLine="480"/>
        <w:jc w:val="left"/>
        <w:rPr>
          <w:sz w:val="24"/>
        </w:rPr>
      </w:pPr>
      <w:r>
        <w:rPr>
          <w:spacing w:val="-1"/>
          <w:position w:val="2"/>
          <w:sz w:val="24"/>
        </w:rPr>
        <w:t>矿区生活污水直接排放，</w:t>
      </w:r>
      <w:r>
        <w:rPr>
          <w:rFonts w:ascii="Times New Roman" w:eastAsia="Times New Roman"/>
          <w:spacing w:val="-7"/>
          <w:position w:val="2"/>
          <w:sz w:val="24"/>
        </w:rPr>
        <w:t>COD</w:t>
      </w:r>
      <w:r>
        <w:rPr>
          <w:spacing w:val="-24"/>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rFonts w:ascii="Times New Roman" w:eastAsia="Times New Roman"/>
          <w:spacing w:val="-22"/>
          <w:position w:val="2"/>
          <w:sz w:val="24"/>
          <w:vertAlign w:val="baseline"/>
        </w:rPr>
        <w:t> </w:t>
      </w:r>
      <w:r>
        <w:rPr>
          <w:spacing w:val="-4"/>
          <w:position w:val="2"/>
          <w:sz w:val="24"/>
          <w:vertAlign w:val="baseline"/>
        </w:rPr>
        <w:t>和氨氮浓度较高，矿井涌水及生活污水</w:t>
      </w:r>
      <w:r>
        <w:rPr>
          <w:spacing w:val="-9"/>
          <w:sz w:val="24"/>
          <w:vertAlign w:val="baseline"/>
        </w:rPr>
        <w:t>排放浓度不能够满足《煤炭工业污染物排放标准》</w:t>
      </w:r>
      <w:r>
        <w:rPr>
          <w:sz w:val="24"/>
          <w:vertAlign w:val="baseline"/>
        </w:rPr>
        <w:t>（</w:t>
      </w:r>
      <w:r>
        <w:rPr>
          <w:rFonts w:ascii="Times New Roman" w:eastAsia="Times New Roman"/>
          <w:sz w:val="24"/>
          <w:vertAlign w:val="baseline"/>
        </w:rPr>
        <w:t>GB20426-2006</w:t>
      </w:r>
      <w:r>
        <w:rPr>
          <w:sz w:val="24"/>
          <w:vertAlign w:val="baseline"/>
        </w:rPr>
        <w:t>）</w:t>
      </w:r>
      <w:r>
        <w:rPr>
          <w:spacing w:val="-35"/>
          <w:sz w:val="24"/>
          <w:vertAlign w:val="baseline"/>
        </w:rPr>
        <w:t>表 </w:t>
      </w:r>
      <w:r>
        <w:rPr>
          <w:rFonts w:ascii="Times New Roman" w:eastAsia="Times New Roman"/>
          <w:sz w:val="24"/>
          <w:vertAlign w:val="baseline"/>
        </w:rPr>
        <w:t>1</w:t>
      </w:r>
      <w:r>
        <w:rPr>
          <w:spacing w:val="-20"/>
          <w:sz w:val="24"/>
          <w:vertAlign w:val="baseline"/>
        </w:rPr>
        <w:t>、</w:t>
      </w:r>
      <w:r>
        <w:rPr>
          <w:rFonts w:ascii="Times New Roman" w:eastAsia="Times New Roman"/>
          <w:sz w:val="24"/>
          <w:vertAlign w:val="baseline"/>
        </w:rPr>
        <w:t>2</w:t>
      </w:r>
      <w:r>
        <w:rPr>
          <w:rFonts w:ascii="Times New Roman" w:eastAsia="Times New Roman"/>
          <w:spacing w:val="-10"/>
          <w:sz w:val="24"/>
          <w:vertAlign w:val="baseline"/>
        </w:rPr>
        <w:t> </w:t>
      </w:r>
      <w:r>
        <w:rPr>
          <w:spacing w:val="-4"/>
          <w:sz w:val="24"/>
          <w:vertAlign w:val="baseline"/>
        </w:rPr>
        <w:t>标准限值。</w:t>
      </w:r>
    </w:p>
    <w:p>
      <w:pPr>
        <w:pStyle w:val="ListParagraph"/>
        <w:numPr>
          <w:ilvl w:val="3"/>
          <w:numId w:val="28"/>
        </w:numPr>
        <w:tabs>
          <w:tab w:pos="1564" w:val="left" w:leader="none"/>
        </w:tabs>
        <w:spacing w:line="364" w:lineRule="auto" w:before="0" w:after="0"/>
        <w:ind w:left="478" w:right="476" w:firstLine="480"/>
        <w:jc w:val="left"/>
        <w:rPr>
          <w:sz w:val="24"/>
        </w:rPr>
      </w:pPr>
      <w:r>
        <w:rPr>
          <w:sz w:val="24"/>
        </w:rPr>
        <w:t>敞开式栈桥、煤场、临时矸石堆置场产生无组织粉尘，对周围环境有一定影响。</w:t>
      </w:r>
    </w:p>
    <w:p>
      <w:pPr>
        <w:pStyle w:val="ListParagraph"/>
        <w:numPr>
          <w:ilvl w:val="3"/>
          <w:numId w:val="28"/>
        </w:numPr>
        <w:tabs>
          <w:tab w:pos="1560" w:val="left" w:leader="none"/>
        </w:tabs>
        <w:spacing w:line="362" w:lineRule="auto" w:before="0" w:after="0"/>
        <w:ind w:left="478" w:right="471" w:firstLine="480"/>
        <w:jc w:val="left"/>
        <w:rPr>
          <w:sz w:val="24"/>
        </w:rPr>
      </w:pPr>
      <w:r>
        <w:rPr>
          <w:spacing w:val="-6"/>
          <w:position w:val="2"/>
          <w:sz w:val="24"/>
        </w:rPr>
        <w:t>燃煤锅炉、热风炉配套多管旋风除尘器，处理后烟尘、</w:t>
      </w:r>
      <w:r>
        <w:rPr>
          <w:rFonts w:ascii="Times New Roman" w:eastAsia="Times New Roman"/>
          <w:position w:val="2"/>
          <w:sz w:val="24"/>
        </w:rPr>
        <w:t>SO</w:t>
      </w:r>
      <w:r>
        <w:rPr>
          <w:rFonts w:ascii="Times New Roman" w:eastAsia="Times New Roman"/>
          <w:position w:val="2"/>
          <w:sz w:val="24"/>
          <w:vertAlign w:val="subscript"/>
        </w:rPr>
        <w:t>2</w:t>
      </w:r>
      <w:r>
        <w:rPr>
          <w:spacing w:val="-17"/>
          <w:position w:val="2"/>
          <w:sz w:val="24"/>
          <w:vertAlign w:val="baseline"/>
        </w:rPr>
        <w:t>、</w:t>
      </w:r>
      <w:r>
        <w:rPr>
          <w:rFonts w:ascii="Times New Roman" w:eastAsia="Times New Roman"/>
          <w:position w:val="2"/>
          <w:sz w:val="24"/>
          <w:vertAlign w:val="baseline"/>
        </w:rPr>
        <w:t>NO</w:t>
      </w:r>
      <w:r>
        <w:rPr>
          <w:rFonts w:ascii="Times New Roman" w:eastAsia="Times New Roman"/>
          <w:position w:val="2"/>
          <w:sz w:val="24"/>
          <w:vertAlign w:val="subscript"/>
        </w:rPr>
        <w:t>X</w:t>
      </w:r>
      <w:r>
        <w:rPr>
          <w:rFonts w:ascii="Times New Roman" w:eastAsia="Times New Roman"/>
          <w:spacing w:val="-16"/>
          <w:position w:val="2"/>
          <w:sz w:val="24"/>
          <w:vertAlign w:val="baseline"/>
        </w:rPr>
        <w:t> </w:t>
      </w:r>
      <w:r>
        <w:rPr>
          <w:spacing w:val="-4"/>
          <w:position w:val="2"/>
          <w:sz w:val="24"/>
          <w:vertAlign w:val="baseline"/>
        </w:rPr>
        <w:t>排放浓度达</w:t>
      </w:r>
      <w:r>
        <w:rPr>
          <w:spacing w:val="-8"/>
          <w:sz w:val="24"/>
          <w:vertAlign w:val="baseline"/>
        </w:rPr>
        <w:t>不到《锅炉大气污染物排放标准》</w:t>
      </w:r>
      <w:r>
        <w:rPr>
          <w:sz w:val="24"/>
          <w:vertAlign w:val="baseline"/>
        </w:rPr>
        <w:t>（</w:t>
      </w:r>
      <w:r>
        <w:rPr>
          <w:rFonts w:ascii="Times New Roman" w:eastAsia="Times New Roman"/>
          <w:sz w:val="24"/>
          <w:vertAlign w:val="baseline"/>
        </w:rPr>
        <w:t>GB13271-2014</w:t>
      </w:r>
      <w:r>
        <w:rPr>
          <w:sz w:val="24"/>
          <w:vertAlign w:val="baseline"/>
        </w:rPr>
        <w:t>）</w:t>
      </w:r>
      <w:r>
        <w:rPr>
          <w:spacing w:val="-24"/>
          <w:sz w:val="24"/>
          <w:vertAlign w:val="baseline"/>
        </w:rPr>
        <w:t>中表 </w:t>
      </w:r>
      <w:r>
        <w:rPr>
          <w:rFonts w:ascii="Times New Roman" w:eastAsia="Times New Roman"/>
          <w:sz w:val="24"/>
          <w:vertAlign w:val="baseline"/>
        </w:rPr>
        <w:t>1</w:t>
      </w:r>
      <w:r>
        <w:rPr>
          <w:rFonts w:ascii="Times New Roman" w:eastAsia="Times New Roman"/>
          <w:spacing w:val="-9"/>
          <w:sz w:val="24"/>
          <w:vertAlign w:val="baseline"/>
        </w:rPr>
        <w:t> </w:t>
      </w:r>
      <w:r>
        <w:rPr>
          <w:spacing w:val="-3"/>
          <w:sz w:val="24"/>
          <w:vertAlign w:val="baseline"/>
        </w:rPr>
        <w:t>燃煤锅炉排放限值要求，及</w:t>
      </w:r>
    </w:p>
    <w:p>
      <w:pPr>
        <w:pStyle w:val="BodyText"/>
        <w:spacing w:line="364" w:lineRule="auto"/>
        <w:ind w:left="478" w:right="477"/>
      </w:pPr>
      <w:r>
        <w:rPr/>
        <w:t>《工业炉窑大气污染物排放标准》（</w:t>
      </w:r>
      <w:r>
        <w:rPr>
          <w:rFonts w:ascii="Times New Roman" w:eastAsia="Times New Roman"/>
        </w:rPr>
        <w:t>GB9078-1996</w:t>
      </w:r>
      <w:r>
        <w:rPr/>
        <w:t>）</w:t>
      </w:r>
      <w:r>
        <w:rPr>
          <w:spacing w:val="-20"/>
        </w:rPr>
        <w:t>中表 </w:t>
      </w:r>
      <w:r>
        <w:rPr>
          <w:rFonts w:ascii="Times New Roman" w:eastAsia="Times New Roman"/>
        </w:rPr>
        <w:t>2 </w:t>
      </w:r>
      <w:r>
        <w:rPr>
          <w:spacing w:val="-19"/>
        </w:rPr>
        <w:t>及表 </w:t>
      </w:r>
      <w:r>
        <w:rPr>
          <w:rFonts w:ascii="Times New Roman" w:eastAsia="Times New Roman"/>
        </w:rPr>
        <w:t>4 </w:t>
      </w:r>
      <w:r>
        <w:rPr>
          <w:spacing w:val="-3"/>
        </w:rPr>
        <w:t>中污染物排放限值要</w:t>
      </w:r>
      <w:r>
        <w:rPr/>
        <w:t>求</w:t>
      </w:r>
    </w:p>
    <w:p>
      <w:pPr>
        <w:pStyle w:val="Heading3"/>
        <w:numPr>
          <w:ilvl w:val="2"/>
          <w:numId w:val="28"/>
        </w:numPr>
        <w:tabs>
          <w:tab w:pos="1108" w:val="left" w:leader="none"/>
        </w:tabs>
        <w:spacing w:line="240" w:lineRule="auto" w:before="0" w:after="0"/>
        <w:ind w:left="1107" w:right="0" w:hanging="630"/>
        <w:jc w:val="left"/>
      </w:pPr>
      <w:bookmarkStart w:name="3.4.2改扩建后工程污染源分析" w:id="114"/>
      <w:bookmarkEnd w:id="114"/>
      <w:r>
        <w:rPr>
          <w:b w:val="0"/>
        </w:rPr>
      </w:r>
      <w:bookmarkStart w:name="3.4.2改扩建后工程污染源分析" w:id="115"/>
      <w:bookmarkEnd w:id="115"/>
      <w:r>
        <w:rPr/>
        <w:t>改扩建后工程污染源分析</w:t>
      </w:r>
    </w:p>
    <w:p>
      <w:pPr>
        <w:pStyle w:val="BodyText"/>
        <w:spacing w:before="185"/>
        <w:ind w:left="958"/>
      </w:pPr>
      <w:r>
        <w:rPr>
          <w:rFonts w:ascii="Times New Roman" w:eastAsia="Times New Roman"/>
        </w:rPr>
        <w:t>1</w:t>
      </w:r>
      <w:r>
        <w:rPr/>
        <w:t>、建设期污染影响因素分析</w:t>
      </w:r>
    </w:p>
    <w:p>
      <w:pPr>
        <w:pStyle w:val="ListParagraph"/>
        <w:numPr>
          <w:ilvl w:val="0"/>
          <w:numId w:val="29"/>
        </w:numPr>
        <w:tabs>
          <w:tab w:pos="1560" w:val="left" w:leader="none"/>
        </w:tabs>
        <w:spacing w:line="240" w:lineRule="auto" w:before="158" w:after="0"/>
        <w:ind w:left="1559" w:right="0" w:hanging="602"/>
        <w:jc w:val="left"/>
        <w:rPr>
          <w:sz w:val="24"/>
        </w:rPr>
      </w:pPr>
      <w:r>
        <w:rPr>
          <w:sz w:val="24"/>
        </w:rPr>
        <w:t>大气污染</w:t>
      </w:r>
    </w:p>
    <w:p>
      <w:pPr>
        <w:pStyle w:val="BodyText"/>
        <w:spacing w:line="364" w:lineRule="auto" w:before="160"/>
        <w:ind w:left="478" w:right="425" w:firstLine="480"/>
        <w:jc w:val="both"/>
      </w:pPr>
      <w:r>
        <w:rPr/>
        <w:t>主要为平整场地剥离表土后裸露地表在大风气象条件下的风蚀扬尘，建筑材料运输、装卸中的扬尘，土方运输车辆行驶产生的扬尘，临时物料堆放场产生的风蚀扬尘， 混凝土搅拌站产生的水泥粉尘等。污染物大多为无组织排放，主要污染物为粉尘。</w:t>
      </w:r>
    </w:p>
    <w:p>
      <w:pPr>
        <w:pStyle w:val="ListParagraph"/>
        <w:numPr>
          <w:ilvl w:val="0"/>
          <w:numId w:val="29"/>
        </w:numPr>
        <w:tabs>
          <w:tab w:pos="1560" w:val="left" w:leader="none"/>
        </w:tabs>
        <w:spacing w:line="305" w:lineRule="exact" w:before="0" w:after="0"/>
        <w:ind w:left="1559" w:right="0" w:hanging="602"/>
        <w:jc w:val="left"/>
        <w:rPr>
          <w:sz w:val="24"/>
        </w:rPr>
      </w:pPr>
      <w:r>
        <w:rPr>
          <w:sz w:val="24"/>
        </w:rPr>
        <w:t>水污染</w:t>
      </w:r>
    </w:p>
    <w:p>
      <w:pPr>
        <w:pStyle w:val="BodyText"/>
        <w:spacing w:before="161"/>
        <w:ind w:left="958"/>
      </w:pPr>
      <w:r>
        <w:rPr/>
        <w:t>主要为施工废水和施工人员日常生活污水。施工废水主要有：地面建筑施工过程中</w:t>
      </w:r>
    </w:p>
    <w:p>
      <w:pPr>
        <w:spacing w:after="0"/>
        <w:sectPr>
          <w:pgSz w:w="11910" w:h="16840"/>
          <w:pgMar w:header="0" w:footer="993" w:top="1340" w:bottom="1180" w:left="940" w:right="940"/>
        </w:sectPr>
      </w:pPr>
    </w:p>
    <w:p>
      <w:pPr>
        <w:pStyle w:val="BodyText"/>
        <w:spacing w:line="360" w:lineRule="auto" w:before="41"/>
        <w:ind w:left="478" w:right="477"/>
      </w:pPr>
      <w:r>
        <w:rPr>
          <w:spacing w:val="-8"/>
        </w:rPr>
        <w:t>砖石清洗、砂浆搅拌等产生的废水；矿井井筒施工穿越地下含水层而造成的含水层疏干</w:t>
      </w:r>
      <w:r>
        <w:rPr>
          <w:spacing w:val="-4"/>
          <w:position w:val="2"/>
        </w:rPr>
        <w:t>水；生活污水量很少，主要污染物为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w:t>
      </w:r>
      <w:r>
        <w:rPr>
          <w:position w:val="2"/>
          <w:vertAlign w:val="baseline"/>
        </w:rPr>
        <w:t>、氨氮。</w:t>
      </w:r>
    </w:p>
    <w:p>
      <w:pPr>
        <w:pStyle w:val="ListParagraph"/>
        <w:numPr>
          <w:ilvl w:val="0"/>
          <w:numId w:val="29"/>
        </w:numPr>
        <w:tabs>
          <w:tab w:pos="1560" w:val="left" w:leader="none"/>
        </w:tabs>
        <w:spacing w:line="240" w:lineRule="auto" w:before="7" w:after="0"/>
        <w:ind w:left="1559" w:right="0" w:hanging="602"/>
        <w:jc w:val="left"/>
        <w:rPr>
          <w:sz w:val="24"/>
        </w:rPr>
      </w:pPr>
      <w:r>
        <w:rPr>
          <w:sz w:val="24"/>
        </w:rPr>
        <w:t>固体废物</w:t>
      </w:r>
    </w:p>
    <w:p>
      <w:pPr>
        <w:pStyle w:val="BodyText"/>
        <w:spacing w:line="364" w:lineRule="auto" w:before="160"/>
        <w:ind w:left="478" w:right="425" w:firstLine="480"/>
        <w:jc w:val="both"/>
      </w:pPr>
      <w:r>
        <w:rPr>
          <w:spacing w:val="-6"/>
        </w:rPr>
        <w:t>主要为井筒、井底车场、硐室和大巷开凿排出的岩石；地面建筑物施工过程中排放</w:t>
      </w:r>
      <w:r>
        <w:rPr>
          <w:spacing w:val="-7"/>
        </w:rPr>
        <w:t>的建筑垃圾和少量生活垃圾。如随意堆放将占压土地，雨水冲刷可能污染土壤和水体， </w:t>
      </w:r>
      <w:r>
        <w:rPr/>
        <w:t>大风干燥季节可能形成扬尘污染。</w:t>
      </w:r>
    </w:p>
    <w:p>
      <w:pPr>
        <w:pStyle w:val="ListParagraph"/>
        <w:numPr>
          <w:ilvl w:val="0"/>
          <w:numId w:val="29"/>
        </w:numPr>
        <w:tabs>
          <w:tab w:pos="1560" w:val="left" w:leader="none"/>
        </w:tabs>
        <w:spacing w:line="304" w:lineRule="exact" w:before="0" w:after="0"/>
        <w:ind w:left="1559" w:right="0" w:hanging="602"/>
        <w:jc w:val="left"/>
        <w:rPr>
          <w:sz w:val="24"/>
        </w:rPr>
      </w:pPr>
      <w:r>
        <w:rPr>
          <w:sz w:val="24"/>
        </w:rPr>
        <w:t>噪声</w:t>
      </w:r>
    </w:p>
    <w:p>
      <w:pPr>
        <w:pStyle w:val="BodyText"/>
        <w:spacing w:line="362" w:lineRule="auto" w:before="161"/>
        <w:ind w:left="478" w:right="420" w:firstLine="480"/>
      </w:pPr>
      <w:r>
        <w:rPr/>
        <w:t>主要为施工机械，如混凝土搅拌机、提升机、挖掘机、临时风机及汽车运输等产生的噪声。</w:t>
      </w:r>
    </w:p>
    <w:p>
      <w:pPr>
        <w:pStyle w:val="BodyText"/>
        <w:spacing w:before="5"/>
        <w:ind w:left="958"/>
      </w:pPr>
      <w:r>
        <w:rPr>
          <w:rFonts w:ascii="Times New Roman" w:eastAsia="Times New Roman"/>
        </w:rPr>
        <w:t>2</w:t>
      </w:r>
      <w:r>
        <w:rPr/>
        <w:t>、运营期污染影响因素分析</w:t>
      </w:r>
    </w:p>
    <w:p>
      <w:pPr>
        <w:pStyle w:val="ListParagraph"/>
        <w:numPr>
          <w:ilvl w:val="0"/>
          <w:numId w:val="30"/>
        </w:numPr>
        <w:tabs>
          <w:tab w:pos="1560" w:val="left" w:leader="none"/>
        </w:tabs>
        <w:spacing w:line="240" w:lineRule="auto" w:before="158" w:after="0"/>
        <w:ind w:left="1559" w:right="0" w:hanging="602"/>
        <w:jc w:val="left"/>
        <w:rPr>
          <w:sz w:val="24"/>
        </w:rPr>
      </w:pPr>
      <w:r>
        <w:rPr>
          <w:sz w:val="24"/>
        </w:rPr>
        <w:t>大气污染</w:t>
      </w:r>
    </w:p>
    <w:p>
      <w:pPr>
        <w:pStyle w:val="BodyText"/>
        <w:spacing w:line="362" w:lineRule="auto" w:before="157"/>
        <w:ind w:left="478" w:right="471" w:firstLine="480"/>
      </w:pPr>
      <w:r>
        <w:rPr>
          <w:spacing w:val="-4"/>
          <w:position w:val="2"/>
        </w:rPr>
        <w:t>主要污染源为热风炉和锅炉有组织排放的 </w:t>
      </w:r>
      <w:r>
        <w:rPr>
          <w:rFonts w:ascii="Times New Roman" w:eastAsia="Times New Roman"/>
          <w:position w:val="2"/>
        </w:rPr>
        <w:t>SO</w:t>
      </w:r>
      <w:r>
        <w:rPr>
          <w:rFonts w:ascii="Times New Roman" w:eastAsia="Times New Roman"/>
          <w:position w:val="2"/>
          <w:vertAlign w:val="subscript"/>
        </w:rPr>
        <w:t>2</w:t>
      </w:r>
      <w:r>
        <w:rPr>
          <w:spacing w:val="-15"/>
          <w:position w:val="2"/>
          <w:vertAlign w:val="baseline"/>
        </w:rPr>
        <w:t>、</w:t>
      </w:r>
      <w:r>
        <w:rPr>
          <w:rFonts w:ascii="Times New Roman" w:eastAsia="Times New Roman"/>
          <w:position w:val="2"/>
          <w:vertAlign w:val="baseline"/>
        </w:rPr>
        <w:t>NOx </w:t>
      </w:r>
      <w:r>
        <w:rPr>
          <w:spacing w:val="-8"/>
          <w:position w:val="2"/>
          <w:vertAlign w:val="baseline"/>
        </w:rPr>
        <w:t>和烟尘；原煤输送、筛分、储</w:t>
      </w:r>
      <w:r>
        <w:rPr>
          <w:vertAlign w:val="baseline"/>
        </w:rPr>
        <w:t>存和装卸无组织排放的颗粒物（</w:t>
      </w:r>
      <w:r>
        <w:rPr>
          <w:rFonts w:ascii="Times New Roman" w:eastAsia="Times New Roman"/>
          <w:vertAlign w:val="baseline"/>
        </w:rPr>
        <w:t>PM10</w:t>
      </w:r>
      <w:r>
        <w:rPr>
          <w:vertAlign w:val="baseline"/>
        </w:rPr>
        <w:t>）；矸石储存无组织排放的颗粒物（</w:t>
      </w:r>
      <w:r>
        <w:rPr>
          <w:rFonts w:ascii="Times New Roman" w:eastAsia="Times New Roman"/>
          <w:vertAlign w:val="baseline"/>
        </w:rPr>
        <w:t>TSP</w:t>
      </w:r>
      <w:r>
        <w:rPr>
          <w:vertAlign w:val="baseline"/>
        </w:rPr>
        <w:t>）。</w:t>
      </w:r>
    </w:p>
    <w:p>
      <w:pPr>
        <w:pStyle w:val="ListParagraph"/>
        <w:numPr>
          <w:ilvl w:val="0"/>
          <w:numId w:val="30"/>
        </w:numPr>
        <w:tabs>
          <w:tab w:pos="1560" w:val="left" w:leader="none"/>
        </w:tabs>
        <w:spacing w:line="240" w:lineRule="auto" w:before="4" w:after="0"/>
        <w:ind w:left="1559" w:right="0" w:hanging="602"/>
        <w:jc w:val="left"/>
        <w:rPr>
          <w:sz w:val="24"/>
        </w:rPr>
      </w:pPr>
      <w:r>
        <w:rPr>
          <w:sz w:val="24"/>
        </w:rPr>
        <w:t>水污染</w:t>
      </w:r>
    </w:p>
    <w:p>
      <w:pPr>
        <w:pStyle w:val="BodyText"/>
        <w:spacing w:line="360" w:lineRule="auto" w:before="160"/>
        <w:ind w:left="478" w:right="417" w:firstLine="480"/>
      </w:pPr>
      <w:r>
        <w:rPr/>
        <w:t>主要污染源为矿井水和生活污水，其中，矿井水中主要污染物为 </w:t>
      </w:r>
      <w:r>
        <w:rPr>
          <w:rFonts w:ascii="Times New Roman" w:eastAsia="Times New Roman"/>
        </w:rPr>
        <w:t>COD</w:t>
      </w:r>
      <w:r>
        <w:rPr/>
        <w:t>、</w:t>
      </w:r>
      <w:r>
        <w:rPr>
          <w:rFonts w:ascii="Times New Roman" w:eastAsia="Times New Roman"/>
        </w:rPr>
        <w:t>SS </w:t>
      </w:r>
      <w:r>
        <w:rPr/>
        <w:t>和石油</w:t>
      </w:r>
      <w:r>
        <w:rPr>
          <w:position w:val="2"/>
        </w:rPr>
        <w:t>类，生活污水中主要污染物为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S </w:t>
      </w:r>
      <w:r>
        <w:rPr>
          <w:position w:val="2"/>
          <w:vertAlign w:val="baseline"/>
        </w:rPr>
        <w:t>和氨氮。</w:t>
      </w:r>
    </w:p>
    <w:p>
      <w:pPr>
        <w:pStyle w:val="ListParagraph"/>
        <w:numPr>
          <w:ilvl w:val="0"/>
          <w:numId w:val="30"/>
        </w:numPr>
        <w:tabs>
          <w:tab w:pos="1560" w:val="left" w:leader="none"/>
        </w:tabs>
        <w:spacing w:line="240" w:lineRule="auto" w:before="7" w:after="0"/>
        <w:ind w:left="1559" w:right="0" w:hanging="602"/>
        <w:jc w:val="left"/>
        <w:rPr>
          <w:sz w:val="24"/>
        </w:rPr>
      </w:pPr>
      <w:r>
        <w:rPr>
          <w:sz w:val="24"/>
        </w:rPr>
        <w:t>噪声</w:t>
      </w:r>
    </w:p>
    <w:p>
      <w:pPr>
        <w:pStyle w:val="BodyText"/>
        <w:spacing w:before="158"/>
        <w:ind w:left="958"/>
      </w:pPr>
      <w:r>
        <w:rPr/>
        <w:t>主要是提升绞车、空压机和各类风机等设备噪声。</w:t>
      </w:r>
    </w:p>
    <w:p>
      <w:pPr>
        <w:pStyle w:val="ListParagraph"/>
        <w:numPr>
          <w:ilvl w:val="0"/>
          <w:numId w:val="30"/>
        </w:numPr>
        <w:tabs>
          <w:tab w:pos="1560" w:val="left" w:leader="none"/>
        </w:tabs>
        <w:spacing w:line="240" w:lineRule="auto" w:before="158" w:after="0"/>
        <w:ind w:left="1559" w:right="0" w:hanging="602"/>
        <w:jc w:val="left"/>
        <w:rPr>
          <w:sz w:val="24"/>
        </w:rPr>
      </w:pPr>
      <w:r>
        <w:rPr>
          <w:sz w:val="24"/>
        </w:rPr>
        <w:t>固体废物</w:t>
      </w:r>
    </w:p>
    <w:p>
      <w:pPr>
        <w:pStyle w:val="BodyText"/>
        <w:spacing w:before="161"/>
        <w:ind w:left="958"/>
      </w:pPr>
      <w:r>
        <w:rPr/>
        <w:t>主要是矸石、灰渣、生活垃圾、矿井水处理站和生活污水设施污泥和废机油等。</w:t>
      </w:r>
    </w:p>
    <w:p>
      <w:pPr>
        <w:pStyle w:val="BodyText"/>
        <w:spacing w:before="160"/>
        <w:ind w:left="958"/>
      </w:pPr>
      <w:r>
        <w:rPr>
          <w:rFonts w:ascii="Times New Roman" w:eastAsia="Times New Roman"/>
        </w:rPr>
        <w:t>3</w:t>
      </w:r>
      <w:r>
        <w:rPr/>
        <w:t>、建设期生态影响因素分析</w:t>
      </w:r>
    </w:p>
    <w:p>
      <w:pPr>
        <w:pStyle w:val="BodyText"/>
        <w:spacing w:line="364" w:lineRule="auto" w:before="158"/>
        <w:ind w:left="478" w:right="414" w:firstLine="480"/>
      </w:pPr>
      <w:r>
        <w:rPr/>
        <w:t>建设期生态影响主要是施工开始时场地开挖对土地产生扰动影响，堆填土石方等工程将引起水土流失，植被破坏。由于建设期相对较短，其影响程度也较小。</w:t>
      </w:r>
    </w:p>
    <w:p>
      <w:pPr>
        <w:pStyle w:val="BodyText"/>
        <w:spacing w:line="306" w:lineRule="exact"/>
        <w:ind w:left="958"/>
      </w:pPr>
      <w:r>
        <w:rPr>
          <w:rFonts w:ascii="Times New Roman" w:eastAsia="Times New Roman"/>
        </w:rPr>
        <w:t>4</w:t>
      </w:r>
      <w:r>
        <w:rPr/>
        <w:t>、运营期生态影响因素分析</w:t>
      </w:r>
    </w:p>
    <w:p>
      <w:pPr>
        <w:pStyle w:val="BodyText"/>
        <w:spacing w:line="362" w:lineRule="auto" w:before="161"/>
        <w:ind w:left="478" w:right="414" w:firstLine="480"/>
      </w:pPr>
      <w:r>
        <w:rPr/>
        <w:t>运营期生态影响主要是井下煤层采动引起的地表移动变形，同时引起的地表塌陷对生态环境造成的影响，导致浅层地下水下渗和水土流失。工业场地的占地影响。</w:t>
      </w:r>
    </w:p>
    <w:p>
      <w:pPr>
        <w:pStyle w:val="Heading3"/>
        <w:numPr>
          <w:ilvl w:val="2"/>
          <w:numId w:val="28"/>
        </w:numPr>
        <w:tabs>
          <w:tab w:pos="1108" w:val="left" w:leader="none"/>
        </w:tabs>
        <w:spacing w:line="240" w:lineRule="auto" w:before="6" w:after="0"/>
        <w:ind w:left="1107" w:right="0" w:hanging="630"/>
        <w:jc w:val="left"/>
      </w:pPr>
      <w:bookmarkStart w:name="3.4.3污染源源强核算" w:id="116"/>
      <w:bookmarkEnd w:id="116"/>
      <w:r>
        <w:rPr>
          <w:b w:val="0"/>
        </w:rPr>
      </w:r>
      <w:bookmarkStart w:name="3.4.3污染源源强核算" w:id="117"/>
      <w:bookmarkEnd w:id="117"/>
      <w:r>
        <w:rPr/>
        <w:t>污染源源强核算</w:t>
      </w:r>
    </w:p>
    <w:p>
      <w:pPr>
        <w:pStyle w:val="BodyText"/>
        <w:spacing w:before="185"/>
        <w:ind w:left="958"/>
      </w:pPr>
      <w:r>
        <w:rPr>
          <w:rFonts w:ascii="Times New Roman" w:eastAsia="Times New Roman"/>
        </w:rPr>
        <w:t>1</w:t>
      </w:r>
      <w:r>
        <w:rPr/>
        <w:t>、建设期主要污染源及污染物分析</w:t>
      </w:r>
    </w:p>
    <w:p>
      <w:pPr>
        <w:pStyle w:val="ListParagraph"/>
        <w:numPr>
          <w:ilvl w:val="0"/>
          <w:numId w:val="31"/>
        </w:numPr>
        <w:tabs>
          <w:tab w:pos="1560" w:val="left" w:leader="none"/>
        </w:tabs>
        <w:spacing w:line="240" w:lineRule="auto" w:before="158" w:after="0"/>
        <w:ind w:left="1559" w:right="0" w:hanging="602"/>
        <w:jc w:val="left"/>
        <w:rPr>
          <w:sz w:val="24"/>
        </w:rPr>
      </w:pPr>
      <w:r>
        <w:rPr>
          <w:sz w:val="24"/>
        </w:rPr>
        <w:t>建设期污染工序</w:t>
      </w:r>
    </w:p>
    <w:p>
      <w:pPr>
        <w:pStyle w:val="BodyText"/>
        <w:spacing w:before="160"/>
        <w:ind w:left="958"/>
      </w:pPr>
      <w:r>
        <w:rPr/>
        <w:t>建设期污染工序见框图 </w:t>
      </w:r>
      <w:r>
        <w:rPr>
          <w:rFonts w:ascii="Times New Roman" w:eastAsia="Times New Roman"/>
        </w:rPr>
        <w:t>3.4-1</w:t>
      </w:r>
      <w:r>
        <w:rPr/>
        <w:t>。</w:t>
      </w:r>
    </w:p>
    <w:p>
      <w:pPr>
        <w:spacing w:after="0"/>
        <w:sectPr>
          <w:pgSz w:w="11910" w:h="16840"/>
          <w:pgMar w:header="0" w:footer="993" w:top="1360" w:bottom="1180" w:left="940" w:right="940"/>
        </w:sectPr>
      </w:pPr>
    </w:p>
    <w:p>
      <w:pPr>
        <w:pStyle w:val="BodyText"/>
        <w:ind w:left="871"/>
        <w:rPr>
          <w:sz w:val="20"/>
        </w:rPr>
      </w:pPr>
      <w:r>
        <w:rPr>
          <w:sz w:val="20"/>
        </w:rPr>
        <w:drawing>
          <wp:inline distT="0" distB="0" distL="0" distR="0">
            <wp:extent cx="5248876" cy="4186428"/>
            <wp:effectExtent l="0" t="0" r="0" b="0"/>
            <wp:docPr id="7" name="image6.jpeg"/>
            <wp:cNvGraphicFramePr>
              <a:graphicFrameLocks noChangeAspect="1"/>
            </wp:cNvGraphicFramePr>
            <a:graphic>
              <a:graphicData uri="http://schemas.openxmlformats.org/drawingml/2006/picture">
                <pic:pic>
                  <pic:nvPicPr>
                    <pic:cNvPr id="8" name="image6.jpeg"/>
                    <pic:cNvPicPr/>
                  </pic:nvPicPr>
                  <pic:blipFill>
                    <a:blip r:embed="rId17" cstate="print"/>
                    <a:stretch>
                      <a:fillRect/>
                    </a:stretch>
                  </pic:blipFill>
                  <pic:spPr>
                    <a:xfrm>
                      <a:off x="0" y="0"/>
                      <a:ext cx="5248876" cy="4186428"/>
                    </a:xfrm>
                    <a:prstGeom prst="rect">
                      <a:avLst/>
                    </a:prstGeom>
                  </pic:spPr>
                </pic:pic>
              </a:graphicData>
            </a:graphic>
          </wp:inline>
        </w:drawing>
      </w:r>
      <w:r>
        <w:rPr>
          <w:sz w:val="20"/>
        </w:rPr>
      </w:r>
    </w:p>
    <w:p>
      <w:pPr>
        <w:pStyle w:val="Heading4"/>
        <w:tabs>
          <w:tab w:pos="1526" w:val="left" w:leader="none"/>
        </w:tabs>
        <w:spacing w:before="126"/>
        <w:ind w:left="487"/>
        <w:jc w:val="center"/>
      </w:pPr>
      <w:r>
        <w:rPr/>
        <w:t>图</w:t>
      </w:r>
      <w:r>
        <w:rPr>
          <w:spacing w:val="-62"/>
        </w:rPr>
        <w:t> </w:t>
      </w:r>
      <w:r>
        <w:rPr>
          <w:rFonts w:ascii="Times New Roman" w:eastAsia="Times New Roman"/>
        </w:rPr>
        <w:t>3.4-1</w:t>
        <w:tab/>
      </w:r>
      <w:r>
        <w:rPr/>
        <w:t>建设期污染工序框图</w:t>
      </w:r>
    </w:p>
    <w:p>
      <w:pPr>
        <w:pStyle w:val="ListParagraph"/>
        <w:numPr>
          <w:ilvl w:val="0"/>
          <w:numId w:val="31"/>
        </w:numPr>
        <w:tabs>
          <w:tab w:pos="1560" w:val="left" w:leader="none"/>
        </w:tabs>
        <w:spacing w:line="240" w:lineRule="auto" w:before="158" w:after="0"/>
        <w:ind w:left="1559" w:right="0" w:hanging="602"/>
        <w:jc w:val="left"/>
        <w:rPr>
          <w:sz w:val="24"/>
        </w:rPr>
      </w:pPr>
      <w:r>
        <w:rPr>
          <w:sz w:val="24"/>
        </w:rPr>
        <w:t>建设期环境影响分析与防治措施</w:t>
      </w:r>
    </w:p>
    <w:p>
      <w:pPr>
        <w:pStyle w:val="BodyText"/>
        <w:spacing w:before="158"/>
        <w:ind w:left="958"/>
      </w:pPr>
      <w:r>
        <w:rPr/>
        <w:t>①大气主要污染源及污染物</w:t>
      </w:r>
    </w:p>
    <w:p>
      <w:pPr>
        <w:pStyle w:val="BodyText"/>
        <w:spacing w:before="160"/>
        <w:ind w:left="958"/>
      </w:pPr>
      <w:r>
        <w:rPr/>
        <w:t>项目在施工过程中对环境空气的影响主要有下面几个方面：</w:t>
      </w:r>
    </w:p>
    <w:p>
      <w:pPr>
        <w:pStyle w:val="BodyText"/>
        <w:spacing w:line="364" w:lineRule="auto" w:before="159"/>
        <w:ind w:left="478" w:right="414" w:firstLine="480"/>
      </w:pPr>
      <w:r>
        <w:rPr/>
        <w:t>施工作业面和施工交通运输产生的扬尘；散状物料堆放等扬尘；交通工具释放的尾气。污染物大多为无组织排放，难以定量。</w:t>
      </w:r>
    </w:p>
    <w:p>
      <w:pPr>
        <w:pStyle w:val="BodyText"/>
        <w:spacing w:line="364" w:lineRule="auto" w:before="1"/>
        <w:ind w:left="478" w:right="477" w:firstLine="480"/>
        <w:jc w:val="both"/>
      </w:pPr>
      <w:r>
        <w:rPr>
          <w:spacing w:val="-11"/>
        </w:rPr>
        <w:t>有关研究表明，施工工地的扬尘 </w:t>
      </w:r>
      <w:r>
        <w:rPr>
          <w:rFonts w:ascii="Times New Roman" w:eastAsia="Times New Roman"/>
        </w:rPr>
        <w:t>60</w:t>
      </w:r>
      <w:r>
        <w:rPr>
          <w:spacing w:val="-5"/>
        </w:rPr>
        <w:t>％以上是施工交通运输引起的道路扬尘。道路扬</w:t>
      </w:r>
      <w:r>
        <w:rPr>
          <w:spacing w:val="-7"/>
        </w:rPr>
        <w:t>尘量的大小与车速、车型、车流量、风速、道路表面积尘量等多种因素有关。一般情况</w:t>
      </w:r>
      <w:r>
        <w:rPr>
          <w:spacing w:val="-5"/>
        </w:rPr>
        <w:t>下运输弃土车辆的道路扬尘量约 </w:t>
      </w:r>
      <w:r>
        <w:rPr>
          <w:rFonts w:ascii="Times New Roman" w:eastAsia="Times New Roman"/>
        </w:rPr>
        <w:t>1.37kg/km.</w:t>
      </w:r>
      <w:r>
        <w:rPr>
          <w:spacing w:val="-3"/>
        </w:rPr>
        <w:t>辆，运输车辆在挖土和弃土区现场的道路扬</w:t>
      </w:r>
      <w:r>
        <w:rPr>
          <w:spacing w:val="-8"/>
        </w:rPr>
        <w:t>尘量分别为 </w:t>
      </w:r>
      <w:r>
        <w:rPr>
          <w:rFonts w:ascii="Times New Roman" w:eastAsia="Times New Roman"/>
        </w:rPr>
        <w:t>10.42kg/km.</w:t>
      </w:r>
      <w:r>
        <w:rPr>
          <w:spacing w:val="-15"/>
        </w:rPr>
        <w:t>辆和 </w:t>
      </w:r>
      <w:r>
        <w:rPr>
          <w:rFonts w:ascii="Times New Roman" w:eastAsia="Times New Roman"/>
        </w:rPr>
        <w:t>7.2kg/km.</w:t>
      </w:r>
      <w:r>
        <w:rPr/>
        <w:t>辆。本项目施工区距离居民区较远，施工区施工</w:t>
      </w:r>
      <w:r>
        <w:rPr>
          <w:spacing w:val="-6"/>
        </w:rPr>
        <w:t>对环境敏感点没有影响。运输车辆产生的道路扬尘可能对所经过的村屯大气环境产生一</w:t>
      </w:r>
      <w:r>
        <w:rPr/>
        <w:t>定影响。</w:t>
      </w:r>
    </w:p>
    <w:p>
      <w:pPr>
        <w:pStyle w:val="BodyText"/>
        <w:spacing w:line="362" w:lineRule="auto"/>
        <w:ind w:left="958" w:right="6905"/>
      </w:pPr>
      <w:r>
        <w:rPr/>
        <w:t>②水污染源及污染物地表水环境</w:t>
      </w:r>
    </w:p>
    <w:p>
      <w:pPr>
        <w:pStyle w:val="BodyText"/>
        <w:spacing w:before="1"/>
        <w:ind w:left="958"/>
      </w:pPr>
      <w:r>
        <w:rPr/>
        <w:t>矿井施工期水环境的主要污染源为巷道护砌过程中产生的泥浆废水，其污染物主要</w:t>
      </w:r>
    </w:p>
    <w:p>
      <w:pPr>
        <w:spacing w:after="0"/>
        <w:sectPr>
          <w:footerReference w:type="default" r:id="rId16"/>
          <w:pgSz w:w="11910" w:h="16840"/>
          <w:pgMar w:footer="993" w:header="0" w:top="1580" w:bottom="1180" w:left="940" w:right="940"/>
          <w:pgNumType w:start="50"/>
        </w:sectPr>
      </w:pPr>
    </w:p>
    <w:p>
      <w:pPr>
        <w:pStyle w:val="BodyText"/>
        <w:spacing w:line="362" w:lineRule="auto" w:before="61"/>
        <w:ind w:left="478" w:right="471"/>
        <w:jc w:val="both"/>
      </w:pPr>
      <w:r>
        <w:rPr>
          <w:spacing w:val="-33"/>
        </w:rPr>
        <w:t>为 </w:t>
      </w:r>
      <w:r>
        <w:rPr>
          <w:rFonts w:ascii="Times New Roman" w:eastAsia="Times New Roman"/>
        </w:rPr>
        <w:t>SS</w:t>
      </w:r>
      <w:r>
        <w:rPr>
          <w:spacing w:val="-3"/>
        </w:rPr>
        <w:t>、</w:t>
      </w:r>
      <w:r>
        <w:rPr>
          <w:rFonts w:ascii="Times New Roman" w:eastAsia="Times New Roman"/>
        </w:rPr>
        <w:t>COD</w:t>
      </w:r>
      <w:r>
        <w:rPr>
          <w:spacing w:val="-5"/>
        </w:rPr>
        <w:t>；砂砾料冲洗产生的废水，其污染物主要为 </w:t>
      </w:r>
      <w:r>
        <w:rPr>
          <w:rFonts w:ascii="Times New Roman" w:eastAsia="Times New Roman"/>
        </w:rPr>
        <w:t>SS</w:t>
      </w:r>
      <w:r>
        <w:rPr/>
        <w:t>；混凝土拌和站产生的碱性</w:t>
      </w:r>
      <w:r>
        <w:rPr>
          <w:spacing w:val="-2"/>
        </w:rPr>
        <w:t>废水，其污染物主要为碱性物质</w:t>
      </w:r>
      <w:r>
        <w:rPr/>
        <w:t>（</w:t>
      </w:r>
      <w:r>
        <w:rPr>
          <w:rFonts w:ascii="Times New Roman" w:eastAsia="Times New Roman"/>
        </w:rPr>
        <w:t>pH </w:t>
      </w:r>
      <w:r>
        <w:rPr/>
        <w:t>值高）</w:t>
      </w:r>
      <w:r>
        <w:rPr>
          <w:spacing w:val="-31"/>
        </w:rPr>
        <w:t>与 </w:t>
      </w:r>
      <w:r>
        <w:rPr>
          <w:rFonts w:ascii="Times New Roman" w:eastAsia="Times New Roman"/>
        </w:rPr>
        <w:t>SS</w:t>
      </w:r>
      <w:r>
        <w:rPr>
          <w:spacing w:val="-2"/>
        </w:rPr>
        <w:t>；施工队伍产生的生活污水，其污染</w:t>
      </w:r>
      <w:r>
        <w:rPr>
          <w:spacing w:val="-13"/>
          <w:position w:val="2"/>
        </w:rPr>
        <w:t>物主要为 </w:t>
      </w:r>
      <w:r>
        <w:rPr>
          <w:rFonts w:ascii="Times New Roman" w:eastAsia="Times New Roman"/>
          <w:position w:val="2"/>
        </w:rPr>
        <w:t>SS</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w:t>
      </w:r>
      <w:r>
        <w:rPr>
          <w:rFonts w:ascii="Times New Roman" w:eastAsia="Times New Roman"/>
          <w:position w:val="2"/>
          <w:vertAlign w:val="baseline"/>
        </w:rPr>
        <w:t>COD </w:t>
      </w:r>
      <w:r>
        <w:rPr>
          <w:position w:val="2"/>
          <w:vertAlign w:val="baseline"/>
        </w:rPr>
        <w:t>及氨氮等。</w:t>
      </w:r>
    </w:p>
    <w:p>
      <w:pPr>
        <w:pStyle w:val="BodyText"/>
        <w:spacing w:line="362" w:lineRule="auto" w:before="4"/>
        <w:ind w:left="478" w:right="357" w:firstLine="480"/>
        <w:jc w:val="both"/>
      </w:pPr>
      <w:r>
        <w:rPr>
          <w:spacing w:val="-5"/>
        </w:rPr>
        <w:t>根据同类工程类比调查，生产废水中的污染物以悬浮物为主，其浓度在 </w:t>
      </w:r>
      <w:r>
        <w:rPr>
          <w:rFonts w:ascii="Times New Roman" w:eastAsia="Times New Roman"/>
        </w:rPr>
        <w:t>140mg/L</w:t>
      </w:r>
      <w:r>
        <w:rPr/>
        <w:t>～ </w:t>
      </w:r>
      <w:r>
        <w:rPr>
          <w:rFonts w:ascii="Times New Roman" w:eastAsia="Times New Roman"/>
        </w:rPr>
        <w:t>260mg/L </w:t>
      </w:r>
      <w:r>
        <w:rPr>
          <w:spacing w:val="-7"/>
        </w:rPr>
        <w:t>之间。本矿井施工期施工人员约为 </w:t>
      </w:r>
      <w:r>
        <w:rPr>
          <w:rFonts w:ascii="Times New Roman" w:eastAsia="Times New Roman"/>
        </w:rPr>
        <w:t>50 </w:t>
      </w:r>
      <w:r>
        <w:rPr>
          <w:spacing w:val="-6"/>
        </w:rPr>
        <w:t>人，参照《黑龙江省地方标准用水定额》</w:t>
      </w:r>
    </w:p>
    <w:p>
      <w:pPr>
        <w:pStyle w:val="BodyText"/>
        <w:spacing w:line="364" w:lineRule="auto" w:before="5"/>
        <w:ind w:left="478" w:right="468"/>
        <w:jc w:val="both"/>
      </w:pPr>
      <w:r>
        <w:rPr/>
        <w:t>（</w:t>
      </w:r>
      <w:r>
        <w:rPr>
          <w:rFonts w:ascii="Times New Roman" w:hAnsi="Times New Roman" w:eastAsia="Times New Roman"/>
        </w:rPr>
        <w:t>DB23/T727-2017</w:t>
      </w:r>
      <w:r>
        <w:rPr/>
        <w:t>）</w:t>
      </w:r>
      <w:r>
        <w:rPr>
          <w:spacing w:val="-9"/>
        </w:rPr>
        <w:t>，用水量按 </w:t>
      </w:r>
      <w:r>
        <w:rPr>
          <w:rFonts w:ascii="Times New Roman" w:hAnsi="Times New Roman" w:eastAsia="Times New Roman"/>
        </w:rPr>
        <w:t>30L/</w:t>
      </w:r>
      <w:r>
        <w:rPr>
          <w:spacing w:val="4"/>
        </w:rPr>
        <w:t>人</w:t>
      </w:r>
      <w:r>
        <w:rPr>
          <w:rFonts w:ascii="Times New Roman" w:hAnsi="Times New Roman" w:eastAsia="Times New Roman"/>
        </w:rPr>
        <w:t>·d </w:t>
      </w:r>
      <w:r>
        <w:rPr>
          <w:spacing w:val="-4"/>
        </w:rPr>
        <w:t>计，污水产生量按用水量的 </w:t>
      </w:r>
      <w:r>
        <w:rPr>
          <w:rFonts w:ascii="Times New Roman" w:hAnsi="Times New Roman" w:eastAsia="Times New Roman"/>
        </w:rPr>
        <w:t>80%</w:t>
      </w:r>
      <w:r>
        <w:rPr/>
        <w:t>计，生活污</w:t>
      </w:r>
      <w:r>
        <w:rPr>
          <w:spacing w:val="-11"/>
        </w:rPr>
        <w:t>水产生量为 </w:t>
      </w:r>
      <w:r>
        <w:rPr>
          <w:rFonts w:ascii="Times New Roman" w:hAnsi="Times New Roman" w:eastAsia="Times New Roman"/>
        </w:rPr>
        <w:t>1.2m</w:t>
      </w:r>
      <w:r>
        <w:rPr>
          <w:rFonts w:ascii="Times New Roman" w:hAnsi="Times New Roman" w:eastAsia="Times New Roman"/>
          <w:position w:val="8"/>
          <w:sz w:val="15"/>
        </w:rPr>
        <w:t>3</w:t>
      </w:r>
      <w:r>
        <w:rPr>
          <w:rFonts w:ascii="Times New Roman" w:hAnsi="Times New Roman" w:eastAsia="Times New Roman"/>
        </w:rPr>
        <w:t>/d</w:t>
      </w:r>
      <w:r>
        <w:rPr/>
        <w:t>。其中，</w:t>
      </w:r>
      <w:r>
        <w:rPr>
          <w:rFonts w:ascii="Times New Roman" w:hAnsi="Times New Roman" w:eastAsia="Times New Roman"/>
        </w:rPr>
        <w:t>CODcr </w:t>
      </w:r>
      <w:r>
        <w:rPr>
          <w:spacing w:val="-15"/>
        </w:rPr>
        <w:t>浓度为 </w:t>
      </w:r>
      <w:r>
        <w:rPr>
          <w:rFonts w:ascii="Times New Roman" w:hAnsi="Times New Roman" w:eastAsia="Times New Roman"/>
        </w:rPr>
        <w:t>300mg/L</w:t>
      </w:r>
      <w:r>
        <w:rPr>
          <w:spacing w:val="-9"/>
        </w:rPr>
        <w:t>，产生量约为 </w:t>
      </w:r>
      <w:r>
        <w:rPr>
          <w:rFonts w:ascii="Times New Roman" w:hAnsi="Times New Roman" w:eastAsia="Times New Roman"/>
        </w:rPr>
        <w:t>0.36kg/d</w:t>
      </w:r>
      <w:r>
        <w:rPr/>
        <w:t>；</w:t>
      </w:r>
      <w:r>
        <w:rPr>
          <w:rFonts w:ascii="Times New Roman" w:hAnsi="Times New Roman" w:eastAsia="Times New Roman"/>
        </w:rPr>
        <w:t>SS </w:t>
      </w:r>
      <w:r>
        <w:rPr/>
        <w:t>浓度为</w:t>
      </w:r>
      <w:r>
        <w:rPr>
          <w:rFonts w:ascii="Times New Roman" w:hAnsi="Times New Roman" w:eastAsia="Times New Roman"/>
        </w:rPr>
        <w:t>250mg/L</w:t>
      </w:r>
      <w:r>
        <w:rPr>
          <w:spacing w:val="-9"/>
        </w:rPr>
        <w:t>，产生量约为 </w:t>
      </w:r>
      <w:r>
        <w:rPr>
          <w:rFonts w:ascii="Times New Roman" w:hAnsi="Times New Roman" w:eastAsia="Times New Roman"/>
        </w:rPr>
        <w:t>0.3kg/d</w:t>
      </w:r>
      <w:r>
        <w:rPr>
          <w:spacing w:val="-9"/>
        </w:rPr>
        <w:t>；氨氮浓度为 </w:t>
      </w:r>
      <w:r>
        <w:rPr>
          <w:rFonts w:ascii="Times New Roman" w:hAnsi="Times New Roman" w:eastAsia="Times New Roman"/>
        </w:rPr>
        <w:t>35mg/L</w:t>
      </w:r>
      <w:r>
        <w:rPr>
          <w:spacing w:val="-9"/>
        </w:rPr>
        <w:t>，产生量约为 </w:t>
      </w:r>
      <w:r>
        <w:rPr>
          <w:rFonts w:ascii="Times New Roman" w:hAnsi="Times New Roman" w:eastAsia="Times New Roman"/>
        </w:rPr>
        <w:t>0.042kg/d</w:t>
      </w:r>
      <w:r>
        <w:rPr/>
        <w:t>。</w:t>
      </w:r>
    </w:p>
    <w:p>
      <w:pPr>
        <w:pStyle w:val="BodyText"/>
        <w:spacing w:line="304" w:lineRule="exact"/>
        <w:ind w:left="958"/>
      </w:pPr>
      <w:r>
        <w:rPr/>
        <w:t>地下水环境</w:t>
      </w:r>
    </w:p>
    <w:p>
      <w:pPr>
        <w:pStyle w:val="BodyText"/>
        <w:spacing w:line="364" w:lineRule="auto" w:before="161"/>
        <w:ind w:left="478" w:right="477" w:firstLine="480"/>
        <w:jc w:val="both"/>
      </w:pPr>
      <w:r>
        <w:rPr>
          <w:spacing w:val="-4"/>
        </w:rPr>
        <w:t>本矿井施工期主要完成主工业广场内主井的掘进工作。掘进过程中将抽排地井下涌</w:t>
      </w:r>
      <w:r>
        <w:rPr>
          <w:spacing w:val="-7"/>
        </w:rPr>
        <w:t>水，但是矿井水产生量很少，对矿区地下水资源量影响不明显，基本不会对附近村屯饮</w:t>
      </w:r>
      <w:r>
        <w:rPr/>
        <w:t>用水源井水量、水质产生影响。</w:t>
      </w:r>
    </w:p>
    <w:p>
      <w:pPr>
        <w:pStyle w:val="BodyText"/>
        <w:spacing w:line="304" w:lineRule="exact"/>
        <w:ind w:left="958"/>
      </w:pPr>
      <w:r>
        <w:rPr/>
        <w:t>③噪声污染源</w:t>
      </w:r>
    </w:p>
    <w:p>
      <w:pPr>
        <w:pStyle w:val="BodyText"/>
        <w:spacing w:line="364" w:lineRule="auto" w:before="160"/>
        <w:ind w:left="478" w:right="425" w:firstLine="480"/>
      </w:pPr>
      <w:r>
        <w:rPr/>
        <w:t>施工期噪声污染源主要为施工过程中的机械噪声与交通运输噪声。根据类比调查， 本项目施工期的主要噪声源与噪声级见表 </w:t>
      </w:r>
      <w:r>
        <w:rPr>
          <w:rFonts w:ascii="Times New Roman" w:eastAsia="Times New Roman"/>
        </w:rPr>
        <w:t>3.4-1</w:t>
      </w:r>
      <w:r>
        <w:rPr/>
        <w:t>。</w:t>
      </w:r>
    </w:p>
    <w:p>
      <w:pPr>
        <w:pStyle w:val="Heading4"/>
        <w:tabs>
          <w:tab w:pos="4332" w:val="left" w:leader="none"/>
        </w:tabs>
        <w:spacing w:line="306" w:lineRule="exact" w:after="2"/>
        <w:ind w:left="3293"/>
      </w:pPr>
      <w:r>
        <w:rPr/>
        <w:t>表</w:t>
      </w:r>
      <w:r>
        <w:rPr>
          <w:spacing w:val="-62"/>
        </w:rPr>
        <w:t> </w:t>
      </w:r>
      <w:r>
        <w:rPr>
          <w:rFonts w:ascii="Times New Roman" w:eastAsia="Times New Roman"/>
        </w:rPr>
        <w:t>3.4-1</w:t>
        <w:tab/>
      </w:r>
      <w:r>
        <w:rPr/>
        <w:t>施工期主要噪声源与噪声级</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7"/>
        <w:gridCol w:w="1908"/>
        <w:gridCol w:w="1767"/>
        <w:gridCol w:w="1477"/>
        <w:gridCol w:w="2361"/>
      </w:tblGrid>
      <w:tr>
        <w:trPr>
          <w:trHeight w:val="403" w:hRule="atLeast"/>
        </w:trPr>
        <w:tc>
          <w:tcPr>
            <w:tcW w:w="1307" w:type="dxa"/>
          </w:tcPr>
          <w:p>
            <w:pPr>
              <w:pStyle w:val="TableParagraph"/>
              <w:spacing w:before="66"/>
              <w:ind w:left="6"/>
              <w:rPr>
                <w:sz w:val="21"/>
              </w:rPr>
            </w:pPr>
            <w:r>
              <w:rPr>
                <w:sz w:val="21"/>
              </w:rPr>
              <w:t>施工阶段</w:t>
            </w:r>
          </w:p>
        </w:tc>
        <w:tc>
          <w:tcPr>
            <w:tcW w:w="1908" w:type="dxa"/>
          </w:tcPr>
          <w:p>
            <w:pPr>
              <w:pStyle w:val="TableParagraph"/>
              <w:spacing w:before="66"/>
              <w:ind w:left="167" w:right="160"/>
              <w:rPr>
                <w:sz w:val="21"/>
              </w:rPr>
            </w:pPr>
            <w:r>
              <w:rPr>
                <w:sz w:val="21"/>
              </w:rPr>
              <w:t>设备名称</w:t>
            </w:r>
          </w:p>
        </w:tc>
        <w:tc>
          <w:tcPr>
            <w:tcW w:w="1767" w:type="dxa"/>
          </w:tcPr>
          <w:p>
            <w:pPr>
              <w:pStyle w:val="TableParagraph"/>
              <w:spacing w:before="66"/>
              <w:ind w:left="226" w:right="218"/>
              <w:rPr>
                <w:rFonts w:ascii="Times New Roman" w:eastAsia="Times New Roman"/>
                <w:sz w:val="21"/>
              </w:rPr>
            </w:pPr>
            <w:r>
              <w:rPr>
                <w:sz w:val="21"/>
              </w:rPr>
              <w:t>声级值 </w:t>
            </w:r>
            <w:r>
              <w:rPr>
                <w:rFonts w:ascii="Times New Roman" w:eastAsia="Times New Roman"/>
                <w:sz w:val="21"/>
              </w:rPr>
              <w:t>dB(A)</w:t>
            </w:r>
          </w:p>
        </w:tc>
        <w:tc>
          <w:tcPr>
            <w:tcW w:w="1477" w:type="dxa"/>
          </w:tcPr>
          <w:p>
            <w:pPr>
              <w:pStyle w:val="TableParagraph"/>
              <w:spacing w:before="66"/>
              <w:ind w:left="146" w:right="137"/>
              <w:rPr>
                <w:rFonts w:ascii="Times New Roman" w:eastAsia="Times New Roman"/>
                <w:sz w:val="21"/>
              </w:rPr>
            </w:pPr>
            <w:r>
              <w:rPr>
                <w:sz w:val="21"/>
              </w:rPr>
              <w:t>测点距离</w:t>
            </w:r>
            <w:r>
              <w:rPr>
                <w:rFonts w:ascii="Times New Roman" w:eastAsia="Times New Roman"/>
                <w:sz w:val="21"/>
              </w:rPr>
              <w:t>(m)</w:t>
            </w:r>
          </w:p>
        </w:tc>
        <w:tc>
          <w:tcPr>
            <w:tcW w:w="2361" w:type="dxa"/>
          </w:tcPr>
          <w:p>
            <w:pPr>
              <w:pStyle w:val="TableParagraph"/>
              <w:spacing w:before="66"/>
              <w:ind w:left="107" w:right="103"/>
              <w:rPr>
                <w:sz w:val="21"/>
              </w:rPr>
            </w:pPr>
            <w:r>
              <w:rPr>
                <w:sz w:val="21"/>
              </w:rPr>
              <w:t>特点</w:t>
            </w:r>
          </w:p>
        </w:tc>
      </w:tr>
      <w:tr>
        <w:trPr>
          <w:trHeight w:val="1080" w:hRule="atLeast"/>
        </w:trPr>
        <w:tc>
          <w:tcPr>
            <w:tcW w:w="1307" w:type="dxa"/>
          </w:tcPr>
          <w:p>
            <w:pPr>
              <w:pStyle w:val="TableParagraph"/>
              <w:jc w:val="left"/>
              <w:rPr>
                <w:b/>
                <w:sz w:val="21"/>
              </w:rPr>
            </w:pPr>
          </w:p>
          <w:p>
            <w:pPr>
              <w:pStyle w:val="TableParagraph"/>
              <w:tabs>
                <w:tab w:pos="861" w:val="left" w:leader="none"/>
              </w:tabs>
              <w:spacing w:line="242" w:lineRule="auto"/>
              <w:ind w:left="232" w:right="224"/>
              <w:jc w:val="left"/>
              <w:rPr>
                <w:sz w:val="21"/>
              </w:rPr>
            </w:pPr>
            <w:r>
              <w:rPr>
                <w:sz w:val="21"/>
              </w:rPr>
              <w:t>基础施</w:t>
            </w:r>
            <w:r>
              <w:rPr>
                <w:spacing w:val="-15"/>
                <w:sz w:val="21"/>
              </w:rPr>
              <w:t>工</w:t>
            </w:r>
            <w:r>
              <w:rPr>
                <w:sz w:val="21"/>
              </w:rPr>
              <w:t>阶</w:t>
              <w:tab/>
            </w:r>
            <w:r>
              <w:rPr>
                <w:spacing w:val="-17"/>
                <w:sz w:val="21"/>
              </w:rPr>
              <w:t>段</w:t>
            </w:r>
          </w:p>
        </w:tc>
        <w:tc>
          <w:tcPr>
            <w:tcW w:w="1908" w:type="dxa"/>
          </w:tcPr>
          <w:p>
            <w:pPr>
              <w:pStyle w:val="TableParagraph"/>
              <w:spacing w:line="242" w:lineRule="auto" w:before="133"/>
              <w:ind w:left="639" w:right="627"/>
              <w:rPr>
                <w:sz w:val="21"/>
              </w:rPr>
            </w:pPr>
            <w:r>
              <w:rPr>
                <w:spacing w:val="-6"/>
                <w:sz w:val="21"/>
              </w:rPr>
              <w:t>挖桩机</w:t>
            </w:r>
            <w:r>
              <w:rPr>
                <w:sz w:val="21"/>
              </w:rPr>
              <w:t>吊车 </w:t>
            </w:r>
            <w:r>
              <w:rPr>
                <w:spacing w:val="-6"/>
                <w:sz w:val="21"/>
              </w:rPr>
              <w:t>平地机</w:t>
            </w:r>
          </w:p>
        </w:tc>
        <w:tc>
          <w:tcPr>
            <w:tcW w:w="1767" w:type="dxa"/>
          </w:tcPr>
          <w:p>
            <w:pPr>
              <w:pStyle w:val="TableParagraph"/>
              <w:spacing w:line="241" w:lineRule="exact" w:before="178"/>
              <w:ind w:left="226" w:right="216"/>
              <w:rPr>
                <w:rFonts w:ascii="Times New Roman"/>
                <w:sz w:val="21"/>
              </w:rPr>
            </w:pPr>
            <w:r>
              <w:rPr>
                <w:rFonts w:ascii="Times New Roman"/>
                <w:sz w:val="21"/>
              </w:rPr>
              <w:t>70</w:t>
            </w:r>
          </w:p>
          <w:p>
            <w:pPr>
              <w:pStyle w:val="TableParagraph"/>
              <w:spacing w:line="241" w:lineRule="exact"/>
              <w:ind w:left="226" w:right="216"/>
              <w:rPr>
                <w:rFonts w:ascii="Times New Roman"/>
                <w:sz w:val="21"/>
              </w:rPr>
            </w:pPr>
            <w:r>
              <w:rPr>
                <w:rFonts w:ascii="Times New Roman"/>
                <w:sz w:val="21"/>
              </w:rPr>
              <w:t>71-76</w:t>
            </w:r>
          </w:p>
          <w:p>
            <w:pPr>
              <w:pStyle w:val="TableParagraph"/>
              <w:spacing w:before="1"/>
              <w:ind w:left="226" w:right="216"/>
              <w:rPr>
                <w:rFonts w:ascii="Times New Roman"/>
                <w:sz w:val="21"/>
              </w:rPr>
            </w:pPr>
            <w:r>
              <w:rPr>
                <w:rFonts w:ascii="Times New Roman"/>
                <w:sz w:val="21"/>
              </w:rPr>
              <w:t>86-98</w:t>
            </w:r>
          </w:p>
        </w:tc>
        <w:tc>
          <w:tcPr>
            <w:tcW w:w="1477" w:type="dxa"/>
          </w:tcPr>
          <w:p>
            <w:pPr>
              <w:pStyle w:val="TableParagraph"/>
              <w:spacing w:line="241" w:lineRule="exact" w:before="178"/>
              <w:ind w:left="11"/>
              <w:rPr>
                <w:rFonts w:ascii="Times New Roman"/>
                <w:sz w:val="21"/>
              </w:rPr>
            </w:pPr>
            <w:r>
              <w:rPr>
                <w:rFonts w:ascii="Times New Roman"/>
                <w:w w:val="99"/>
                <w:sz w:val="21"/>
              </w:rPr>
              <w:t>5</w:t>
            </w:r>
          </w:p>
          <w:p>
            <w:pPr>
              <w:pStyle w:val="TableParagraph"/>
              <w:spacing w:line="241" w:lineRule="exact"/>
              <w:ind w:left="11"/>
              <w:rPr>
                <w:rFonts w:ascii="Times New Roman"/>
                <w:sz w:val="21"/>
              </w:rPr>
            </w:pPr>
            <w:r>
              <w:rPr>
                <w:rFonts w:ascii="Times New Roman"/>
                <w:w w:val="99"/>
                <w:sz w:val="21"/>
              </w:rPr>
              <w:t>5</w:t>
            </w:r>
          </w:p>
          <w:p>
            <w:pPr>
              <w:pStyle w:val="TableParagraph"/>
              <w:spacing w:before="1"/>
              <w:ind w:left="11"/>
              <w:rPr>
                <w:rFonts w:ascii="Times New Roman"/>
                <w:sz w:val="21"/>
              </w:rPr>
            </w:pPr>
            <w:r>
              <w:rPr>
                <w:rFonts w:ascii="Times New Roman"/>
                <w:w w:val="99"/>
                <w:sz w:val="21"/>
              </w:rPr>
              <w:t>5</w:t>
            </w:r>
          </w:p>
        </w:tc>
        <w:tc>
          <w:tcPr>
            <w:tcW w:w="2361" w:type="dxa"/>
          </w:tcPr>
          <w:p>
            <w:pPr>
              <w:pStyle w:val="TableParagraph"/>
              <w:jc w:val="left"/>
              <w:rPr>
                <w:b/>
                <w:sz w:val="21"/>
              </w:rPr>
            </w:pPr>
          </w:p>
          <w:p>
            <w:pPr>
              <w:pStyle w:val="TableParagraph"/>
              <w:spacing w:line="242" w:lineRule="auto"/>
              <w:ind w:left="865" w:right="122" w:hanging="737"/>
              <w:jc w:val="left"/>
              <w:rPr>
                <w:sz w:val="21"/>
              </w:rPr>
            </w:pPr>
            <w:r>
              <w:rPr>
                <w:sz w:val="21"/>
              </w:rPr>
              <w:t>该阶段声源主要为固定噪声源</w:t>
            </w:r>
          </w:p>
        </w:tc>
      </w:tr>
      <w:tr>
        <w:trPr>
          <w:trHeight w:val="547" w:hRule="atLeast"/>
        </w:trPr>
        <w:tc>
          <w:tcPr>
            <w:tcW w:w="1307" w:type="dxa"/>
            <w:tcBorders>
              <w:bottom w:val="nil"/>
            </w:tcBorders>
          </w:tcPr>
          <w:p>
            <w:pPr>
              <w:pStyle w:val="TableParagraph"/>
              <w:jc w:val="left"/>
              <w:rPr>
                <w:rFonts w:ascii="Times New Roman"/>
                <w:sz w:val="22"/>
              </w:rPr>
            </w:pPr>
          </w:p>
        </w:tc>
        <w:tc>
          <w:tcPr>
            <w:tcW w:w="1908" w:type="dxa"/>
            <w:tcBorders>
              <w:bottom w:val="nil"/>
            </w:tcBorders>
          </w:tcPr>
          <w:p>
            <w:pPr>
              <w:pStyle w:val="TableParagraph"/>
              <w:spacing w:before="8"/>
              <w:jc w:val="left"/>
              <w:rPr>
                <w:b/>
                <w:sz w:val="19"/>
              </w:rPr>
            </w:pPr>
          </w:p>
          <w:p>
            <w:pPr>
              <w:pStyle w:val="TableParagraph"/>
              <w:ind w:left="169" w:right="160"/>
              <w:rPr>
                <w:sz w:val="21"/>
              </w:rPr>
            </w:pPr>
            <w:r>
              <w:rPr>
                <w:sz w:val="21"/>
              </w:rPr>
              <w:t>振捣棒</w:t>
            </w:r>
          </w:p>
        </w:tc>
        <w:tc>
          <w:tcPr>
            <w:tcW w:w="1767" w:type="dxa"/>
            <w:tcBorders>
              <w:bottom w:val="nil"/>
            </w:tcBorders>
          </w:tcPr>
          <w:p>
            <w:pPr>
              <w:pStyle w:val="TableParagraph"/>
              <w:spacing w:before="3"/>
              <w:jc w:val="left"/>
              <w:rPr>
                <w:b/>
                <w:sz w:val="24"/>
              </w:rPr>
            </w:pPr>
          </w:p>
          <w:p>
            <w:pPr>
              <w:pStyle w:val="TableParagraph"/>
              <w:spacing w:line="217" w:lineRule="exact"/>
              <w:ind w:left="226" w:right="216"/>
              <w:rPr>
                <w:rFonts w:ascii="Times New Roman"/>
                <w:sz w:val="21"/>
              </w:rPr>
            </w:pPr>
            <w:r>
              <w:rPr>
                <w:rFonts w:ascii="Times New Roman"/>
                <w:sz w:val="21"/>
              </w:rPr>
              <w:t>87</w:t>
            </w:r>
          </w:p>
        </w:tc>
        <w:tc>
          <w:tcPr>
            <w:tcW w:w="1477" w:type="dxa"/>
            <w:tcBorders>
              <w:bottom w:val="nil"/>
            </w:tcBorders>
          </w:tcPr>
          <w:p>
            <w:pPr>
              <w:pStyle w:val="TableParagraph"/>
              <w:spacing w:before="3"/>
              <w:jc w:val="left"/>
              <w:rPr>
                <w:b/>
                <w:sz w:val="24"/>
              </w:rPr>
            </w:pPr>
          </w:p>
          <w:p>
            <w:pPr>
              <w:pStyle w:val="TableParagraph"/>
              <w:spacing w:line="217" w:lineRule="exact"/>
              <w:ind w:left="11"/>
              <w:rPr>
                <w:rFonts w:ascii="Times New Roman"/>
                <w:sz w:val="21"/>
              </w:rPr>
            </w:pPr>
            <w:r>
              <w:rPr>
                <w:rFonts w:ascii="Times New Roman"/>
                <w:w w:val="99"/>
                <w:sz w:val="21"/>
              </w:rPr>
              <w:t>2</w:t>
            </w:r>
          </w:p>
        </w:tc>
        <w:tc>
          <w:tcPr>
            <w:tcW w:w="2361" w:type="dxa"/>
            <w:vMerge w:val="restart"/>
          </w:tcPr>
          <w:p>
            <w:pPr>
              <w:pStyle w:val="TableParagraph"/>
              <w:jc w:val="left"/>
              <w:rPr>
                <w:b/>
                <w:sz w:val="20"/>
              </w:rPr>
            </w:pPr>
          </w:p>
          <w:p>
            <w:pPr>
              <w:pStyle w:val="TableParagraph"/>
              <w:spacing w:line="242" w:lineRule="auto" w:before="129"/>
              <w:ind w:left="107" w:right="-15"/>
              <w:rPr>
                <w:sz w:val="21"/>
              </w:rPr>
            </w:pPr>
            <w:r>
              <w:rPr>
                <w:spacing w:val="-8"/>
                <w:w w:val="95"/>
                <w:sz w:val="21"/>
              </w:rPr>
              <w:t>该阶段时间长，设备多， </w:t>
            </w:r>
            <w:r>
              <w:rPr>
                <w:spacing w:val="-8"/>
                <w:sz w:val="21"/>
              </w:rPr>
              <w:t>既有移动声源又有固定声源</w:t>
            </w:r>
          </w:p>
        </w:tc>
      </w:tr>
      <w:tr>
        <w:trPr>
          <w:trHeight w:val="236" w:hRule="atLeast"/>
        </w:trPr>
        <w:tc>
          <w:tcPr>
            <w:tcW w:w="1307" w:type="dxa"/>
            <w:tcBorders>
              <w:top w:val="nil"/>
              <w:bottom w:val="nil"/>
            </w:tcBorders>
          </w:tcPr>
          <w:p>
            <w:pPr>
              <w:pStyle w:val="TableParagraph"/>
              <w:spacing w:line="216" w:lineRule="exact"/>
              <w:ind w:left="6"/>
              <w:rPr>
                <w:sz w:val="21"/>
              </w:rPr>
            </w:pPr>
            <w:r>
              <w:rPr>
                <w:sz w:val="21"/>
              </w:rPr>
              <w:t>结构施工</w:t>
            </w:r>
          </w:p>
        </w:tc>
        <w:tc>
          <w:tcPr>
            <w:tcW w:w="1908" w:type="dxa"/>
            <w:tcBorders>
              <w:top w:val="nil"/>
              <w:bottom w:val="nil"/>
            </w:tcBorders>
          </w:tcPr>
          <w:p>
            <w:pPr>
              <w:pStyle w:val="TableParagraph"/>
              <w:spacing w:line="216" w:lineRule="exact"/>
              <w:ind w:left="167" w:right="160"/>
              <w:rPr>
                <w:sz w:val="21"/>
              </w:rPr>
            </w:pPr>
            <w:r>
              <w:rPr>
                <w:sz w:val="21"/>
              </w:rPr>
              <w:t>砼搅拌机</w:t>
            </w:r>
          </w:p>
        </w:tc>
        <w:tc>
          <w:tcPr>
            <w:tcW w:w="1767" w:type="dxa"/>
            <w:tcBorders>
              <w:top w:val="nil"/>
              <w:bottom w:val="nil"/>
            </w:tcBorders>
          </w:tcPr>
          <w:p>
            <w:pPr>
              <w:pStyle w:val="TableParagraph"/>
              <w:spacing w:line="216" w:lineRule="exact"/>
              <w:ind w:left="226" w:right="216"/>
              <w:rPr>
                <w:rFonts w:ascii="Times New Roman"/>
                <w:sz w:val="21"/>
              </w:rPr>
            </w:pPr>
            <w:r>
              <w:rPr>
                <w:rFonts w:ascii="Times New Roman"/>
                <w:sz w:val="21"/>
              </w:rPr>
              <w:t>72-91</w:t>
            </w:r>
          </w:p>
        </w:tc>
        <w:tc>
          <w:tcPr>
            <w:tcW w:w="1477" w:type="dxa"/>
            <w:tcBorders>
              <w:top w:val="nil"/>
              <w:bottom w:val="nil"/>
            </w:tcBorders>
          </w:tcPr>
          <w:p>
            <w:pPr>
              <w:pStyle w:val="TableParagraph"/>
              <w:spacing w:line="216" w:lineRule="exact"/>
              <w:ind w:left="11"/>
              <w:rPr>
                <w:rFonts w:ascii="Times New Roman"/>
                <w:sz w:val="21"/>
              </w:rPr>
            </w:pPr>
            <w:r>
              <w:rPr>
                <w:rFonts w:ascii="Times New Roman"/>
                <w:w w:val="99"/>
                <w:sz w:val="21"/>
              </w:rPr>
              <w:t>3</w:t>
            </w:r>
          </w:p>
        </w:tc>
        <w:tc>
          <w:tcPr>
            <w:tcW w:w="2361" w:type="dxa"/>
            <w:vMerge/>
            <w:tcBorders>
              <w:top w:val="nil"/>
            </w:tcBorders>
          </w:tcPr>
          <w:p>
            <w:pPr>
              <w:rPr>
                <w:sz w:val="2"/>
                <w:szCs w:val="2"/>
              </w:rPr>
            </w:pPr>
          </w:p>
        </w:tc>
      </w:tr>
      <w:tr>
        <w:trPr>
          <w:trHeight w:val="231" w:hRule="atLeast"/>
        </w:trPr>
        <w:tc>
          <w:tcPr>
            <w:tcW w:w="1307" w:type="dxa"/>
            <w:tcBorders>
              <w:top w:val="nil"/>
              <w:bottom w:val="nil"/>
            </w:tcBorders>
          </w:tcPr>
          <w:p>
            <w:pPr>
              <w:pStyle w:val="TableParagraph"/>
              <w:tabs>
                <w:tab w:pos="635" w:val="left" w:leader="none"/>
              </w:tabs>
              <w:spacing w:line="211" w:lineRule="exact"/>
              <w:ind w:left="6"/>
              <w:rPr>
                <w:sz w:val="21"/>
              </w:rPr>
            </w:pPr>
            <w:r>
              <w:rPr>
                <w:sz w:val="21"/>
              </w:rPr>
              <w:t>阶</w:t>
              <w:tab/>
              <w:t>段</w:t>
            </w:r>
          </w:p>
        </w:tc>
        <w:tc>
          <w:tcPr>
            <w:tcW w:w="1908" w:type="dxa"/>
            <w:tcBorders>
              <w:top w:val="nil"/>
              <w:bottom w:val="nil"/>
            </w:tcBorders>
          </w:tcPr>
          <w:p>
            <w:pPr>
              <w:pStyle w:val="TableParagraph"/>
              <w:spacing w:line="211" w:lineRule="exact"/>
              <w:ind w:left="164" w:right="160"/>
              <w:rPr>
                <w:sz w:val="21"/>
              </w:rPr>
            </w:pPr>
            <w:r>
              <w:rPr>
                <w:sz w:val="21"/>
              </w:rPr>
              <w:t>电据</w:t>
            </w:r>
          </w:p>
        </w:tc>
        <w:tc>
          <w:tcPr>
            <w:tcW w:w="1767" w:type="dxa"/>
            <w:tcBorders>
              <w:top w:val="nil"/>
              <w:bottom w:val="nil"/>
            </w:tcBorders>
          </w:tcPr>
          <w:p>
            <w:pPr>
              <w:pStyle w:val="TableParagraph"/>
              <w:spacing w:line="211" w:lineRule="exact"/>
              <w:ind w:left="226" w:right="216"/>
              <w:rPr>
                <w:rFonts w:ascii="Times New Roman"/>
                <w:sz w:val="21"/>
              </w:rPr>
            </w:pPr>
            <w:r>
              <w:rPr>
                <w:rFonts w:ascii="Times New Roman"/>
                <w:sz w:val="21"/>
              </w:rPr>
              <w:t>90-95</w:t>
            </w:r>
          </w:p>
        </w:tc>
        <w:tc>
          <w:tcPr>
            <w:tcW w:w="1477" w:type="dxa"/>
            <w:tcBorders>
              <w:top w:val="nil"/>
              <w:bottom w:val="nil"/>
            </w:tcBorders>
          </w:tcPr>
          <w:p>
            <w:pPr>
              <w:pStyle w:val="TableParagraph"/>
              <w:spacing w:line="211" w:lineRule="exact"/>
              <w:ind w:left="11"/>
              <w:rPr>
                <w:rFonts w:ascii="Times New Roman"/>
                <w:sz w:val="21"/>
              </w:rPr>
            </w:pPr>
            <w:r>
              <w:rPr>
                <w:rFonts w:ascii="Times New Roman"/>
                <w:w w:val="99"/>
                <w:sz w:val="21"/>
              </w:rPr>
              <w:t>5</w:t>
            </w:r>
          </w:p>
        </w:tc>
        <w:tc>
          <w:tcPr>
            <w:tcW w:w="2361" w:type="dxa"/>
            <w:vMerge/>
            <w:tcBorders>
              <w:top w:val="nil"/>
            </w:tcBorders>
          </w:tcPr>
          <w:p>
            <w:pPr>
              <w:rPr>
                <w:sz w:val="2"/>
                <w:szCs w:val="2"/>
              </w:rPr>
            </w:pPr>
          </w:p>
        </w:tc>
      </w:tr>
      <w:tr>
        <w:trPr>
          <w:trHeight w:val="544" w:hRule="atLeast"/>
        </w:trPr>
        <w:tc>
          <w:tcPr>
            <w:tcW w:w="1307" w:type="dxa"/>
            <w:tcBorders>
              <w:top w:val="nil"/>
            </w:tcBorders>
          </w:tcPr>
          <w:p>
            <w:pPr>
              <w:pStyle w:val="TableParagraph"/>
              <w:jc w:val="left"/>
              <w:rPr>
                <w:rFonts w:ascii="Times New Roman"/>
                <w:sz w:val="22"/>
              </w:rPr>
            </w:pPr>
          </w:p>
        </w:tc>
        <w:tc>
          <w:tcPr>
            <w:tcW w:w="1908" w:type="dxa"/>
            <w:tcBorders>
              <w:top w:val="nil"/>
            </w:tcBorders>
          </w:tcPr>
          <w:p>
            <w:pPr>
              <w:pStyle w:val="TableParagraph"/>
              <w:spacing w:before="22"/>
              <w:ind w:left="169" w:right="160"/>
              <w:rPr>
                <w:sz w:val="21"/>
              </w:rPr>
            </w:pPr>
            <w:r>
              <w:rPr>
                <w:sz w:val="21"/>
              </w:rPr>
              <w:t>汽车吊车（</w:t>
            </w:r>
            <w:r>
              <w:rPr>
                <w:rFonts w:ascii="Times New Roman" w:eastAsia="Times New Roman"/>
                <w:sz w:val="21"/>
              </w:rPr>
              <w:t>16t</w:t>
            </w:r>
            <w:r>
              <w:rPr>
                <w:sz w:val="21"/>
              </w:rPr>
              <w:t>）</w:t>
            </w:r>
          </w:p>
        </w:tc>
        <w:tc>
          <w:tcPr>
            <w:tcW w:w="1767" w:type="dxa"/>
            <w:tcBorders>
              <w:top w:val="nil"/>
            </w:tcBorders>
          </w:tcPr>
          <w:p>
            <w:pPr>
              <w:pStyle w:val="TableParagraph"/>
              <w:spacing w:line="232" w:lineRule="exact"/>
              <w:ind w:left="226" w:right="216"/>
              <w:rPr>
                <w:rFonts w:ascii="Times New Roman"/>
                <w:sz w:val="21"/>
              </w:rPr>
            </w:pPr>
            <w:r>
              <w:rPr>
                <w:rFonts w:ascii="Times New Roman"/>
                <w:sz w:val="21"/>
              </w:rPr>
              <w:t>72</w:t>
            </w:r>
          </w:p>
        </w:tc>
        <w:tc>
          <w:tcPr>
            <w:tcW w:w="1477" w:type="dxa"/>
            <w:tcBorders>
              <w:top w:val="nil"/>
            </w:tcBorders>
          </w:tcPr>
          <w:p>
            <w:pPr>
              <w:pStyle w:val="TableParagraph"/>
              <w:spacing w:line="232" w:lineRule="exact"/>
              <w:ind w:left="11"/>
              <w:rPr>
                <w:rFonts w:ascii="Times New Roman"/>
                <w:sz w:val="21"/>
              </w:rPr>
            </w:pPr>
            <w:r>
              <w:rPr>
                <w:rFonts w:ascii="Times New Roman"/>
                <w:w w:val="99"/>
                <w:sz w:val="21"/>
              </w:rPr>
              <w:t>5</w:t>
            </w:r>
          </w:p>
        </w:tc>
        <w:tc>
          <w:tcPr>
            <w:tcW w:w="2361" w:type="dxa"/>
            <w:vMerge/>
            <w:tcBorders>
              <w:top w:val="nil"/>
            </w:tcBorders>
          </w:tcPr>
          <w:p>
            <w:pPr>
              <w:rPr>
                <w:sz w:val="2"/>
                <w:szCs w:val="2"/>
              </w:rPr>
            </w:pPr>
          </w:p>
        </w:tc>
      </w:tr>
    </w:tbl>
    <w:p>
      <w:pPr>
        <w:pStyle w:val="BodyText"/>
        <w:spacing w:before="2"/>
        <w:ind w:left="898"/>
      </w:pPr>
      <w:r>
        <w:rPr/>
        <w:t>④固体废物</w:t>
      </w:r>
    </w:p>
    <w:p>
      <w:pPr>
        <w:pStyle w:val="BodyText"/>
        <w:spacing w:line="364" w:lineRule="auto" w:before="160"/>
        <w:ind w:left="478" w:right="477" w:firstLine="480"/>
        <w:jc w:val="both"/>
      </w:pPr>
      <w:r>
        <w:rPr>
          <w:spacing w:val="3"/>
        </w:rPr>
        <w:t>施工期排弃的固体废物主要为井底开凿产生的矸石和地面建筑物建设过程中产生</w:t>
      </w:r>
      <w:r>
        <w:rPr>
          <w:spacing w:val="-2"/>
        </w:rPr>
        <w:t>的建筑垃圾以及少量生活垃圾。矸石用于工业场地铺垫和场外道路铺设。建筑垃圾与生</w:t>
      </w:r>
      <w:r>
        <w:rPr/>
        <w:t>活垃圾，堆放指定地点，委托环卫部门统一清运处理。</w:t>
      </w:r>
    </w:p>
    <w:p>
      <w:pPr>
        <w:pStyle w:val="BodyText"/>
        <w:spacing w:line="305" w:lineRule="exact"/>
        <w:ind w:left="958"/>
      </w:pPr>
      <w:r>
        <w:rPr/>
        <w:t>⑤生态环境影响</w:t>
      </w:r>
    </w:p>
    <w:p>
      <w:pPr>
        <w:pStyle w:val="BodyText"/>
        <w:spacing w:before="160"/>
        <w:ind w:left="958"/>
      </w:pPr>
      <w:r>
        <w:rPr/>
        <w:t>本项目施工位于原源丰煤矿工业广场内，对生态环境影响不大。</w:t>
      </w:r>
    </w:p>
    <w:p>
      <w:pPr>
        <w:pStyle w:val="BodyText"/>
        <w:spacing w:before="159"/>
        <w:ind w:left="958"/>
      </w:pPr>
      <w:r>
        <w:rPr>
          <w:rFonts w:ascii="Times New Roman" w:eastAsia="Times New Roman"/>
        </w:rPr>
        <w:t>2</w:t>
      </w:r>
      <w:r>
        <w:rPr/>
        <w:t>、运营期主要污染源及污染物分析</w:t>
      </w:r>
    </w:p>
    <w:p>
      <w:pPr>
        <w:spacing w:after="0"/>
        <w:sectPr>
          <w:pgSz w:w="11910" w:h="16840"/>
          <w:pgMar w:header="0" w:footer="993" w:top="1340" w:bottom="1180" w:left="940" w:right="940"/>
        </w:sectPr>
      </w:pPr>
    </w:p>
    <w:p>
      <w:pPr>
        <w:pStyle w:val="ListParagraph"/>
        <w:numPr>
          <w:ilvl w:val="0"/>
          <w:numId w:val="32"/>
        </w:numPr>
        <w:tabs>
          <w:tab w:pos="1560" w:val="left" w:leader="none"/>
        </w:tabs>
        <w:spacing w:line="240" w:lineRule="auto" w:before="61" w:after="0"/>
        <w:ind w:left="1559" w:right="0" w:hanging="602"/>
        <w:jc w:val="left"/>
        <w:rPr>
          <w:sz w:val="24"/>
        </w:rPr>
      </w:pPr>
      <w:r>
        <w:rPr>
          <w:sz w:val="24"/>
        </w:rPr>
        <w:t>环境空气污染源及源强分析</w:t>
      </w:r>
    </w:p>
    <w:p>
      <w:pPr>
        <w:pStyle w:val="BodyText"/>
        <w:spacing w:before="158"/>
        <w:ind w:left="958"/>
      </w:pPr>
      <w:r>
        <w:rPr/>
        <w:t>①锅炉及热风炉</w:t>
      </w:r>
    </w:p>
    <w:p>
      <w:pPr>
        <w:pStyle w:val="BodyText"/>
        <w:spacing w:before="161"/>
        <w:ind w:left="958"/>
        <w:rPr>
          <w:rFonts w:ascii="Times New Roman" w:eastAsia="Times New Roman"/>
        </w:rPr>
      </w:pPr>
      <w:r>
        <w:rPr>
          <w:spacing w:val="-17"/>
        </w:rPr>
        <w:t>地面建筑采暖、洗浴等采用 </w:t>
      </w:r>
      <w:r>
        <w:rPr>
          <w:rFonts w:ascii="Times New Roman" w:eastAsia="Times New Roman"/>
        </w:rPr>
        <w:t>2</w:t>
      </w:r>
      <w:r>
        <w:rPr>
          <w:rFonts w:ascii="Times New Roman" w:eastAsia="Times New Roman"/>
          <w:spacing w:val="-4"/>
        </w:rPr>
        <w:t> </w:t>
      </w:r>
      <w:r>
        <w:rPr>
          <w:spacing w:val="-33"/>
        </w:rPr>
        <w:t>台 </w:t>
      </w:r>
      <w:r>
        <w:rPr>
          <w:rFonts w:ascii="Times New Roman" w:eastAsia="Times New Roman"/>
        </w:rPr>
        <w:t>2.8MW</w:t>
      </w:r>
      <w:r>
        <w:rPr>
          <w:rFonts w:ascii="Times New Roman" w:eastAsia="Times New Roman"/>
          <w:spacing w:val="-3"/>
        </w:rPr>
        <w:t> </w:t>
      </w:r>
      <w:r>
        <w:rPr>
          <w:spacing w:val="-15"/>
        </w:rPr>
        <w:t>生物质热水锅炉，井筒防冻采用 </w:t>
      </w:r>
      <w:r>
        <w:rPr>
          <w:rFonts w:ascii="Times New Roman" w:eastAsia="Times New Roman"/>
        </w:rPr>
        <w:t>1</w:t>
      </w:r>
      <w:r>
        <w:rPr>
          <w:rFonts w:ascii="Times New Roman" w:eastAsia="Times New Roman"/>
          <w:spacing w:val="-2"/>
        </w:rPr>
        <w:t> </w:t>
      </w:r>
      <w:r>
        <w:rPr>
          <w:spacing w:val="-32"/>
        </w:rPr>
        <w:t>台 </w:t>
      </w:r>
      <w:r>
        <w:rPr>
          <w:rFonts w:ascii="Times New Roman" w:eastAsia="Times New Roman"/>
        </w:rPr>
        <w:t>4.2MW</w:t>
      </w:r>
    </w:p>
    <w:p>
      <w:pPr>
        <w:pStyle w:val="BodyText"/>
        <w:spacing w:before="160"/>
        <w:ind w:left="478"/>
      </w:pPr>
      <w:r>
        <w:rPr>
          <w:spacing w:val="-9"/>
        </w:rPr>
        <w:t>热风炉，燃料均为生物质燃料，冬季 </w:t>
      </w:r>
      <w:r>
        <w:rPr>
          <w:rFonts w:ascii="Times New Roman" w:eastAsia="Times New Roman"/>
        </w:rPr>
        <w:t>2 </w:t>
      </w:r>
      <w:r>
        <w:rPr>
          <w:spacing w:val="-12"/>
        </w:rPr>
        <w:t>台锅炉及 </w:t>
      </w:r>
      <w:r>
        <w:rPr>
          <w:rFonts w:ascii="Times New Roman" w:eastAsia="Times New Roman"/>
        </w:rPr>
        <w:t>1 </w:t>
      </w:r>
      <w:r>
        <w:rPr>
          <w:spacing w:val="-6"/>
        </w:rPr>
        <w:t>台热风炉同时运行，夏季只运行 </w:t>
      </w:r>
      <w:r>
        <w:rPr>
          <w:rFonts w:ascii="Times New Roman" w:eastAsia="Times New Roman"/>
        </w:rPr>
        <w:t>1 </w:t>
      </w:r>
      <w:r>
        <w:rPr/>
        <w:t>台</w:t>
      </w:r>
    </w:p>
    <w:p>
      <w:pPr>
        <w:pStyle w:val="BodyText"/>
        <w:spacing w:line="364" w:lineRule="auto" w:before="158"/>
        <w:ind w:left="478" w:right="348"/>
      </w:pPr>
      <w:r>
        <w:rPr>
          <w:rFonts w:ascii="Times New Roman" w:eastAsia="Times New Roman"/>
        </w:rPr>
        <w:t>2.8MW </w:t>
      </w:r>
      <w:r>
        <w:rPr>
          <w:spacing w:val="-3"/>
        </w:rPr>
        <w:t>生物质热水锅炉用于员工洗浴。本项目年生产 </w:t>
      </w:r>
      <w:r>
        <w:rPr>
          <w:rFonts w:ascii="Times New Roman" w:eastAsia="Times New Roman"/>
        </w:rPr>
        <w:t>330 </w:t>
      </w:r>
      <w:r>
        <w:rPr>
          <w:spacing w:val="-9"/>
        </w:rPr>
        <w:t>天，采暖期 </w:t>
      </w:r>
      <w:r>
        <w:rPr>
          <w:rFonts w:ascii="Times New Roman" w:eastAsia="Times New Roman"/>
        </w:rPr>
        <w:t>180 </w:t>
      </w:r>
      <w:r>
        <w:rPr/>
        <w:t>天，非采暖</w:t>
      </w:r>
      <w:r>
        <w:rPr>
          <w:spacing w:val="-26"/>
        </w:rPr>
        <w:t>期 </w:t>
      </w:r>
      <w:r>
        <w:rPr>
          <w:rFonts w:ascii="Times New Roman" w:eastAsia="Times New Roman"/>
        </w:rPr>
        <w:t>150 </w:t>
      </w:r>
      <w:r>
        <w:rPr>
          <w:spacing w:val="-5"/>
        </w:rPr>
        <w:t>天，采暖期每天运行 </w:t>
      </w:r>
      <w:r>
        <w:rPr>
          <w:rFonts w:ascii="Times New Roman" w:eastAsia="Times New Roman"/>
        </w:rPr>
        <w:t>18h</w:t>
      </w:r>
      <w:r>
        <w:rPr>
          <w:spacing w:val="-5"/>
        </w:rPr>
        <w:t>，非采暖期每天运行 </w:t>
      </w:r>
      <w:r>
        <w:rPr>
          <w:rFonts w:ascii="Times New Roman" w:eastAsia="Times New Roman"/>
        </w:rPr>
        <w:t>12h</w:t>
      </w:r>
      <w:r>
        <w:rPr/>
        <w:t>。根据《双鸭山市东盛矿业集</w:t>
      </w:r>
      <w:r>
        <w:rPr>
          <w:spacing w:val="-2"/>
        </w:rPr>
        <w:t>团有限公司资源整合可行性研究报告》，本项目采暖洗浴锅炉热负荷 </w:t>
      </w:r>
      <w:r>
        <w:rPr>
          <w:rFonts w:ascii="Times New Roman" w:eastAsia="Times New Roman"/>
        </w:rPr>
        <w:t>1753kw</w:t>
      </w:r>
      <w:r>
        <w:rPr/>
        <w:t>；热风炉</w:t>
      </w:r>
      <w:r>
        <w:rPr>
          <w:spacing w:val="-17"/>
        </w:rPr>
        <w:t>热负荷 </w:t>
      </w:r>
      <w:r>
        <w:rPr>
          <w:rFonts w:ascii="Times New Roman" w:eastAsia="Times New Roman"/>
        </w:rPr>
        <w:t>1305k</w:t>
      </w:r>
      <w:r>
        <w:rPr>
          <w:rFonts w:ascii="Times New Roman" w:eastAsia="Times New Roman"/>
          <w:spacing w:val="1"/>
        </w:rPr>
        <w:t>w</w:t>
      </w:r>
      <w:r>
        <w:rPr>
          <w:spacing w:val="-27"/>
        </w:rPr>
        <w:t>，热效率均为 </w:t>
      </w:r>
      <w:r>
        <w:rPr>
          <w:rFonts w:ascii="Times New Roman" w:eastAsia="Times New Roman"/>
        </w:rPr>
        <w:t>85</w:t>
      </w:r>
      <w:r>
        <w:rPr>
          <w:rFonts w:ascii="Times New Roman" w:eastAsia="Times New Roman"/>
          <w:spacing w:val="1"/>
        </w:rPr>
        <w:t>%</w:t>
      </w:r>
      <w:r>
        <w:rPr>
          <w:spacing w:val="-20"/>
        </w:rPr>
        <w:t>，锅炉年运行时间为 </w:t>
      </w:r>
      <w:r>
        <w:rPr>
          <w:rFonts w:ascii="Times New Roman" w:eastAsia="Times New Roman"/>
        </w:rPr>
        <w:t>5040h</w:t>
      </w:r>
      <w:r>
        <w:rPr>
          <w:spacing w:val="-27"/>
        </w:rPr>
        <w:t>，燃料量约为 </w:t>
      </w:r>
      <w:r>
        <w:rPr>
          <w:rFonts w:ascii="Times New Roman" w:eastAsia="Times New Roman"/>
          <w:spacing w:val="-1"/>
        </w:rPr>
        <w:t>0.39t/h</w:t>
      </w:r>
      <w:r>
        <w:rPr>
          <w:spacing w:val="-121"/>
        </w:rPr>
        <w:t>，</w:t>
      </w:r>
      <w:r>
        <w:rPr>
          <w:rFonts w:ascii="Times New Roman" w:eastAsia="Times New Roman"/>
          <w:spacing w:val="-1"/>
        </w:rPr>
        <w:t>1958t/</w:t>
      </w:r>
      <w:r>
        <w:rPr>
          <w:rFonts w:ascii="Times New Roman" w:eastAsia="Times New Roman"/>
          <w:spacing w:val="-2"/>
        </w:rPr>
        <w:t>a</w:t>
      </w:r>
      <w:r>
        <w:rPr>
          <w:spacing w:val="-1"/>
        </w:rPr>
        <w:t>；</w:t>
      </w:r>
      <w:r>
        <w:rPr>
          <w:spacing w:val="-7"/>
        </w:rPr>
        <w:t>热风炉年运行时间为 </w:t>
      </w:r>
      <w:r>
        <w:rPr>
          <w:rFonts w:ascii="Times New Roman" w:eastAsia="Times New Roman"/>
        </w:rPr>
        <w:t>3240h</w:t>
      </w:r>
      <w:r>
        <w:rPr>
          <w:spacing w:val="-9"/>
        </w:rPr>
        <w:t>，燃料量约为 </w:t>
      </w:r>
      <w:r>
        <w:rPr>
          <w:rFonts w:ascii="Times New Roman" w:eastAsia="Times New Roman"/>
        </w:rPr>
        <w:t>0.40t/h</w:t>
      </w:r>
      <w:r>
        <w:rPr/>
        <w:t>，</w:t>
      </w:r>
      <w:r>
        <w:rPr>
          <w:rFonts w:ascii="Times New Roman" w:eastAsia="Times New Roman"/>
        </w:rPr>
        <w:t>1297t/a</w:t>
      </w:r>
      <w:r>
        <w:rPr>
          <w:spacing w:val="-2"/>
        </w:rPr>
        <w:t>。锅炉及热风炉均配套布袋除</w:t>
      </w:r>
      <w:r>
        <w:rPr>
          <w:spacing w:val="-14"/>
        </w:rPr>
        <w:t>尘器和高 </w:t>
      </w:r>
      <w:r>
        <w:rPr>
          <w:rFonts w:ascii="Times New Roman" w:eastAsia="Times New Roman"/>
        </w:rPr>
        <w:t>35 </w:t>
      </w:r>
      <w:r>
        <w:rPr>
          <w:spacing w:val="-12"/>
        </w:rPr>
        <w:t>米、内径 </w:t>
      </w:r>
      <w:r>
        <w:rPr>
          <w:rFonts w:ascii="Times New Roman" w:eastAsia="Times New Roman"/>
        </w:rPr>
        <w:t>0.8 </w:t>
      </w:r>
      <w:r>
        <w:rPr/>
        <w:t>米的烟囱。</w:t>
      </w:r>
    </w:p>
    <w:p>
      <w:pPr>
        <w:pStyle w:val="BodyText"/>
        <w:spacing w:line="364" w:lineRule="auto"/>
        <w:ind w:left="478" w:right="476" w:firstLine="480"/>
      </w:pPr>
      <w:r>
        <w:rPr/>
        <w:t>根据《污染源源强核算技术指南 锅炉》（</w:t>
      </w:r>
      <w:r>
        <w:rPr>
          <w:rFonts w:ascii="Times New Roman" w:eastAsia="Times New Roman"/>
        </w:rPr>
        <w:t>HJ991-2018</w:t>
      </w:r>
      <w:r>
        <w:rPr/>
        <w:t>）中公式计算烟尘、二氧化硫和氮氧化物排放量。</w:t>
      </w:r>
    </w:p>
    <w:p>
      <w:pPr>
        <w:pStyle w:val="BodyText"/>
        <w:spacing w:line="306" w:lineRule="exact"/>
        <w:ind w:left="958"/>
      </w:pPr>
      <w:r>
        <w:rPr/>
        <w:t>a 烟尘</w:t>
      </w:r>
    </w:p>
    <w:p>
      <w:pPr>
        <w:pStyle w:val="BodyText"/>
        <w:spacing w:before="2"/>
        <w:rPr>
          <w:sz w:val="9"/>
        </w:rPr>
      </w:pPr>
      <w:r>
        <w:rPr/>
        <w:drawing>
          <wp:anchor distT="0" distB="0" distL="0" distR="0" allowOverlap="1" layoutInCell="1" locked="0" behindDoc="0" simplePos="0" relativeHeight="14">
            <wp:simplePos x="0" y="0"/>
            <wp:positionH relativeFrom="page">
              <wp:posOffset>2580132</wp:posOffset>
            </wp:positionH>
            <wp:positionV relativeFrom="paragraph">
              <wp:posOffset>99377</wp:posOffset>
            </wp:positionV>
            <wp:extent cx="2513694" cy="990600"/>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8" cstate="print"/>
                    <a:stretch>
                      <a:fillRect/>
                    </a:stretch>
                  </pic:blipFill>
                  <pic:spPr>
                    <a:xfrm>
                      <a:off x="0" y="0"/>
                      <a:ext cx="2513694" cy="990600"/>
                    </a:xfrm>
                    <a:prstGeom prst="rect">
                      <a:avLst/>
                    </a:prstGeom>
                  </pic:spPr>
                </pic:pic>
              </a:graphicData>
            </a:graphic>
          </wp:anchor>
        </w:drawing>
      </w:r>
    </w:p>
    <w:p>
      <w:pPr>
        <w:pStyle w:val="BodyText"/>
        <w:spacing w:before="211"/>
        <w:ind w:left="95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pStyle w:val="BodyText"/>
        <w:spacing w:before="159"/>
        <w:ind w:left="958"/>
      </w:pPr>
      <w:r>
        <w:rPr>
          <w:rFonts w:ascii="Times New Roman" w:hAnsi="Times New Roman" w:eastAsia="Times New Roman"/>
        </w:rPr>
        <w:t>R—</w:t>
      </w:r>
      <w:r>
        <w:rPr/>
        <w:t>核算时段内锅炉燃料耗量，</w:t>
      </w:r>
      <w:r>
        <w:rPr>
          <w:rFonts w:ascii="Times New Roman" w:hAnsi="Times New Roman" w:eastAsia="Times New Roman"/>
        </w:rPr>
        <w:t>t</w:t>
      </w:r>
      <w:r>
        <w:rPr/>
        <w:t>；</w:t>
      </w:r>
    </w:p>
    <w:p>
      <w:pPr>
        <w:pStyle w:val="BodyText"/>
        <w:spacing w:line="364" w:lineRule="auto" w:before="155"/>
        <w:ind w:left="958" w:right="4757"/>
      </w:pP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position w:val="2"/>
          <w:vertAlign w:val="baseline"/>
        </w:rPr>
        <w:t>综合除尘效率，本次预测取 </w:t>
      </w:r>
      <w:r>
        <w:rPr>
          <w:rFonts w:ascii="Times New Roman" w:hAnsi="Times New Roman" w:eastAsia="Times New Roman"/>
          <w:position w:val="2"/>
          <w:vertAlign w:val="baseline"/>
        </w:rPr>
        <w:t>99.9%</w:t>
      </w:r>
      <w:r>
        <w:rPr>
          <w:position w:val="2"/>
          <w:vertAlign w:val="baseline"/>
        </w:rPr>
        <w:t>； </w:t>
      </w:r>
      <w:r>
        <w:rPr>
          <w:rFonts w:ascii="Times New Roman" w:hAnsi="Times New Roman" w:eastAsia="Times New Roman"/>
          <w:vertAlign w:val="baseline"/>
        </w:rPr>
        <w:t>Aar—</w:t>
      </w:r>
      <w:r>
        <w:rPr>
          <w:vertAlign w:val="baseline"/>
        </w:rPr>
        <w:t>收到基灰分的质量分数，</w:t>
      </w:r>
      <w:r>
        <w:rPr>
          <w:rFonts w:ascii="Times New Roman" w:hAnsi="Times New Roman" w:eastAsia="Times New Roman"/>
          <w:vertAlign w:val="baseline"/>
        </w:rPr>
        <w:t>%</w:t>
      </w:r>
      <w:r>
        <w:rPr>
          <w:vertAlign w:val="baseline"/>
        </w:rPr>
        <w:t>；</w:t>
      </w:r>
    </w:p>
    <w:p>
      <w:pPr>
        <w:pStyle w:val="BodyText"/>
        <w:spacing w:line="362" w:lineRule="auto"/>
        <w:ind w:left="958" w:right="3242"/>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，本次预测取 </w:t>
      </w:r>
      <w:r>
        <w:rPr>
          <w:rFonts w:ascii="Times New Roman" w:hAnsi="Times New Roman" w:eastAsia="Times New Roman"/>
          <w:position w:val="2"/>
          <w:vertAlign w:val="baseline"/>
        </w:rPr>
        <w:t>45%</w:t>
      </w:r>
      <w:r>
        <w:rPr>
          <w:position w:val="2"/>
          <w:vertAlign w:val="baseline"/>
        </w:rPr>
        <w:t>； </w:t>
      </w:r>
      <w:r>
        <w:rPr>
          <w:rFonts w:ascii="Times New Roman" w:hAnsi="Times New Roman" w:eastAsia="Times New Roman"/>
          <w:position w:val="2"/>
          <w:vertAlign w:val="baseline"/>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，本次取 </w:t>
      </w:r>
      <w:r>
        <w:rPr>
          <w:rFonts w:ascii="Times New Roman" w:hAnsi="Times New Roman" w:eastAsia="Times New Roman"/>
          <w:position w:val="2"/>
          <w:vertAlign w:val="baseline"/>
        </w:rPr>
        <w:t>15%</w:t>
      </w:r>
      <w:r>
        <w:rPr>
          <w:position w:val="2"/>
          <w:vertAlign w:val="baseline"/>
        </w:rPr>
        <w:t>；</w:t>
      </w:r>
    </w:p>
    <w:p>
      <w:pPr>
        <w:pStyle w:val="BodyText"/>
        <w:spacing w:line="307" w:lineRule="exact"/>
        <w:ind w:left="958"/>
      </w:pPr>
      <w:r>
        <w:rPr>
          <w:rFonts w:ascii="Times New Roman" w:eastAsia="Times New Roman"/>
        </w:rPr>
        <w:t>b </w:t>
      </w:r>
      <w:r>
        <w:rPr/>
        <w:t>二氧化硫</w:t>
      </w:r>
    </w:p>
    <w:p>
      <w:pPr>
        <w:pStyle w:val="BodyText"/>
        <w:spacing w:before="12"/>
        <w:rPr>
          <w:sz w:val="8"/>
        </w:rPr>
      </w:pPr>
      <w:r>
        <w:rPr/>
        <w:drawing>
          <wp:anchor distT="0" distB="0" distL="0" distR="0" allowOverlap="1" layoutInCell="1" locked="0" behindDoc="0" simplePos="0" relativeHeight="15">
            <wp:simplePos x="0" y="0"/>
            <wp:positionH relativeFrom="page">
              <wp:posOffset>2285771</wp:posOffset>
            </wp:positionH>
            <wp:positionV relativeFrom="paragraph">
              <wp:posOffset>97962</wp:posOffset>
            </wp:positionV>
            <wp:extent cx="3356848" cy="557784"/>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9" cstate="print"/>
                    <a:stretch>
                      <a:fillRect/>
                    </a:stretch>
                  </pic:blipFill>
                  <pic:spPr>
                    <a:xfrm>
                      <a:off x="0" y="0"/>
                      <a:ext cx="3356848" cy="557784"/>
                    </a:xfrm>
                    <a:prstGeom prst="rect">
                      <a:avLst/>
                    </a:prstGeom>
                  </pic:spPr>
                </pic:pic>
              </a:graphicData>
            </a:graphic>
          </wp:anchor>
        </w:drawing>
      </w:r>
    </w:p>
    <w:p>
      <w:pPr>
        <w:pStyle w:val="BodyText"/>
        <w:spacing w:before="103"/>
        <w:ind w:left="95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BodyText"/>
        <w:spacing w:line="362" w:lineRule="auto" w:before="157"/>
        <w:ind w:left="958" w:right="5465"/>
      </w:pPr>
      <w:r>
        <w:rPr>
          <w:rFonts w:ascii="Times New Roman" w:hAnsi="Times New Roman" w:eastAsia="Times New Roman"/>
        </w:rPr>
        <w:t>R—</w:t>
      </w:r>
      <w:r>
        <w:rPr/>
        <w:t>核算时段内锅炉燃料耗量，</w:t>
      </w:r>
      <w:r>
        <w:rPr>
          <w:rFonts w:ascii="Times New Roman" w:hAnsi="Times New Roman" w:eastAsia="Times New Roman"/>
        </w:rPr>
        <w:t>t</w:t>
      </w:r>
      <w:r>
        <w:rPr/>
        <w:t>；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BodyText"/>
        <w:spacing w:line="309" w:lineRule="exact"/>
        <w:ind w:left="958"/>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，本次取 </w:t>
      </w:r>
      <w:r>
        <w:rPr>
          <w:rFonts w:ascii="Times New Roman" w:hAnsi="Times New Roman" w:eastAsia="Times New Roman"/>
          <w:position w:val="2"/>
          <w:vertAlign w:val="baseline"/>
        </w:rPr>
        <w:t>10%</w:t>
      </w:r>
      <w:r>
        <w:rPr>
          <w:position w:val="2"/>
          <w:vertAlign w:val="baseline"/>
        </w:rPr>
        <w:t>；</w:t>
      </w:r>
    </w:p>
    <w:p>
      <w:pPr>
        <w:spacing w:after="0" w:line="309" w:lineRule="exact"/>
        <w:sectPr>
          <w:pgSz w:w="11910" w:h="16840"/>
          <w:pgMar w:header="0" w:footer="993" w:top="1340" w:bottom="1180" w:left="940" w:right="940"/>
        </w:sectPr>
      </w:pPr>
    </w:p>
    <w:p>
      <w:pPr>
        <w:pStyle w:val="BodyText"/>
        <w:spacing w:before="58"/>
        <w:ind w:left="958"/>
      </w:pPr>
      <w:r>
        <w:rPr>
          <w:rFonts w:ascii="Times New Roman" w:hAnsi="Times New Roman" w:eastAsia="Times New Roman"/>
          <w:position w:val="2"/>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position w:val="2"/>
          <w:vertAlign w:val="baseline"/>
        </w:rPr>
        <w:t>，本次取 </w:t>
      </w:r>
      <w:r>
        <w:rPr>
          <w:rFonts w:ascii="Times New Roman" w:hAnsi="Times New Roman" w:eastAsia="Times New Roman"/>
          <w:position w:val="2"/>
          <w:vertAlign w:val="baseline"/>
        </w:rPr>
        <w:t>0.02%</w:t>
      </w:r>
      <w:r>
        <w:rPr>
          <w:position w:val="2"/>
          <w:vertAlign w:val="baseline"/>
        </w:rPr>
        <w:t>；</w:t>
      </w:r>
    </w:p>
    <w:p>
      <w:pPr>
        <w:pStyle w:val="BodyText"/>
        <w:spacing w:line="364" w:lineRule="auto" w:before="157"/>
        <w:ind w:left="958" w:right="2826"/>
      </w:pPr>
      <w:r>
        <w:rPr>
          <w:rFonts w:ascii="Times New Roman" w:hAnsi="Times New Roman" w:eastAsia="Times New Roman"/>
        </w:rPr>
        <w:t>K—</w:t>
      </w:r>
      <w:r>
        <w:rPr/>
        <w:t>燃料中硫燃烧后氧化成二氧化硫的份额，本次取 </w:t>
      </w:r>
      <w:r>
        <w:rPr>
          <w:rFonts w:ascii="Times New Roman" w:hAnsi="Times New Roman" w:eastAsia="Times New Roman"/>
        </w:rPr>
        <w:t>0.40</w:t>
      </w:r>
      <w:r>
        <w:rPr/>
        <w:t>。</w:t>
      </w:r>
      <w:r>
        <w:rPr>
          <w:rFonts w:ascii="Times New Roman" w:hAnsi="Times New Roman" w:eastAsia="Times New Roman"/>
        </w:rPr>
        <w:t>c </w:t>
      </w:r>
      <w:r>
        <w:rPr/>
        <w:t>氮氧化物</w:t>
      </w:r>
    </w:p>
    <w:p>
      <w:pPr>
        <w:pStyle w:val="BodyText"/>
        <w:ind w:left="2528"/>
        <w:rPr>
          <w:sz w:val="20"/>
        </w:rPr>
      </w:pPr>
      <w:r>
        <w:rPr>
          <w:sz w:val="20"/>
        </w:rPr>
        <w:drawing>
          <wp:inline distT="0" distB="0" distL="0" distR="0">
            <wp:extent cx="3062352" cy="606266"/>
            <wp:effectExtent l="0" t="0" r="0" b="0"/>
            <wp:docPr id="13" name="image9.jpeg"/>
            <wp:cNvGraphicFramePr>
              <a:graphicFrameLocks noChangeAspect="1"/>
            </wp:cNvGraphicFramePr>
            <a:graphic>
              <a:graphicData uri="http://schemas.openxmlformats.org/drawingml/2006/picture">
                <pic:pic>
                  <pic:nvPicPr>
                    <pic:cNvPr id="14" name="image9.jpeg"/>
                    <pic:cNvPicPr/>
                  </pic:nvPicPr>
                  <pic:blipFill>
                    <a:blip r:embed="rId20" cstate="print"/>
                    <a:stretch>
                      <a:fillRect/>
                    </a:stretch>
                  </pic:blipFill>
                  <pic:spPr>
                    <a:xfrm>
                      <a:off x="0" y="0"/>
                      <a:ext cx="3062352" cy="606266"/>
                    </a:xfrm>
                    <a:prstGeom prst="rect">
                      <a:avLst/>
                    </a:prstGeom>
                  </pic:spPr>
                </pic:pic>
              </a:graphicData>
            </a:graphic>
          </wp:inline>
        </w:drawing>
      </w:r>
      <w:r>
        <w:rPr>
          <w:sz w:val="20"/>
        </w:rPr>
      </w:r>
    </w:p>
    <w:p>
      <w:pPr>
        <w:pStyle w:val="BodyText"/>
        <w:spacing w:before="137"/>
        <w:ind w:left="95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BodyText"/>
        <w:spacing w:line="362" w:lineRule="auto" w:before="156"/>
        <w:ind w:left="958" w:right="1440"/>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8"/>
          <w:position w:val="2"/>
          <w:vertAlign w:val="baseline"/>
        </w:rPr>
        <w:t>锅炉炉膛出口 </w:t>
      </w:r>
      <w:r>
        <w:rPr>
          <w:rFonts w:ascii="Times New Roman" w:hAnsi="Times New Roman" w:eastAsia="Times New Roman"/>
          <w:position w:val="2"/>
          <w:vertAlign w:val="baseline"/>
        </w:rPr>
        <w:t>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spacing w:val="-8"/>
          <w:position w:val="2"/>
          <w:vertAlign w:val="baseline"/>
        </w:rPr>
        <w:t>，本次预测取 </w:t>
      </w:r>
      <w:r>
        <w:rPr>
          <w:rFonts w:ascii="Times New Roman" w:hAnsi="Times New Roman" w:eastAsia="Times New Roman"/>
          <w:spacing w:val="-4"/>
          <w:position w:val="2"/>
          <w:vertAlign w:val="baseline"/>
        </w:rPr>
        <w:t>200mg/m</w:t>
      </w:r>
      <w:r>
        <w:rPr>
          <w:rFonts w:ascii="Times New Roman" w:hAnsi="Times New Roman" w:eastAsia="Times New Roman"/>
          <w:spacing w:val="-4"/>
          <w:position w:val="2"/>
          <w:vertAlign w:val="superscript"/>
        </w:rPr>
        <w:t>3</w:t>
      </w:r>
      <w:r>
        <w:rPr>
          <w:spacing w:val="-4"/>
          <w:position w:val="2"/>
          <w:vertAlign w:val="baseline"/>
        </w:rPr>
        <w:t>；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BodyText"/>
        <w:spacing w:line="364" w:lineRule="auto" w:before="1"/>
        <w:ind w:left="958" w:right="6759"/>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脱销效率，</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vertAlign w:val="baseline"/>
        </w:rPr>
        <w:t>d</w:t>
      </w:r>
      <w:r>
        <w:rPr>
          <w:vertAlign w:val="baseline"/>
        </w:rPr>
        <w:t>烟气量</w:t>
      </w:r>
    </w:p>
    <w:p>
      <w:pPr>
        <w:pStyle w:val="BodyText"/>
        <w:spacing w:line="362" w:lineRule="auto"/>
        <w:ind w:left="478" w:right="561" w:firstLine="480"/>
      </w:pPr>
      <w:r>
        <w:rPr/>
        <w:t>根据《污染源源强核算技术指南 锅炉》（</w:t>
      </w:r>
      <w:r>
        <w:rPr>
          <w:rFonts w:ascii="Times New Roman" w:eastAsia="Times New Roman"/>
        </w:rPr>
        <w:t>HJ991-2018</w:t>
      </w:r>
      <w:r>
        <w:rPr/>
        <w:t>），没有元素分析时干烟气排放量的经验公式计算参照</w:t>
      </w:r>
      <w:r>
        <w:rPr>
          <w:rFonts w:ascii="Times New Roman" w:eastAsia="Times New Roman"/>
        </w:rPr>
        <w:t>HJ953</w:t>
      </w:r>
      <w:r>
        <w:rPr/>
        <w:t>，根据《排污许可证申请与核发技术规范 锅炉》</w:t>
      </w:r>
    </w:p>
    <w:p>
      <w:pPr>
        <w:pStyle w:val="BodyText"/>
        <w:spacing w:line="362" w:lineRule="auto" w:before="2"/>
        <w:ind w:left="478" w:right="411"/>
      </w:pPr>
      <w:r>
        <w:rPr/>
        <w:drawing>
          <wp:anchor distT="0" distB="0" distL="0" distR="0" allowOverlap="1" layoutInCell="1" locked="0" behindDoc="0" simplePos="0" relativeHeight="16">
            <wp:simplePos x="0" y="0"/>
            <wp:positionH relativeFrom="page">
              <wp:posOffset>2412511</wp:posOffset>
            </wp:positionH>
            <wp:positionV relativeFrom="paragraph">
              <wp:posOffset>669683</wp:posOffset>
            </wp:positionV>
            <wp:extent cx="2667334" cy="304800"/>
            <wp:effectExtent l="0" t="0" r="0" b="0"/>
            <wp:wrapTopAndBottom/>
            <wp:docPr id="15" name="image10.jpeg"/>
            <wp:cNvGraphicFramePr>
              <a:graphicFrameLocks noChangeAspect="1"/>
            </wp:cNvGraphicFramePr>
            <a:graphic>
              <a:graphicData uri="http://schemas.openxmlformats.org/drawingml/2006/picture">
                <pic:pic>
                  <pic:nvPicPr>
                    <pic:cNvPr id="16" name="image10.jpeg"/>
                    <pic:cNvPicPr/>
                  </pic:nvPicPr>
                  <pic:blipFill>
                    <a:blip r:embed="rId21" cstate="print"/>
                    <a:stretch>
                      <a:fillRect/>
                    </a:stretch>
                  </pic:blipFill>
                  <pic:spPr>
                    <a:xfrm>
                      <a:off x="0" y="0"/>
                      <a:ext cx="2667334" cy="304800"/>
                    </a:xfrm>
                    <a:prstGeom prst="rect">
                      <a:avLst/>
                    </a:prstGeom>
                  </pic:spPr>
                </pic:pic>
              </a:graphicData>
            </a:graphic>
          </wp:anchor>
        </w:drawing>
      </w:r>
      <w:r>
        <w:rPr/>
        <w:t>（</w:t>
      </w:r>
      <w:r>
        <w:rPr>
          <w:rFonts w:ascii="Times New Roman" w:hAnsi="Times New Roman" w:eastAsia="Times New Roman"/>
        </w:rPr>
        <w:t>HJ953-2018</w:t>
      </w:r>
      <w:r>
        <w:rPr/>
        <w:t>），燃生物质锅炉</w:t>
      </w:r>
      <w:r>
        <w:rPr>
          <w:rFonts w:ascii="Times New Roman" w:hAnsi="Times New Roman" w:eastAsia="Times New Roman"/>
        </w:rPr>
        <w:t>Qnet</w:t>
      </w:r>
      <w:r>
        <w:rPr/>
        <w:t>，</w:t>
      </w:r>
      <w:r>
        <w:rPr>
          <w:rFonts w:ascii="Times New Roman" w:hAnsi="Times New Roman" w:eastAsia="Times New Roman"/>
        </w:rPr>
        <w:t>ar</w:t>
      </w:r>
      <w:r>
        <w:rPr/>
        <w:t>≥</w:t>
      </w:r>
      <w:r>
        <w:rPr>
          <w:rFonts w:ascii="Times New Roman" w:hAnsi="Times New Roman" w:eastAsia="Times New Roman"/>
        </w:rPr>
        <w:t>12.54MJ/kg</w:t>
      </w:r>
      <w:r>
        <w:rPr/>
        <w:t>且</w:t>
      </w:r>
      <w:r>
        <w:rPr>
          <w:rFonts w:ascii="Times New Roman" w:hAnsi="Times New Roman" w:eastAsia="Times New Roman"/>
        </w:rPr>
        <w:t>V</w:t>
      </w:r>
      <w:r>
        <w:rPr/>
        <w:t>≥</w:t>
      </w:r>
      <w:r>
        <w:rPr>
          <w:rFonts w:ascii="Times New Roman" w:hAnsi="Times New Roman" w:eastAsia="Times New Roman"/>
        </w:rPr>
        <w:t>15%</w:t>
      </w:r>
      <w:r>
        <w:rPr/>
        <w:t>时基准烟气量经验公式为</w:t>
      </w:r>
    </w:p>
    <w:p>
      <w:pPr>
        <w:pStyle w:val="BodyText"/>
        <w:spacing w:line="362" w:lineRule="auto" w:before="108"/>
        <w:ind w:left="958" w:right="5303"/>
      </w:pPr>
      <w:r>
        <w:rPr>
          <w:position w:val="2"/>
        </w:rPr>
        <w:t>式中：</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w:t>
      </w:r>
      <w:r>
        <w:rPr>
          <w:vertAlign w:val="baseline"/>
        </w:rPr>
        <w:t>本项目生物质分析报告见表 </w:t>
      </w:r>
      <w:r>
        <w:rPr>
          <w:rFonts w:ascii="Times New Roman" w:hAnsi="Times New Roman" w:eastAsia="Times New Roman"/>
          <w:vertAlign w:val="baseline"/>
        </w:rPr>
        <w:t>3.4-2</w:t>
      </w:r>
      <w:r>
        <w:rPr>
          <w:vertAlign w:val="baseline"/>
        </w:rPr>
        <w:t>。</w:t>
      </w:r>
    </w:p>
    <w:p>
      <w:pPr>
        <w:pStyle w:val="Heading4"/>
        <w:tabs>
          <w:tab w:pos="1046" w:val="left" w:leader="none"/>
        </w:tabs>
        <w:spacing w:before="3"/>
        <w:ind w:left="7"/>
        <w:jc w:val="center"/>
      </w:pPr>
      <w:r>
        <w:rPr/>
        <w:t>表</w:t>
      </w:r>
      <w:r>
        <w:rPr>
          <w:spacing w:val="-62"/>
        </w:rPr>
        <w:t> </w:t>
      </w:r>
      <w:r>
        <w:rPr>
          <w:rFonts w:ascii="Times New Roman" w:eastAsia="Times New Roman"/>
        </w:rPr>
        <w:t>3.4-2</w:t>
        <w:tab/>
      </w:r>
      <w:r>
        <w:rPr/>
        <w:t>本项目生物质分析报告</w:t>
      </w: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9"/>
        <w:gridCol w:w="3709"/>
        <w:gridCol w:w="2136"/>
        <w:gridCol w:w="2322"/>
      </w:tblGrid>
      <w:tr>
        <w:trPr>
          <w:trHeight w:val="273" w:hRule="atLeast"/>
        </w:trPr>
        <w:tc>
          <w:tcPr>
            <w:tcW w:w="1119" w:type="dxa"/>
          </w:tcPr>
          <w:p>
            <w:pPr>
              <w:pStyle w:val="TableParagraph"/>
              <w:spacing w:line="251" w:lineRule="exact" w:before="2"/>
              <w:ind w:left="327" w:right="320"/>
              <w:rPr>
                <w:b/>
                <w:sz w:val="21"/>
              </w:rPr>
            </w:pPr>
            <w:r>
              <w:rPr>
                <w:b/>
                <w:sz w:val="21"/>
              </w:rPr>
              <w:t>序号</w:t>
            </w:r>
          </w:p>
        </w:tc>
        <w:tc>
          <w:tcPr>
            <w:tcW w:w="3709" w:type="dxa"/>
          </w:tcPr>
          <w:p>
            <w:pPr>
              <w:pStyle w:val="TableParagraph"/>
              <w:spacing w:line="251" w:lineRule="exact" w:before="2"/>
              <w:ind w:left="1412" w:right="1402"/>
              <w:rPr>
                <w:b/>
                <w:sz w:val="21"/>
              </w:rPr>
            </w:pPr>
            <w:r>
              <w:rPr>
                <w:b/>
                <w:sz w:val="21"/>
              </w:rPr>
              <w:t>检测项目</w:t>
            </w:r>
          </w:p>
        </w:tc>
        <w:tc>
          <w:tcPr>
            <w:tcW w:w="2136" w:type="dxa"/>
          </w:tcPr>
          <w:p>
            <w:pPr>
              <w:pStyle w:val="TableParagraph"/>
              <w:spacing w:line="251" w:lineRule="exact" w:before="2"/>
              <w:ind w:left="778" w:right="769"/>
              <w:rPr>
                <w:b/>
                <w:sz w:val="21"/>
              </w:rPr>
            </w:pPr>
            <w:r>
              <w:rPr>
                <w:b/>
                <w:sz w:val="21"/>
              </w:rPr>
              <w:t>单位</w:t>
            </w:r>
          </w:p>
        </w:tc>
        <w:tc>
          <w:tcPr>
            <w:tcW w:w="2322" w:type="dxa"/>
          </w:tcPr>
          <w:p>
            <w:pPr>
              <w:pStyle w:val="TableParagraph"/>
              <w:spacing w:line="251" w:lineRule="exact" w:before="2"/>
              <w:ind w:left="693" w:right="683"/>
              <w:rPr>
                <w:b/>
                <w:sz w:val="21"/>
              </w:rPr>
            </w:pPr>
            <w:r>
              <w:rPr>
                <w:b/>
                <w:sz w:val="21"/>
              </w:rPr>
              <w:t>检测结果</w:t>
            </w:r>
          </w:p>
        </w:tc>
      </w:tr>
      <w:tr>
        <w:trPr>
          <w:trHeight w:val="272" w:hRule="atLeast"/>
        </w:trPr>
        <w:tc>
          <w:tcPr>
            <w:tcW w:w="1119" w:type="dxa"/>
          </w:tcPr>
          <w:p>
            <w:pPr>
              <w:pStyle w:val="TableParagraph"/>
              <w:spacing w:line="238" w:lineRule="exact" w:before="14"/>
              <w:ind w:left="8"/>
              <w:rPr>
                <w:rFonts w:ascii="Times New Roman"/>
                <w:sz w:val="21"/>
              </w:rPr>
            </w:pPr>
            <w:r>
              <w:rPr>
                <w:rFonts w:ascii="Times New Roman"/>
                <w:w w:val="99"/>
                <w:sz w:val="21"/>
              </w:rPr>
              <w:t>1</w:t>
            </w:r>
          </w:p>
        </w:tc>
        <w:tc>
          <w:tcPr>
            <w:tcW w:w="3709" w:type="dxa"/>
          </w:tcPr>
          <w:p>
            <w:pPr>
              <w:pStyle w:val="TableParagraph"/>
              <w:spacing w:line="252" w:lineRule="exact"/>
              <w:ind w:left="1206"/>
              <w:jc w:val="left"/>
              <w:rPr>
                <w:sz w:val="21"/>
              </w:rPr>
            </w:pPr>
            <w:r>
              <w:rPr>
                <w:sz w:val="21"/>
              </w:rPr>
              <w:t>全水分（</w:t>
            </w:r>
            <w:r>
              <w:rPr>
                <w:rFonts w:ascii="Times New Roman" w:eastAsia="Times New Roman"/>
                <w:sz w:val="21"/>
              </w:rPr>
              <w:t>Mt</w:t>
            </w:r>
            <w:r>
              <w:rPr>
                <w:sz w:val="21"/>
              </w:rPr>
              <w:t>）</w:t>
            </w:r>
          </w:p>
        </w:tc>
        <w:tc>
          <w:tcPr>
            <w:tcW w:w="2136" w:type="dxa"/>
          </w:tcPr>
          <w:p>
            <w:pPr>
              <w:pStyle w:val="TableParagraph"/>
              <w:spacing w:line="238" w:lineRule="exact" w:before="14"/>
              <w:ind w:left="8"/>
              <w:rPr>
                <w:rFonts w:ascii="Times New Roman"/>
                <w:sz w:val="21"/>
              </w:rPr>
            </w:pPr>
            <w:r>
              <w:rPr>
                <w:rFonts w:ascii="Times New Roman"/>
                <w:w w:val="99"/>
                <w:sz w:val="21"/>
              </w:rPr>
              <w:t>%</w:t>
            </w:r>
          </w:p>
        </w:tc>
        <w:tc>
          <w:tcPr>
            <w:tcW w:w="2322" w:type="dxa"/>
          </w:tcPr>
          <w:p>
            <w:pPr>
              <w:pStyle w:val="TableParagraph"/>
              <w:spacing w:line="238" w:lineRule="exact" w:before="14"/>
              <w:ind w:left="693" w:right="684"/>
              <w:rPr>
                <w:rFonts w:ascii="Times New Roman"/>
                <w:sz w:val="21"/>
              </w:rPr>
            </w:pPr>
            <w:r>
              <w:rPr>
                <w:rFonts w:ascii="Times New Roman"/>
                <w:sz w:val="21"/>
              </w:rPr>
              <w:t>8.88</w:t>
            </w:r>
          </w:p>
        </w:tc>
      </w:tr>
      <w:tr>
        <w:trPr>
          <w:trHeight w:val="272" w:hRule="atLeast"/>
        </w:trPr>
        <w:tc>
          <w:tcPr>
            <w:tcW w:w="1119" w:type="dxa"/>
          </w:tcPr>
          <w:p>
            <w:pPr>
              <w:pStyle w:val="TableParagraph"/>
              <w:spacing w:line="238" w:lineRule="exact" w:before="15"/>
              <w:ind w:left="8"/>
              <w:rPr>
                <w:rFonts w:ascii="Times New Roman"/>
                <w:sz w:val="21"/>
              </w:rPr>
            </w:pPr>
            <w:r>
              <w:rPr>
                <w:rFonts w:ascii="Times New Roman"/>
                <w:w w:val="99"/>
                <w:sz w:val="21"/>
              </w:rPr>
              <w:t>2</w:t>
            </w:r>
          </w:p>
        </w:tc>
        <w:tc>
          <w:tcPr>
            <w:tcW w:w="3709" w:type="dxa"/>
          </w:tcPr>
          <w:p>
            <w:pPr>
              <w:pStyle w:val="TableParagraph"/>
              <w:spacing w:line="252" w:lineRule="exact" w:before="1"/>
              <w:ind w:left="717"/>
              <w:jc w:val="left"/>
              <w:rPr>
                <w:sz w:val="21"/>
              </w:rPr>
            </w:pPr>
            <w:r>
              <w:rPr>
                <w:sz w:val="21"/>
              </w:rPr>
              <w:t>空气干燥基水分（</w:t>
            </w:r>
            <w:r>
              <w:rPr>
                <w:rFonts w:ascii="Times New Roman" w:eastAsia="Times New Roman"/>
                <w:sz w:val="21"/>
              </w:rPr>
              <w:t>Mad</w:t>
            </w:r>
            <w:r>
              <w:rPr>
                <w:sz w:val="21"/>
              </w:rPr>
              <w:t>）</w:t>
            </w:r>
          </w:p>
        </w:tc>
        <w:tc>
          <w:tcPr>
            <w:tcW w:w="2136" w:type="dxa"/>
          </w:tcPr>
          <w:p>
            <w:pPr>
              <w:pStyle w:val="TableParagraph"/>
              <w:spacing w:line="238" w:lineRule="exact" w:before="15"/>
              <w:ind w:left="8"/>
              <w:rPr>
                <w:rFonts w:ascii="Times New Roman"/>
                <w:sz w:val="21"/>
              </w:rPr>
            </w:pPr>
            <w:r>
              <w:rPr>
                <w:rFonts w:ascii="Times New Roman"/>
                <w:w w:val="99"/>
                <w:sz w:val="21"/>
              </w:rPr>
              <w:t>%</w:t>
            </w:r>
          </w:p>
        </w:tc>
        <w:tc>
          <w:tcPr>
            <w:tcW w:w="2322" w:type="dxa"/>
          </w:tcPr>
          <w:p>
            <w:pPr>
              <w:pStyle w:val="TableParagraph"/>
              <w:spacing w:line="238" w:lineRule="exact" w:before="15"/>
              <w:ind w:left="693" w:right="684"/>
              <w:rPr>
                <w:rFonts w:ascii="Times New Roman"/>
                <w:sz w:val="21"/>
              </w:rPr>
            </w:pPr>
            <w:r>
              <w:rPr>
                <w:rFonts w:ascii="Times New Roman"/>
                <w:sz w:val="21"/>
              </w:rPr>
              <w:t>8.88</w:t>
            </w:r>
          </w:p>
        </w:tc>
      </w:tr>
      <w:tr>
        <w:trPr>
          <w:trHeight w:val="272" w:hRule="atLeast"/>
        </w:trPr>
        <w:tc>
          <w:tcPr>
            <w:tcW w:w="1119" w:type="dxa"/>
          </w:tcPr>
          <w:p>
            <w:pPr>
              <w:pStyle w:val="TableParagraph"/>
              <w:spacing w:line="239" w:lineRule="exact" w:before="13"/>
              <w:ind w:left="8"/>
              <w:rPr>
                <w:rFonts w:ascii="Times New Roman"/>
                <w:sz w:val="21"/>
              </w:rPr>
            </w:pPr>
            <w:r>
              <w:rPr>
                <w:rFonts w:ascii="Times New Roman"/>
                <w:w w:val="99"/>
                <w:sz w:val="21"/>
              </w:rPr>
              <w:t>3</w:t>
            </w:r>
          </w:p>
        </w:tc>
        <w:tc>
          <w:tcPr>
            <w:tcW w:w="3709" w:type="dxa"/>
          </w:tcPr>
          <w:p>
            <w:pPr>
              <w:pStyle w:val="TableParagraph"/>
              <w:spacing w:line="252" w:lineRule="exact"/>
              <w:ind w:left="990"/>
              <w:jc w:val="left"/>
              <w:rPr>
                <w:sz w:val="21"/>
              </w:rPr>
            </w:pPr>
            <w:r>
              <w:rPr>
                <w:sz w:val="21"/>
              </w:rPr>
              <w:t>干燥基灰分（</w:t>
            </w:r>
            <w:r>
              <w:rPr>
                <w:rFonts w:ascii="Times New Roman" w:eastAsia="Times New Roman"/>
                <w:sz w:val="21"/>
              </w:rPr>
              <w:t>Ad</w:t>
            </w:r>
            <w:r>
              <w:rPr>
                <w:sz w:val="21"/>
              </w:rPr>
              <w:t>）</w:t>
            </w:r>
          </w:p>
        </w:tc>
        <w:tc>
          <w:tcPr>
            <w:tcW w:w="2136" w:type="dxa"/>
          </w:tcPr>
          <w:p>
            <w:pPr>
              <w:pStyle w:val="TableParagraph"/>
              <w:spacing w:line="239" w:lineRule="exact" w:before="13"/>
              <w:ind w:left="8"/>
              <w:rPr>
                <w:rFonts w:ascii="Times New Roman"/>
                <w:sz w:val="21"/>
              </w:rPr>
            </w:pPr>
            <w:r>
              <w:rPr>
                <w:rFonts w:ascii="Times New Roman"/>
                <w:w w:val="99"/>
                <w:sz w:val="21"/>
              </w:rPr>
              <w:t>%</w:t>
            </w:r>
          </w:p>
        </w:tc>
        <w:tc>
          <w:tcPr>
            <w:tcW w:w="2322" w:type="dxa"/>
          </w:tcPr>
          <w:p>
            <w:pPr>
              <w:pStyle w:val="TableParagraph"/>
              <w:spacing w:line="239" w:lineRule="exact" w:before="13"/>
              <w:ind w:left="693" w:right="681"/>
              <w:rPr>
                <w:rFonts w:ascii="Times New Roman"/>
                <w:sz w:val="21"/>
              </w:rPr>
            </w:pPr>
            <w:r>
              <w:rPr>
                <w:rFonts w:ascii="Times New Roman"/>
                <w:sz w:val="21"/>
              </w:rPr>
              <w:t>16.97</w:t>
            </w:r>
          </w:p>
        </w:tc>
      </w:tr>
      <w:tr>
        <w:trPr>
          <w:trHeight w:val="271" w:hRule="atLeast"/>
        </w:trPr>
        <w:tc>
          <w:tcPr>
            <w:tcW w:w="1119" w:type="dxa"/>
          </w:tcPr>
          <w:p>
            <w:pPr>
              <w:pStyle w:val="TableParagraph"/>
              <w:spacing w:line="238" w:lineRule="exact" w:before="14"/>
              <w:ind w:left="8"/>
              <w:rPr>
                <w:rFonts w:ascii="Times New Roman"/>
                <w:sz w:val="21"/>
              </w:rPr>
            </w:pPr>
            <w:r>
              <w:rPr>
                <w:rFonts w:ascii="Times New Roman"/>
                <w:w w:val="99"/>
                <w:sz w:val="21"/>
              </w:rPr>
              <w:t>4</w:t>
            </w:r>
          </w:p>
        </w:tc>
        <w:tc>
          <w:tcPr>
            <w:tcW w:w="3709" w:type="dxa"/>
          </w:tcPr>
          <w:p>
            <w:pPr>
              <w:pStyle w:val="TableParagraph"/>
              <w:spacing w:line="252" w:lineRule="exact"/>
              <w:ind w:left="107"/>
              <w:jc w:val="left"/>
              <w:rPr>
                <w:sz w:val="21"/>
              </w:rPr>
            </w:pPr>
            <w:r>
              <w:rPr>
                <w:sz w:val="21"/>
              </w:rPr>
              <w:t>干燥无灰基挥发分（</w:t>
            </w:r>
            <w:r>
              <w:rPr>
                <w:rFonts w:ascii="Times New Roman" w:eastAsia="Times New Roman"/>
                <w:sz w:val="21"/>
              </w:rPr>
              <w:t>Vdaf</w:t>
            </w:r>
            <w:r>
              <w:rPr>
                <w:sz w:val="21"/>
              </w:rPr>
              <w:t>）</w:t>
            </w:r>
          </w:p>
        </w:tc>
        <w:tc>
          <w:tcPr>
            <w:tcW w:w="2136" w:type="dxa"/>
          </w:tcPr>
          <w:p>
            <w:pPr>
              <w:pStyle w:val="TableParagraph"/>
              <w:spacing w:line="238" w:lineRule="exact" w:before="14"/>
              <w:ind w:left="8"/>
              <w:rPr>
                <w:rFonts w:ascii="Times New Roman"/>
                <w:sz w:val="21"/>
              </w:rPr>
            </w:pPr>
            <w:r>
              <w:rPr>
                <w:rFonts w:ascii="Times New Roman"/>
                <w:w w:val="99"/>
                <w:sz w:val="21"/>
              </w:rPr>
              <w:t>%</w:t>
            </w:r>
          </w:p>
        </w:tc>
        <w:tc>
          <w:tcPr>
            <w:tcW w:w="2322" w:type="dxa"/>
          </w:tcPr>
          <w:p>
            <w:pPr>
              <w:pStyle w:val="TableParagraph"/>
              <w:spacing w:line="238" w:lineRule="exact" w:before="14"/>
              <w:ind w:left="693" w:right="681"/>
              <w:rPr>
                <w:rFonts w:ascii="Times New Roman"/>
                <w:sz w:val="21"/>
              </w:rPr>
            </w:pPr>
            <w:r>
              <w:rPr>
                <w:rFonts w:ascii="Times New Roman"/>
                <w:sz w:val="21"/>
              </w:rPr>
              <w:t>79.80</w:t>
            </w:r>
          </w:p>
        </w:tc>
      </w:tr>
      <w:tr>
        <w:trPr>
          <w:trHeight w:val="273" w:hRule="atLeast"/>
        </w:trPr>
        <w:tc>
          <w:tcPr>
            <w:tcW w:w="1119" w:type="dxa"/>
          </w:tcPr>
          <w:p>
            <w:pPr>
              <w:pStyle w:val="TableParagraph"/>
              <w:spacing w:line="238" w:lineRule="exact" w:before="15"/>
              <w:ind w:left="8"/>
              <w:rPr>
                <w:rFonts w:ascii="Times New Roman"/>
                <w:sz w:val="21"/>
              </w:rPr>
            </w:pPr>
            <w:r>
              <w:rPr>
                <w:rFonts w:ascii="Times New Roman"/>
                <w:w w:val="99"/>
                <w:sz w:val="21"/>
              </w:rPr>
              <w:t>5</w:t>
            </w:r>
          </w:p>
        </w:tc>
        <w:tc>
          <w:tcPr>
            <w:tcW w:w="3709" w:type="dxa"/>
          </w:tcPr>
          <w:p>
            <w:pPr>
              <w:pStyle w:val="TableParagraph"/>
              <w:spacing w:line="252" w:lineRule="exact" w:before="1"/>
              <w:ind w:left="1084"/>
              <w:jc w:val="left"/>
              <w:rPr>
                <w:sz w:val="21"/>
              </w:rPr>
            </w:pPr>
            <w:r>
              <w:rPr>
                <w:sz w:val="21"/>
              </w:rPr>
              <w:t>粘结特性（</w:t>
            </w:r>
            <w:r>
              <w:rPr>
                <w:rFonts w:ascii="Times New Roman" w:eastAsia="Times New Roman"/>
                <w:sz w:val="21"/>
              </w:rPr>
              <w:t>1-8</w:t>
            </w:r>
            <w:r>
              <w:rPr>
                <w:sz w:val="21"/>
              </w:rPr>
              <w:t>）</w:t>
            </w:r>
          </w:p>
        </w:tc>
        <w:tc>
          <w:tcPr>
            <w:tcW w:w="2136" w:type="dxa"/>
          </w:tcPr>
          <w:p>
            <w:pPr>
              <w:pStyle w:val="TableParagraph"/>
              <w:spacing w:line="238" w:lineRule="exact" w:before="15"/>
              <w:ind w:left="7"/>
              <w:rPr>
                <w:rFonts w:ascii="Times New Roman"/>
                <w:sz w:val="21"/>
              </w:rPr>
            </w:pPr>
            <w:r>
              <w:rPr>
                <w:rFonts w:ascii="Times New Roman"/>
                <w:w w:val="99"/>
                <w:sz w:val="21"/>
              </w:rPr>
              <w:t>/</w:t>
            </w:r>
          </w:p>
        </w:tc>
        <w:tc>
          <w:tcPr>
            <w:tcW w:w="2322" w:type="dxa"/>
          </w:tcPr>
          <w:p>
            <w:pPr>
              <w:pStyle w:val="TableParagraph"/>
              <w:spacing w:line="238" w:lineRule="exact" w:before="15"/>
              <w:ind w:left="7"/>
              <w:rPr>
                <w:rFonts w:ascii="Times New Roman"/>
                <w:sz w:val="21"/>
              </w:rPr>
            </w:pPr>
            <w:r>
              <w:rPr>
                <w:rFonts w:ascii="Times New Roman"/>
                <w:w w:val="99"/>
                <w:sz w:val="21"/>
              </w:rPr>
              <w:t>2</w:t>
            </w:r>
          </w:p>
        </w:tc>
      </w:tr>
      <w:tr>
        <w:trPr>
          <w:trHeight w:val="271" w:hRule="atLeast"/>
        </w:trPr>
        <w:tc>
          <w:tcPr>
            <w:tcW w:w="1119" w:type="dxa"/>
          </w:tcPr>
          <w:p>
            <w:pPr>
              <w:pStyle w:val="TableParagraph"/>
              <w:spacing w:line="239" w:lineRule="exact" w:before="13"/>
              <w:ind w:left="8"/>
              <w:rPr>
                <w:rFonts w:ascii="Times New Roman"/>
                <w:sz w:val="21"/>
              </w:rPr>
            </w:pPr>
            <w:r>
              <w:rPr>
                <w:rFonts w:ascii="Times New Roman"/>
                <w:w w:val="99"/>
                <w:sz w:val="21"/>
              </w:rPr>
              <w:t>6</w:t>
            </w:r>
          </w:p>
        </w:tc>
        <w:tc>
          <w:tcPr>
            <w:tcW w:w="3709" w:type="dxa"/>
          </w:tcPr>
          <w:p>
            <w:pPr>
              <w:pStyle w:val="TableParagraph"/>
              <w:spacing w:line="252" w:lineRule="exact"/>
              <w:ind w:left="107" w:right="-15"/>
              <w:jc w:val="left"/>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Pr>
          <w:p>
            <w:pPr>
              <w:pStyle w:val="TableParagraph"/>
              <w:spacing w:line="239" w:lineRule="exact" w:before="13"/>
              <w:ind w:left="778" w:right="770"/>
              <w:rPr>
                <w:rFonts w:ascii="Times New Roman"/>
                <w:sz w:val="21"/>
              </w:rPr>
            </w:pPr>
            <w:r>
              <w:rPr>
                <w:rFonts w:ascii="Times New Roman"/>
                <w:sz w:val="21"/>
              </w:rPr>
              <w:t>MJ/kg</w:t>
            </w:r>
          </w:p>
        </w:tc>
        <w:tc>
          <w:tcPr>
            <w:tcW w:w="2322" w:type="dxa"/>
          </w:tcPr>
          <w:p>
            <w:pPr>
              <w:pStyle w:val="TableParagraph"/>
              <w:spacing w:line="239" w:lineRule="exact" w:before="13"/>
              <w:ind w:left="693" w:right="681"/>
              <w:rPr>
                <w:rFonts w:ascii="Times New Roman"/>
                <w:sz w:val="21"/>
              </w:rPr>
            </w:pPr>
            <w:r>
              <w:rPr>
                <w:rFonts w:ascii="Times New Roman"/>
                <w:sz w:val="21"/>
              </w:rPr>
              <w:t>15.21</w:t>
            </w:r>
          </w:p>
        </w:tc>
      </w:tr>
      <w:tr>
        <w:trPr>
          <w:trHeight w:val="272" w:hRule="atLeast"/>
        </w:trPr>
        <w:tc>
          <w:tcPr>
            <w:tcW w:w="1119" w:type="dxa"/>
          </w:tcPr>
          <w:p>
            <w:pPr>
              <w:pStyle w:val="TableParagraph"/>
              <w:spacing w:line="238" w:lineRule="exact" w:before="14"/>
              <w:ind w:left="8"/>
              <w:rPr>
                <w:rFonts w:ascii="Times New Roman"/>
                <w:sz w:val="21"/>
              </w:rPr>
            </w:pPr>
            <w:r>
              <w:rPr>
                <w:rFonts w:ascii="Times New Roman"/>
                <w:w w:val="99"/>
                <w:sz w:val="21"/>
              </w:rPr>
              <w:t>7</w:t>
            </w:r>
          </w:p>
        </w:tc>
        <w:tc>
          <w:tcPr>
            <w:tcW w:w="3709" w:type="dxa"/>
          </w:tcPr>
          <w:p>
            <w:pPr>
              <w:pStyle w:val="TableParagraph"/>
              <w:spacing w:line="252" w:lineRule="exact"/>
              <w:ind w:left="109" w:right="-15"/>
              <w:jc w:val="left"/>
              <w:rPr>
                <w:sz w:val="21"/>
              </w:rPr>
            </w:pPr>
            <w:r>
              <w:rPr>
                <w:spacing w:val="-1"/>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Pr>
          <w:p>
            <w:pPr>
              <w:pStyle w:val="TableParagraph"/>
              <w:spacing w:line="238" w:lineRule="exact" w:before="14"/>
              <w:ind w:left="778" w:right="770"/>
              <w:rPr>
                <w:rFonts w:ascii="Times New Roman"/>
                <w:sz w:val="21"/>
              </w:rPr>
            </w:pPr>
            <w:r>
              <w:rPr>
                <w:rFonts w:ascii="Times New Roman"/>
                <w:sz w:val="21"/>
              </w:rPr>
              <w:t>MJ/kg</w:t>
            </w:r>
          </w:p>
        </w:tc>
        <w:tc>
          <w:tcPr>
            <w:tcW w:w="2322" w:type="dxa"/>
          </w:tcPr>
          <w:p>
            <w:pPr>
              <w:pStyle w:val="TableParagraph"/>
              <w:spacing w:line="238" w:lineRule="exact" w:before="14"/>
              <w:ind w:left="693" w:right="681"/>
              <w:rPr>
                <w:rFonts w:ascii="Times New Roman"/>
                <w:sz w:val="21"/>
              </w:rPr>
            </w:pPr>
            <w:r>
              <w:rPr>
                <w:rFonts w:ascii="Times New Roman"/>
                <w:sz w:val="21"/>
              </w:rPr>
              <w:t>13.81</w:t>
            </w:r>
          </w:p>
        </w:tc>
      </w:tr>
      <w:tr>
        <w:trPr>
          <w:trHeight w:val="272" w:hRule="atLeast"/>
        </w:trPr>
        <w:tc>
          <w:tcPr>
            <w:tcW w:w="1119" w:type="dxa"/>
          </w:tcPr>
          <w:p>
            <w:pPr>
              <w:pStyle w:val="TableParagraph"/>
              <w:spacing w:line="237" w:lineRule="exact" w:before="15"/>
              <w:ind w:left="8"/>
              <w:rPr>
                <w:rFonts w:ascii="Times New Roman"/>
                <w:sz w:val="21"/>
              </w:rPr>
            </w:pPr>
            <w:r>
              <w:rPr>
                <w:rFonts w:ascii="Times New Roman"/>
                <w:w w:val="99"/>
                <w:sz w:val="21"/>
              </w:rPr>
              <w:t>8</w:t>
            </w:r>
          </w:p>
        </w:tc>
        <w:tc>
          <w:tcPr>
            <w:tcW w:w="3709" w:type="dxa"/>
          </w:tcPr>
          <w:p>
            <w:pPr>
              <w:pStyle w:val="TableParagraph"/>
              <w:spacing w:line="251" w:lineRule="exact" w:before="1"/>
              <w:ind w:left="618"/>
              <w:jc w:val="left"/>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Pr>
          <w:p>
            <w:pPr>
              <w:pStyle w:val="TableParagraph"/>
              <w:spacing w:line="237" w:lineRule="exact" w:before="15"/>
              <w:ind w:left="8"/>
              <w:rPr>
                <w:rFonts w:ascii="Times New Roman"/>
                <w:sz w:val="21"/>
              </w:rPr>
            </w:pPr>
            <w:r>
              <w:rPr>
                <w:rFonts w:ascii="Times New Roman"/>
                <w:w w:val="99"/>
                <w:sz w:val="21"/>
              </w:rPr>
              <w:t>%</w:t>
            </w:r>
          </w:p>
        </w:tc>
        <w:tc>
          <w:tcPr>
            <w:tcW w:w="2322" w:type="dxa"/>
          </w:tcPr>
          <w:p>
            <w:pPr>
              <w:pStyle w:val="TableParagraph"/>
              <w:spacing w:line="237" w:lineRule="exact" w:before="15"/>
              <w:ind w:left="693" w:right="684"/>
              <w:rPr>
                <w:rFonts w:ascii="Times New Roman"/>
                <w:sz w:val="21"/>
              </w:rPr>
            </w:pPr>
            <w:r>
              <w:rPr>
                <w:rFonts w:ascii="Times New Roman"/>
                <w:sz w:val="21"/>
              </w:rPr>
              <w:t>0.02</w:t>
            </w:r>
          </w:p>
        </w:tc>
      </w:tr>
      <w:tr>
        <w:trPr>
          <w:trHeight w:val="272" w:hRule="atLeast"/>
        </w:trPr>
        <w:tc>
          <w:tcPr>
            <w:tcW w:w="1119" w:type="dxa"/>
          </w:tcPr>
          <w:p>
            <w:pPr>
              <w:pStyle w:val="TableParagraph"/>
              <w:spacing w:line="239" w:lineRule="exact" w:before="13"/>
              <w:ind w:left="8"/>
              <w:rPr>
                <w:rFonts w:ascii="Times New Roman"/>
                <w:sz w:val="21"/>
              </w:rPr>
            </w:pPr>
            <w:r>
              <w:rPr>
                <w:rFonts w:ascii="Times New Roman"/>
                <w:w w:val="99"/>
                <w:sz w:val="21"/>
              </w:rPr>
              <w:t>9</w:t>
            </w:r>
          </w:p>
        </w:tc>
        <w:tc>
          <w:tcPr>
            <w:tcW w:w="3709" w:type="dxa"/>
          </w:tcPr>
          <w:p>
            <w:pPr>
              <w:pStyle w:val="TableParagraph"/>
              <w:spacing w:line="252" w:lineRule="exact"/>
              <w:ind w:left="839"/>
              <w:jc w:val="left"/>
              <w:rPr>
                <w:sz w:val="21"/>
              </w:rPr>
            </w:pPr>
            <w:r>
              <w:rPr>
                <w:sz w:val="21"/>
              </w:rPr>
              <w:t>空气干燥基氢（</w:t>
            </w:r>
            <w:r>
              <w:rPr>
                <w:rFonts w:ascii="Times New Roman" w:eastAsia="Times New Roman"/>
                <w:sz w:val="21"/>
              </w:rPr>
              <w:t>Had</w:t>
            </w:r>
            <w:r>
              <w:rPr>
                <w:sz w:val="21"/>
              </w:rPr>
              <w:t>）</w:t>
            </w:r>
          </w:p>
        </w:tc>
        <w:tc>
          <w:tcPr>
            <w:tcW w:w="2136" w:type="dxa"/>
          </w:tcPr>
          <w:p>
            <w:pPr>
              <w:pStyle w:val="TableParagraph"/>
              <w:spacing w:line="239" w:lineRule="exact" w:before="13"/>
              <w:ind w:left="8"/>
              <w:rPr>
                <w:rFonts w:ascii="Times New Roman"/>
                <w:sz w:val="21"/>
              </w:rPr>
            </w:pPr>
            <w:r>
              <w:rPr>
                <w:rFonts w:ascii="Times New Roman"/>
                <w:w w:val="99"/>
                <w:sz w:val="21"/>
              </w:rPr>
              <w:t>%</w:t>
            </w:r>
          </w:p>
        </w:tc>
        <w:tc>
          <w:tcPr>
            <w:tcW w:w="2322" w:type="dxa"/>
          </w:tcPr>
          <w:p>
            <w:pPr>
              <w:pStyle w:val="TableParagraph"/>
              <w:spacing w:line="239" w:lineRule="exact" w:before="13"/>
              <w:ind w:left="693" w:right="684"/>
              <w:rPr>
                <w:rFonts w:ascii="Times New Roman"/>
                <w:sz w:val="21"/>
              </w:rPr>
            </w:pPr>
            <w:r>
              <w:rPr>
                <w:rFonts w:ascii="Times New Roman"/>
                <w:sz w:val="21"/>
              </w:rPr>
              <w:t>8.07</w:t>
            </w:r>
          </w:p>
        </w:tc>
      </w:tr>
    </w:tbl>
    <w:p>
      <w:pPr>
        <w:pStyle w:val="BodyText"/>
        <w:spacing w:line="362" w:lineRule="auto"/>
        <w:ind w:left="478" w:right="345" w:firstLine="480"/>
      </w:pPr>
      <w:r>
        <w:rPr>
          <w:spacing w:val="-20"/>
          <w:position w:val="2"/>
        </w:rPr>
        <w:t>经计算，锅炉烟尘、</w:t>
      </w:r>
      <w:r>
        <w:rPr>
          <w:rFonts w:ascii="Times New Roman" w:eastAsia="Times New Roman"/>
          <w:position w:val="2"/>
        </w:rPr>
        <w:t>SO</w:t>
      </w:r>
      <w:r>
        <w:rPr>
          <w:rFonts w:ascii="Times New Roman" w:eastAsia="Times New Roman"/>
          <w:position w:val="2"/>
          <w:vertAlign w:val="subscript"/>
        </w:rPr>
        <w:t>2</w:t>
      </w:r>
      <w:r>
        <w:rPr>
          <w:spacing w:val="-82"/>
          <w:position w:val="2"/>
          <w:vertAlign w:val="baseline"/>
        </w:rPr>
        <w:t>、</w:t>
      </w:r>
      <w:r>
        <w:rPr>
          <w:rFonts w:ascii="Times New Roman" w:eastAsia="Times New Roman"/>
          <w:position w:val="2"/>
          <w:vertAlign w:val="baseline"/>
        </w:rPr>
        <w:t>NOx </w:t>
      </w:r>
      <w:r>
        <w:rPr>
          <w:spacing w:val="-7"/>
          <w:position w:val="2"/>
          <w:vertAlign w:val="baseline"/>
        </w:rPr>
        <w:t>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spacing w:val="-82"/>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spacing w:val="-82"/>
          <w:position w:val="2"/>
          <w:vertAlign w:val="baseline"/>
        </w:rPr>
        <w:t>、</w:t>
      </w:r>
      <w:r>
        <w:rPr>
          <w:rFonts w:ascii="Times New Roman" w:eastAsia="Times New Roman"/>
          <w:spacing w:val="-3"/>
          <w:position w:val="2"/>
          <w:vertAlign w:val="baseline"/>
        </w:rPr>
        <w:t>200mg/m</w:t>
      </w:r>
      <w:r>
        <w:rPr>
          <w:rFonts w:ascii="Times New Roman" w:eastAsia="Times New Roman"/>
          <w:spacing w:val="-3"/>
          <w:position w:val="2"/>
          <w:vertAlign w:val="superscript"/>
        </w:rPr>
        <w:t>3</w:t>
      </w:r>
      <w:r>
        <w:rPr>
          <w:spacing w:val="-3"/>
          <w:position w:val="2"/>
          <w:vertAlign w:val="baseline"/>
        </w:rPr>
        <w:t>， </w:t>
      </w:r>
      <w:r>
        <w:rPr>
          <w:spacing w:val="4"/>
          <w:vertAlign w:val="baseline"/>
        </w:rPr>
        <w:t>污染物排放浓度满足《锅炉大气污染物排放标准》</w:t>
      </w:r>
      <w:r>
        <w:rPr>
          <w:vertAlign w:val="baseline"/>
        </w:rPr>
        <w:t>（</w:t>
      </w:r>
      <w:r>
        <w:rPr>
          <w:rFonts w:ascii="Times New Roman" w:eastAsia="Times New Roman"/>
          <w:vertAlign w:val="baseline"/>
        </w:rPr>
        <w:t>GB13271-2014</w:t>
      </w:r>
      <w:r>
        <w:rPr>
          <w:vertAlign w:val="baseline"/>
        </w:rPr>
        <w:t>）</w:t>
      </w:r>
      <w:r>
        <w:rPr>
          <w:spacing w:val="-15"/>
          <w:vertAlign w:val="baseline"/>
        </w:rPr>
        <w:t>烟尘 </w:t>
      </w:r>
      <w:r>
        <w:rPr>
          <w:rFonts w:ascii="Times New Roman" w:eastAsia="Times New Roman"/>
          <w:vertAlign w:val="baseline"/>
        </w:rPr>
        <w:t>50mg/m</w:t>
      </w:r>
      <w:r>
        <w:rPr>
          <w:rFonts w:ascii="Times New Roman" w:eastAsia="Times New Roman"/>
          <w:position w:val="8"/>
          <w:sz w:val="15"/>
          <w:vertAlign w:val="baseline"/>
        </w:rPr>
        <w:t>3</w:t>
      </w:r>
      <w:r>
        <w:rPr>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3"/>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w:t>
      </w:r>
      <w:r>
        <w:rPr>
          <w:spacing w:val="-1"/>
          <w:position w:val="2"/>
          <w:vertAlign w:val="baseline"/>
        </w:rPr>
        <w:t>的标准限值要求；热风炉烟尘、</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 </w:t>
      </w:r>
      <w:r>
        <w:rPr>
          <w:position w:val="2"/>
          <w:vertAlign w:val="baseline"/>
        </w:rPr>
        <w:t>排放浓度分别</w:t>
      </w:r>
      <w:r>
        <w:rPr>
          <w:spacing w:val="-29"/>
          <w:vertAlign w:val="baseline"/>
        </w:rPr>
        <w:t>为 </w:t>
      </w:r>
      <w:r>
        <w:rPr>
          <w:rFonts w:ascii="Times New Roman" w:eastAsia="Times New Roman"/>
          <w:vertAlign w:val="baseline"/>
        </w:rPr>
        <w:t>14.25mg/m</w:t>
      </w:r>
      <w:r>
        <w:rPr>
          <w:rFonts w:ascii="Times New Roman" w:eastAsia="Times New Roman"/>
          <w:position w:val="8"/>
          <w:sz w:val="15"/>
          <w:vertAlign w:val="baseline"/>
        </w:rPr>
        <w:t>3</w:t>
      </w:r>
      <w:r>
        <w:rPr>
          <w:spacing w:val="-27"/>
          <w:vertAlign w:val="baseline"/>
        </w:rPr>
        <w:t>、</w:t>
      </w:r>
      <w:r>
        <w:rPr>
          <w:rFonts w:ascii="Times New Roman" w:eastAsia="Times New Roman"/>
          <w:vertAlign w:val="baseline"/>
        </w:rPr>
        <w:t>22.85mg/m</w:t>
      </w:r>
      <w:r>
        <w:rPr>
          <w:rFonts w:ascii="Times New Roman" w:eastAsia="Times New Roman"/>
          <w:position w:val="8"/>
          <w:sz w:val="15"/>
          <w:vertAlign w:val="baseline"/>
        </w:rPr>
        <w:t>3</w:t>
      </w:r>
      <w:r>
        <w:rPr>
          <w:spacing w:val="-27"/>
          <w:vertAlign w:val="baseline"/>
        </w:rPr>
        <w:t>、</w:t>
      </w:r>
      <w:r>
        <w:rPr>
          <w:rFonts w:ascii="Times New Roman" w:eastAsia="Times New Roman"/>
          <w:spacing w:val="-3"/>
          <w:vertAlign w:val="baseline"/>
        </w:rPr>
        <w:t>200mg/m</w:t>
      </w:r>
      <w:r>
        <w:rPr>
          <w:rFonts w:ascii="Times New Roman" w:eastAsia="Times New Roman"/>
          <w:spacing w:val="-3"/>
          <w:position w:val="8"/>
          <w:sz w:val="15"/>
          <w:vertAlign w:val="baseline"/>
        </w:rPr>
        <w:t>3</w:t>
      </w:r>
      <w:r>
        <w:rPr>
          <w:spacing w:val="-5"/>
          <w:vertAlign w:val="baseline"/>
        </w:rPr>
        <w:t>，污染物排放浓度满足《工业炉窑大气污染物排</w:t>
      </w:r>
      <w:r>
        <w:rPr>
          <w:spacing w:val="-11"/>
          <w:position w:val="2"/>
          <w:vertAlign w:val="baseline"/>
        </w:rPr>
        <w:t>放标准》</w:t>
      </w:r>
      <w:r>
        <w:rPr>
          <w:position w:val="2"/>
          <w:vertAlign w:val="baseline"/>
        </w:rPr>
        <w:t>（</w:t>
      </w:r>
      <w:r>
        <w:rPr>
          <w:rFonts w:ascii="Times New Roman" w:eastAsia="Times New Roman"/>
          <w:position w:val="2"/>
          <w:vertAlign w:val="baseline"/>
        </w:rPr>
        <w:t>GB9078-1996</w:t>
      </w:r>
      <w:r>
        <w:rPr>
          <w:position w:val="2"/>
          <w:vertAlign w:val="baseline"/>
        </w:rPr>
        <w:t>）</w:t>
      </w:r>
      <w:r>
        <w:rPr>
          <w:spacing w:val="-21"/>
          <w:position w:val="2"/>
          <w:vertAlign w:val="baseline"/>
        </w:rPr>
        <w:t>中表 </w:t>
      </w:r>
      <w:r>
        <w:rPr>
          <w:rFonts w:ascii="Times New Roman" w:eastAsia="Times New Roman"/>
          <w:position w:val="2"/>
          <w:vertAlign w:val="baseline"/>
        </w:rPr>
        <w:t>2 </w:t>
      </w:r>
      <w:r>
        <w:rPr>
          <w:spacing w:val="-20"/>
          <w:position w:val="2"/>
          <w:vertAlign w:val="baseline"/>
        </w:rPr>
        <w:t>及表 </w:t>
      </w:r>
      <w:r>
        <w:rPr>
          <w:rFonts w:ascii="Times New Roman" w:eastAsia="Times New Roman"/>
          <w:position w:val="2"/>
          <w:vertAlign w:val="baseline"/>
        </w:rPr>
        <w:t>4 </w:t>
      </w:r>
      <w:r>
        <w:rPr>
          <w:spacing w:val="-16"/>
          <w:position w:val="2"/>
          <w:vertAlign w:val="baseline"/>
        </w:rPr>
        <w:t>中烟尘 </w:t>
      </w:r>
      <w:r>
        <w:rPr>
          <w:rFonts w:ascii="Times New Roman" w:eastAsia="Times New Roman"/>
          <w:position w:val="2"/>
          <w:vertAlign w:val="baseline"/>
        </w:rPr>
        <w:t>200mg/m</w:t>
      </w:r>
      <w:r>
        <w:rPr>
          <w:rFonts w:ascii="Times New Roman" w:eastAsia="Times New Roman"/>
          <w:position w:val="2"/>
          <w:vertAlign w:val="superscript"/>
        </w:rPr>
        <w:t>3</w:t>
      </w:r>
      <w:r>
        <w:rPr>
          <w:spacing w:val="-15"/>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w:t>
      </w:r>
      <w:r>
        <w:rPr>
          <w:position w:val="2"/>
          <w:vertAlign w:val="baseline"/>
        </w:rPr>
        <w:t>的标准限值要</w:t>
      </w:r>
    </w:p>
    <w:p>
      <w:pPr>
        <w:spacing w:after="0" w:line="362" w:lineRule="auto"/>
        <w:sectPr>
          <w:pgSz w:w="11910" w:h="16840"/>
          <w:pgMar w:header="0" w:footer="993" w:top="1340" w:bottom="1180" w:left="940" w:right="940"/>
        </w:sectPr>
      </w:pPr>
    </w:p>
    <w:p>
      <w:pPr>
        <w:pStyle w:val="BodyText"/>
        <w:spacing w:before="41"/>
        <w:ind w:left="478"/>
      </w:pPr>
      <w:r>
        <w:rPr/>
        <w:t>求。</w:t>
      </w:r>
    </w:p>
    <w:p>
      <w:pPr>
        <w:pStyle w:val="BodyText"/>
        <w:spacing w:before="158"/>
        <w:ind w:left="958"/>
      </w:pPr>
      <w:r>
        <w:rPr/>
        <w:t>②粉尘</w:t>
      </w:r>
    </w:p>
    <w:p>
      <w:pPr>
        <w:pStyle w:val="BodyText"/>
        <w:spacing w:line="364" w:lineRule="auto" w:before="161"/>
        <w:ind w:left="478" w:right="414" w:firstLine="480"/>
      </w:pPr>
      <w:r>
        <w:rPr/>
        <w:t>从地面工艺流程来看，粉尘主要来源于输送、卸料及筛分环节。煤仓全封闭且输送采用全封闭式输送栈桥，煤尘很少。</w:t>
      </w:r>
    </w:p>
    <w:p>
      <w:pPr>
        <w:pStyle w:val="BodyText"/>
        <w:spacing w:line="364" w:lineRule="auto"/>
        <w:ind w:left="478" w:right="357" w:firstLine="480"/>
      </w:pPr>
      <w:r>
        <w:rPr>
          <w:spacing w:val="-6"/>
        </w:rPr>
        <w:t>本项目原煤筛分车间粉尘产生浓度根据《清洁生产标准 煤炭采选业</w:t>
      </w:r>
      <w:r>
        <w:rPr>
          <w:spacing w:val="-192"/>
        </w:rPr>
        <w:t>》</w:t>
      </w:r>
      <w:r>
        <w:rPr>
          <w:spacing w:val="-3"/>
        </w:rPr>
        <w:t>（HJ446-2008） </w:t>
      </w:r>
      <w:r>
        <w:rPr>
          <w:spacing w:val="18"/>
        </w:rPr>
        <w:t>中对原煤筛分、破碎、转载点前含尘质量浓度的要求，筛分车间粉尘产生浓度取</w:t>
      </w:r>
      <w:r>
        <w:rPr>
          <w:rFonts w:ascii="Times New Roman" w:eastAsia="Times New Roman"/>
          <w:spacing w:val="18"/>
        </w:rPr>
        <w:t>4000mg/m</w:t>
      </w:r>
      <w:r>
        <w:rPr>
          <w:rFonts w:ascii="Times New Roman" w:eastAsia="Times New Roman"/>
          <w:spacing w:val="18"/>
          <w:position w:val="8"/>
          <w:sz w:val="15"/>
        </w:rPr>
        <w:t>3</w:t>
      </w:r>
      <w:r>
        <w:rPr>
          <w:spacing w:val="18"/>
        </w:rPr>
        <w:t>，本项目在筛分车间设置一套布袋除尘器，经布袋除尘器收处理后由排气筒</w:t>
      </w:r>
      <w:r>
        <w:rPr>
          <w:spacing w:val="10"/>
        </w:rPr>
        <w:t>排放，除尘器除尘效率 </w:t>
      </w:r>
      <w:r>
        <w:rPr>
          <w:rFonts w:ascii="Times New Roman" w:eastAsia="Times New Roman"/>
        </w:rPr>
        <w:t>99%</w:t>
      </w:r>
      <w:r>
        <w:rPr>
          <w:spacing w:val="-6"/>
        </w:rPr>
        <w:t>。经计算则排放量为 </w:t>
      </w:r>
      <w:r>
        <w:rPr>
          <w:rFonts w:ascii="Times New Roman" w:eastAsia="Times New Roman"/>
        </w:rPr>
        <w:t>0.01kg/h</w:t>
      </w:r>
      <w:r>
        <w:rPr/>
        <w:t>。</w:t>
      </w:r>
    </w:p>
    <w:p>
      <w:pPr>
        <w:pStyle w:val="BodyText"/>
        <w:spacing w:line="305" w:lineRule="exact"/>
        <w:ind w:left="958"/>
      </w:pPr>
      <w:r>
        <w:rPr/>
        <w:t>③食堂油烟</w:t>
      </w:r>
    </w:p>
    <w:p>
      <w:pPr>
        <w:pStyle w:val="BodyText"/>
        <w:spacing w:line="364" w:lineRule="auto" w:before="159"/>
        <w:ind w:left="478" w:right="348" w:firstLine="480"/>
      </w:pPr>
      <w:r>
        <w:rPr>
          <w:spacing w:val="-11"/>
        </w:rPr>
        <w:t>项目运行期间食堂会产生油烟，油烟废气中含油质、有机质及加热分解或裂解产物， </w:t>
      </w:r>
      <w:r>
        <w:rPr>
          <w:spacing w:val="-18"/>
        </w:rPr>
        <w:t>本项目食堂设有 </w:t>
      </w:r>
      <w:r>
        <w:rPr>
          <w:rFonts w:ascii="Times New Roman" w:hAnsi="Times New Roman" w:eastAsia="Times New Roman"/>
        </w:rPr>
        <w:t>4 </w:t>
      </w:r>
      <w:r>
        <w:rPr/>
        <w:t>个灶头，根据《饮食业油烟排放标准（试行）》（</w:t>
      </w:r>
      <w:r>
        <w:rPr>
          <w:rFonts w:ascii="Times New Roman" w:hAnsi="Times New Roman" w:eastAsia="Times New Roman"/>
        </w:rPr>
        <w:t>GB18483-2001</w:t>
      </w:r>
      <w:r>
        <w:rPr/>
        <w:t>）， </w:t>
      </w:r>
      <w:r>
        <w:rPr>
          <w:spacing w:val="-4"/>
        </w:rPr>
        <w:t>属于中型饮食业单位。根据对居民用油情况的类比调查，目前居民人均日食用油用量约</w:t>
      </w:r>
      <w:r>
        <w:rPr>
          <w:rFonts w:ascii="Times New Roman" w:hAnsi="Times New Roman" w:eastAsia="Times New Roman"/>
          <w:spacing w:val="-4"/>
        </w:rPr>
        <w:t>0.03kg/</w:t>
      </w:r>
      <w:r>
        <w:rPr>
          <w:spacing w:val="-4"/>
        </w:rPr>
        <w:t>人</w:t>
      </w:r>
      <w:r>
        <w:rPr>
          <w:rFonts w:ascii="Times New Roman" w:hAnsi="Times New Roman" w:eastAsia="Times New Roman"/>
          <w:spacing w:val="-4"/>
        </w:rPr>
        <w:t>·d</w:t>
      </w:r>
      <w:r>
        <w:rPr>
          <w:spacing w:val="-11"/>
        </w:rPr>
        <w:t>，本项目共有员工 </w:t>
      </w:r>
      <w:r>
        <w:rPr>
          <w:rFonts w:ascii="Times New Roman" w:hAnsi="Times New Roman" w:eastAsia="Times New Roman"/>
        </w:rPr>
        <w:t>363</w:t>
      </w:r>
      <w:r>
        <w:rPr>
          <w:rFonts w:ascii="Times New Roman" w:hAnsi="Times New Roman" w:eastAsia="Times New Roman"/>
          <w:spacing w:val="-3"/>
        </w:rPr>
        <w:t> </w:t>
      </w:r>
      <w:r>
        <w:rPr>
          <w:spacing w:val="-8"/>
        </w:rPr>
        <w:t>人，则食用油用量约 </w:t>
      </w:r>
      <w:r>
        <w:rPr>
          <w:rFonts w:ascii="Times New Roman" w:hAnsi="Times New Roman" w:eastAsia="Times New Roman"/>
        </w:rPr>
        <w:t>10.89kg/d</w:t>
      </w:r>
      <w:r>
        <w:rPr/>
        <w:t>，</w:t>
      </w:r>
      <w:r>
        <w:rPr>
          <w:rFonts w:ascii="Times New Roman" w:hAnsi="Times New Roman" w:eastAsia="Times New Roman"/>
        </w:rPr>
        <w:t>3.59t/a</w:t>
      </w:r>
      <w:r>
        <w:rPr>
          <w:spacing w:val="-2"/>
        </w:rPr>
        <w:t>。一般油烟挥</w:t>
      </w:r>
      <w:r>
        <w:rPr/>
        <w:t>发量占耗油量的 </w:t>
      </w:r>
      <w:r>
        <w:rPr>
          <w:rFonts w:ascii="Times New Roman" w:hAnsi="Times New Roman" w:eastAsia="Times New Roman"/>
          <w:spacing w:val="7"/>
        </w:rPr>
        <w:t>2</w:t>
      </w:r>
      <w:r>
        <w:rPr>
          <w:spacing w:val="7"/>
        </w:rPr>
        <w:t>～</w:t>
      </w:r>
      <w:r>
        <w:rPr>
          <w:rFonts w:ascii="Times New Roman" w:hAnsi="Times New Roman" w:eastAsia="Times New Roman"/>
          <w:spacing w:val="7"/>
        </w:rPr>
        <w:t>4%</w:t>
      </w:r>
      <w:r>
        <w:rPr>
          <w:spacing w:val="-12"/>
        </w:rPr>
        <w:t>，按 </w:t>
      </w:r>
      <w:r>
        <w:rPr>
          <w:rFonts w:ascii="Times New Roman" w:hAnsi="Times New Roman" w:eastAsia="Times New Roman"/>
        </w:rPr>
        <w:t>2.83%</w:t>
      </w:r>
      <w:r>
        <w:rPr>
          <w:spacing w:val="1"/>
        </w:rPr>
        <w:t>计，油烟产生量 </w:t>
      </w:r>
      <w:r>
        <w:rPr>
          <w:rFonts w:ascii="Times New Roman" w:hAnsi="Times New Roman" w:eastAsia="Times New Roman"/>
        </w:rPr>
        <w:t>0.31kg/d</w:t>
      </w:r>
      <w:r>
        <w:rPr/>
        <w:t>，</w:t>
      </w:r>
      <w:r>
        <w:rPr>
          <w:rFonts w:ascii="Times New Roman" w:hAnsi="Times New Roman" w:eastAsia="Times New Roman"/>
        </w:rPr>
        <w:t>101.7kg/a</w:t>
      </w:r>
      <w:r>
        <w:rPr>
          <w:spacing w:val="5"/>
        </w:rPr>
        <w:t>，风机风量为</w:t>
      </w:r>
      <w:r>
        <w:rPr>
          <w:rFonts w:ascii="Times New Roman" w:hAnsi="Times New Roman" w:eastAsia="Times New Roman"/>
          <w:spacing w:val="5"/>
        </w:rPr>
        <w:t>10000m</w:t>
      </w:r>
      <w:r>
        <w:rPr>
          <w:rFonts w:ascii="Times New Roman" w:hAnsi="Times New Roman" w:eastAsia="Times New Roman"/>
          <w:spacing w:val="5"/>
          <w:position w:val="8"/>
          <w:sz w:val="15"/>
        </w:rPr>
        <w:t>3</w:t>
      </w:r>
      <w:r>
        <w:rPr>
          <w:rFonts w:ascii="Times New Roman" w:hAnsi="Times New Roman" w:eastAsia="Times New Roman"/>
          <w:spacing w:val="5"/>
        </w:rPr>
        <w:t>/h</w:t>
      </w:r>
      <w:r>
        <w:rPr>
          <w:spacing w:val="-7"/>
        </w:rPr>
        <w:t>，按每日两餐，每餐 </w:t>
      </w:r>
      <w:r>
        <w:rPr>
          <w:rFonts w:ascii="Times New Roman" w:hAnsi="Times New Roman" w:eastAsia="Times New Roman"/>
        </w:rPr>
        <w:t>2</w:t>
      </w:r>
      <w:r>
        <w:rPr>
          <w:rFonts w:ascii="Times New Roman" w:hAnsi="Times New Roman" w:eastAsia="Times New Roman"/>
          <w:spacing w:val="-2"/>
        </w:rPr>
        <w:t> </w:t>
      </w:r>
      <w:r>
        <w:rPr>
          <w:spacing w:val="-8"/>
        </w:rPr>
        <w:t>小时计，则油烟产生浓度 </w:t>
      </w:r>
      <w:r>
        <w:rPr>
          <w:rFonts w:ascii="Times New Roman" w:hAnsi="Times New Roman" w:eastAsia="Times New Roman"/>
        </w:rPr>
        <w:t>7.75mg/m</w:t>
      </w:r>
      <w:r>
        <w:rPr>
          <w:rFonts w:ascii="Times New Roman" w:hAnsi="Times New Roman" w:eastAsia="Times New Roman"/>
          <w:position w:val="8"/>
          <w:sz w:val="15"/>
        </w:rPr>
        <w:t>3</w:t>
      </w:r>
      <w:r>
        <w:rPr>
          <w:spacing w:val="-4"/>
        </w:rPr>
        <w:t>。为了防止油烟无</w:t>
      </w:r>
      <w:r>
        <w:rPr>
          <w:spacing w:val="-11"/>
        </w:rPr>
        <w:t>组织排放，须安装去除率 </w:t>
      </w:r>
      <w:r>
        <w:rPr>
          <w:rFonts w:ascii="Times New Roman" w:hAnsi="Times New Roman" w:eastAsia="Times New Roman"/>
        </w:rPr>
        <w:t>75%</w:t>
      </w:r>
      <w:r>
        <w:rPr>
          <w:spacing w:val="-4"/>
        </w:rPr>
        <w:t>以上的油烟净化装置，油烟经专用烟道引至屋顶排放，净</w:t>
      </w:r>
      <w:r>
        <w:rPr>
          <w:spacing w:val="-12"/>
        </w:rPr>
        <w:t>化后排放浓度为 </w:t>
      </w:r>
      <w:r>
        <w:rPr>
          <w:rFonts w:ascii="Times New Roman" w:hAnsi="Times New Roman" w:eastAsia="Times New Roman"/>
        </w:rPr>
        <w:t>1.94m</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2"/>
        </w:rPr>
        <w:t>m</w:t>
      </w:r>
      <w:r>
        <w:rPr>
          <w:rFonts w:ascii="Times New Roman" w:hAnsi="Times New Roman" w:eastAsia="Times New Roman"/>
          <w:spacing w:val="-2"/>
          <w:w w:val="104"/>
          <w:position w:val="8"/>
          <w:sz w:val="15"/>
        </w:rPr>
        <w:t>3</w:t>
      </w:r>
      <w:r>
        <w:rPr>
          <w:spacing w:val="-22"/>
        </w:rPr>
        <w:t>，排放量为 </w:t>
      </w:r>
      <w:r>
        <w:rPr>
          <w:rFonts w:ascii="Times New Roman" w:hAnsi="Times New Roman" w:eastAsia="Times New Roman"/>
        </w:rPr>
        <w:t>25.61k</w:t>
      </w:r>
      <w:r>
        <w:rPr>
          <w:rFonts w:ascii="Times New Roman" w:hAnsi="Times New Roman" w:eastAsia="Times New Roman"/>
          <w:spacing w:val="-3"/>
        </w:rPr>
        <w:t>g</w:t>
      </w:r>
      <w:r>
        <w:rPr>
          <w:rFonts w:ascii="Times New Roman" w:hAnsi="Times New Roman" w:eastAsia="Times New Roman"/>
        </w:rPr>
        <w:t>/</w:t>
      </w:r>
      <w:r>
        <w:rPr>
          <w:rFonts w:ascii="Times New Roman" w:hAnsi="Times New Roman" w:eastAsia="Times New Roman"/>
          <w:spacing w:val="1"/>
        </w:rPr>
        <w:t>a</w:t>
      </w:r>
      <w:r>
        <w:rPr>
          <w:spacing w:val="-16"/>
        </w:rPr>
        <w:t>，可满足《饮食业油烟排放标准</w:t>
      </w:r>
      <w:r>
        <w:rPr/>
        <w:t>（试行</w:t>
      </w:r>
      <w:r>
        <w:rPr>
          <w:spacing w:val="-118"/>
        </w:rPr>
        <w:t>）</w:t>
      </w:r>
      <w:r>
        <w:rPr/>
        <w:t>》</w:t>
      </w:r>
    </w:p>
    <w:p>
      <w:pPr>
        <w:pStyle w:val="BodyText"/>
        <w:spacing w:line="364" w:lineRule="auto"/>
        <w:ind w:left="478" w:right="473"/>
        <w:jc w:val="both"/>
      </w:pPr>
      <w:r>
        <w:rPr/>
        <w:t>（</w:t>
      </w:r>
      <w:r>
        <w:rPr>
          <w:rFonts w:ascii="Times New Roman" w:eastAsia="Times New Roman"/>
        </w:rPr>
        <w:t>GB18483-2001</w:t>
      </w:r>
      <w:r>
        <w:rPr/>
        <w:t>）</w:t>
      </w:r>
      <w:r>
        <w:rPr>
          <w:spacing w:val="-3"/>
        </w:rPr>
        <w:t>小型饮食业单位的排放浓度 </w:t>
      </w:r>
      <w:r>
        <w:rPr>
          <w:rFonts w:ascii="Times New Roman" w:eastAsia="Times New Roman"/>
        </w:rPr>
        <w:t>2.0mg/m</w:t>
      </w:r>
      <w:r>
        <w:rPr>
          <w:rFonts w:ascii="Times New Roman" w:eastAsia="Times New Roman"/>
          <w:position w:val="8"/>
          <w:sz w:val="15"/>
        </w:rPr>
        <w:t>3 </w:t>
      </w:r>
      <w:r>
        <w:rPr/>
        <w:t>的标准要求，处理后的油烟废</w:t>
      </w:r>
      <w:r>
        <w:rPr>
          <w:spacing w:val="3"/>
        </w:rPr>
        <w:t>气经专用烟道通过高于所在建筑物顶部的排气筒排放。食堂油烟经净化后满足《饮</w:t>
      </w:r>
      <w:r>
        <w:rPr>
          <w:spacing w:val="31"/>
        </w:rPr>
        <w:t>食业油烟排放标准</w:t>
      </w:r>
      <w:r>
        <w:rPr/>
        <w:t>（</w:t>
      </w:r>
      <w:r>
        <w:rPr>
          <w:spacing w:val="-9"/>
        </w:rPr>
        <w:t> 试行</w:t>
      </w:r>
      <w:r>
        <w:rPr/>
        <w:t>）</w:t>
      </w:r>
      <w:r>
        <w:rPr>
          <w:spacing w:val="-29"/>
        </w:rPr>
        <w:t> 》</w:t>
      </w:r>
      <w:r>
        <w:rPr/>
        <w:t>（</w:t>
      </w:r>
      <w:r>
        <w:rPr>
          <w:spacing w:val="-89"/>
        </w:rPr>
        <w:t> </w:t>
      </w:r>
      <w:r>
        <w:rPr>
          <w:rFonts w:ascii="Times New Roman" w:eastAsia="Times New Roman"/>
          <w:spacing w:val="13"/>
        </w:rPr>
        <w:t>GB18483-2001</w:t>
      </w:r>
      <w:r>
        <w:rPr>
          <w:rFonts w:ascii="Times New Roman" w:eastAsia="Times New Roman"/>
          <w:spacing w:val="-39"/>
        </w:rPr>
        <w:t> </w:t>
      </w:r>
      <w:r>
        <w:rPr/>
        <w:t>）</w:t>
      </w:r>
      <w:r>
        <w:rPr>
          <w:spacing w:val="9"/>
        </w:rPr>
        <w:t> 中标准限值。</w:t>
      </w:r>
    </w:p>
    <w:p>
      <w:pPr>
        <w:pStyle w:val="Heading4"/>
        <w:spacing w:line="307" w:lineRule="exact"/>
        <w:ind w:left="3022"/>
        <w:jc w:val="both"/>
      </w:pPr>
      <w:r>
        <w:rPr/>
        <w:t>表 </w:t>
      </w:r>
      <w:r>
        <w:rPr>
          <w:rFonts w:ascii="Times New Roman" w:eastAsia="Times New Roman"/>
        </w:rPr>
        <w:t>3.4-3 </w:t>
      </w:r>
      <w:r>
        <w:rPr/>
        <w:t>油烟废气产生与排放情况</w:t>
      </w:r>
    </w:p>
    <w:p>
      <w:pPr>
        <w:pStyle w:val="BodyText"/>
        <w:spacing w:before="11"/>
        <w:rPr>
          <w:b/>
          <w:sz w:val="11"/>
        </w:rPr>
      </w:pPr>
    </w:p>
    <w:tbl>
      <w:tblPr>
        <w:tblW w:w="0" w:type="auto"/>
        <w:jc w:val="left"/>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3"/>
        <w:gridCol w:w="1154"/>
        <w:gridCol w:w="800"/>
        <w:gridCol w:w="705"/>
        <w:gridCol w:w="1008"/>
        <w:gridCol w:w="1188"/>
        <w:gridCol w:w="896"/>
        <w:gridCol w:w="1188"/>
        <w:gridCol w:w="896"/>
      </w:tblGrid>
      <w:tr>
        <w:trPr>
          <w:trHeight w:val="453" w:hRule="atLeast"/>
        </w:trPr>
        <w:tc>
          <w:tcPr>
            <w:tcW w:w="1463" w:type="dxa"/>
            <w:vMerge w:val="restart"/>
          </w:tcPr>
          <w:p>
            <w:pPr>
              <w:pStyle w:val="TableParagraph"/>
              <w:spacing w:before="8"/>
              <w:jc w:val="left"/>
              <w:rPr>
                <w:b/>
                <w:sz w:val="28"/>
              </w:rPr>
            </w:pPr>
          </w:p>
          <w:p>
            <w:pPr>
              <w:pStyle w:val="TableParagraph"/>
              <w:ind w:left="57"/>
              <w:jc w:val="left"/>
              <w:rPr>
                <w:sz w:val="21"/>
              </w:rPr>
            </w:pPr>
            <w:r>
              <w:rPr>
                <w:sz w:val="21"/>
              </w:rPr>
              <w:t>类型</w:t>
            </w:r>
          </w:p>
        </w:tc>
        <w:tc>
          <w:tcPr>
            <w:tcW w:w="1154" w:type="dxa"/>
            <w:vMerge w:val="restart"/>
          </w:tcPr>
          <w:p>
            <w:pPr>
              <w:pStyle w:val="TableParagraph"/>
              <w:spacing w:before="2"/>
              <w:jc w:val="left"/>
              <w:rPr>
                <w:b/>
                <w:sz w:val="18"/>
              </w:rPr>
            </w:pPr>
          </w:p>
          <w:p>
            <w:pPr>
              <w:pStyle w:val="TableParagraph"/>
              <w:ind w:left="55"/>
              <w:jc w:val="left"/>
              <w:rPr>
                <w:sz w:val="21"/>
              </w:rPr>
            </w:pPr>
            <w:r>
              <w:rPr>
                <w:sz w:val="21"/>
              </w:rPr>
              <w:t>用油指标</w:t>
            </w:r>
          </w:p>
          <w:p>
            <w:pPr>
              <w:pStyle w:val="TableParagraph"/>
              <w:spacing w:before="2"/>
              <w:ind w:left="55"/>
              <w:jc w:val="left"/>
              <w:rPr>
                <w:sz w:val="21"/>
              </w:rPr>
            </w:pPr>
            <w:r>
              <w:rPr>
                <w:sz w:val="21"/>
              </w:rPr>
              <w:t>（</w:t>
            </w:r>
            <w:r>
              <w:rPr>
                <w:rFonts w:ascii="Times New Roman" w:hAnsi="Times New Roman" w:eastAsia="Times New Roman"/>
                <w:sz w:val="21"/>
              </w:rPr>
              <w:t>kg/</w:t>
            </w:r>
            <w:r>
              <w:rPr>
                <w:sz w:val="21"/>
              </w:rPr>
              <w:t>人</w:t>
            </w:r>
            <w:r>
              <w:rPr>
                <w:rFonts w:ascii="Times New Roman" w:hAnsi="Times New Roman" w:eastAsia="Times New Roman"/>
                <w:sz w:val="21"/>
              </w:rPr>
              <w:t>·d</w:t>
            </w:r>
            <w:r>
              <w:rPr>
                <w:sz w:val="21"/>
              </w:rPr>
              <w:t>）</w:t>
            </w:r>
          </w:p>
        </w:tc>
        <w:tc>
          <w:tcPr>
            <w:tcW w:w="800" w:type="dxa"/>
            <w:vMerge w:val="restart"/>
          </w:tcPr>
          <w:p>
            <w:pPr>
              <w:pStyle w:val="TableParagraph"/>
              <w:spacing w:before="2"/>
              <w:jc w:val="left"/>
              <w:rPr>
                <w:b/>
                <w:sz w:val="18"/>
              </w:rPr>
            </w:pPr>
          </w:p>
          <w:p>
            <w:pPr>
              <w:pStyle w:val="TableParagraph"/>
              <w:ind w:left="56"/>
              <w:jc w:val="left"/>
              <w:rPr>
                <w:sz w:val="21"/>
              </w:rPr>
            </w:pPr>
            <w:r>
              <w:rPr>
                <w:w w:val="95"/>
                <w:sz w:val="21"/>
              </w:rPr>
              <w:t>耗油量</w:t>
            </w:r>
          </w:p>
          <w:p>
            <w:pPr>
              <w:pStyle w:val="TableParagraph"/>
              <w:spacing w:before="2"/>
              <w:ind w:left="56"/>
              <w:jc w:val="left"/>
              <w:rPr>
                <w:sz w:val="21"/>
              </w:rPr>
            </w:pPr>
            <w:r>
              <w:rPr>
                <w:sz w:val="21"/>
              </w:rPr>
              <w:t>（</w:t>
            </w:r>
            <w:r>
              <w:rPr>
                <w:rFonts w:ascii="Times New Roman" w:eastAsia="Times New Roman"/>
                <w:sz w:val="21"/>
              </w:rPr>
              <w:t>t/a</w:t>
            </w:r>
            <w:r>
              <w:rPr>
                <w:sz w:val="21"/>
              </w:rPr>
              <w:t>）</w:t>
            </w:r>
          </w:p>
        </w:tc>
        <w:tc>
          <w:tcPr>
            <w:tcW w:w="705" w:type="dxa"/>
            <w:vMerge w:val="restart"/>
          </w:tcPr>
          <w:p>
            <w:pPr>
              <w:pStyle w:val="TableParagraph"/>
              <w:spacing w:before="2"/>
              <w:jc w:val="left"/>
              <w:rPr>
                <w:b/>
                <w:sz w:val="18"/>
              </w:rPr>
            </w:pPr>
          </w:p>
          <w:p>
            <w:pPr>
              <w:pStyle w:val="TableParagraph"/>
              <w:spacing w:line="242" w:lineRule="auto"/>
              <w:ind w:left="57" w:right="217"/>
              <w:jc w:val="left"/>
              <w:rPr>
                <w:sz w:val="21"/>
              </w:rPr>
            </w:pPr>
            <w:r>
              <w:rPr>
                <w:sz w:val="21"/>
              </w:rPr>
              <w:t>挥发系数</w:t>
            </w:r>
          </w:p>
        </w:tc>
        <w:tc>
          <w:tcPr>
            <w:tcW w:w="1008" w:type="dxa"/>
            <w:vMerge w:val="restart"/>
          </w:tcPr>
          <w:p>
            <w:pPr>
              <w:pStyle w:val="TableParagraph"/>
              <w:spacing w:before="2"/>
              <w:jc w:val="left"/>
              <w:rPr>
                <w:b/>
                <w:sz w:val="18"/>
              </w:rPr>
            </w:pPr>
          </w:p>
          <w:p>
            <w:pPr>
              <w:pStyle w:val="TableParagraph"/>
              <w:ind w:left="55"/>
              <w:jc w:val="left"/>
              <w:rPr>
                <w:sz w:val="21"/>
              </w:rPr>
            </w:pPr>
            <w:r>
              <w:rPr>
                <w:sz w:val="21"/>
              </w:rPr>
              <w:t>风量</w:t>
            </w:r>
          </w:p>
          <w:p>
            <w:pPr>
              <w:pStyle w:val="TableParagraph"/>
              <w:spacing w:before="2"/>
              <w:ind w:left="55"/>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r>
              <w:rPr>
                <w:sz w:val="21"/>
              </w:rPr>
              <w:t>）</w:t>
            </w:r>
          </w:p>
        </w:tc>
        <w:tc>
          <w:tcPr>
            <w:tcW w:w="2084" w:type="dxa"/>
            <w:gridSpan w:val="2"/>
          </w:tcPr>
          <w:p>
            <w:pPr>
              <w:pStyle w:val="TableParagraph"/>
              <w:spacing w:before="91"/>
              <w:ind w:left="55"/>
              <w:jc w:val="left"/>
              <w:rPr>
                <w:sz w:val="21"/>
              </w:rPr>
            </w:pPr>
            <w:r>
              <w:rPr>
                <w:sz w:val="21"/>
              </w:rPr>
              <w:t>油烟治理前</w:t>
            </w:r>
          </w:p>
        </w:tc>
        <w:tc>
          <w:tcPr>
            <w:tcW w:w="2084" w:type="dxa"/>
            <w:gridSpan w:val="2"/>
          </w:tcPr>
          <w:p>
            <w:pPr>
              <w:pStyle w:val="TableParagraph"/>
              <w:spacing w:before="91"/>
              <w:ind w:left="57"/>
              <w:jc w:val="left"/>
              <w:rPr>
                <w:sz w:val="21"/>
              </w:rPr>
            </w:pPr>
            <w:r>
              <w:rPr>
                <w:sz w:val="21"/>
              </w:rPr>
              <w:t>油烟治理后</w:t>
            </w:r>
          </w:p>
        </w:tc>
      </w:tr>
      <w:tr>
        <w:trPr>
          <w:trHeight w:val="545" w:hRule="atLeast"/>
        </w:trPr>
        <w:tc>
          <w:tcPr>
            <w:tcW w:w="1463" w:type="dxa"/>
            <w:vMerge/>
            <w:tcBorders>
              <w:top w:val="nil"/>
            </w:tcBorders>
          </w:tcPr>
          <w:p>
            <w:pPr>
              <w:rPr>
                <w:sz w:val="2"/>
                <w:szCs w:val="2"/>
              </w:rPr>
            </w:pPr>
          </w:p>
        </w:tc>
        <w:tc>
          <w:tcPr>
            <w:tcW w:w="1154" w:type="dxa"/>
            <w:vMerge/>
            <w:tcBorders>
              <w:top w:val="nil"/>
            </w:tcBorders>
          </w:tcPr>
          <w:p>
            <w:pPr>
              <w:rPr>
                <w:sz w:val="2"/>
                <w:szCs w:val="2"/>
              </w:rPr>
            </w:pPr>
          </w:p>
        </w:tc>
        <w:tc>
          <w:tcPr>
            <w:tcW w:w="800" w:type="dxa"/>
            <w:vMerge/>
            <w:tcBorders>
              <w:top w:val="nil"/>
            </w:tcBorders>
          </w:tcPr>
          <w:p>
            <w:pPr>
              <w:rPr>
                <w:sz w:val="2"/>
                <w:szCs w:val="2"/>
              </w:rPr>
            </w:pPr>
          </w:p>
        </w:tc>
        <w:tc>
          <w:tcPr>
            <w:tcW w:w="705" w:type="dxa"/>
            <w:vMerge/>
            <w:tcBorders>
              <w:top w:val="nil"/>
            </w:tcBorders>
          </w:tcPr>
          <w:p>
            <w:pPr>
              <w:rPr>
                <w:sz w:val="2"/>
                <w:szCs w:val="2"/>
              </w:rPr>
            </w:pPr>
          </w:p>
        </w:tc>
        <w:tc>
          <w:tcPr>
            <w:tcW w:w="1008" w:type="dxa"/>
            <w:vMerge/>
            <w:tcBorders>
              <w:top w:val="nil"/>
            </w:tcBorders>
          </w:tcPr>
          <w:p>
            <w:pPr>
              <w:rPr>
                <w:sz w:val="2"/>
                <w:szCs w:val="2"/>
              </w:rPr>
            </w:pPr>
          </w:p>
        </w:tc>
        <w:tc>
          <w:tcPr>
            <w:tcW w:w="1188" w:type="dxa"/>
          </w:tcPr>
          <w:p>
            <w:pPr>
              <w:pStyle w:val="TableParagraph"/>
              <w:spacing w:before="1"/>
              <w:ind w:left="55"/>
              <w:jc w:val="left"/>
              <w:rPr>
                <w:sz w:val="21"/>
              </w:rPr>
            </w:pPr>
            <w:r>
              <w:rPr>
                <w:sz w:val="21"/>
              </w:rPr>
              <w:t>浓度</w:t>
            </w:r>
          </w:p>
          <w:p>
            <w:pPr>
              <w:pStyle w:val="TableParagraph"/>
              <w:spacing w:line="252" w:lineRule="exact" w:before="2"/>
              <w:ind w:left="55"/>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TableParagraph"/>
              <w:spacing w:before="1"/>
              <w:ind w:left="55"/>
              <w:jc w:val="left"/>
              <w:rPr>
                <w:sz w:val="21"/>
              </w:rPr>
            </w:pPr>
            <w:r>
              <w:rPr>
                <w:sz w:val="21"/>
              </w:rPr>
              <w:t>产生量</w:t>
            </w:r>
          </w:p>
          <w:p>
            <w:pPr>
              <w:pStyle w:val="TableParagraph"/>
              <w:spacing w:line="252" w:lineRule="exact" w:before="2"/>
              <w:ind w:left="55"/>
              <w:jc w:val="left"/>
              <w:rPr>
                <w:sz w:val="21"/>
              </w:rPr>
            </w:pPr>
            <w:r>
              <w:rPr>
                <w:sz w:val="21"/>
              </w:rPr>
              <w:t>（</w:t>
            </w:r>
            <w:r>
              <w:rPr>
                <w:rFonts w:ascii="Times New Roman" w:eastAsia="Times New Roman"/>
                <w:sz w:val="21"/>
              </w:rPr>
              <w:t>kg/d</w:t>
            </w:r>
            <w:r>
              <w:rPr>
                <w:sz w:val="21"/>
              </w:rPr>
              <w:t>）</w:t>
            </w:r>
          </w:p>
        </w:tc>
        <w:tc>
          <w:tcPr>
            <w:tcW w:w="1188" w:type="dxa"/>
          </w:tcPr>
          <w:p>
            <w:pPr>
              <w:pStyle w:val="TableParagraph"/>
              <w:spacing w:before="1"/>
              <w:ind w:left="57"/>
              <w:jc w:val="left"/>
              <w:rPr>
                <w:sz w:val="21"/>
              </w:rPr>
            </w:pPr>
            <w:r>
              <w:rPr>
                <w:sz w:val="21"/>
              </w:rPr>
              <w:t>排放浓度</w:t>
            </w:r>
          </w:p>
          <w:p>
            <w:pPr>
              <w:pStyle w:val="TableParagraph"/>
              <w:spacing w:line="252" w:lineRule="exact" w:before="2"/>
              <w:ind w:left="57"/>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896" w:type="dxa"/>
          </w:tcPr>
          <w:p>
            <w:pPr>
              <w:pStyle w:val="TableParagraph"/>
              <w:spacing w:before="1"/>
              <w:ind w:left="57"/>
              <w:jc w:val="left"/>
              <w:rPr>
                <w:sz w:val="21"/>
              </w:rPr>
            </w:pPr>
            <w:r>
              <w:rPr>
                <w:sz w:val="21"/>
              </w:rPr>
              <w:t>排放量</w:t>
            </w:r>
          </w:p>
          <w:p>
            <w:pPr>
              <w:pStyle w:val="TableParagraph"/>
              <w:spacing w:line="252" w:lineRule="exact" w:before="2"/>
              <w:ind w:left="57"/>
              <w:jc w:val="left"/>
              <w:rPr>
                <w:sz w:val="21"/>
              </w:rPr>
            </w:pPr>
            <w:r>
              <w:rPr>
                <w:sz w:val="21"/>
              </w:rPr>
              <w:t>（</w:t>
            </w:r>
            <w:r>
              <w:rPr>
                <w:rFonts w:ascii="Times New Roman" w:eastAsia="Times New Roman"/>
                <w:sz w:val="21"/>
              </w:rPr>
              <w:t>kg/d</w:t>
            </w:r>
            <w:r>
              <w:rPr>
                <w:sz w:val="21"/>
              </w:rPr>
              <w:t>）</w:t>
            </w:r>
          </w:p>
        </w:tc>
      </w:tr>
      <w:tr>
        <w:trPr>
          <w:trHeight w:val="454" w:hRule="atLeast"/>
        </w:trPr>
        <w:tc>
          <w:tcPr>
            <w:tcW w:w="1463" w:type="dxa"/>
          </w:tcPr>
          <w:p>
            <w:pPr>
              <w:pStyle w:val="TableParagraph"/>
              <w:spacing w:before="92"/>
              <w:ind w:left="57"/>
              <w:jc w:val="left"/>
              <w:rPr>
                <w:sz w:val="21"/>
              </w:rPr>
            </w:pPr>
            <w:r>
              <w:rPr>
                <w:sz w:val="21"/>
              </w:rPr>
              <w:t>餐厅</w:t>
            </w:r>
          </w:p>
        </w:tc>
        <w:tc>
          <w:tcPr>
            <w:tcW w:w="1154" w:type="dxa"/>
          </w:tcPr>
          <w:p>
            <w:pPr>
              <w:pStyle w:val="TableParagraph"/>
              <w:spacing w:before="106"/>
              <w:ind w:left="55"/>
              <w:jc w:val="left"/>
              <w:rPr>
                <w:rFonts w:ascii="Times New Roman"/>
                <w:sz w:val="21"/>
              </w:rPr>
            </w:pPr>
            <w:r>
              <w:rPr>
                <w:rFonts w:ascii="Times New Roman"/>
                <w:sz w:val="21"/>
              </w:rPr>
              <w:t>0.03</w:t>
            </w:r>
          </w:p>
        </w:tc>
        <w:tc>
          <w:tcPr>
            <w:tcW w:w="800" w:type="dxa"/>
          </w:tcPr>
          <w:p>
            <w:pPr>
              <w:pStyle w:val="TableParagraph"/>
              <w:spacing w:before="106"/>
              <w:ind w:left="56"/>
              <w:jc w:val="left"/>
              <w:rPr>
                <w:rFonts w:ascii="Times New Roman"/>
                <w:sz w:val="21"/>
              </w:rPr>
            </w:pPr>
            <w:r>
              <w:rPr>
                <w:rFonts w:ascii="Times New Roman"/>
                <w:sz w:val="21"/>
              </w:rPr>
              <w:t>3.59</w:t>
            </w:r>
          </w:p>
        </w:tc>
        <w:tc>
          <w:tcPr>
            <w:tcW w:w="705" w:type="dxa"/>
          </w:tcPr>
          <w:p>
            <w:pPr>
              <w:pStyle w:val="TableParagraph"/>
              <w:spacing w:before="106"/>
              <w:ind w:left="57"/>
              <w:jc w:val="left"/>
              <w:rPr>
                <w:rFonts w:ascii="Times New Roman"/>
                <w:sz w:val="21"/>
              </w:rPr>
            </w:pPr>
            <w:r>
              <w:rPr>
                <w:rFonts w:ascii="Times New Roman"/>
                <w:sz w:val="21"/>
              </w:rPr>
              <w:t>2.83%</w:t>
            </w:r>
          </w:p>
        </w:tc>
        <w:tc>
          <w:tcPr>
            <w:tcW w:w="1008" w:type="dxa"/>
          </w:tcPr>
          <w:p>
            <w:pPr>
              <w:pStyle w:val="TableParagraph"/>
              <w:spacing w:before="106"/>
              <w:ind w:left="55"/>
              <w:jc w:val="left"/>
              <w:rPr>
                <w:rFonts w:ascii="Times New Roman"/>
                <w:sz w:val="21"/>
              </w:rPr>
            </w:pPr>
            <w:r>
              <w:rPr>
                <w:rFonts w:ascii="Times New Roman"/>
                <w:sz w:val="21"/>
              </w:rPr>
              <w:t>10000</w:t>
            </w:r>
          </w:p>
        </w:tc>
        <w:tc>
          <w:tcPr>
            <w:tcW w:w="1188" w:type="dxa"/>
          </w:tcPr>
          <w:p>
            <w:pPr>
              <w:pStyle w:val="TableParagraph"/>
              <w:spacing w:before="106"/>
              <w:ind w:left="55"/>
              <w:jc w:val="left"/>
              <w:rPr>
                <w:rFonts w:ascii="Times New Roman"/>
                <w:sz w:val="21"/>
              </w:rPr>
            </w:pPr>
            <w:r>
              <w:rPr>
                <w:rFonts w:ascii="Times New Roman"/>
                <w:sz w:val="21"/>
              </w:rPr>
              <w:t>7.75</w:t>
            </w:r>
          </w:p>
        </w:tc>
        <w:tc>
          <w:tcPr>
            <w:tcW w:w="896" w:type="dxa"/>
          </w:tcPr>
          <w:p>
            <w:pPr>
              <w:pStyle w:val="TableParagraph"/>
              <w:spacing w:before="106"/>
              <w:ind w:left="55"/>
              <w:jc w:val="left"/>
              <w:rPr>
                <w:rFonts w:ascii="Times New Roman"/>
                <w:sz w:val="21"/>
              </w:rPr>
            </w:pPr>
            <w:r>
              <w:rPr>
                <w:rFonts w:ascii="Times New Roman"/>
                <w:sz w:val="21"/>
              </w:rPr>
              <w:t>0.31</w:t>
            </w:r>
          </w:p>
        </w:tc>
        <w:tc>
          <w:tcPr>
            <w:tcW w:w="1188" w:type="dxa"/>
          </w:tcPr>
          <w:p>
            <w:pPr>
              <w:pStyle w:val="TableParagraph"/>
              <w:spacing w:before="106"/>
              <w:ind w:left="57"/>
              <w:jc w:val="left"/>
              <w:rPr>
                <w:rFonts w:ascii="Times New Roman"/>
                <w:sz w:val="21"/>
              </w:rPr>
            </w:pPr>
            <w:r>
              <w:rPr>
                <w:rFonts w:ascii="Times New Roman"/>
                <w:sz w:val="21"/>
              </w:rPr>
              <w:t>1.94</w:t>
            </w:r>
          </w:p>
        </w:tc>
        <w:tc>
          <w:tcPr>
            <w:tcW w:w="896" w:type="dxa"/>
          </w:tcPr>
          <w:p>
            <w:pPr>
              <w:pStyle w:val="TableParagraph"/>
              <w:spacing w:before="106"/>
              <w:ind w:left="57"/>
              <w:jc w:val="left"/>
              <w:rPr>
                <w:rFonts w:ascii="Times New Roman"/>
                <w:sz w:val="21"/>
              </w:rPr>
            </w:pPr>
            <w:r>
              <w:rPr>
                <w:rFonts w:ascii="Times New Roman"/>
                <w:sz w:val="21"/>
              </w:rPr>
              <w:t>0.078</w:t>
            </w:r>
          </w:p>
        </w:tc>
      </w:tr>
    </w:tbl>
    <w:p>
      <w:pPr>
        <w:pStyle w:val="BodyText"/>
        <w:spacing w:before="1"/>
        <w:ind w:left="958"/>
      </w:pPr>
      <w:r>
        <w:rPr/>
        <w:t>④矸石临时堆场产生的扬尘</w:t>
      </w:r>
    </w:p>
    <w:p>
      <w:pPr>
        <w:pStyle w:val="BodyText"/>
        <w:spacing w:line="364" w:lineRule="auto" w:before="158"/>
        <w:ind w:left="478" w:right="477" w:firstLine="480"/>
        <w:jc w:val="both"/>
      </w:pPr>
      <w:r>
        <w:rPr>
          <w:spacing w:val="-3"/>
        </w:rPr>
        <w:t>临时矸石堆主要承担初步筛分栈桥产生的矸石和矿井井巷工程废弃矸石。在矸石堆</w:t>
      </w:r>
      <w:r>
        <w:rPr>
          <w:spacing w:val="-5"/>
        </w:rPr>
        <w:t>存期间将会产生装卸、运输引起的扬尘以及堆积存放期间风蚀扬尘，统称临时矸石堆产</w:t>
      </w:r>
      <w:r>
        <w:rPr>
          <w:spacing w:val="-3"/>
        </w:rPr>
        <w:t>生的扬尘，其扬尘产生量采用</w:t>
      </w:r>
      <w:hyperlink r:id="rId22">
        <w:r>
          <w:rPr>
            <w:spacing w:val="-1"/>
          </w:rPr>
          <w:t>《扬尘源颗粒物排放清单编制技术指南</w:t>
        </w:r>
        <w:r>
          <w:rPr/>
          <w:t>（试行</w:t>
        </w:r>
        <w:r>
          <w:rPr>
            <w:spacing w:val="-10"/>
          </w:rPr>
          <w:t>）</w:t>
        </w:r>
      </w:hyperlink>
      <w:r>
        <w:rPr>
          <w:spacing w:val="-8"/>
        </w:rPr>
        <w:t>》中堆场</w:t>
      </w:r>
      <w:r>
        <w:rPr/>
        <w:t>扬尘排放量计算方法计算。计算公式如下：</w:t>
      </w:r>
    </w:p>
    <w:p>
      <w:pPr>
        <w:spacing w:after="0" w:line="364" w:lineRule="auto"/>
        <w:jc w:val="both"/>
        <w:sectPr>
          <w:pgSz w:w="11910" w:h="16840"/>
          <w:pgMar w:header="0" w:footer="993" w:top="1360" w:bottom="1180" w:left="940" w:right="940"/>
        </w:sectPr>
      </w:pPr>
    </w:p>
    <w:p>
      <w:pPr>
        <w:pStyle w:val="BodyText"/>
        <w:spacing w:before="5"/>
        <w:rPr>
          <w:sz w:val="11"/>
        </w:rPr>
      </w:pPr>
    </w:p>
    <w:p>
      <w:pPr>
        <w:pStyle w:val="BodyText"/>
        <w:ind w:left="1627"/>
        <w:rPr>
          <w:sz w:val="20"/>
        </w:rPr>
      </w:pPr>
      <w:r>
        <w:rPr>
          <w:sz w:val="20"/>
        </w:rPr>
        <w:drawing>
          <wp:inline distT="0" distB="0" distL="0" distR="0">
            <wp:extent cx="4301183" cy="518159"/>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23" cstate="print"/>
                    <a:stretch>
                      <a:fillRect/>
                    </a:stretch>
                  </pic:blipFill>
                  <pic:spPr>
                    <a:xfrm>
                      <a:off x="0" y="0"/>
                      <a:ext cx="4301183" cy="518159"/>
                    </a:xfrm>
                    <a:prstGeom prst="rect">
                      <a:avLst/>
                    </a:prstGeom>
                  </pic:spPr>
                </pic:pic>
              </a:graphicData>
            </a:graphic>
          </wp:inline>
        </w:drawing>
      </w:r>
      <w:r>
        <w:rPr>
          <w:sz w:val="20"/>
        </w:rPr>
      </w:r>
    </w:p>
    <w:p>
      <w:pPr>
        <w:pStyle w:val="BodyText"/>
        <w:spacing w:before="8"/>
        <w:rPr>
          <w:sz w:val="7"/>
        </w:rPr>
      </w:pPr>
    </w:p>
    <w:p>
      <w:pPr>
        <w:pStyle w:val="BodyText"/>
        <w:spacing w:before="67"/>
        <w:ind w:left="958"/>
      </w:pPr>
      <w:r>
        <w:rPr/>
        <w:t>式中：</w:t>
      </w:r>
    </w:p>
    <w:p>
      <w:pPr>
        <w:pStyle w:val="BodyText"/>
        <w:spacing w:before="155"/>
        <w:ind w:left="95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BodyText"/>
        <w:spacing w:before="153"/>
        <w:ind w:left="95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BodyText"/>
        <w:spacing w:before="160"/>
        <w:ind w:left="958"/>
      </w:pPr>
      <w:r>
        <w:rPr>
          <w:rFonts w:ascii="Times New Roman" w:eastAsia="Times New Roman"/>
        </w:rPr>
        <w:t>m </w:t>
      </w:r>
      <w:r>
        <w:rPr/>
        <w:t>为每年料堆物料装卸总次数，本次评价取 </w:t>
      </w:r>
      <w:r>
        <w:rPr>
          <w:rFonts w:ascii="Times New Roman" w:eastAsia="Times New Roman"/>
        </w:rPr>
        <w:t>30000 </w:t>
      </w:r>
      <w:r>
        <w:rPr/>
        <w:t>次；</w:t>
      </w:r>
    </w:p>
    <w:p>
      <w:pPr>
        <w:pStyle w:val="BodyText"/>
        <w:spacing w:line="360" w:lineRule="auto" w:before="157"/>
        <w:ind w:left="958" w:right="1108"/>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w:t>
      </w:r>
      <w:r>
        <w:rPr>
          <w:spacing w:val="-20"/>
          <w:position w:val="2"/>
          <w:vertAlign w:val="baseline"/>
        </w:rPr>
        <w:t>为第 </w:t>
      </w:r>
      <w:r>
        <w:rPr>
          <w:rFonts w:ascii="Times New Roman" w:eastAsia="Times New Roman"/>
          <w:position w:val="2"/>
          <w:vertAlign w:val="baseline"/>
        </w:rPr>
        <w:t>i </w:t>
      </w:r>
      <w:r>
        <w:rPr>
          <w:spacing w:val="-3"/>
          <w:position w:val="2"/>
          <w:vertAlign w:val="baseline"/>
        </w:rPr>
        <w:t>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BodyText"/>
        <w:spacing w:before="2"/>
        <w:ind w:left="95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w:t>
      </w:r>
      <w:r>
        <w:rPr>
          <w:position w:val="2"/>
          <w:vertAlign w:val="baseline"/>
        </w:rPr>
        <w:t>为料堆表面积，本次评价取 </w:t>
      </w:r>
      <w:r>
        <w:rPr>
          <w:rFonts w:ascii="Times New Roman" w:eastAsia="Times New Roman"/>
          <w:position w:val="2"/>
          <w:vertAlign w:val="baseline"/>
        </w:rPr>
        <w:t>1313m</w:t>
      </w:r>
      <w:r>
        <w:rPr>
          <w:rFonts w:ascii="Times New Roman" w:eastAsia="Times New Roman"/>
          <w:position w:val="2"/>
          <w:vertAlign w:val="superscript"/>
        </w:rPr>
        <w:t>2</w:t>
      </w:r>
      <w:r>
        <w:rPr>
          <w:position w:val="2"/>
          <w:vertAlign w:val="baseline"/>
        </w:rPr>
        <w:t>；</w:t>
      </w:r>
    </w:p>
    <w:p>
      <w:pPr>
        <w:pStyle w:val="BodyText"/>
        <w:spacing w:before="154"/>
        <w:ind w:left="958"/>
      </w:pPr>
      <w:r>
        <w:rPr>
          <w:position w:val="2"/>
        </w:rPr>
        <w:t>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w:t>
      </w:r>
      <w:r>
        <w:rPr>
          <w:position w:val="2"/>
          <w:vertAlign w:val="baseline"/>
        </w:rPr>
        <w:t>的计算方法</w:t>
      </w:r>
    </w:p>
    <w:p>
      <w:pPr>
        <w:pStyle w:val="BodyText"/>
        <w:rPr>
          <w:sz w:val="20"/>
        </w:rPr>
      </w:pPr>
    </w:p>
    <w:p>
      <w:pPr>
        <w:pStyle w:val="BodyText"/>
        <w:spacing w:before="5"/>
        <w:rPr>
          <w:sz w:val="19"/>
        </w:rPr>
      </w:pPr>
      <w:r>
        <w:rPr/>
        <w:drawing>
          <wp:anchor distT="0" distB="0" distL="0" distR="0" allowOverlap="1" layoutInCell="1" locked="0" behindDoc="0" simplePos="0" relativeHeight="17">
            <wp:simplePos x="0" y="0"/>
            <wp:positionH relativeFrom="page">
              <wp:posOffset>2154872</wp:posOffset>
            </wp:positionH>
            <wp:positionV relativeFrom="paragraph">
              <wp:posOffset>182814</wp:posOffset>
            </wp:positionV>
            <wp:extent cx="3267419" cy="1040129"/>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24" cstate="print"/>
                    <a:stretch>
                      <a:fillRect/>
                    </a:stretch>
                  </pic:blipFill>
                  <pic:spPr>
                    <a:xfrm>
                      <a:off x="0" y="0"/>
                      <a:ext cx="3267419" cy="1040129"/>
                    </a:xfrm>
                    <a:prstGeom prst="rect">
                      <a:avLst/>
                    </a:prstGeom>
                  </pic:spPr>
                </pic:pic>
              </a:graphicData>
            </a:graphic>
          </wp:anchor>
        </w:drawing>
      </w:r>
    </w:p>
    <w:p>
      <w:pPr>
        <w:pStyle w:val="BodyText"/>
        <w:spacing w:before="30"/>
        <w:ind w:left="95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BodyText"/>
        <w:spacing w:before="154"/>
        <w:ind w:left="95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w:t>
      </w:r>
      <w:r>
        <w:rPr>
          <w:position w:val="2"/>
          <w:vertAlign w:val="baseline"/>
        </w:rPr>
        <w:t>为物料的粒度乘数，本次评价取 </w:t>
      </w:r>
      <w:r>
        <w:rPr>
          <w:rFonts w:ascii="Times New Roman" w:eastAsia="Times New Roman"/>
          <w:position w:val="2"/>
          <w:vertAlign w:val="baseline"/>
        </w:rPr>
        <w:t>TSP0.74</w:t>
      </w:r>
      <w:r>
        <w:rPr>
          <w:position w:val="2"/>
          <w:vertAlign w:val="baseline"/>
        </w:rPr>
        <w:t>。</w:t>
      </w:r>
    </w:p>
    <w:p>
      <w:pPr>
        <w:pStyle w:val="BodyText"/>
        <w:spacing w:line="364" w:lineRule="auto" w:before="157"/>
        <w:ind w:left="958" w:right="2833"/>
      </w:pPr>
      <w:r>
        <w:rPr>
          <w:rFonts w:ascii="Times New Roman" w:eastAsia="Times New Roman"/>
        </w:rPr>
        <w:t>u </w:t>
      </w:r>
      <w:r>
        <w:rPr/>
        <w:t>为地面平均风速，本次评价取双鸭山市平均风速 </w:t>
      </w:r>
      <w:r>
        <w:rPr>
          <w:rFonts w:ascii="Times New Roman" w:eastAsia="Times New Roman"/>
        </w:rPr>
        <w:t>4.3m/s</w:t>
      </w:r>
      <w:r>
        <w:rPr/>
        <w:t>。</w:t>
      </w:r>
      <w:r>
        <w:rPr>
          <w:rFonts w:ascii="Times New Roman" w:eastAsia="Times New Roman"/>
        </w:rPr>
        <w:t>M </w:t>
      </w:r>
      <w:r>
        <w:rPr/>
        <w:t>为物料含水率，本次评价取 </w:t>
      </w:r>
      <w:r>
        <w:rPr>
          <w:rFonts w:ascii="Times New Roman" w:eastAsia="Times New Roman"/>
        </w:rPr>
        <w:t>6.9%</w:t>
      </w:r>
      <w:r>
        <w:rPr/>
        <w:t>。</w:t>
      </w:r>
    </w:p>
    <w:p>
      <w:pPr>
        <w:pStyle w:val="BodyText"/>
        <w:spacing w:line="364" w:lineRule="auto"/>
        <w:ind w:left="958" w:right="693"/>
      </w:pPr>
      <w:r>
        <w:rPr>
          <w:rFonts w:ascii="Times New Roman" w:hAnsi="Times New Roman" w:eastAsia="Times New Roman"/>
        </w:rPr>
        <w:t>η</w:t>
      </w:r>
      <w:r>
        <w:rPr/>
        <w:t>为污染控制技术对扬尘的去除效率，本次评价取输送点位连续洒水操作 </w:t>
      </w:r>
      <w:r>
        <w:rPr>
          <w:rFonts w:ascii="Times New Roman" w:hAnsi="Times New Roman" w:eastAsia="Times New Roman"/>
        </w:rPr>
        <w:t>74%</w:t>
      </w:r>
      <w:r>
        <w:rPr/>
        <w:t>。堆场风蚀扬尘排放系数的计算方法</w:t>
      </w:r>
    </w:p>
    <w:p>
      <w:pPr>
        <w:pStyle w:val="BodyText"/>
        <w:spacing w:before="4"/>
        <w:rPr>
          <w:sz w:val="13"/>
        </w:rPr>
      </w:pPr>
      <w:r>
        <w:rPr/>
        <w:drawing>
          <wp:anchor distT="0" distB="0" distL="0" distR="0" allowOverlap="1" layoutInCell="1" locked="0" behindDoc="0" simplePos="0" relativeHeight="18">
            <wp:simplePos x="0" y="0"/>
            <wp:positionH relativeFrom="page">
              <wp:posOffset>1381697</wp:posOffset>
            </wp:positionH>
            <wp:positionV relativeFrom="paragraph">
              <wp:posOffset>133451</wp:posOffset>
            </wp:positionV>
            <wp:extent cx="4677830" cy="1618488"/>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25" cstate="print"/>
                    <a:stretch>
                      <a:fillRect/>
                    </a:stretch>
                  </pic:blipFill>
                  <pic:spPr>
                    <a:xfrm>
                      <a:off x="0" y="0"/>
                      <a:ext cx="4677830" cy="1618488"/>
                    </a:xfrm>
                    <a:prstGeom prst="rect">
                      <a:avLst/>
                    </a:prstGeom>
                  </pic:spPr>
                </pic:pic>
              </a:graphicData>
            </a:graphic>
          </wp:anchor>
        </w:drawing>
      </w:r>
    </w:p>
    <w:p>
      <w:pPr>
        <w:pStyle w:val="BodyText"/>
        <w:spacing w:before="5"/>
        <w:rPr>
          <w:sz w:val="8"/>
        </w:rPr>
      </w:pPr>
    </w:p>
    <w:p>
      <w:pPr>
        <w:pStyle w:val="BodyText"/>
        <w:spacing w:before="77"/>
        <w:ind w:left="95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BodyText"/>
        <w:spacing w:before="156"/>
        <w:ind w:left="95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w:t>
      </w:r>
      <w:r>
        <w:rPr>
          <w:position w:val="2"/>
          <w:vertAlign w:val="baseline"/>
        </w:rPr>
        <w:t>为物料的粒度乘数，本次评价取 </w:t>
      </w:r>
      <w:r>
        <w:rPr>
          <w:rFonts w:ascii="Times New Roman" w:eastAsia="Times New Roman"/>
          <w:position w:val="2"/>
          <w:vertAlign w:val="baseline"/>
        </w:rPr>
        <w:t>TSP1</w:t>
      </w:r>
      <w:r>
        <w:rPr>
          <w:position w:val="2"/>
          <w:vertAlign w:val="baseline"/>
        </w:rPr>
        <w:t>。</w:t>
      </w:r>
    </w:p>
    <w:p>
      <w:pPr>
        <w:spacing w:after="0"/>
        <w:sectPr>
          <w:pgSz w:w="11910" w:h="16840"/>
          <w:pgMar w:header="0" w:footer="993" w:top="1580" w:bottom="1180" w:left="940" w:right="940"/>
        </w:sectPr>
      </w:pPr>
    </w:p>
    <w:p>
      <w:pPr>
        <w:pStyle w:val="BodyText"/>
        <w:spacing w:before="61"/>
        <w:ind w:left="958"/>
      </w:pPr>
      <w:r>
        <w:rPr>
          <w:rFonts w:ascii="Times New Roman" w:eastAsia="Times New Roman"/>
        </w:rPr>
        <w:t>n </w:t>
      </w:r>
      <w:r>
        <w:rPr/>
        <w:t>为料堆每年受扰动的次数，本次评价取 </w:t>
      </w:r>
      <w:r>
        <w:rPr>
          <w:rFonts w:ascii="Times New Roman" w:eastAsia="Times New Roman"/>
        </w:rPr>
        <w:t>30000 </w:t>
      </w:r>
      <w:r>
        <w:rPr/>
        <w:t>次。</w:t>
      </w:r>
    </w:p>
    <w:p>
      <w:pPr>
        <w:pStyle w:val="BodyText"/>
        <w:spacing w:before="155"/>
        <w:ind w:left="95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w:t>
      </w:r>
      <w:r>
        <w:rPr>
          <w:position w:val="2"/>
          <w:vertAlign w:val="baseline"/>
        </w:rPr>
        <w:t>为第 </w:t>
      </w:r>
      <w:r>
        <w:rPr>
          <w:rFonts w:ascii="Times New Roman" w:eastAsia="Times New Roman"/>
          <w:position w:val="2"/>
          <w:vertAlign w:val="baseline"/>
        </w:rPr>
        <w:t>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BodyText"/>
        <w:spacing w:line="364" w:lineRule="auto" w:before="159"/>
        <w:ind w:left="958" w:right="1413"/>
      </w:pPr>
      <w:r>
        <w:rPr>
          <w:rFonts w:ascii="Times New Roman" w:hAnsi="Times New Roman" w:eastAsia="Times New Roman"/>
        </w:rPr>
        <w:t>η</w:t>
      </w:r>
      <w:r>
        <w:rPr/>
        <w:t>为污染控制技术对扬尘的去除效率，本次评价取矿料堆定期洒水 </w:t>
      </w:r>
      <w:r>
        <w:rPr>
          <w:rFonts w:ascii="Times New Roman" w:hAnsi="Times New Roman" w:eastAsia="Times New Roman"/>
        </w:rPr>
        <w:t>52%</w:t>
      </w:r>
      <w:r>
        <w:rPr/>
        <w:t>。</w:t>
      </w:r>
      <w:r>
        <w:rPr>
          <w:rFonts w:ascii="Times New Roman" w:hAnsi="Times New Roman" w:eastAsia="Times New Roman"/>
        </w:rPr>
        <w:t>u</w:t>
      </w:r>
      <w:r>
        <w:rPr>
          <w:rFonts w:ascii="Times New Roman" w:hAnsi="Times New Roman" w:eastAsia="Times New Roman"/>
          <w:position w:val="8"/>
          <w:sz w:val="15"/>
        </w:rPr>
        <w:t>*</w:t>
      </w:r>
      <w:r>
        <w:rPr/>
        <w:t>为摩擦风速，</w:t>
      </w:r>
      <w:r>
        <w:rPr>
          <w:rFonts w:ascii="Times New Roman" w:hAnsi="Times New Roman" w:eastAsia="Times New Roman"/>
        </w:rPr>
        <w:t>m/s</w:t>
      </w:r>
      <w:r>
        <w:rPr/>
        <w:t>。</w:t>
      </w:r>
    </w:p>
    <w:p>
      <w:pPr>
        <w:pStyle w:val="BodyText"/>
        <w:spacing w:line="306" w:lineRule="exact"/>
        <w:ind w:left="958"/>
      </w:pPr>
      <w:r>
        <w:rPr/>
        <w:pict>
          <v:shape style="position:absolute;margin-left:100.919998pt;margin-top:5.829316pt;width:2.2pt;height:8.65pt;mso-position-horizontal-relative:page;mso-position-vertical-relative:paragraph;z-index:-286028800" type="#_x0000_t202" filled="false" stroked="false">
            <v:textbox inset="0,0,0,0">
              <w:txbxContent>
                <w:p>
                  <w:pPr>
                    <w:spacing w:line="171" w:lineRule="exact" w:before="0"/>
                    <w:ind w:left="0" w:right="0" w:firstLine="0"/>
                    <w:jc w:val="left"/>
                    <w:rPr>
                      <w:rFonts w:ascii="Times New Roman"/>
                      <w:sz w:val="15"/>
                    </w:rPr>
                  </w:pPr>
                  <w:r>
                    <w:rPr>
                      <w:rFonts w:ascii="Times New Roman"/>
                      <w:w w:val="104"/>
                      <w:sz w:val="15"/>
                    </w:rPr>
                    <w:t>t</w:t>
                  </w:r>
                </w:p>
              </w:txbxContent>
            </v:textbox>
            <w10:wrap type="none"/>
          </v:shape>
        </w:pict>
      </w:r>
      <w:r>
        <w:rPr>
          <w:rFonts w:ascii="Times New Roman" w:eastAsia="Times New Roman"/>
        </w:rPr>
        <w:t>u </w:t>
      </w:r>
      <w:r>
        <w:rPr>
          <w:rFonts w:ascii="Times New Roman" w:eastAsia="Times New Roman"/>
          <w:position w:val="8"/>
          <w:sz w:val="15"/>
        </w:rPr>
        <w:t>*</w:t>
      </w:r>
      <w:r>
        <w:rPr/>
        <w:t>为阈值摩擦风速，即起尘的临界摩擦风速，本次评价取煤矸石 </w:t>
      </w:r>
      <w:r>
        <w:rPr>
          <w:rFonts w:ascii="Times New Roman" w:eastAsia="Times New Roman"/>
        </w:rPr>
        <w:t>4.8m/s</w:t>
      </w:r>
      <w:r>
        <w:rPr/>
        <w:t>。</w:t>
      </w:r>
    </w:p>
    <w:p>
      <w:pPr>
        <w:pStyle w:val="BodyText"/>
        <w:spacing w:before="3"/>
        <w:rPr>
          <w:sz w:val="9"/>
        </w:rPr>
      </w:pPr>
      <w:r>
        <w:rPr/>
        <w:drawing>
          <wp:anchor distT="0" distB="0" distL="0" distR="0" allowOverlap="1" layoutInCell="1" locked="0" behindDoc="0" simplePos="0" relativeHeight="19">
            <wp:simplePos x="0" y="0"/>
            <wp:positionH relativeFrom="page">
              <wp:posOffset>1782949</wp:posOffset>
            </wp:positionH>
            <wp:positionV relativeFrom="paragraph">
              <wp:posOffset>100130</wp:posOffset>
            </wp:positionV>
            <wp:extent cx="4128928" cy="616648"/>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6" cstate="print"/>
                    <a:stretch>
                      <a:fillRect/>
                    </a:stretch>
                  </pic:blipFill>
                  <pic:spPr>
                    <a:xfrm>
                      <a:off x="0" y="0"/>
                      <a:ext cx="4128928" cy="616648"/>
                    </a:xfrm>
                    <a:prstGeom prst="rect">
                      <a:avLst/>
                    </a:prstGeom>
                  </pic:spPr>
                </pic:pic>
              </a:graphicData>
            </a:graphic>
          </wp:anchor>
        </w:drawing>
      </w:r>
    </w:p>
    <w:p>
      <w:pPr>
        <w:pStyle w:val="BodyText"/>
        <w:spacing w:before="1"/>
        <w:rPr>
          <w:sz w:val="30"/>
        </w:rPr>
      </w:pPr>
    </w:p>
    <w:p>
      <w:pPr>
        <w:pStyle w:val="BodyText"/>
        <w:spacing w:line="364" w:lineRule="auto"/>
        <w:ind w:left="958" w:right="3112"/>
      </w:pPr>
      <w:r>
        <w:rPr>
          <w:rFonts w:ascii="Times New Roman" w:eastAsia="Times New Roman"/>
        </w:rPr>
        <w:t>u(z)</w:t>
      </w:r>
      <w:r>
        <w:rPr/>
        <w:t>为地面风速，本次评价取双鸭山市平均风速 </w:t>
      </w:r>
      <w:r>
        <w:rPr>
          <w:rFonts w:ascii="Times New Roman" w:eastAsia="Times New Roman"/>
        </w:rPr>
        <w:t>4.3m/s</w:t>
      </w:r>
      <w:r>
        <w:rPr/>
        <w:t>。</w:t>
      </w:r>
      <w:r>
        <w:rPr>
          <w:rFonts w:ascii="Times New Roman" w:eastAsia="Times New Roman"/>
        </w:rPr>
        <w:t>z </w:t>
      </w:r>
      <w:r>
        <w:rPr/>
        <w:t>为地面风速检测高度，本次评价取 </w:t>
      </w:r>
      <w:r>
        <w:rPr>
          <w:rFonts w:ascii="Times New Roman" w:eastAsia="Times New Roman"/>
        </w:rPr>
        <w:t>1.2m</w:t>
      </w:r>
      <w:r>
        <w:rPr/>
        <w:t>。</w:t>
      </w:r>
    </w:p>
    <w:p>
      <w:pPr>
        <w:pStyle w:val="BodyText"/>
        <w:spacing w:line="310" w:lineRule="exact"/>
        <w:ind w:left="958"/>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w:t>
      </w:r>
      <w:r>
        <w:rPr>
          <w:position w:val="2"/>
          <w:vertAlign w:val="baseline"/>
        </w:rPr>
        <w:t>为地面粗糙度，本次评价取郊区 </w:t>
      </w:r>
      <w:r>
        <w:rPr>
          <w:rFonts w:ascii="Times New Roman" w:eastAsia="Times New Roman"/>
          <w:position w:val="2"/>
          <w:vertAlign w:val="baseline"/>
        </w:rPr>
        <w:t>0.2m</w:t>
      </w:r>
      <w:r>
        <w:rPr>
          <w:position w:val="2"/>
          <w:vertAlign w:val="baseline"/>
        </w:rPr>
        <w:t>。</w:t>
      </w:r>
    </w:p>
    <w:p>
      <w:pPr>
        <w:pStyle w:val="BodyText"/>
        <w:spacing w:before="157"/>
        <w:ind w:left="958"/>
      </w:pPr>
      <w:r>
        <w:rPr>
          <w:rFonts w:ascii="Times New Roman" w:eastAsia="Times New Roman"/>
        </w:rPr>
        <w:t>0.4 </w:t>
      </w:r>
      <w:r>
        <w:rPr/>
        <w:t>为冯卡门常数，无量纲。</w:t>
      </w:r>
    </w:p>
    <w:p>
      <w:pPr>
        <w:pStyle w:val="BodyText"/>
        <w:spacing w:line="364" w:lineRule="auto" w:before="158"/>
        <w:ind w:left="478" w:right="476" w:firstLine="480"/>
      </w:pPr>
      <w:r>
        <w:rPr/>
        <w:t>经计算，本项目临时矸石堆产生的扬尘为 </w:t>
      </w:r>
      <w:r>
        <w:rPr>
          <w:rFonts w:ascii="Times New Roman" w:eastAsia="Times New Roman"/>
        </w:rPr>
        <w:t>0.09t/a</w:t>
      </w:r>
      <w:r>
        <w:rPr/>
        <w:t>（</w:t>
      </w:r>
      <w:r>
        <w:rPr>
          <w:rFonts w:ascii="Times New Roman" w:eastAsia="Times New Roman"/>
        </w:rPr>
        <w:t>0.01kg/h</w:t>
      </w:r>
      <w:r>
        <w:rPr/>
        <w:t>），采取洒水控制措施及围挡遮围（效率 </w:t>
      </w:r>
      <w:r>
        <w:rPr>
          <w:rFonts w:ascii="Times New Roman" w:eastAsia="Times New Roman"/>
        </w:rPr>
        <w:t>74%</w:t>
      </w:r>
      <w:r>
        <w:rPr/>
        <w:t>），临时矸石堆扬尘排放量 </w:t>
      </w:r>
      <w:r>
        <w:rPr>
          <w:rFonts w:ascii="Times New Roman" w:eastAsia="Times New Roman"/>
        </w:rPr>
        <w:t>0.023t/a</w:t>
      </w:r>
      <w:r>
        <w:rPr/>
        <w:t>（</w:t>
      </w:r>
      <w:r>
        <w:rPr>
          <w:rFonts w:ascii="Times New Roman" w:eastAsia="Times New Roman"/>
        </w:rPr>
        <w:t>0.003kg/h</w:t>
      </w:r>
      <w:r>
        <w:rPr/>
        <w:t>）。</w:t>
      </w:r>
    </w:p>
    <w:p>
      <w:pPr>
        <w:spacing w:after="0" w:line="364" w:lineRule="auto"/>
        <w:sectPr>
          <w:pgSz w:w="11910" w:h="16840"/>
          <w:pgMar w:header="0" w:footer="993" w:top="1340" w:bottom="1180" w:left="940" w:right="940"/>
        </w:sectPr>
      </w:pPr>
    </w:p>
    <w:p>
      <w:pPr>
        <w:pStyle w:val="BodyText"/>
        <w:rPr>
          <w:sz w:val="20"/>
        </w:rPr>
      </w:pPr>
    </w:p>
    <w:p>
      <w:pPr>
        <w:pStyle w:val="BodyText"/>
        <w:rPr>
          <w:sz w:val="20"/>
        </w:rPr>
      </w:pPr>
    </w:p>
    <w:p>
      <w:pPr>
        <w:pStyle w:val="BodyText"/>
        <w:spacing w:before="7"/>
        <w:rPr>
          <w:sz w:val="28"/>
        </w:rPr>
      </w:pPr>
    </w:p>
    <w:p>
      <w:pPr>
        <w:pStyle w:val="BodyText"/>
        <w:ind w:left="2382"/>
        <w:rPr>
          <w:sz w:val="20"/>
        </w:rPr>
      </w:pPr>
      <w:r>
        <w:rPr>
          <w:sz w:val="20"/>
        </w:rPr>
        <w:drawing>
          <wp:inline distT="0" distB="0" distL="0" distR="0">
            <wp:extent cx="6567203" cy="4396740"/>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28" cstate="print"/>
                    <a:stretch>
                      <a:fillRect/>
                    </a:stretch>
                  </pic:blipFill>
                  <pic:spPr>
                    <a:xfrm>
                      <a:off x="0" y="0"/>
                      <a:ext cx="6567203" cy="4396740"/>
                    </a:xfrm>
                    <a:prstGeom prst="rect">
                      <a:avLst/>
                    </a:prstGeom>
                  </pic:spPr>
                </pic:pic>
              </a:graphicData>
            </a:graphic>
          </wp:inline>
        </w:drawing>
      </w:r>
      <w:r>
        <w:rPr>
          <w:sz w:val="20"/>
        </w:rPr>
      </w:r>
    </w:p>
    <w:p>
      <w:pPr>
        <w:pStyle w:val="BodyText"/>
        <w:spacing w:before="2"/>
        <w:rPr>
          <w:sz w:val="14"/>
        </w:rPr>
      </w:pPr>
    </w:p>
    <w:p>
      <w:pPr>
        <w:pStyle w:val="Heading4"/>
        <w:tabs>
          <w:tab w:pos="1289" w:val="left" w:leader="none"/>
        </w:tabs>
        <w:spacing w:before="76"/>
        <w:ind w:left="7"/>
        <w:jc w:val="center"/>
      </w:pPr>
      <w:r>
        <w:rPr/>
        <w:t>图</w:t>
      </w:r>
      <w:r>
        <w:rPr>
          <w:spacing w:val="-62"/>
        </w:rPr>
        <w:t> </w:t>
      </w:r>
      <w:r>
        <w:rPr>
          <w:rFonts w:ascii="Times New Roman" w:eastAsia="Times New Roman"/>
        </w:rPr>
        <w:t>3.4-1</w:t>
        <w:tab/>
      </w:r>
      <w:r>
        <w:rPr/>
        <w:t>矿井工艺排污环节图</w:t>
      </w:r>
    </w:p>
    <w:p>
      <w:pPr>
        <w:spacing w:after="0"/>
        <w:jc w:val="center"/>
        <w:sectPr>
          <w:footerReference w:type="default" r:id="rId27"/>
          <w:pgSz w:w="16840" w:h="11910" w:orient="landscape"/>
          <w:pgMar w:footer="993" w:header="0" w:top="1100" w:bottom="1180" w:left="1120" w:right="1120"/>
          <w:pgNumType w:start="57"/>
        </w:sectPr>
      </w:pPr>
    </w:p>
    <w:p>
      <w:pPr>
        <w:pStyle w:val="BodyText"/>
        <w:rPr>
          <w:b/>
          <w:sz w:val="20"/>
        </w:rPr>
      </w:pPr>
    </w:p>
    <w:p>
      <w:pPr>
        <w:pStyle w:val="BodyText"/>
        <w:rPr>
          <w:b/>
          <w:sz w:val="20"/>
        </w:rPr>
      </w:pPr>
    </w:p>
    <w:p>
      <w:pPr>
        <w:pStyle w:val="BodyText"/>
        <w:rPr>
          <w:b/>
          <w:sz w:val="20"/>
        </w:rPr>
      </w:pPr>
    </w:p>
    <w:p>
      <w:pPr>
        <w:spacing w:before="216"/>
        <w:ind w:left="17" w:right="0" w:firstLine="0"/>
        <w:jc w:val="center"/>
        <w:rPr>
          <w:b/>
          <w:sz w:val="24"/>
        </w:rPr>
      </w:pPr>
      <w:r>
        <w:rPr>
          <w:b/>
          <w:sz w:val="24"/>
        </w:rPr>
        <w:t>表 </w:t>
      </w:r>
      <w:r>
        <w:rPr>
          <w:rFonts w:ascii="Times New Roman" w:eastAsia="Times New Roman"/>
          <w:b/>
          <w:sz w:val="24"/>
        </w:rPr>
        <w:t>3.4-4  </w:t>
      </w:r>
      <w:r>
        <w:rPr>
          <w:b/>
          <w:sz w:val="24"/>
        </w:rPr>
        <w:t>废气污染源源强核算结果及相关参数一览表</w:t>
      </w:r>
    </w:p>
    <w:p>
      <w:pPr>
        <w:pStyle w:val="BodyText"/>
        <w:rPr>
          <w:b/>
          <w:sz w:val="20"/>
        </w:rPr>
      </w:pPr>
    </w:p>
    <w:p>
      <w:pPr>
        <w:pStyle w:val="BodyText"/>
        <w:spacing w:before="1"/>
        <w:rPr>
          <w:b/>
          <w:sz w:val="1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323"/>
        <w:gridCol w:w="677"/>
        <w:gridCol w:w="1038"/>
        <w:gridCol w:w="1037"/>
        <w:gridCol w:w="1038"/>
        <w:gridCol w:w="1039"/>
        <w:gridCol w:w="1370"/>
        <w:gridCol w:w="914"/>
        <w:gridCol w:w="898"/>
        <w:gridCol w:w="898"/>
        <w:gridCol w:w="897"/>
        <w:gridCol w:w="899"/>
        <w:gridCol w:w="879"/>
        <w:gridCol w:w="879"/>
      </w:tblGrid>
      <w:tr>
        <w:trPr>
          <w:trHeight w:val="326" w:hRule="atLeast"/>
        </w:trPr>
        <w:tc>
          <w:tcPr>
            <w:tcW w:w="564" w:type="dxa"/>
            <w:vMerge w:val="restart"/>
          </w:tcPr>
          <w:p>
            <w:pPr>
              <w:pStyle w:val="TableParagraph"/>
              <w:spacing w:line="290" w:lineRule="auto" w:before="2"/>
              <w:ind w:left="176" w:right="166"/>
              <w:jc w:val="both"/>
              <w:rPr>
                <w:sz w:val="21"/>
              </w:rPr>
            </w:pPr>
            <w:r>
              <w:rPr>
                <w:sz w:val="21"/>
              </w:rPr>
              <w:t>污染物类</w:t>
            </w:r>
          </w:p>
          <w:p>
            <w:pPr>
              <w:pStyle w:val="TableParagraph"/>
              <w:spacing w:before="3"/>
              <w:ind w:left="176"/>
              <w:jc w:val="left"/>
              <w:rPr>
                <w:sz w:val="21"/>
              </w:rPr>
            </w:pPr>
            <w:r>
              <w:rPr>
                <w:w w:val="99"/>
                <w:sz w:val="21"/>
              </w:rPr>
              <w:t>别</w:t>
            </w:r>
          </w:p>
        </w:tc>
        <w:tc>
          <w:tcPr>
            <w:tcW w:w="1323" w:type="dxa"/>
            <w:vMerge w:val="restart"/>
          </w:tcPr>
          <w:p>
            <w:pPr>
              <w:pStyle w:val="TableParagraph"/>
              <w:jc w:val="left"/>
              <w:rPr>
                <w:b/>
                <w:sz w:val="20"/>
              </w:rPr>
            </w:pPr>
          </w:p>
          <w:p>
            <w:pPr>
              <w:pStyle w:val="TableParagraph"/>
              <w:jc w:val="left"/>
              <w:rPr>
                <w:b/>
                <w:sz w:val="20"/>
              </w:rPr>
            </w:pPr>
          </w:p>
          <w:p>
            <w:pPr>
              <w:pStyle w:val="TableParagraph"/>
              <w:spacing w:before="142"/>
              <w:ind w:left="344"/>
              <w:jc w:val="left"/>
              <w:rPr>
                <w:sz w:val="21"/>
              </w:rPr>
            </w:pPr>
            <w:r>
              <w:rPr>
                <w:sz w:val="21"/>
              </w:rPr>
              <w:t>污染源</w:t>
            </w:r>
          </w:p>
        </w:tc>
        <w:tc>
          <w:tcPr>
            <w:tcW w:w="677" w:type="dxa"/>
            <w:vMerge w:val="restart"/>
          </w:tcPr>
          <w:p>
            <w:pPr>
              <w:pStyle w:val="TableParagraph"/>
              <w:jc w:val="left"/>
              <w:rPr>
                <w:b/>
                <w:sz w:val="20"/>
              </w:rPr>
            </w:pPr>
          </w:p>
          <w:p>
            <w:pPr>
              <w:pStyle w:val="TableParagraph"/>
              <w:spacing w:before="4"/>
              <w:jc w:val="left"/>
              <w:rPr>
                <w:b/>
                <w:sz w:val="18"/>
              </w:rPr>
            </w:pPr>
          </w:p>
          <w:p>
            <w:pPr>
              <w:pStyle w:val="TableParagraph"/>
              <w:spacing w:line="290" w:lineRule="auto"/>
              <w:ind w:left="233" w:right="119" w:hanging="106"/>
              <w:jc w:val="left"/>
              <w:rPr>
                <w:sz w:val="21"/>
              </w:rPr>
            </w:pPr>
            <w:r>
              <w:rPr>
                <w:sz w:val="21"/>
              </w:rPr>
              <w:t>污染物</w:t>
            </w:r>
          </w:p>
        </w:tc>
        <w:tc>
          <w:tcPr>
            <w:tcW w:w="4152" w:type="dxa"/>
            <w:gridSpan w:val="4"/>
          </w:tcPr>
          <w:p>
            <w:pPr>
              <w:pStyle w:val="TableParagraph"/>
              <w:spacing w:before="2"/>
              <w:ind w:left="1339"/>
              <w:jc w:val="left"/>
              <w:rPr>
                <w:sz w:val="21"/>
              </w:rPr>
            </w:pPr>
            <w:r>
              <w:rPr>
                <w:sz w:val="21"/>
              </w:rPr>
              <w:t>污染物产生情况</w:t>
            </w:r>
          </w:p>
        </w:tc>
        <w:tc>
          <w:tcPr>
            <w:tcW w:w="2284" w:type="dxa"/>
            <w:gridSpan w:val="2"/>
          </w:tcPr>
          <w:p>
            <w:pPr>
              <w:pStyle w:val="TableParagraph"/>
              <w:spacing w:before="2"/>
              <w:ind w:left="720"/>
              <w:jc w:val="left"/>
              <w:rPr>
                <w:sz w:val="21"/>
              </w:rPr>
            </w:pPr>
            <w:r>
              <w:rPr>
                <w:sz w:val="21"/>
              </w:rPr>
              <w:t>治理措施</w:t>
            </w:r>
          </w:p>
        </w:tc>
        <w:tc>
          <w:tcPr>
            <w:tcW w:w="3592" w:type="dxa"/>
            <w:gridSpan w:val="4"/>
          </w:tcPr>
          <w:p>
            <w:pPr>
              <w:pStyle w:val="TableParagraph"/>
              <w:spacing w:before="2"/>
              <w:ind w:left="1059"/>
              <w:jc w:val="left"/>
              <w:rPr>
                <w:sz w:val="21"/>
              </w:rPr>
            </w:pPr>
            <w:r>
              <w:rPr>
                <w:sz w:val="21"/>
              </w:rPr>
              <w:t>污染物排放情况</w:t>
            </w:r>
          </w:p>
        </w:tc>
        <w:tc>
          <w:tcPr>
            <w:tcW w:w="879" w:type="dxa"/>
            <w:vMerge w:val="restart"/>
          </w:tcPr>
          <w:p>
            <w:pPr>
              <w:pStyle w:val="TableParagraph"/>
              <w:jc w:val="left"/>
              <w:rPr>
                <w:b/>
                <w:sz w:val="20"/>
              </w:rPr>
            </w:pPr>
          </w:p>
          <w:p>
            <w:pPr>
              <w:pStyle w:val="TableParagraph"/>
              <w:spacing w:before="8"/>
              <w:jc w:val="left"/>
              <w:rPr>
                <w:b/>
                <w:sz w:val="19"/>
              </w:rPr>
            </w:pPr>
          </w:p>
          <w:p>
            <w:pPr>
              <w:pStyle w:val="TableParagraph"/>
              <w:ind w:left="227"/>
              <w:jc w:val="left"/>
              <w:rPr>
                <w:sz w:val="21"/>
              </w:rPr>
            </w:pPr>
            <w:r>
              <w:rPr>
                <w:sz w:val="21"/>
              </w:rPr>
              <w:t>标准</w:t>
            </w:r>
          </w:p>
          <w:p>
            <w:pPr>
              <w:pStyle w:val="TableParagraph"/>
              <w:spacing w:before="57"/>
              <w:ind w:left="160"/>
              <w:jc w:val="left"/>
              <w:rPr>
                <w:rFonts w:ascii="Times New Roman"/>
                <w:sz w:val="13"/>
              </w:rPr>
            </w:pPr>
            <w:r>
              <w:rPr>
                <w:rFonts w:ascii="Times New Roman"/>
                <w:sz w:val="21"/>
              </w:rPr>
              <w:t>mg/m</w:t>
            </w:r>
            <w:r>
              <w:rPr>
                <w:rFonts w:ascii="Times New Roman"/>
                <w:position w:val="7"/>
                <w:sz w:val="13"/>
              </w:rPr>
              <w:t>3</w:t>
            </w:r>
          </w:p>
        </w:tc>
        <w:tc>
          <w:tcPr>
            <w:tcW w:w="879" w:type="dxa"/>
            <w:vMerge w:val="restart"/>
          </w:tcPr>
          <w:p>
            <w:pPr>
              <w:pStyle w:val="TableParagraph"/>
              <w:jc w:val="left"/>
              <w:rPr>
                <w:b/>
                <w:sz w:val="22"/>
              </w:rPr>
            </w:pPr>
          </w:p>
          <w:p>
            <w:pPr>
              <w:pStyle w:val="TableParagraph"/>
              <w:spacing w:before="4"/>
              <w:jc w:val="left"/>
              <w:rPr>
                <w:b/>
                <w:sz w:val="16"/>
              </w:rPr>
            </w:pPr>
          </w:p>
          <w:p>
            <w:pPr>
              <w:pStyle w:val="TableParagraph"/>
              <w:spacing w:line="290" w:lineRule="auto"/>
              <w:ind w:left="255" w:right="114" w:hanging="132"/>
              <w:jc w:val="left"/>
              <w:rPr>
                <w:rFonts w:ascii="Times New Roman" w:eastAsia="Times New Roman"/>
                <w:sz w:val="21"/>
              </w:rPr>
            </w:pPr>
            <w:r>
              <w:rPr>
                <w:sz w:val="21"/>
              </w:rPr>
              <w:t>排放时间 </w:t>
            </w:r>
            <w:r>
              <w:rPr>
                <w:rFonts w:ascii="Times New Roman" w:eastAsia="Times New Roman"/>
                <w:sz w:val="21"/>
              </w:rPr>
              <w:t>h</w:t>
            </w:r>
          </w:p>
        </w:tc>
      </w:tr>
      <w:tr>
        <w:trPr>
          <w:trHeight w:val="1297" w:hRule="atLeast"/>
        </w:trPr>
        <w:tc>
          <w:tcPr>
            <w:tcW w:w="564" w:type="dxa"/>
            <w:vMerge/>
            <w:tcBorders>
              <w:top w:val="nil"/>
            </w:tcBorders>
          </w:tcPr>
          <w:p>
            <w:pPr>
              <w:rPr>
                <w:sz w:val="2"/>
                <w:szCs w:val="2"/>
              </w:rPr>
            </w:pPr>
          </w:p>
        </w:tc>
        <w:tc>
          <w:tcPr>
            <w:tcW w:w="1323" w:type="dxa"/>
            <w:vMerge/>
            <w:tcBorders>
              <w:top w:val="nil"/>
            </w:tcBorders>
          </w:tcPr>
          <w:p>
            <w:pPr>
              <w:rPr>
                <w:sz w:val="2"/>
                <w:szCs w:val="2"/>
              </w:rPr>
            </w:pPr>
          </w:p>
        </w:tc>
        <w:tc>
          <w:tcPr>
            <w:tcW w:w="677" w:type="dxa"/>
            <w:vMerge/>
            <w:tcBorders>
              <w:top w:val="nil"/>
            </w:tcBorders>
          </w:tcPr>
          <w:p>
            <w:pPr>
              <w:rPr>
                <w:sz w:val="2"/>
                <w:szCs w:val="2"/>
              </w:rPr>
            </w:pPr>
          </w:p>
        </w:tc>
        <w:tc>
          <w:tcPr>
            <w:tcW w:w="1038" w:type="dxa"/>
          </w:tcPr>
          <w:p>
            <w:pPr>
              <w:pStyle w:val="TableParagraph"/>
              <w:spacing w:before="12"/>
              <w:jc w:val="left"/>
              <w:rPr>
                <w:b/>
                <w:sz w:val="24"/>
              </w:rPr>
            </w:pPr>
          </w:p>
          <w:p>
            <w:pPr>
              <w:pStyle w:val="TableParagraph"/>
              <w:spacing w:line="290" w:lineRule="auto"/>
              <w:ind w:left="307" w:right="300"/>
              <w:jc w:val="left"/>
              <w:rPr>
                <w:sz w:val="21"/>
              </w:rPr>
            </w:pPr>
            <w:r>
              <w:rPr>
                <w:sz w:val="21"/>
              </w:rPr>
              <w:t>核算方法</w:t>
            </w:r>
          </w:p>
        </w:tc>
        <w:tc>
          <w:tcPr>
            <w:tcW w:w="1037" w:type="dxa"/>
          </w:tcPr>
          <w:p>
            <w:pPr>
              <w:pStyle w:val="TableParagraph"/>
              <w:spacing w:before="6"/>
              <w:jc w:val="left"/>
              <w:rPr>
                <w:b/>
                <w:sz w:val="26"/>
              </w:rPr>
            </w:pPr>
          </w:p>
          <w:p>
            <w:pPr>
              <w:pStyle w:val="TableParagraph"/>
              <w:ind w:left="181" w:right="173"/>
              <w:rPr>
                <w:sz w:val="21"/>
              </w:rPr>
            </w:pPr>
            <w:r>
              <w:rPr>
                <w:sz w:val="21"/>
              </w:rPr>
              <w:t>废气量</w:t>
            </w:r>
          </w:p>
          <w:p>
            <w:pPr>
              <w:pStyle w:val="TableParagraph"/>
              <w:spacing w:before="57"/>
              <w:ind w:left="181" w:right="174"/>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1038" w:type="dxa"/>
          </w:tcPr>
          <w:p>
            <w:pPr>
              <w:pStyle w:val="TableParagraph"/>
              <w:spacing w:before="12"/>
              <w:jc w:val="left"/>
              <w:rPr>
                <w:b/>
                <w:sz w:val="24"/>
              </w:rPr>
            </w:pPr>
          </w:p>
          <w:p>
            <w:pPr>
              <w:pStyle w:val="TableParagraph"/>
              <w:spacing w:line="292" w:lineRule="auto"/>
              <w:ind w:left="109" w:right="32" w:firstLine="93"/>
              <w:jc w:val="left"/>
              <w:rPr>
                <w:rFonts w:ascii="Times New Roman" w:eastAsia="Times New Roman"/>
                <w:sz w:val="13"/>
              </w:rPr>
            </w:pPr>
            <w:r>
              <w:rPr>
                <w:sz w:val="21"/>
              </w:rPr>
              <w:t>产生浓度 </w:t>
            </w:r>
            <w:r>
              <w:rPr>
                <w:rFonts w:ascii="Times New Roman" w:eastAsia="Times New Roman"/>
                <w:sz w:val="21"/>
              </w:rPr>
              <w:t>mg/m</w:t>
            </w:r>
            <w:r>
              <w:rPr>
                <w:rFonts w:ascii="Times New Roman" w:eastAsia="Times New Roman"/>
                <w:position w:val="7"/>
                <w:sz w:val="13"/>
              </w:rPr>
              <w:t>3</w:t>
            </w:r>
          </w:p>
        </w:tc>
        <w:tc>
          <w:tcPr>
            <w:tcW w:w="1039" w:type="dxa"/>
          </w:tcPr>
          <w:p>
            <w:pPr>
              <w:pStyle w:val="TableParagraph"/>
              <w:spacing w:before="6"/>
              <w:jc w:val="left"/>
              <w:rPr>
                <w:b/>
                <w:sz w:val="26"/>
              </w:rPr>
            </w:pPr>
          </w:p>
          <w:p>
            <w:pPr>
              <w:pStyle w:val="TableParagraph"/>
              <w:ind w:left="183" w:right="175"/>
              <w:rPr>
                <w:sz w:val="21"/>
              </w:rPr>
            </w:pPr>
            <w:r>
              <w:rPr>
                <w:sz w:val="21"/>
              </w:rPr>
              <w:t>产生量</w:t>
            </w:r>
          </w:p>
          <w:p>
            <w:pPr>
              <w:pStyle w:val="TableParagraph"/>
              <w:spacing w:before="57"/>
              <w:ind w:left="183" w:right="173"/>
              <w:rPr>
                <w:rFonts w:ascii="Times New Roman"/>
                <w:sz w:val="21"/>
              </w:rPr>
            </w:pPr>
            <w:r>
              <w:rPr>
                <w:rFonts w:ascii="Times New Roman"/>
                <w:sz w:val="21"/>
              </w:rPr>
              <w:t>t/a</w:t>
            </w:r>
          </w:p>
        </w:tc>
        <w:tc>
          <w:tcPr>
            <w:tcW w:w="1370" w:type="dxa"/>
          </w:tcPr>
          <w:p>
            <w:pPr>
              <w:pStyle w:val="TableParagraph"/>
              <w:jc w:val="left"/>
              <w:rPr>
                <w:b/>
                <w:sz w:val="20"/>
              </w:rPr>
            </w:pPr>
          </w:p>
          <w:p>
            <w:pPr>
              <w:pStyle w:val="TableParagraph"/>
              <w:spacing w:before="11"/>
              <w:jc w:val="left"/>
              <w:rPr>
                <w:b/>
                <w:sz w:val="17"/>
              </w:rPr>
            </w:pPr>
          </w:p>
          <w:p>
            <w:pPr>
              <w:pStyle w:val="TableParagraph"/>
              <w:ind w:left="138" w:right="129"/>
              <w:rPr>
                <w:sz w:val="21"/>
              </w:rPr>
            </w:pPr>
            <w:r>
              <w:rPr>
                <w:sz w:val="21"/>
              </w:rPr>
              <w:t>工艺</w:t>
            </w:r>
          </w:p>
        </w:tc>
        <w:tc>
          <w:tcPr>
            <w:tcW w:w="914" w:type="dxa"/>
          </w:tcPr>
          <w:p>
            <w:pPr>
              <w:pStyle w:val="TableParagraph"/>
              <w:jc w:val="left"/>
              <w:rPr>
                <w:b/>
                <w:sz w:val="22"/>
              </w:rPr>
            </w:pPr>
          </w:p>
          <w:p>
            <w:pPr>
              <w:pStyle w:val="TableParagraph"/>
              <w:spacing w:before="11"/>
              <w:jc w:val="left"/>
              <w:rPr>
                <w:b/>
                <w:sz w:val="15"/>
              </w:rPr>
            </w:pPr>
          </w:p>
          <w:p>
            <w:pPr>
              <w:pStyle w:val="TableParagraph"/>
              <w:ind w:left="138" w:right="130"/>
              <w:rPr>
                <w:rFonts w:ascii="Times New Roman" w:eastAsia="Times New Roman"/>
                <w:sz w:val="21"/>
              </w:rPr>
            </w:pPr>
            <w:r>
              <w:rPr>
                <w:sz w:val="21"/>
              </w:rPr>
              <w:t>效率</w:t>
            </w:r>
            <w:r>
              <w:rPr>
                <w:rFonts w:ascii="Times New Roman" w:eastAsia="Times New Roman"/>
                <w:sz w:val="21"/>
              </w:rPr>
              <w:t>%</w:t>
            </w:r>
          </w:p>
        </w:tc>
        <w:tc>
          <w:tcPr>
            <w:tcW w:w="898" w:type="dxa"/>
          </w:tcPr>
          <w:p>
            <w:pPr>
              <w:pStyle w:val="TableParagraph"/>
              <w:spacing w:before="6"/>
              <w:jc w:val="left"/>
              <w:rPr>
                <w:b/>
                <w:sz w:val="26"/>
              </w:rPr>
            </w:pPr>
          </w:p>
          <w:p>
            <w:pPr>
              <w:pStyle w:val="TableParagraph"/>
              <w:ind w:left="133"/>
              <w:jc w:val="left"/>
              <w:rPr>
                <w:sz w:val="21"/>
              </w:rPr>
            </w:pPr>
            <w:r>
              <w:rPr>
                <w:sz w:val="21"/>
              </w:rPr>
              <w:t>废气量</w:t>
            </w:r>
          </w:p>
          <w:p>
            <w:pPr>
              <w:pStyle w:val="TableParagraph"/>
              <w:spacing w:before="57"/>
              <w:ind w:left="183"/>
              <w:jc w:val="left"/>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898" w:type="dxa"/>
          </w:tcPr>
          <w:p>
            <w:pPr>
              <w:pStyle w:val="TableParagraph"/>
              <w:spacing w:line="290" w:lineRule="auto" w:before="176"/>
              <w:ind w:left="132" w:right="124"/>
              <w:rPr>
                <w:rFonts w:ascii="Times New Roman" w:eastAsia="Times New Roman"/>
                <w:sz w:val="13"/>
              </w:rPr>
            </w:pPr>
            <w:r>
              <w:rPr>
                <w:sz w:val="21"/>
              </w:rPr>
              <w:t>排放浓度 </w:t>
            </w:r>
            <w:r>
              <w:rPr>
                <w:rFonts w:ascii="Times New Roman" w:eastAsia="Times New Roman"/>
                <w:sz w:val="21"/>
              </w:rPr>
              <w:t>mg/m</w:t>
            </w:r>
            <w:r>
              <w:rPr>
                <w:rFonts w:ascii="Times New Roman" w:eastAsia="Times New Roman"/>
                <w:position w:val="7"/>
                <w:sz w:val="13"/>
              </w:rPr>
              <w:t>3</w:t>
            </w:r>
          </w:p>
        </w:tc>
        <w:tc>
          <w:tcPr>
            <w:tcW w:w="897" w:type="dxa"/>
          </w:tcPr>
          <w:p>
            <w:pPr>
              <w:pStyle w:val="TableParagraph"/>
              <w:spacing w:before="12"/>
              <w:jc w:val="left"/>
              <w:rPr>
                <w:b/>
                <w:sz w:val="24"/>
              </w:rPr>
            </w:pPr>
          </w:p>
          <w:p>
            <w:pPr>
              <w:pStyle w:val="TableParagraph"/>
              <w:spacing w:line="292" w:lineRule="auto"/>
              <w:ind w:left="130" w:right="55" w:firstLine="2"/>
              <w:jc w:val="left"/>
              <w:rPr>
                <w:rFonts w:ascii="Times New Roman" w:eastAsia="Times New Roman"/>
                <w:sz w:val="21"/>
              </w:rPr>
            </w:pPr>
            <w:r>
              <w:rPr>
                <w:sz w:val="21"/>
              </w:rPr>
              <w:t>排放速率 </w:t>
            </w:r>
            <w:r>
              <w:rPr>
                <w:rFonts w:ascii="Times New Roman" w:eastAsia="Times New Roman"/>
                <w:sz w:val="21"/>
              </w:rPr>
              <w:t>kg/h</w:t>
            </w:r>
          </w:p>
        </w:tc>
        <w:tc>
          <w:tcPr>
            <w:tcW w:w="899" w:type="dxa"/>
          </w:tcPr>
          <w:p>
            <w:pPr>
              <w:pStyle w:val="TableParagraph"/>
              <w:spacing w:before="6"/>
              <w:jc w:val="left"/>
              <w:rPr>
                <w:b/>
                <w:sz w:val="26"/>
              </w:rPr>
            </w:pPr>
          </w:p>
          <w:p>
            <w:pPr>
              <w:pStyle w:val="TableParagraph"/>
              <w:ind w:left="112" w:right="106"/>
              <w:rPr>
                <w:sz w:val="21"/>
              </w:rPr>
            </w:pPr>
            <w:r>
              <w:rPr>
                <w:sz w:val="21"/>
              </w:rPr>
              <w:t>排放量</w:t>
            </w:r>
          </w:p>
          <w:p>
            <w:pPr>
              <w:pStyle w:val="TableParagraph"/>
              <w:spacing w:before="57"/>
              <w:ind w:left="112" w:right="105"/>
              <w:rPr>
                <w:rFonts w:ascii="Times New Roman"/>
                <w:sz w:val="21"/>
              </w:rPr>
            </w:pPr>
            <w:r>
              <w:rPr>
                <w:rFonts w:ascii="Times New Roman"/>
                <w:sz w:val="21"/>
              </w:rPr>
              <w:t>t/a</w:t>
            </w:r>
          </w:p>
        </w:tc>
        <w:tc>
          <w:tcPr>
            <w:tcW w:w="879" w:type="dxa"/>
            <w:vMerge/>
            <w:tcBorders>
              <w:top w:val="nil"/>
            </w:tcBorders>
          </w:tcPr>
          <w:p>
            <w:pPr>
              <w:rPr>
                <w:sz w:val="2"/>
                <w:szCs w:val="2"/>
              </w:rPr>
            </w:pPr>
          </w:p>
        </w:tc>
        <w:tc>
          <w:tcPr>
            <w:tcW w:w="879" w:type="dxa"/>
            <w:vMerge/>
            <w:tcBorders>
              <w:top w:val="nil"/>
            </w:tcBorders>
          </w:tcPr>
          <w:p>
            <w:pPr>
              <w:rPr>
                <w:sz w:val="2"/>
                <w:szCs w:val="2"/>
              </w:rPr>
            </w:pPr>
          </w:p>
        </w:tc>
      </w:tr>
      <w:tr>
        <w:trPr>
          <w:trHeight w:val="327" w:hRule="atLeast"/>
        </w:trPr>
        <w:tc>
          <w:tcPr>
            <w:tcW w:w="564"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7"/>
              </w:rPr>
            </w:pPr>
          </w:p>
          <w:p>
            <w:pPr>
              <w:pStyle w:val="TableParagraph"/>
              <w:spacing w:line="290" w:lineRule="auto"/>
              <w:ind w:left="176" w:right="166"/>
              <w:jc w:val="left"/>
              <w:rPr>
                <w:sz w:val="21"/>
              </w:rPr>
            </w:pPr>
            <w:r>
              <w:rPr>
                <w:sz w:val="21"/>
              </w:rPr>
              <w:t>废气</w:t>
            </w:r>
          </w:p>
        </w:tc>
        <w:tc>
          <w:tcPr>
            <w:tcW w:w="1323" w:type="dxa"/>
            <w:vMerge w:val="restart"/>
          </w:tcPr>
          <w:p>
            <w:pPr>
              <w:pStyle w:val="TableParagraph"/>
              <w:spacing w:before="4"/>
              <w:jc w:val="left"/>
              <w:rPr>
                <w:b/>
                <w:sz w:val="23"/>
              </w:rPr>
            </w:pPr>
          </w:p>
          <w:p>
            <w:pPr>
              <w:pStyle w:val="TableParagraph"/>
              <w:spacing w:before="1"/>
              <w:ind w:left="135"/>
              <w:jc w:val="left"/>
              <w:rPr>
                <w:sz w:val="21"/>
              </w:rPr>
            </w:pPr>
            <w:r>
              <w:rPr>
                <w:sz w:val="21"/>
              </w:rPr>
              <w:t>锅炉房烟囱</w:t>
            </w:r>
          </w:p>
        </w:tc>
        <w:tc>
          <w:tcPr>
            <w:tcW w:w="677" w:type="dxa"/>
          </w:tcPr>
          <w:p>
            <w:pPr>
              <w:pStyle w:val="TableParagraph"/>
              <w:spacing w:before="2"/>
              <w:ind w:left="127"/>
              <w:jc w:val="left"/>
              <w:rPr>
                <w:sz w:val="21"/>
              </w:rPr>
            </w:pPr>
            <w:r>
              <w:rPr>
                <w:sz w:val="21"/>
              </w:rPr>
              <w:t>烟尘</w:t>
            </w:r>
          </w:p>
        </w:tc>
        <w:tc>
          <w:tcPr>
            <w:tcW w:w="1038" w:type="dxa"/>
            <w:vMerge w:val="restart"/>
          </w:tcPr>
          <w:p>
            <w:pPr>
              <w:pStyle w:val="TableParagraph"/>
              <w:spacing w:line="290" w:lineRule="auto" w:before="136"/>
              <w:ind w:left="204" w:right="192" w:firstLine="103"/>
              <w:jc w:val="left"/>
              <w:rPr>
                <w:sz w:val="21"/>
              </w:rPr>
            </w:pPr>
            <w:r>
              <w:rPr>
                <w:sz w:val="21"/>
              </w:rPr>
              <w:t>物料衡算法</w:t>
            </w:r>
          </w:p>
        </w:tc>
        <w:tc>
          <w:tcPr>
            <w:tcW w:w="1037" w:type="dxa"/>
            <w:vMerge w:val="restart"/>
          </w:tcPr>
          <w:p>
            <w:pPr>
              <w:pStyle w:val="TableParagraph"/>
              <w:spacing w:before="10"/>
              <w:jc w:val="left"/>
              <w:rPr>
                <w:b/>
                <w:sz w:val="24"/>
              </w:rPr>
            </w:pPr>
          </w:p>
          <w:p>
            <w:pPr>
              <w:pStyle w:val="TableParagraph"/>
              <w:spacing w:before="1"/>
              <w:ind w:left="306"/>
              <w:jc w:val="left"/>
              <w:rPr>
                <w:rFonts w:ascii="Times New Roman"/>
                <w:sz w:val="21"/>
              </w:rPr>
            </w:pPr>
            <w:r>
              <w:rPr>
                <w:rFonts w:ascii="Times New Roman"/>
                <w:sz w:val="21"/>
              </w:rPr>
              <w:t>2449</w:t>
            </w:r>
          </w:p>
        </w:tc>
        <w:tc>
          <w:tcPr>
            <w:tcW w:w="1038" w:type="dxa"/>
          </w:tcPr>
          <w:p>
            <w:pPr>
              <w:pStyle w:val="TableParagraph"/>
              <w:spacing w:before="18"/>
              <w:ind w:left="255"/>
              <w:jc w:val="left"/>
              <w:rPr>
                <w:rFonts w:ascii="Times New Roman"/>
                <w:sz w:val="21"/>
              </w:rPr>
            </w:pPr>
            <w:r>
              <w:rPr>
                <w:rFonts w:ascii="Times New Roman"/>
                <w:sz w:val="21"/>
              </w:rPr>
              <w:t>14259</w:t>
            </w:r>
          </w:p>
        </w:tc>
        <w:tc>
          <w:tcPr>
            <w:tcW w:w="1039" w:type="dxa"/>
          </w:tcPr>
          <w:p>
            <w:pPr>
              <w:pStyle w:val="TableParagraph"/>
              <w:spacing w:before="18"/>
              <w:ind w:right="348"/>
              <w:jc w:val="right"/>
              <w:rPr>
                <w:rFonts w:ascii="Times New Roman"/>
                <w:sz w:val="21"/>
              </w:rPr>
            </w:pPr>
            <w:r>
              <w:rPr>
                <w:rFonts w:ascii="Times New Roman"/>
                <w:sz w:val="21"/>
              </w:rPr>
              <w:t>176</w:t>
            </w:r>
          </w:p>
        </w:tc>
        <w:tc>
          <w:tcPr>
            <w:tcW w:w="1370" w:type="dxa"/>
          </w:tcPr>
          <w:p>
            <w:pPr>
              <w:pStyle w:val="TableParagraph"/>
              <w:spacing w:before="2"/>
              <w:ind w:left="138" w:right="132"/>
              <w:rPr>
                <w:sz w:val="21"/>
              </w:rPr>
            </w:pPr>
            <w:r>
              <w:rPr>
                <w:sz w:val="21"/>
              </w:rPr>
              <w:t>布袋除尘器</w:t>
            </w:r>
          </w:p>
        </w:tc>
        <w:tc>
          <w:tcPr>
            <w:tcW w:w="914" w:type="dxa"/>
          </w:tcPr>
          <w:p>
            <w:pPr>
              <w:pStyle w:val="TableParagraph"/>
              <w:spacing w:before="18"/>
              <w:ind w:left="138" w:right="130"/>
              <w:rPr>
                <w:rFonts w:ascii="Times New Roman"/>
                <w:sz w:val="21"/>
              </w:rPr>
            </w:pPr>
            <w:r>
              <w:rPr>
                <w:rFonts w:ascii="Times New Roman"/>
                <w:sz w:val="21"/>
              </w:rPr>
              <w:t>99.9</w:t>
            </w:r>
          </w:p>
        </w:tc>
        <w:tc>
          <w:tcPr>
            <w:tcW w:w="898" w:type="dxa"/>
            <w:vMerge w:val="restart"/>
          </w:tcPr>
          <w:p>
            <w:pPr>
              <w:pStyle w:val="TableParagraph"/>
              <w:spacing w:before="10"/>
              <w:jc w:val="left"/>
              <w:rPr>
                <w:b/>
                <w:sz w:val="24"/>
              </w:rPr>
            </w:pPr>
          </w:p>
          <w:p>
            <w:pPr>
              <w:pStyle w:val="TableParagraph"/>
              <w:spacing w:before="1"/>
              <w:ind w:left="238"/>
              <w:jc w:val="left"/>
              <w:rPr>
                <w:rFonts w:ascii="Times New Roman"/>
                <w:sz w:val="21"/>
              </w:rPr>
            </w:pPr>
            <w:r>
              <w:rPr>
                <w:rFonts w:ascii="Times New Roman"/>
                <w:sz w:val="21"/>
              </w:rPr>
              <w:t>2449</w:t>
            </w:r>
          </w:p>
        </w:tc>
        <w:tc>
          <w:tcPr>
            <w:tcW w:w="898" w:type="dxa"/>
          </w:tcPr>
          <w:p>
            <w:pPr>
              <w:pStyle w:val="TableParagraph"/>
              <w:spacing w:before="18"/>
              <w:ind w:right="199"/>
              <w:jc w:val="right"/>
              <w:rPr>
                <w:rFonts w:ascii="Times New Roman"/>
                <w:sz w:val="21"/>
              </w:rPr>
            </w:pPr>
            <w:r>
              <w:rPr>
                <w:rFonts w:ascii="Times New Roman"/>
                <w:sz w:val="21"/>
              </w:rPr>
              <w:t>14.25</w:t>
            </w:r>
          </w:p>
        </w:tc>
        <w:tc>
          <w:tcPr>
            <w:tcW w:w="897" w:type="dxa"/>
          </w:tcPr>
          <w:p>
            <w:pPr>
              <w:pStyle w:val="TableParagraph"/>
              <w:spacing w:before="18"/>
              <w:ind w:left="264"/>
              <w:jc w:val="left"/>
              <w:rPr>
                <w:rFonts w:ascii="Times New Roman"/>
                <w:sz w:val="21"/>
              </w:rPr>
            </w:pPr>
            <w:r>
              <w:rPr>
                <w:rFonts w:ascii="Times New Roman"/>
                <w:sz w:val="21"/>
              </w:rPr>
              <w:t>0.03</w:t>
            </w:r>
          </w:p>
        </w:tc>
        <w:tc>
          <w:tcPr>
            <w:tcW w:w="899" w:type="dxa"/>
          </w:tcPr>
          <w:p>
            <w:pPr>
              <w:pStyle w:val="TableParagraph"/>
              <w:spacing w:before="18"/>
              <w:ind w:right="200"/>
              <w:jc w:val="right"/>
              <w:rPr>
                <w:rFonts w:ascii="Times New Roman"/>
                <w:sz w:val="21"/>
              </w:rPr>
            </w:pPr>
            <w:r>
              <w:rPr>
                <w:rFonts w:ascii="Times New Roman"/>
                <w:sz w:val="21"/>
              </w:rPr>
              <w:t>0.176</w:t>
            </w:r>
          </w:p>
        </w:tc>
        <w:tc>
          <w:tcPr>
            <w:tcW w:w="879" w:type="dxa"/>
          </w:tcPr>
          <w:p>
            <w:pPr>
              <w:pStyle w:val="TableParagraph"/>
              <w:spacing w:before="18"/>
              <w:ind w:right="323"/>
              <w:jc w:val="right"/>
              <w:rPr>
                <w:rFonts w:ascii="Times New Roman"/>
                <w:sz w:val="21"/>
              </w:rPr>
            </w:pPr>
            <w:r>
              <w:rPr>
                <w:rFonts w:ascii="Times New Roman"/>
                <w:sz w:val="21"/>
              </w:rPr>
              <w:t>50</w:t>
            </w:r>
          </w:p>
        </w:tc>
        <w:tc>
          <w:tcPr>
            <w:tcW w:w="879" w:type="dxa"/>
            <w:vMerge w:val="restart"/>
          </w:tcPr>
          <w:p>
            <w:pPr>
              <w:pStyle w:val="TableParagraph"/>
              <w:spacing w:before="10"/>
              <w:jc w:val="left"/>
              <w:rPr>
                <w:b/>
                <w:sz w:val="24"/>
              </w:rPr>
            </w:pPr>
          </w:p>
          <w:p>
            <w:pPr>
              <w:pStyle w:val="TableParagraph"/>
              <w:spacing w:before="1"/>
              <w:ind w:left="229"/>
              <w:jc w:val="left"/>
              <w:rPr>
                <w:rFonts w:ascii="Times New Roman"/>
                <w:sz w:val="21"/>
              </w:rPr>
            </w:pPr>
            <w:r>
              <w:rPr>
                <w:rFonts w:ascii="Times New Roman"/>
                <w:sz w:val="21"/>
              </w:rPr>
              <w:t>5040</w:t>
            </w:r>
          </w:p>
        </w:tc>
      </w:tr>
      <w:tr>
        <w:trPr>
          <w:trHeight w:val="290" w:hRule="atLeast"/>
        </w:trPr>
        <w:tc>
          <w:tcPr>
            <w:tcW w:w="564" w:type="dxa"/>
            <w:vMerge/>
            <w:tcBorders>
              <w:top w:val="nil"/>
            </w:tcBorders>
          </w:tcPr>
          <w:p>
            <w:pPr>
              <w:rPr>
                <w:sz w:val="2"/>
                <w:szCs w:val="2"/>
              </w:rPr>
            </w:pPr>
          </w:p>
        </w:tc>
        <w:tc>
          <w:tcPr>
            <w:tcW w:w="1323" w:type="dxa"/>
            <w:vMerge/>
            <w:tcBorders>
              <w:top w:val="nil"/>
            </w:tcBorders>
          </w:tcPr>
          <w:p>
            <w:pPr>
              <w:rPr>
                <w:sz w:val="2"/>
                <w:szCs w:val="2"/>
              </w:rPr>
            </w:pPr>
          </w:p>
        </w:tc>
        <w:tc>
          <w:tcPr>
            <w:tcW w:w="677" w:type="dxa"/>
          </w:tcPr>
          <w:p>
            <w:pPr>
              <w:pStyle w:val="TableParagraph"/>
              <w:spacing w:line="256" w:lineRule="exact"/>
              <w:ind w:left="171"/>
              <w:jc w:val="left"/>
              <w:rPr>
                <w:rFonts w:ascii="Times New Roman"/>
                <w:sz w:val="21"/>
              </w:rPr>
            </w:pPr>
            <w:r>
              <w:rPr>
                <w:rFonts w:ascii="Times New Roman"/>
                <w:position w:val="2"/>
                <w:sz w:val="21"/>
              </w:rPr>
              <w:t>SO</w:t>
            </w:r>
            <w:r>
              <w:rPr>
                <w:rFonts w:ascii="Times New Roman"/>
                <w:position w:val="2"/>
                <w:sz w:val="21"/>
                <w:vertAlign w:val="subscript"/>
              </w:rPr>
              <w:t>2</w:t>
            </w:r>
          </w:p>
        </w:tc>
        <w:tc>
          <w:tcPr>
            <w:tcW w:w="1038" w:type="dxa"/>
            <w:vMerge/>
            <w:tcBorders>
              <w:top w:val="nil"/>
            </w:tcBorders>
          </w:tcPr>
          <w:p>
            <w:pPr>
              <w:rPr>
                <w:sz w:val="2"/>
                <w:szCs w:val="2"/>
              </w:rPr>
            </w:pPr>
          </w:p>
        </w:tc>
        <w:tc>
          <w:tcPr>
            <w:tcW w:w="1037" w:type="dxa"/>
            <w:vMerge/>
            <w:tcBorders>
              <w:top w:val="nil"/>
            </w:tcBorders>
          </w:tcPr>
          <w:p>
            <w:pPr>
              <w:rPr>
                <w:sz w:val="2"/>
                <w:szCs w:val="2"/>
              </w:rPr>
            </w:pPr>
          </w:p>
        </w:tc>
        <w:tc>
          <w:tcPr>
            <w:tcW w:w="1038" w:type="dxa"/>
          </w:tcPr>
          <w:p>
            <w:pPr>
              <w:pStyle w:val="TableParagraph"/>
              <w:spacing w:line="240" w:lineRule="exact"/>
              <w:ind w:left="282"/>
              <w:jc w:val="left"/>
              <w:rPr>
                <w:rFonts w:ascii="Times New Roman"/>
                <w:sz w:val="21"/>
              </w:rPr>
            </w:pPr>
            <w:r>
              <w:rPr>
                <w:rFonts w:ascii="Times New Roman"/>
                <w:sz w:val="21"/>
              </w:rPr>
              <w:t>22.84</w:t>
            </w:r>
          </w:p>
        </w:tc>
        <w:tc>
          <w:tcPr>
            <w:tcW w:w="1039" w:type="dxa"/>
          </w:tcPr>
          <w:p>
            <w:pPr>
              <w:pStyle w:val="TableParagraph"/>
              <w:spacing w:line="240" w:lineRule="exact"/>
              <w:ind w:right="271"/>
              <w:jc w:val="right"/>
              <w:rPr>
                <w:rFonts w:ascii="Times New Roman"/>
                <w:sz w:val="21"/>
              </w:rPr>
            </w:pPr>
            <w:r>
              <w:rPr>
                <w:rFonts w:ascii="Times New Roman"/>
                <w:w w:val="95"/>
                <w:sz w:val="21"/>
              </w:rPr>
              <w:t>0.282</w:t>
            </w:r>
          </w:p>
        </w:tc>
        <w:tc>
          <w:tcPr>
            <w:tcW w:w="1370" w:type="dxa"/>
          </w:tcPr>
          <w:p>
            <w:pPr>
              <w:pStyle w:val="TableParagraph"/>
              <w:spacing w:line="240" w:lineRule="exact"/>
              <w:ind w:left="9"/>
              <w:rPr>
                <w:rFonts w:ascii="Times New Roman"/>
                <w:sz w:val="21"/>
              </w:rPr>
            </w:pPr>
            <w:r>
              <w:rPr>
                <w:rFonts w:ascii="Times New Roman"/>
                <w:w w:val="99"/>
                <w:sz w:val="21"/>
              </w:rPr>
              <w:t>/</w:t>
            </w:r>
          </w:p>
        </w:tc>
        <w:tc>
          <w:tcPr>
            <w:tcW w:w="914" w:type="dxa"/>
          </w:tcPr>
          <w:p>
            <w:pPr>
              <w:pStyle w:val="TableParagraph"/>
              <w:spacing w:line="240" w:lineRule="exact"/>
              <w:ind w:left="8"/>
              <w:rPr>
                <w:rFonts w:ascii="Times New Roman"/>
                <w:sz w:val="21"/>
              </w:rPr>
            </w:pPr>
            <w:r>
              <w:rPr>
                <w:rFonts w:ascii="Times New Roman"/>
                <w:w w:val="99"/>
                <w:sz w:val="21"/>
              </w:rPr>
              <w:t>0</w:t>
            </w:r>
          </w:p>
        </w:tc>
        <w:tc>
          <w:tcPr>
            <w:tcW w:w="898" w:type="dxa"/>
            <w:vMerge/>
            <w:tcBorders>
              <w:top w:val="nil"/>
            </w:tcBorders>
          </w:tcPr>
          <w:p>
            <w:pPr>
              <w:rPr>
                <w:sz w:val="2"/>
                <w:szCs w:val="2"/>
              </w:rPr>
            </w:pPr>
          </w:p>
        </w:tc>
        <w:tc>
          <w:tcPr>
            <w:tcW w:w="898" w:type="dxa"/>
          </w:tcPr>
          <w:p>
            <w:pPr>
              <w:pStyle w:val="TableParagraph"/>
              <w:spacing w:line="240" w:lineRule="exact"/>
              <w:ind w:right="199"/>
              <w:jc w:val="right"/>
              <w:rPr>
                <w:rFonts w:ascii="Times New Roman"/>
                <w:sz w:val="21"/>
              </w:rPr>
            </w:pPr>
            <w:r>
              <w:rPr>
                <w:rFonts w:ascii="Times New Roman"/>
                <w:sz w:val="21"/>
              </w:rPr>
              <w:t>22.84</w:t>
            </w:r>
          </w:p>
        </w:tc>
        <w:tc>
          <w:tcPr>
            <w:tcW w:w="897" w:type="dxa"/>
          </w:tcPr>
          <w:p>
            <w:pPr>
              <w:pStyle w:val="TableParagraph"/>
              <w:spacing w:line="240" w:lineRule="exact"/>
              <w:ind w:left="264"/>
              <w:jc w:val="left"/>
              <w:rPr>
                <w:rFonts w:ascii="Times New Roman"/>
                <w:sz w:val="21"/>
              </w:rPr>
            </w:pPr>
            <w:r>
              <w:rPr>
                <w:rFonts w:ascii="Times New Roman"/>
                <w:sz w:val="21"/>
              </w:rPr>
              <w:t>0.06</w:t>
            </w:r>
          </w:p>
        </w:tc>
        <w:tc>
          <w:tcPr>
            <w:tcW w:w="899" w:type="dxa"/>
          </w:tcPr>
          <w:p>
            <w:pPr>
              <w:pStyle w:val="TableParagraph"/>
              <w:spacing w:line="240" w:lineRule="exact"/>
              <w:ind w:right="200"/>
              <w:jc w:val="right"/>
              <w:rPr>
                <w:rFonts w:ascii="Times New Roman"/>
                <w:sz w:val="21"/>
              </w:rPr>
            </w:pPr>
            <w:r>
              <w:rPr>
                <w:rFonts w:ascii="Times New Roman"/>
                <w:sz w:val="21"/>
              </w:rPr>
              <w:t>0.282</w:t>
            </w:r>
          </w:p>
        </w:tc>
        <w:tc>
          <w:tcPr>
            <w:tcW w:w="879" w:type="dxa"/>
          </w:tcPr>
          <w:p>
            <w:pPr>
              <w:pStyle w:val="TableParagraph"/>
              <w:spacing w:line="240" w:lineRule="exact"/>
              <w:ind w:right="270"/>
              <w:jc w:val="right"/>
              <w:rPr>
                <w:rFonts w:ascii="Times New Roman"/>
                <w:sz w:val="21"/>
              </w:rPr>
            </w:pPr>
            <w:r>
              <w:rPr>
                <w:rFonts w:ascii="Times New Roman"/>
                <w:sz w:val="21"/>
              </w:rPr>
              <w:t>300</w:t>
            </w:r>
          </w:p>
        </w:tc>
        <w:tc>
          <w:tcPr>
            <w:tcW w:w="879" w:type="dxa"/>
            <w:vMerge/>
            <w:tcBorders>
              <w:top w:val="nil"/>
            </w:tcBorders>
          </w:tcPr>
          <w:p>
            <w:pPr>
              <w:rPr>
                <w:sz w:val="2"/>
                <w:szCs w:val="2"/>
              </w:rPr>
            </w:pPr>
          </w:p>
        </w:tc>
      </w:tr>
      <w:tr>
        <w:trPr>
          <w:trHeight w:val="288" w:hRule="atLeast"/>
        </w:trPr>
        <w:tc>
          <w:tcPr>
            <w:tcW w:w="564" w:type="dxa"/>
            <w:vMerge/>
            <w:tcBorders>
              <w:top w:val="nil"/>
            </w:tcBorders>
          </w:tcPr>
          <w:p>
            <w:pPr>
              <w:rPr>
                <w:sz w:val="2"/>
                <w:szCs w:val="2"/>
              </w:rPr>
            </w:pPr>
          </w:p>
        </w:tc>
        <w:tc>
          <w:tcPr>
            <w:tcW w:w="1323" w:type="dxa"/>
            <w:vMerge/>
            <w:tcBorders>
              <w:top w:val="nil"/>
            </w:tcBorders>
          </w:tcPr>
          <w:p>
            <w:pPr>
              <w:rPr>
                <w:sz w:val="2"/>
                <w:szCs w:val="2"/>
              </w:rPr>
            </w:pPr>
          </w:p>
        </w:tc>
        <w:tc>
          <w:tcPr>
            <w:tcW w:w="677" w:type="dxa"/>
          </w:tcPr>
          <w:p>
            <w:pPr>
              <w:pStyle w:val="TableParagraph"/>
              <w:spacing w:line="240" w:lineRule="exact"/>
              <w:ind w:left="135"/>
              <w:jc w:val="left"/>
              <w:rPr>
                <w:rFonts w:ascii="Times New Roman"/>
                <w:sz w:val="21"/>
              </w:rPr>
            </w:pPr>
            <w:r>
              <w:rPr>
                <w:rFonts w:ascii="Times New Roman"/>
                <w:sz w:val="21"/>
              </w:rPr>
              <w:t>NOx</w:t>
            </w:r>
          </w:p>
        </w:tc>
        <w:tc>
          <w:tcPr>
            <w:tcW w:w="1038" w:type="dxa"/>
            <w:vMerge/>
            <w:tcBorders>
              <w:top w:val="nil"/>
            </w:tcBorders>
          </w:tcPr>
          <w:p>
            <w:pPr>
              <w:rPr>
                <w:sz w:val="2"/>
                <w:szCs w:val="2"/>
              </w:rPr>
            </w:pPr>
          </w:p>
        </w:tc>
        <w:tc>
          <w:tcPr>
            <w:tcW w:w="1037" w:type="dxa"/>
            <w:vMerge/>
            <w:tcBorders>
              <w:top w:val="nil"/>
            </w:tcBorders>
          </w:tcPr>
          <w:p>
            <w:pPr>
              <w:rPr>
                <w:sz w:val="2"/>
                <w:szCs w:val="2"/>
              </w:rPr>
            </w:pPr>
          </w:p>
        </w:tc>
        <w:tc>
          <w:tcPr>
            <w:tcW w:w="1038" w:type="dxa"/>
          </w:tcPr>
          <w:p>
            <w:pPr>
              <w:pStyle w:val="TableParagraph"/>
              <w:spacing w:line="240" w:lineRule="exact"/>
              <w:ind w:left="183" w:right="173"/>
              <w:rPr>
                <w:rFonts w:ascii="Times New Roman"/>
                <w:sz w:val="21"/>
              </w:rPr>
            </w:pPr>
            <w:r>
              <w:rPr>
                <w:rFonts w:ascii="Times New Roman"/>
                <w:sz w:val="21"/>
              </w:rPr>
              <w:t>200</w:t>
            </w:r>
          </w:p>
        </w:tc>
        <w:tc>
          <w:tcPr>
            <w:tcW w:w="1039" w:type="dxa"/>
          </w:tcPr>
          <w:p>
            <w:pPr>
              <w:pStyle w:val="TableParagraph"/>
              <w:spacing w:line="240" w:lineRule="exact"/>
              <w:ind w:right="322"/>
              <w:jc w:val="right"/>
              <w:rPr>
                <w:rFonts w:ascii="Times New Roman"/>
                <w:sz w:val="21"/>
              </w:rPr>
            </w:pPr>
            <w:r>
              <w:rPr>
                <w:rFonts w:ascii="Times New Roman"/>
                <w:sz w:val="21"/>
              </w:rPr>
              <w:t>2.47</w:t>
            </w:r>
          </w:p>
        </w:tc>
        <w:tc>
          <w:tcPr>
            <w:tcW w:w="1370" w:type="dxa"/>
          </w:tcPr>
          <w:p>
            <w:pPr>
              <w:pStyle w:val="TableParagraph"/>
              <w:spacing w:line="240" w:lineRule="exact"/>
              <w:ind w:left="9"/>
              <w:rPr>
                <w:rFonts w:ascii="Times New Roman"/>
                <w:sz w:val="21"/>
              </w:rPr>
            </w:pPr>
            <w:r>
              <w:rPr>
                <w:rFonts w:ascii="Times New Roman"/>
                <w:w w:val="99"/>
                <w:sz w:val="21"/>
              </w:rPr>
              <w:t>/</w:t>
            </w:r>
          </w:p>
        </w:tc>
        <w:tc>
          <w:tcPr>
            <w:tcW w:w="914" w:type="dxa"/>
          </w:tcPr>
          <w:p>
            <w:pPr>
              <w:pStyle w:val="TableParagraph"/>
              <w:spacing w:line="240" w:lineRule="exact"/>
              <w:ind w:left="8"/>
              <w:rPr>
                <w:rFonts w:ascii="Times New Roman"/>
                <w:sz w:val="21"/>
              </w:rPr>
            </w:pPr>
            <w:r>
              <w:rPr>
                <w:rFonts w:ascii="Times New Roman"/>
                <w:w w:val="99"/>
                <w:sz w:val="21"/>
              </w:rPr>
              <w:t>0</w:t>
            </w:r>
          </w:p>
        </w:tc>
        <w:tc>
          <w:tcPr>
            <w:tcW w:w="898" w:type="dxa"/>
            <w:vMerge/>
            <w:tcBorders>
              <w:top w:val="nil"/>
            </w:tcBorders>
          </w:tcPr>
          <w:p>
            <w:pPr>
              <w:rPr>
                <w:sz w:val="2"/>
                <w:szCs w:val="2"/>
              </w:rPr>
            </w:pPr>
          </w:p>
        </w:tc>
        <w:tc>
          <w:tcPr>
            <w:tcW w:w="898" w:type="dxa"/>
          </w:tcPr>
          <w:p>
            <w:pPr>
              <w:pStyle w:val="TableParagraph"/>
              <w:spacing w:line="240" w:lineRule="exact"/>
              <w:ind w:right="278"/>
              <w:jc w:val="right"/>
              <w:rPr>
                <w:rFonts w:ascii="Times New Roman"/>
                <w:sz w:val="21"/>
              </w:rPr>
            </w:pPr>
            <w:r>
              <w:rPr>
                <w:rFonts w:ascii="Times New Roman"/>
                <w:sz w:val="21"/>
              </w:rPr>
              <w:t>200</w:t>
            </w:r>
          </w:p>
        </w:tc>
        <w:tc>
          <w:tcPr>
            <w:tcW w:w="897" w:type="dxa"/>
          </w:tcPr>
          <w:p>
            <w:pPr>
              <w:pStyle w:val="TableParagraph"/>
              <w:spacing w:line="240" w:lineRule="exact"/>
              <w:ind w:left="264"/>
              <w:jc w:val="left"/>
              <w:rPr>
                <w:rFonts w:ascii="Times New Roman"/>
                <w:sz w:val="21"/>
              </w:rPr>
            </w:pPr>
            <w:r>
              <w:rPr>
                <w:rFonts w:ascii="Times New Roman"/>
                <w:sz w:val="21"/>
              </w:rPr>
              <w:t>0.49</w:t>
            </w:r>
          </w:p>
        </w:tc>
        <w:tc>
          <w:tcPr>
            <w:tcW w:w="899" w:type="dxa"/>
          </w:tcPr>
          <w:p>
            <w:pPr>
              <w:pStyle w:val="TableParagraph"/>
              <w:spacing w:line="240" w:lineRule="exact"/>
              <w:ind w:right="253"/>
              <w:jc w:val="right"/>
              <w:rPr>
                <w:rFonts w:ascii="Times New Roman"/>
                <w:sz w:val="21"/>
              </w:rPr>
            </w:pPr>
            <w:r>
              <w:rPr>
                <w:rFonts w:ascii="Times New Roman"/>
                <w:sz w:val="21"/>
              </w:rPr>
              <w:t>2.47</w:t>
            </w:r>
          </w:p>
        </w:tc>
        <w:tc>
          <w:tcPr>
            <w:tcW w:w="879" w:type="dxa"/>
          </w:tcPr>
          <w:p>
            <w:pPr>
              <w:pStyle w:val="TableParagraph"/>
              <w:spacing w:line="240" w:lineRule="exact"/>
              <w:ind w:right="270"/>
              <w:jc w:val="right"/>
              <w:rPr>
                <w:rFonts w:ascii="Times New Roman"/>
                <w:sz w:val="21"/>
              </w:rPr>
            </w:pPr>
            <w:r>
              <w:rPr>
                <w:rFonts w:ascii="Times New Roman"/>
                <w:sz w:val="21"/>
              </w:rPr>
              <w:t>300</w:t>
            </w:r>
          </w:p>
        </w:tc>
        <w:tc>
          <w:tcPr>
            <w:tcW w:w="879" w:type="dxa"/>
            <w:vMerge/>
            <w:tcBorders>
              <w:top w:val="nil"/>
            </w:tcBorders>
          </w:tcPr>
          <w:p>
            <w:pPr>
              <w:rPr>
                <w:sz w:val="2"/>
                <w:szCs w:val="2"/>
              </w:rPr>
            </w:pPr>
          </w:p>
        </w:tc>
      </w:tr>
      <w:tr>
        <w:trPr>
          <w:trHeight w:val="327" w:hRule="atLeast"/>
        </w:trPr>
        <w:tc>
          <w:tcPr>
            <w:tcW w:w="564" w:type="dxa"/>
            <w:vMerge/>
            <w:tcBorders>
              <w:top w:val="nil"/>
            </w:tcBorders>
          </w:tcPr>
          <w:p>
            <w:pPr>
              <w:rPr>
                <w:sz w:val="2"/>
                <w:szCs w:val="2"/>
              </w:rPr>
            </w:pPr>
          </w:p>
        </w:tc>
        <w:tc>
          <w:tcPr>
            <w:tcW w:w="1323" w:type="dxa"/>
            <w:vMerge w:val="restart"/>
          </w:tcPr>
          <w:p>
            <w:pPr>
              <w:pStyle w:val="TableParagraph"/>
              <w:spacing w:line="290" w:lineRule="auto" w:before="136"/>
              <w:ind w:left="555" w:right="126" w:hanging="420"/>
              <w:jc w:val="left"/>
              <w:rPr>
                <w:sz w:val="21"/>
              </w:rPr>
            </w:pPr>
            <w:r>
              <w:rPr>
                <w:sz w:val="21"/>
              </w:rPr>
              <w:t>暖风炉房烟囱</w:t>
            </w:r>
          </w:p>
        </w:tc>
        <w:tc>
          <w:tcPr>
            <w:tcW w:w="677" w:type="dxa"/>
          </w:tcPr>
          <w:p>
            <w:pPr>
              <w:pStyle w:val="TableParagraph"/>
              <w:spacing w:before="2"/>
              <w:ind w:left="127"/>
              <w:jc w:val="left"/>
              <w:rPr>
                <w:sz w:val="21"/>
              </w:rPr>
            </w:pPr>
            <w:r>
              <w:rPr>
                <w:sz w:val="21"/>
              </w:rPr>
              <w:t>烟尘</w:t>
            </w:r>
          </w:p>
        </w:tc>
        <w:tc>
          <w:tcPr>
            <w:tcW w:w="1038" w:type="dxa"/>
            <w:vMerge w:val="restart"/>
          </w:tcPr>
          <w:p>
            <w:pPr>
              <w:pStyle w:val="TableParagraph"/>
              <w:spacing w:line="290" w:lineRule="auto" w:before="136"/>
              <w:ind w:left="204" w:right="192" w:firstLine="103"/>
              <w:jc w:val="left"/>
              <w:rPr>
                <w:sz w:val="21"/>
              </w:rPr>
            </w:pPr>
            <w:r>
              <w:rPr>
                <w:sz w:val="21"/>
              </w:rPr>
              <w:t>物料衡算法</w:t>
            </w:r>
          </w:p>
        </w:tc>
        <w:tc>
          <w:tcPr>
            <w:tcW w:w="1037" w:type="dxa"/>
            <w:vMerge w:val="restart"/>
          </w:tcPr>
          <w:p>
            <w:pPr>
              <w:pStyle w:val="TableParagraph"/>
              <w:spacing w:before="10"/>
              <w:jc w:val="left"/>
              <w:rPr>
                <w:b/>
                <w:sz w:val="24"/>
              </w:rPr>
            </w:pPr>
          </w:p>
          <w:p>
            <w:pPr>
              <w:pStyle w:val="TableParagraph"/>
              <w:spacing w:before="1"/>
              <w:ind w:left="306"/>
              <w:jc w:val="left"/>
              <w:rPr>
                <w:rFonts w:ascii="Times New Roman"/>
                <w:sz w:val="21"/>
              </w:rPr>
            </w:pPr>
            <w:r>
              <w:rPr>
                <w:rFonts w:ascii="Times New Roman"/>
                <w:sz w:val="21"/>
              </w:rPr>
              <w:t>2523</w:t>
            </w:r>
          </w:p>
        </w:tc>
        <w:tc>
          <w:tcPr>
            <w:tcW w:w="1038" w:type="dxa"/>
          </w:tcPr>
          <w:p>
            <w:pPr>
              <w:pStyle w:val="TableParagraph"/>
              <w:spacing w:before="18"/>
              <w:ind w:left="255"/>
              <w:jc w:val="left"/>
              <w:rPr>
                <w:rFonts w:ascii="Times New Roman"/>
                <w:sz w:val="21"/>
              </w:rPr>
            </w:pPr>
            <w:r>
              <w:rPr>
                <w:rFonts w:ascii="Times New Roman"/>
                <w:sz w:val="21"/>
              </w:rPr>
              <w:t>14313</w:t>
            </w:r>
          </w:p>
        </w:tc>
        <w:tc>
          <w:tcPr>
            <w:tcW w:w="1039" w:type="dxa"/>
          </w:tcPr>
          <w:p>
            <w:pPr>
              <w:pStyle w:val="TableParagraph"/>
              <w:spacing w:before="18"/>
              <w:ind w:right="353"/>
              <w:jc w:val="right"/>
              <w:rPr>
                <w:rFonts w:ascii="Times New Roman"/>
                <w:sz w:val="21"/>
              </w:rPr>
            </w:pPr>
            <w:r>
              <w:rPr>
                <w:rFonts w:ascii="Times New Roman"/>
                <w:w w:val="95"/>
                <w:sz w:val="21"/>
              </w:rPr>
              <w:t>117</w:t>
            </w:r>
          </w:p>
        </w:tc>
        <w:tc>
          <w:tcPr>
            <w:tcW w:w="1370" w:type="dxa"/>
          </w:tcPr>
          <w:p>
            <w:pPr>
              <w:pStyle w:val="TableParagraph"/>
              <w:spacing w:before="2"/>
              <w:ind w:left="138" w:right="132"/>
              <w:rPr>
                <w:sz w:val="21"/>
              </w:rPr>
            </w:pPr>
            <w:r>
              <w:rPr>
                <w:sz w:val="21"/>
              </w:rPr>
              <w:t>布袋除尘器</w:t>
            </w:r>
          </w:p>
        </w:tc>
        <w:tc>
          <w:tcPr>
            <w:tcW w:w="914" w:type="dxa"/>
          </w:tcPr>
          <w:p>
            <w:pPr>
              <w:pStyle w:val="TableParagraph"/>
              <w:spacing w:before="18"/>
              <w:ind w:left="138" w:right="130"/>
              <w:rPr>
                <w:rFonts w:ascii="Times New Roman"/>
                <w:sz w:val="21"/>
              </w:rPr>
            </w:pPr>
            <w:r>
              <w:rPr>
                <w:rFonts w:ascii="Times New Roman"/>
                <w:sz w:val="21"/>
              </w:rPr>
              <w:t>99.9</w:t>
            </w:r>
          </w:p>
        </w:tc>
        <w:tc>
          <w:tcPr>
            <w:tcW w:w="898" w:type="dxa"/>
            <w:vMerge w:val="restart"/>
          </w:tcPr>
          <w:p>
            <w:pPr>
              <w:pStyle w:val="TableParagraph"/>
              <w:spacing w:before="10"/>
              <w:jc w:val="left"/>
              <w:rPr>
                <w:b/>
                <w:sz w:val="24"/>
              </w:rPr>
            </w:pPr>
          </w:p>
          <w:p>
            <w:pPr>
              <w:pStyle w:val="TableParagraph"/>
              <w:spacing w:before="1"/>
              <w:ind w:left="238"/>
              <w:jc w:val="left"/>
              <w:rPr>
                <w:rFonts w:ascii="Times New Roman"/>
                <w:sz w:val="21"/>
              </w:rPr>
            </w:pPr>
            <w:r>
              <w:rPr>
                <w:rFonts w:ascii="Times New Roman"/>
                <w:sz w:val="21"/>
              </w:rPr>
              <w:t>2523</w:t>
            </w:r>
          </w:p>
        </w:tc>
        <w:tc>
          <w:tcPr>
            <w:tcW w:w="898" w:type="dxa"/>
          </w:tcPr>
          <w:p>
            <w:pPr>
              <w:pStyle w:val="TableParagraph"/>
              <w:spacing w:before="18"/>
              <w:ind w:right="199"/>
              <w:jc w:val="right"/>
              <w:rPr>
                <w:rFonts w:ascii="Times New Roman"/>
                <w:sz w:val="21"/>
              </w:rPr>
            </w:pPr>
            <w:r>
              <w:rPr>
                <w:rFonts w:ascii="Times New Roman"/>
                <w:sz w:val="21"/>
              </w:rPr>
              <w:t>14.25</w:t>
            </w:r>
          </w:p>
        </w:tc>
        <w:tc>
          <w:tcPr>
            <w:tcW w:w="897" w:type="dxa"/>
          </w:tcPr>
          <w:p>
            <w:pPr>
              <w:pStyle w:val="TableParagraph"/>
              <w:spacing w:before="18"/>
              <w:ind w:left="264"/>
              <w:jc w:val="left"/>
              <w:rPr>
                <w:rFonts w:ascii="Times New Roman"/>
                <w:sz w:val="21"/>
              </w:rPr>
            </w:pPr>
            <w:r>
              <w:rPr>
                <w:rFonts w:ascii="Times New Roman"/>
                <w:sz w:val="21"/>
              </w:rPr>
              <w:t>0.04</w:t>
            </w:r>
          </w:p>
        </w:tc>
        <w:tc>
          <w:tcPr>
            <w:tcW w:w="899" w:type="dxa"/>
          </w:tcPr>
          <w:p>
            <w:pPr>
              <w:pStyle w:val="TableParagraph"/>
              <w:spacing w:before="18"/>
              <w:ind w:right="200"/>
              <w:jc w:val="right"/>
              <w:rPr>
                <w:rFonts w:ascii="Times New Roman"/>
                <w:sz w:val="21"/>
              </w:rPr>
            </w:pPr>
            <w:r>
              <w:rPr>
                <w:rFonts w:ascii="Times New Roman"/>
                <w:sz w:val="21"/>
              </w:rPr>
              <w:t>0.117</w:t>
            </w:r>
          </w:p>
        </w:tc>
        <w:tc>
          <w:tcPr>
            <w:tcW w:w="879" w:type="dxa"/>
          </w:tcPr>
          <w:p>
            <w:pPr>
              <w:pStyle w:val="TableParagraph"/>
              <w:spacing w:before="18"/>
              <w:ind w:right="270"/>
              <w:jc w:val="right"/>
              <w:rPr>
                <w:rFonts w:ascii="Times New Roman"/>
                <w:sz w:val="21"/>
              </w:rPr>
            </w:pPr>
            <w:r>
              <w:rPr>
                <w:rFonts w:ascii="Times New Roman"/>
                <w:sz w:val="21"/>
              </w:rPr>
              <w:t>200</w:t>
            </w:r>
          </w:p>
        </w:tc>
        <w:tc>
          <w:tcPr>
            <w:tcW w:w="879" w:type="dxa"/>
            <w:vMerge w:val="restart"/>
          </w:tcPr>
          <w:p>
            <w:pPr>
              <w:pStyle w:val="TableParagraph"/>
              <w:spacing w:before="10"/>
              <w:jc w:val="left"/>
              <w:rPr>
                <w:b/>
                <w:sz w:val="24"/>
              </w:rPr>
            </w:pPr>
          </w:p>
          <w:p>
            <w:pPr>
              <w:pStyle w:val="TableParagraph"/>
              <w:spacing w:before="1"/>
              <w:ind w:left="229"/>
              <w:jc w:val="left"/>
              <w:rPr>
                <w:rFonts w:ascii="Times New Roman"/>
                <w:sz w:val="21"/>
              </w:rPr>
            </w:pPr>
            <w:r>
              <w:rPr>
                <w:rFonts w:ascii="Times New Roman"/>
                <w:sz w:val="21"/>
              </w:rPr>
              <w:t>3240</w:t>
            </w:r>
          </w:p>
        </w:tc>
      </w:tr>
      <w:tr>
        <w:trPr>
          <w:trHeight w:val="290" w:hRule="atLeast"/>
        </w:trPr>
        <w:tc>
          <w:tcPr>
            <w:tcW w:w="564" w:type="dxa"/>
            <w:vMerge/>
            <w:tcBorders>
              <w:top w:val="nil"/>
            </w:tcBorders>
          </w:tcPr>
          <w:p>
            <w:pPr>
              <w:rPr>
                <w:sz w:val="2"/>
                <w:szCs w:val="2"/>
              </w:rPr>
            </w:pPr>
          </w:p>
        </w:tc>
        <w:tc>
          <w:tcPr>
            <w:tcW w:w="1323" w:type="dxa"/>
            <w:vMerge/>
            <w:tcBorders>
              <w:top w:val="nil"/>
            </w:tcBorders>
          </w:tcPr>
          <w:p>
            <w:pPr>
              <w:rPr>
                <w:sz w:val="2"/>
                <w:szCs w:val="2"/>
              </w:rPr>
            </w:pPr>
          </w:p>
        </w:tc>
        <w:tc>
          <w:tcPr>
            <w:tcW w:w="677" w:type="dxa"/>
          </w:tcPr>
          <w:p>
            <w:pPr>
              <w:pStyle w:val="TableParagraph"/>
              <w:spacing w:line="259" w:lineRule="exact"/>
              <w:ind w:left="171"/>
              <w:jc w:val="left"/>
              <w:rPr>
                <w:rFonts w:ascii="Times New Roman"/>
                <w:sz w:val="21"/>
              </w:rPr>
            </w:pPr>
            <w:r>
              <w:rPr>
                <w:rFonts w:ascii="Times New Roman"/>
                <w:position w:val="2"/>
                <w:sz w:val="21"/>
              </w:rPr>
              <w:t>SO</w:t>
            </w:r>
            <w:r>
              <w:rPr>
                <w:rFonts w:ascii="Times New Roman"/>
                <w:position w:val="2"/>
                <w:sz w:val="21"/>
                <w:vertAlign w:val="subscript"/>
              </w:rPr>
              <w:t>2</w:t>
            </w:r>
          </w:p>
        </w:tc>
        <w:tc>
          <w:tcPr>
            <w:tcW w:w="1038" w:type="dxa"/>
            <w:vMerge/>
            <w:tcBorders>
              <w:top w:val="nil"/>
            </w:tcBorders>
          </w:tcPr>
          <w:p>
            <w:pPr>
              <w:rPr>
                <w:sz w:val="2"/>
                <w:szCs w:val="2"/>
              </w:rPr>
            </w:pPr>
          </w:p>
        </w:tc>
        <w:tc>
          <w:tcPr>
            <w:tcW w:w="1037" w:type="dxa"/>
            <w:vMerge/>
            <w:tcBorders>
              <w:top w:val="nil"/>
            </w:tcBorders>
          </w:tcPr>
          <w:p>
            <w:pPr>
              <w:rPr>
                <w:sz w:val="2"/>
                <w:szCs w:val="2"/>
              </w:rPr>
            </w:pPr>
          </w:p>
        </w:tc>
        <w:tc>
          <w:tcPr>
            <w:tcW w:w="1038" w:type="dxa"/>
          </w:tcPr>
          <w:p>
            <w:pPr>
              <w:pStyle w:val="TableParagraph"/>
              <w:ind w:left="282"/>
              <w:jc w:val="left"/>
              <w:rPr>
                <w:rFonts w:ascii="Times New Roman"/>
                <w:sz w:val="21"/>
              </w:rPr>
            </w:pPr>
            <w:r>
              <w:rPr>
                <w:rFonts w:ascii="Times New Roman"/>
                <w:sz w:val="21"/>
              </w:rPr>
              <w:t>22.85</w:t>
            </w:r>
          </w:p>
        </w:tc>
        <w:tc>
          <w:tcPr>
            <w:tcW w:w="1039" w:type="dxa"/>
          </w:tcPr>
          <w:p>
            <w:pPr>
              <w:pStyle w:val="TableParagraph"/>
              <w:ind w:right="271"/>
              <w:jc w:val="right"/>
              <w:rPr>
                <w:rFonts w:ascii="Times New Roman"/>
                <w:sz w:val="21"/>
              </w:rPr>
            </w:pPr>
            <w:r>
              <w:rPr>
                <w:rFonts w:ascii="Times New Roman"/>
                <w:w w:val="95"/>
                <w:sz w:val="21"/>
              </w:rPr>
              <w:t>0.187</w:t>
            </w:r>
          </w:p>
        </w:tc>
        <w:tc>
          <w:tcPr>
            <w:tcW w:w="1370" w:type="dxa"/>
          </w:tcPr>
          <w:p>
            <w:pPr>
              <w:pStyle w:val="TableParagraph"/>
              <w:ind w:left="9"/>
              <w:rPr>
                <w:rFonts w:ascii="Times New Roman"/>
                <w:sz w:val="21"/>
              </w:rPr>
            </w:pPr>
            <w:r>
              <w:rPr>
                <w:rFonts w:ascii="Times New Roman"/>
                <w:w w:val="99"/>
                <w:sz w:val="21"/>
              </w:rPr>
              <w:t>/</w:t>
            </w:r>
          </w:p>
        </w:tc>
        <w:tc>
          <w:tcPr>
            <w:tcW w:w="914" w:type="dxa"/>
          </w:tcPr>
          <w:p>
            <w:pPr>
              <w:pStyle w:val="TableParagraph"/>
              <w:ind w:left="8"/>
              <w:rPr>
                <w:rFonts w:ascii="Times New Roman"/>
                <w:sz w:val="21"/>
              </w:rPr>
            </w:pPr>
            <w:r>
              <w:rPr>
                <w:rFonts w:ascii="Times New Roman"/>
                <w:w w:val="99"/>
                <w:sz w:val="21"/>
              </w:rPr>
              <w:t>0</w:t>
            </w:r>
          </w:p>
        </w:tc>
        <w:tc>
          <w:tcPr>
            <w:tcW w:w="898" w:type="dxa"/>
            <w:vMerge/>
            <w:tcBorders>
              <w:top w:val="nil"/>
            </w:tcBorders>
          </w:tcPr>
          <w:p>
            <w:pPr>
              <w:rPr>
                <w:sz w:val="2"/>
                <w:szCs w:val="2"/>
              </w:rPr>
            </w:pPr>
          </w:p>
        </w:tc>
        <w:tc>
          <w:tcPr>
            <w:tcW w:w="898" w:type="dxa"/>
          </w:tcPr>
          <w:p>
            <w:pPr>
              <w:pStyle w:val="TableParagraph"/>
              <w:ind w:right="199"/>
              <w:jc w:val="right"/>
              <w:rPr>
                <w:rFonts w:ascii="Times New Roman"/>
                <w:sz w:val="21"/>
              </w:rPr>
            </w:pPr>
            <w:r>
              <w:rPr>
                <w:rFonts w:ascii="Times New Roman"/>
                <w:sz w:val="21"/>
              </w:rPr>
              <w:t>22.85</w:t>
            </w:r>
          </w:p>
        </w:tc>
        <w:tc>
          <w:tcPr>
            <w:tcW w:w="897" w:type="dxa"/>
          </w:tcPr>
          <w:p>
            <w:pPr>
              <w:pStyle w:val="TableParagraph"/>
              <w:ind w:left="264"/>
              <w:jc w:val="left"/>
              <w:rPr>
                <w:rFonts w:ascii="Times New Roman"/>
                <w:sz w:val="21"/>
              </w:rPr>
            </w:pPr>
            <w:r>
              <w:rPr>
                <w:rFonts w:ascii="Times New Roman"/>
                <w:sz w:val="21"/>
              </w:rPr>
              <w:t>0.06</w:t>
            </w:r>
          </w:p>
        </w:tc>
        <w:tc>
          <w:tcPr>
            <w:tcW w:w="899" w:type="dxa"/>
          </w:tcPr>
          <w:p>
            <w:pPr>
              <w:pStyle w:val="TableParagraph"/>
              <w:ind w:right="200"/>
              <w:jc w:val="right"/>
              <w:rPr>
                <w:rFonts w:ascii="Times New Roman"/>
                <w:sz w:val="21"/>
              </w:rPr>
            </w:pPr>
            <w:r>
              <w:rPr>
                <w:rFonts w:ascii="Times New Roman"/>
                <w:sz w:val="21"/>
              </w:rPr>
              <w:t>0.187</w:t>
            </w:r>
          </w:p>
        </w:tc>
        <w:tc>
          <w:tcPr>
            <w:tcW w:w="879" w:type="dxa"/>
          </w:tcPr>
          <w:p>
            <w:pPr>
              <w:pStyle w:val="TableParagraph"/>
              <w:ind w:right="270"/>
              <w:jc w:val="right"/>
              <w:rPr>
                <w:rFonts w:ascii="Times New Roman"/>
                <w:sz w:val="21"/>
              </w:rPr>
            </w:pPr>
            <w:r>
              <w:rPr>
                <w:rFonts w:ascii="Times New Roman"/>
                <w:sz w:val="21"/>
              </w:rPr>
              <w:t>850</w:t>
            </w:r>
          </w:p>
        </w:tc>
        <w:tc>
          <w:tcPr>
            <w:tcW w:w="879" w:type="dxa"/>
            <w:vMerge/>
            <w:tcBorders>
              <w:top w:val="nil"/>
            </w:tcBorders>
          </w:tcPr>
          <w:p>
            <w:pPr>
              <w:rPr>
                <w:sz w:val="2"/>
                <w:szCs w:val="2"/>
              </w:rPr>
            </w:pPr>
          </w:p>
        </w:tc>
      </w:tr>
      <w:tr>
        <w:trPr>
          <w:trHeight w:val="290" w:hRule="atLeast"/>
        </w:trPr>
        <w:tc>
          <w:tcPr>
            <w:tcW w:w="564" w:type="dxa"/>
            <w:vMerge/>
            <w:tcBorders>
              <w:top w:val="nil"/>
            </w:tcBorders>
          </w:tcPr>
          <w:p>
            <w:pPr>
              <w:rPr>
                <w:sz w:val="2"/>
                <w:szCs w:val="2"/>
              </w:rPr>
            </w:pPr>
          </w:p>
        </w:tc>
        <w:tc>
          <w:tcPr>
            <w:tcW w:w="1323" w:type="dxa"/>
            <w:vMerge/>
            <w:tcBorders>
              <w:top w:val="nil"/>
            </w:tcBorders>
          </w:tcPr>
          <w:p>
            <w:pPr>
              <w:rPr>
                <w:sz w:val="2"/>
                <w:szCs w:val="2"/>
              </w:rPr>
            </w:pPr>
          </w:p>
        </w:tc>
        <w:tc>
          <w:tcPr>
            <w:tcW w:w="677" w:type="dxa"/>
          </w:tcPr>
          <w:p>
            <w:pPr>
              <w:pStyle w:val="TableParagraph"/>
              <w:ind w:left="135"/>
              <w:jc w:val="left"/>
              <w:rPr>
                <w:rFonts w:ascii="Times New Roman"/>
                <w:sz w:val="21"/>
              </w:rPr>
            </w:pPr>
            <w:r>
              <w:rPr>
                <w:rFonts w:ascii="Times New Roman"/>
                <w:sz w:val="21"/>
              </w:rPr>
              <w:t>NOx</w:t>
            </w:r>
          </w:p>
        </w:tc>
        <w:tc>
          <w:tcPr>
            <w:tcW w:w="1038" w:type="dxa"/>
            <w:vMerge/>
            <w:tcBorders>
              <w:top w:val="nil"/>
            </w:tcBorders>
          </w:tcPr>
          <w:p>
            <w:pPr>
              <w:rPr>
                <w:sz w:val="2"/>
                <w:szCs w:val="2"/>
              </w:rPr>
            </w:pPr>
          </w:p>
        </w:tc>
        <w:tc>
          <w:tcPr>
            <w:tcW w:w="1037" w:type="dxa"/>
            <w:vMerge/>
            <w:tcBorders>
              <w:top w:val="nil"/>
            </w:tcBorders>
          </w:tcPr>
          <w:p>
            <w:pPr>
              <w:rPr>
                <w:sz w:val="2"/>
                <w:szCs w:val="2"/>
              </w:rPr>
            </w:pPr>
          </w:p>
        </w:tc>
        <w:tc>
          <w:tcPr>
            <w:tcW w:w="1038" w:type="dxa"/>
          </w:tcPr>
          <w:p>
            <w:pPr>
              <w:pStyle w:val="TableParagraph"/>
              <w:ind w:left="183" w:right="173"/>
              <w:rPr>
                <w:rFonts w:ascii="Times New Roman"/>
                <w:sz w:val="21"/>
              </w:rPr>
            </w:pPr>
            <w:r>
              <w:rPr>
                <w:rFonts w:ascii="Times New Roman"/>
                <w:sz w:val="21"/>
              </w:rPr>
              <w:t>200</w:t>
            </w:r>
          </w:p>
        </w:tc>
        <w:tc>
          <w:tcPr>
            <w:tcW w:w="1039" w:type="dxa"/>
          </w:tcPr>
          <w:p>
            <w:pPr>
              <w:pStyle w:val="TableParagraph"/>
              <w:ind w:right="322"/>
              <w:jc w:val="right"/>
              <w:rPr>
                <w:rFonts w:ascii="Times New Roman"/>
                <w:sz w:val="21"/>
              </w:rPr>
            </w:pPr>
            <w:r>
              <w:rPr>
                <w:rFonts w:ascii="Times New Roman"/>
                <w:sz w:val="21"/>
              </w:rPr>
              <w:t>1.62</w:t>
            </w:r>
          </w:p>
        </w:tc>
        <w:tc>
          <w:tcPr>
            <w:tcW w:w="1370" w:type="dxa"/>
          </w:tcPr>
          <w:p>
            <w:pPr>
              <w:pStyle w:val="TableParagraph"/>
              <w:ind w:left="9"/>
              <w:rPr>
                <w:rFonts w:ascii="Times New Roman"/>
                <w:sz w:val="21"/>
              </w:rPr>
            </w:pPr>
            <w:r>
              <w:rPr>
                <w:rFonts w:ascii="Times New Roman"/>
                <w:w w:val="99"/>
                <w:sz w:val="21"/>
              </w:rPr>
              <w:t>/</w:t>
            </w:r>
          </w:p>
        </w:tc>
        <w:tc>
          <w:tcPr>
            <w:tcW w:w="914" w:type="dxa"/>
          </w:tcPr>
          <w:p>
            <w:pPr>
              <w:pStyle w:val="TableParagraph"/>
              <w:ind w:left="8"/>
              <w:rPr>
                <w:rFonts w:ascii="Times New Roman"/>
                <w:sz w:val="21"/>
              </w:rPr>
            </w:pPr>
            <w:r>
              <w:rPr>
                <w:rFonts w:ascii="Times New Roman"/>
                <w:w w:val="99"/>
                <w:sz w:val="21"/>
              </w:rPr>
              <w:t>0</w:t>
            </w:r>
          </w:p>
        </w:tc>
        <w:tc>
          <w:tcPr>
            <w:tcW w:w="898" w:type="dxa"/>
            <w:vMerge/>
            <w:tcBorders>
              <w:top w:val="nil"/>
            </w:tcBorders>
          </w:tcPr>
          <w:p>
            <w:pPr>
              <w:rPr>
                <w:sz w:val="2"/>
                <w:szCs w:val="2"/>
              </w:rPr>
            </w:pPr>
          </w:p>
        </w:tc>
        <w:tc>
          <w:tcPr>
            <w:tcW w:w="898" w:type="dxa"/>
          </w:tcPr>
          <w:p>
            <w:pPr>
              <w:pStyle w:val="TableParagraph"/>
              <w:ind w:right="278"/>
              <w:jc w:val="right"/>
              <w:rPr>
                <w:rFonts w:ascii="Times New Roman"/>
                <w:sz w:val="21"/>
              </w:rPr>
            </w:pPr>
            <w:r>
              <w:rPr>
                <w:rFonts w:ascii="Times New Roman"/>
                <w:sz w:val="21"/>
              </w:rPr>
              <w:t>200</w:t>
            </w:r>
          </w:p>
        </w:tc>
        <w:tc>
          <w:tcPr>
            <w:tcW w:w="897" w:type="dxa"/>
          </w:tcPr>
          <w:p>
            <w:pPr>
              <w:pStyle w:val="TableParagraph"/>
              <w:ind w:left="264"/>
              <w:jc w:val="left"/>
              <w:rPr>
                <w:rFonts w:ascii="Times New Roman"/>
                <w:sz w:val="21"/>
              </w:rPr>
            </w:pPr>
            <w:r>
              <w:rPr>
                <w:rFonts w:ascii="Times New Roman"/>
                <w:sz w:val="21"/>
              </w:rPr>
              <w:t>0.50</w:t>
            </w:r>
          </w:p>
        </w:tc>
        <w:tc>
          <w:tcPr>
            <w:tcW w:w="899" w:type="dxa"/>
          </w:tcPr>
          <w:p>
            <w:pPr>
              <w:pStyle w:val="TableParagraph"/>
              <w:ind w:right="253"/>
              <w:jc w:val="right"/>
              <w:rPr>
                <w:rFonts w:ascii="Times New Roman"/>
                <w:sz w:val="21"/>
              </w:rPr>
            </w:pPr>
            <w:r>
              <w:rPr>
                <w:rFonts w:ascii="Times New Roman"/>
                <w:sz w:val="21"/>
              </w:rPr>
              <w:t>1.62</w:t>
            </w:r>
          </w:p>
        </w:tc>
        <w:tc>
          <w:tcPr>
            <w:tcW w:w="879" w:type="dxa"/>
          </w:tcPr>
          <w:p>
            <w:pPr>
              <w:pStyle w:val="TableParagraph"/>
              <w:ind w:left="9"/>
              <w:rPr>
                <w:rFonts w:ascii="Times New Roman"/>
                <w:sz w:val="21"/>
              </w:rPr>
            </w:pPr>
            <w:r>
              <w:rPr>
                <w:rFonts w:ascii="Times New Roman"/>
                <w:w w:val="99"/>
                <w:sz w:val="21"/>
              </w:rPr>
              <w:t>/</w:t>
            </w:r>
          </w:p>
        </w:tc>
        <w:tc>
          <w:tcPr>
            <w:tcW w:w="879" w:type="dxa"/>
            <w:vMerge/>
            <w:tcBorders>
              <w:top w:val="nil"/>
            </w:tcBorders>
          </w:tcPr>
          <w:p>
            <w:pPr>
              <w:rPr>
                <w:sz w:val="2"/>
                <w:szCs w:val="2"/>
              </w:rPr>
            </w:pPr>
          </w:p>
        </w:tc>
      </w:tr>
      <w:tr>
        <w:trPr>
          <w:trHeight w:val="980" w:hRule="atLeast"/>
        </w:trPr>
        <w:tc>
          <w:tcPr>
            <w:tcW w:w="564" w:type="dxa"/>
            <w:vMerge/>
            <w:tcBorders>
              <w:top w:val="nil"/>
            </w:tcBorders>
          </w:tcPr>
          <w:p>
            <w:pPr>
              <w:rPr>
                <w:sz w:val="2"/>
                <w:szCs w:val="2"/>
              </w:rPr>
            </w:pPr>
          </w:p>
        </w:tc>
        <w:tc>
          <w:tcPr>
            <w:tcW w:w="1323" w:type="dxa"/>
          </w:tcPr>
          <w:p>
            <w:pPr>
              <w:pStyle w:val="TableParagraph"/>
              <w:spacing w:before="4"/>
              <w:jc w:val="left"/>
              <w:rPr>
                <w:b/>
                <w:sz w:val="25"/>
              </w:rPr>
            </w:pPr>
          </w:p>
          <w:p>
            <w:pPr>
              <w:pStyle w:val="TableParagraph"/>
              <w:ind w:left="115" w:right="108"/>
              <w:rPr>
                <w:sz w:val="21"/>
              </w:rPr>
            </w:pPr>
            <w:r>
              <w:rPr>
                <w:sz w:val="21"/>
              </w:rPr>
              <w:t>矸石场扬尘</w:t>
            </w:r>
          </w:p>
        </w:tc>
        <w:tc>
          <w:tcPr>
            <w:tcW w:w="677" w:type="dxa"/>
          </w:tcPr>
          <w:p>
            <w:pPr>
              <w:pStyle w:val="TableParagraph"/>
              <w:spacing w:line="288" w:lineRule="auto" w:before="164"/>
              <w:ind w:left="233" w:right="119" w:hanging="106"/>
              <w:jc w:val="left"/>
              <w:rPr>
                <w:sz w:val="21"/>
              </w:rPr>
            </w:pPr>
            <w:r>
              <w:rPr>
                <w:sz w:val="21"/>
              </w:rPr>
              <w:t>颗粒物</w:t>
            </w:r>
          </w:p>
        </w:tc>
        <w:tc>
          <w:tcPr>
            <w:tcW w:w="1038" w:type="dxa"/>
          </w:tcPr>
          <w:p>
            <w:pPr>
              <w:pStyle w:val="TableParagraph"/>
              <w:spacing w:line="288" w:lineRule="auto" w:before="164"/>
              <w:ind w:left="204" w:right="192" w:firstLine="103"/>
              <w:jc w:val="left"/>
              <w:rPr>
                <w:sz w:val="21"/>
              </w:rPr>
            </w:pPr>
            <w:r>
              <w:rPr>
                <w:sz w:val="21"/>
              </w:rPr>
              <w:t>物料衡算法</w:t>
            </w:r>
          </w:p>
        </w:tc>
        <w:tc>
          <w:tcPr>
            <w:tcW w:w="1037" w:type="dxa"/>
          </w:tcPr>
          <w:p>
            <w:pPr>
              <w:pStyle w:val="TableParagraph"/>
              <w:spacing w:before="10"/>
              <w:jc w:val="left"/>
              <w:rPr>
                <w:b/>
                <w:sz w:val="26"/>
              </w:rPr>
            </w:pPr>
          </w:p>
          <w:p>
            <w:pPr>
              <w:pStyle w:val="TableParagraph"/>
              <w:ind w:left="9"/>
              <w:rPr>
                <w:rFonts w:ascii="Times New Roman"/>
                <w:sz w:val="21"/>
              </w:rPr>
            </w:pPr>
            <w:r>
              <w:rPr>
                <w:rFonts w:ascii="Times New Roman"/>
                <w:w w:val="99"/>
                <w:sz w:val="21"/>
              </w:rPr>
              <w:t>/</w:t>
            </w:r>
          </w:p>
        </w:tc>
        <w:tc>
          <w:tcPr>
            <w:tcW w:w="1038" w:type="dxa"/>
          </w:tcPr>
          <w:p>
            <w:pPr>
              <w:pStyle w:val="TableParagraph"/>
              <w:spacing w:before="10"/>
              <w:jc w:val="left"/>
              <w:rPr>
                <w:b/>
                <w:sz w:val="26"/>
              </w:rPr>
            </w:pPr>
          </w:p>
          <w:p>
            <w:pPr>
              <w:pStyle w:val="TableParagraph"/>
              <w:ind w:left="7"/>
              <w:rPr>
                <w:rFonts w:ascii="Times New Roman"/>
                <w:sz w:val="21"/>
              </w:rPr>
            </w:pPr>
            <w:r>
              <w:rPr>
                <w:rFonts w:ascii="Times New Roman"/>
                <w:w w:val="99"/>
                <w:sz w:val="21"/>
              </w:rPr>
              <w:t>/</w:t>
            </w:r>
          </w:p>
        </w:tc>
        <w:tc>
          <w:tcPr>
            <w:tcW w:w="1039" w:type="dxa"/>
          </w:tcPr>
          <w:p>
            <w:pPr>
              <w:pStyle w:val="TableParagraph"/>
              <w:spacing w:before="10"/>
              <w:jc w:val="left"/>
              <w:rPr>
                <w:b/>
                <w:sz w:val="26"/>
              </w:rPr>
            </w:pPr>
          </w:p>
          <w:p>
            <w:pPr>
              <w:pStyle w:val="TableParagraph"/>
              <w:ind w:right="324"/>
              <w:jc w:val="right"/>
              <w:rPr>
                <w:rFonts w:ascii="Times New Roman"/>
                <w:sz w:val="21"/>
              </w:rPr>
            </w:pPr>
            <w:r>
              <w:rPr>
                <w:rFonts w:ascii="Times New Roman"/>
                <w:w w:val="95"/>
                <w:sz w:val="21"/>
              </w:rPr>
              <w:t>0.09</w:t>
            </w:r>
          </w:p>
        </w:tc>
        <w:tc>
          <w:tcPr>
            <w:tcW w:w="1370" w:type="dxa"/>
          </w:tcPr>
          <w:p>
            <w:pPr>
              <w:pStyle w:val="TableParagraph"/>
              <w:spacing w:line="288" w:lineRule="auto" w:before="1"/>
              <w:ind w:left="158" w:right="150"/>
              <w:rPr>
                <w:sz w:val="21"/>
              </w:rPr>
            </w:pPr>
            <w:r>
              <w:rPr>
                <w:sz w:val="21"/>
              </w:rPr>
              <w:t>洒水控制措施及围挡遮</w:t>
            </w:r>
          </w:p>
          <w:p>
            <w:pPr>
              <w:pStyle w:val="TableParagraph"/>
              <w:spacing w:before="7"/>
              <w:ind w:left="6"/>
              <w:rPr>
                <w:sz w:val="21"/>
              </w:rPr>
            </w:pPr>
            <w:r>
              <w:rPr>
                <w:w w:val="99"/>
                <w:sz w:val="21"/>
              </w:rPr>
              <w:t>围</w:t>
            </w:r>
          </w:p>
        </w:tc>
        <w:tc>
          <w:tcPr>
            <w:tcW w:w="914" w:type="dxa"/>
          </w:tcPr>
          <w:p>
            <w:pPr>
              <w:pStyle w:val="TableParagraph"/>
              <w:spacing w:before="10"/>
              <w:jc w:val="left"/>
              <w:rPr>
                <w:b/>
                <w:sz w:val="26"/>
              </w:rPr>
            </w:pPr>
          </w:p>
          <w:p>
            <w:pPr>
              <w:pStyle w:val="TableParagraph"/>
              <w:ind w:left="138" w:right="130"/>
              <w:rPr>
                <w:rFonts w:ascii="Times New Roman"/>
                <w:sz w:val="21"/>
              </w:rPr>
            </w:pPr>
            <w:r>
              <w:rPr>
                <w:rFonts w:ascii="Times New Roman"/>
                <w:sz w:val="21"/>
              </w:rPr>
              <w:t>74</w:t>
            </w:r>
          </w:p>
        </w:tc>
        <w:tc>
          <w:tcPr>
            <w:tcW w:w="898" w:type="dxa"/>
          </w:tcPr>
          <w:p>
            <w:pPr>
              <w:pStyle w:val="TableParagraph"/>
              <w:spacing w:before="10"/>
              <w:jc w:val="left"/>
              <w:rPr>
                <w:b/>
                <w:sz w:val="26"/>
              </w:rPr>
            </w:pPr>
          </w:p>
          <w:p>
            <w:pPr>
              <w:pStyle w:val="TableParagraph"/>
              <w:ind w:left="8"/>
              <w:rPr>
                <w:rFonts w:ascii="Times New Roman"/>
                <w:sz w:val="21"/>
              </w:rPr>
            </w:pPr>
            <w:r>
              <w:rPr>
                <w:rFonts w:ascii="Times New Roman"/>
                <w:w w:val="99"/>
                <w:sz w:val="21"/>
              </w:rPr>
              <w:t>/</w:t>
            </w:r>
          </w:p>
        </w:tc>
        <w:tc>
          <w:tcPr>
            <w:tcW w:w="898" w:type="dxa"/>
          </w:tcPr>
          <w:p>
            <w:pPr>
              <w:pStyle w:val="TableParagraph"/>
              <w:spacing w:before="10"/>
              <w:jc w:val="left"/>
              <w:rPr>
                <w:b/>
                <w:sz w:val="26"/>
              </w:rPr>
            </w:pPr>
          </w:p>
          <w:p>
            <w:pPr>
              <w:pStyle w:val="TableParagraph"/>
              <w:ind w:left="7"/>
              <w:rPr>
                <w:rFonts w:ascii="Times New Roman"/>
                <w:sz w:val="21"/>
              </w:rPr>
            </w:pPr>
            <w:r>
              <w:rPr>
                <w:rFonts w:ascii="Times New Roman"/>
                <w:w w:val="99"/>
                <w:sz w:val="21"/>
              </w:rPr>
              <w:t>/</w:t>
            </w:r>
          </w:p>
        </w:tc>
        <w:tc>
          <w:tcPr>
            <w:tcW w:w="897" w:type="dxa"/>
          </w:tcPr>
          <w:p>
            <w:pPr>
              <w:pStyle w:val="TableParagraph"/>
              <w:spacing w:before="10"/>
              <w:jc w:val="left"/>
              <w:rPr>
                <w:b/>
                <w:sz w:val="26"/>
              </w:rPr>
            </w:pPr>
          </w:p>
          <w:p>
            <w:pPr>
              <w:pStyle w:val="TableParagraph"/>
              <w:ind w:left="211"/>
              <w:jc w:val="left"/>
              <w:rPr>
                <w:rFonts w:ascii="Times New Roman"/>
                <w:sz w:val="21"/>
              </w:rPr>
            </w:pPr>
            <w:r>
              <w:rPr>
                <w:rFonts w:ascii="Times New Roman"/>
                <w:sz w:val="21"/>
              </w:rPr>
              <w:t>0.003</w:t>
            </w:r>
          </w:p>
        </w:tc>
        <w:tc>
          <w:tcPr>
            <w:tcW w:w="899" w:type="dxa"/>
          </w:tcPr>
          <w:p>
            <w:pPr>
              <w:pStyle w:val="TableParagraph"/>
              <w:spacing w:before="10"/>
              <w:jc w:val="left"/>
              <w:rPr>
                <w:b/>
                <w:sz w:val="26"/>
              </w:rPr>
            </w:pPr>
          </w:p>
          <w:p>
            <w:pPr>
              <w:pStyle w:val="TableParagraph"/>
              <w:ind w:right="202"/>
              <w:jc w:val="right"/>
              <w:rPr>
                <w:rFonts w:ascii="Times New Roman"/>
                <w:sz w:val="21"/>
              </w:rPr>
            </w:pPr>
            <w:r>
              <w:rPr>
                <w:rFonts w:ascii="Times New Roman"/>
                <w:w w:val="95"/>
                <w:sz w:val="21"/>
              </w:rPr>
              <w:t>0.023</w:t>
            </w:r>
          </w:p>
        </w:tc>
        <w:tc>
          <w:tcPr>
            <w:tcW w:w="879" w:type="dxa"/>
          </w:tcPr>
          <w:p>
            <w:pPr>
              <w:pStyle w:val="TableParagraph"/>
              <w:spacing w:before="10"/>
              <w:jc w:val="left"/>
              <w:rPr>
                <w:b/>
                <w:sz w:val="26"/>
              </w:rPr>
            </w:pPr>
          </w:p>
          <w:p>
            <w:pPr>
              <w:pStyle w:val="TableParagraph"/>
              <w:ind w:left="7"/>
              <w:rPr>
                <w:rFonts w:ascii="Times New Roman"/>
                <w:sz w:val="21"/>
              </w:rPr>
            </w:pPr>
            <w:r>
              <w:rPr>
                <w:rFonts w:ascii="Times New Roman"/>
                <w:w w:val="99"/>
                <w:sz w:val="21"/>
              </w:rPr>
              <w:t>1</w:t>
            </w:r>
          </w:p>
        </w:tc>
        <w:tc>
          <w:tcPr>
            <w:tcW w:w="879" w:type="dxa"/>
          </w:tcPr>
          <w:p>
            <w:pPr>
              <w:pStyle w:val="TableParagraph"/>
              <w:spacing w:before="10"/>
              <w:jc w:val="left"/>
              <w:rPr>
                <w:b/>
                <w:sz w:val="26"/>
              </w:rPr>
            </w:pPr>
          </w:p>
          <w:p>
            <w:pPr>
              <w:pStyle w:val="TableParagraph"/>
              <w:ind w:left="209" w:right="200"/>
              <w:rPr>
                <w:rFonts w:ascii="Times New Roman"/>
                <w:sz w:val="21"/>
              </w:rPr>
            </w:pPr>
            <w:r>
              <w:rPr>
                <w:rFonts w:ascii="Times New Roman"/>
                <w:sz w:val="21"/>
              </w:rPr>
              <w:t>8760</w:t>
            </w:r>
          </w:p>
        </w:tc>
      </w:tr>
      <w:tr>
        <w:trPr>
          <w:trHeight w:val="653" w:hRule="atLeast"/>
        </w:trPr>
        <w:tc>
          <w:tcPr>
            <w:tcW w:w="564" w:type="dxa"/>
            <w:vMerge/>
            <w:tcBorders>
              <w:top w:val="nil"/>
            </w:tcBorders>
          </w:tcPr>
          <w:p>
            <w:pPr>
              <w:rPr>
                <w:sz w:val="2"/>
                <w:szCs w:val="2"/>
              </w:rPr>
            </w:pPr>
          </w:p>
        </w:tc>
        <w:tc>
          <w:tcPr>
            <w:tcW w:w="1323" w:type="dxa"/>
          </w:tcPr>
          <w:p>
            <w:pPr>
              <w:pStyle w:val="TableParagraph"/>
              <w:spacing w:before="163"/>
              <w:ind w:left="115" w:right="108"/>
              <w:rPr>
                <w:sz w:val="21"/>
              </w:rPr>
            </w:pPr>
            <w:r>
              <w:rPr>
                <w:sz w:val="21"/>
              </w:rPr>
              <w:t>食堂油烟</w:t>
            </w:r>
          </w:p>
        </w:tc>
        <w:tc>
          <w:tcPr>
            <w:tcW w:w="677" w:type="dxa"/>
          </w:tcPr>
          <w:p>
            <w:pPr>
              <w:pStyle w:val="TableParagraph"/>
              <w:spacing w:before="2"/>
              <w:ind w:left="106" w:right="100"/>
              <w:rPr>
                <w:sz w:val="21"/>
              </w:rPr>
            </w:pPr>
            <w:r>
              <w:rPr>
                <w:sz w:val="21"/>
              </w:rPr>
              <w:t>颗粒</w:t>
            </w:r>
          </w:p>
          <w:p>
            <w:pPr>
              <w:pStyle w:val="TableParagraph"/>
              <w:spacing w:before="55"/>
              <w:ind w:left="9"/>
              <w:rPr>
                <w:sz w:val="21"/>
              </w:rPr>
            </w:pPr>
            <w:r>
              <w:rPr>
                <w:w w:val="99"/>
                <w:sz w:val="21"/>
              </w:rPr>
              <w:t>物</w:t>
            </w:r>
          </w:p>
        </w:tc>
        <w:tc>
          <w:tcPr>
            <w:tcW w:w="1038" w:type="dxa"/>
          </w:tcPr>
          <w:p>
            <w:pPr>
              <w:pStyle w:val="TableParagraph"/>
              <w:spacing w:before="2"/>
              <w:ind w:left="307"/>
              <w:jc w:val="left"/>
              <w:rPr>
                <w:sz w:val="21"/>
              </w:rPr>
            </w:pPr>
            <w:r>
              <w:rPr>
                <w:sz w:val="21"/>
              </w:rPr>
              <w:t>物料</w:t>
            </w:r>
          </w:p>
          <w:p>
            <w:pPr>
              <w:pStyle w:val="TableParagraph"/>
              <w:spacing w:before="55"/>
              <w:ind w:left="204"/>
              <w:jc w:val="left"/>
              <w:rPr>
                <w:sz w:val="21"/>
              </w:rPr>
            </w:pPr>
            <w:r>
              <w:rPr>
                <w:sz w:val="21"/>
              </w:rPr>
              <w:t>衡算法</w:t>
            </w:r>
          </w:p>
        </w:tc>
        <w:tc>
          <w:tcPr>
            <w:tcW w:w="1037" w:type="dxa"/>
          </w:tcPr>
          <w:p>
            <w:pPr>
              <w:pStyle w:val="TableParagraph"/>
              <w:spacing w:before="181"/>
              <w:ind w:left="181" w:right="172"/>
              <w:rPr>
                <w:rFonts w:ascii="Times New Roman"/>
                <w:sz w:val="21"/>
              </w:rPr>
            </w:pPr>
            <w:r>
              <w:rPr>
                <w:rFonts w:ascii="Times New Roman"/>
                <w:sz w:val="21"/>
              </w:rPr>
              <w:t>10000</w:t>
            </w:r>
          </w:p>
        </w:tc>
        <w:tc>
          <w:tcPr>
            <w:tcW w:w="1038" w:type="dxa"/>
          </w:tcPr>
          <w:p>
            <w:pPr>
              <w:pStyle w:val="TableParagraph"/>
              <w:jc w:val="left"/>
              <w:rPr>
                <w:b/>
                <w:sz w:val="16"/>
              </w:rPr>
            </w:pPr>
          </w:p>
          <w:p>
            <w:pPr>
              <w:pStyle w:val="TableParagraph"/>
              <w:ind w:left="335"/>
              <w:jc w:val="left"/>
              <w:rPr>
                <w:rFonts w:ascii="Times New Roman"/>
                <w:sz w:val="21"/>
              </w:rPr>
            </w:pPr>
            <w:r>
              <w:rPr>
                <w:rFonts w:ascii="Times New Roman"/>
                <w:sz w:val="21"/>
              </w:rPr>
              <w:t>7.75</w:t>
            </w:r>
          </w:p>
        </w:tc>
        <w:tc>
          <w:tcPr>
            <w:tcW w:w="1039" w:type="dxa"/>
          </w:tcPr>
          <w:p>
            <w:pPr>
              <w:pStyle w:val="TableParagraph"/>
              <w:jc w:val="left"/>
              <w:rPr>
                <w:b/>
                <w:sz w:val="16"/>
              </w:rPr>
            </w:pPr>
          </w:p>
          <w:p>
            <w:pPr>
              <w:pStyle w:val="TableParagraph"/>
              <w:ind w:right="271"/>
              <w:jc w:val="right"/>
              <w:rPr>
                <w:rFonts w:ascii="Times New Roman"/>
                <w:sz w:val="21"/>
              </w:rPr>
            </w:pPr>
            <w:r>
              <w:rPr>
                <w:rFonts w:ascii="Times New Roman"/>
                <w:w w:val="95"/>
                <w:sz w:val="21"/>
              </w:rPr>
              <w:t>0.102</w:t>
            </w:r>
          </w:p>
        </w:tc>
        <w:tc>
          <w:tcPr>
            <w:tcW w:w="1370" w:type="dxa"/>
          </w:tcPr>
          <w:p>
            <w:pPr>
              <w:pStyle w:val="TableParagraph"/>
              <w:spacing w:before="2"/>
              <w:ind w:left="138" w:right="132"/>
              <w:rPr>
                <w:sz w:val="21"/>
              </w:rPr>
            </w:pPr>
            <w:r>
              <w:rPr>
                <w:sz w:val="21"/>
              </w:rPr>
              <w:t>油烟净化装</w:t>
            </w:r>
          </w:p>
          <w:p>
            <w:pPr>
              <w:pStyle w:val="TableParagraph"/>
              <w:spacing w:before="55"/>
              <w:ind w:left="6"/>
              <w:rPr>
                <w:sz w:val="21"/>
              </w:rPr>
            </w:pPr>
            <w:r>
              <w:rPr>
                <w:w w:val="99"/>
                <w:sz w:val="21"/>
              </w:rPr>
              <w:t>置</w:t>
            </w:r>
          </w:p>
        </w:tc>
        <w:tc>
          <w:tcPr>
            <w:tcW w:w="914" w:type="dxa"/>
          </w:tcPr>
          <w:p>
            <w:pPr>
              <w:pStyle w:val="TableParagraph"/>
              <w:spacing w:before="181"/>
              <w:ind w:left="138" w:right="130"/>
              <w:rPr>
                <w:rFonts w:ascii="Times New Roman"/>
                <w:sz w:val="21"/>
              </w:rPr>
            </w:pPr>
            <w:r>
              <w:rPr>
                <w:rFonts w:ascii="Times New Roman"/>
                <w:sz w:val="21"/>
              </w:rPr>
              <w:t>75</w:t>
            </w:r>
          </w:p>
        </w:tc>
        <w:tc>
          <w:tcPr>
            <w:tcW w:w="898" w:type="dxa"/>
          </w:tcPr>
          <w:p>
            <w:pPr>
              <w:pStyle w:val="TableParagraph"/>
              <w:spacing w:before="181"/>
              <w:ind w:right="175"/>
              <w:jc w:val="right"/>
              <w:rPr>
                <w:rFonts w:ascii="Times New Roman"/>
                <w:sz w:val="21"/>
              </w:rPr>
            </w:pPr>
            <w:r>
              <w:rPr>
                <w:rFonts w:ascii="Times New Roman"/>
                <w:w w:val="95"/>
                <w:sz w:val="21"/>
              </w:rPr>
              <w:t>10000</w:t>
            </w:r>
          </w:p>
        </w:tc>
        <w:tc>
          <w:tcPr>
            <w:tcW w:w="898" w:type="dxa"/>
          </w:tcPr>
          <w:p>
            <w:pPr>
              <w:pStyle w:val="TableParagraph"/>
              <w:spacing w:before="181"/>
              <w:ind w:right="252"/>
              <w:jc w:val="right"/>
              <w:rPr>
                <w:rFonts w:ascii="Times New Roman"/>
                <w:sz w:val="21"/>
              </w:rPr>
            </w:pPr>
            <w:r>
              <w:rPr>
                <w:rFonts w:ascii="Times New Roman"/>
                <w:sz w:val="21"/>
              </w:rPr>
              <w:t>1.94</w:t>
            </w:r>
          </w:p>
        </w:tc>
        <w:tc>
          <w:tcPr>
            <w:tcW w:w="897" w:type="dxa"/>
          </w:tcPr>
          <w:p>
            <w:pPr>
              <w:pStyle w:val="TableParagraph"/>
              <w:spacing w:before="181"/>
              <w:ind w:left="211"/>
              <w:jc w:val="left"/>
              <w:rPr>
                <w:rFonts w:ascii="Times New Roman"/>
                <w:sz w:val="21"/>
              </w:rPr>
            </w:pPr>
            <w:r>
              <w:rPr>
                <w:rFonts w:ascii="Times New Roman"/>
                <w:sz w:val="21"/>
              </w:rPr>
              <w:t>0.078</w:t>
            </w:r>
          </w:p>
        </w:tc>
        <w:tc>
          <w:tcPr>
            <w:tcW w:w="899" w:type="dxa"/>
          </w:tcPr>
          <w:p>
            <w:pPr>
              <w:pStyle w:val="TableParagraph"/>
              <w:spacing w:before="181"/>
              <w:ind w:right="202"/>
              <w:jc w:val="right"/>
              <w:rPr>
                <w:rFonts w:ascii="Times New Roman"/>
                <w:sz w:val="21"/>
              </w:rPr>
            </w:pPr>
            <w:r>
              <w:rPr>
                <w:rFonts w:ascii="Times New Roman"/>
                <w:w w:val="95"/>
                <w:sz w:val="21"/>
              </w:rPr>
              <w:t>0.026</w:t>
            </w:r>
          </w:p>
        </w:tc>
        <w:tc>
          <w:tcPr>
            <w:tcW w:w="879" w:type="dxa"/>
          </w:tcPr>
          <w:p>
            <w:pPr>
              <w:pStyle w:val="TableParagraph"/>
              <w:spacing w:before="181"/>
              <w:ind w:left="7"/>
              <w:rPr>
                <w:rFonts w:ascii="Times New Roman"/>
                <w:sz w:val="21"/>
              </w:rPr>
            </w:pPr>
            <w:r>
              <w:rPr>
                <w:rFonts w:ascii="Times New Roman"/>
                <w:w w:val="99"/>
                <w:sz w:val="21"/>
              </w:rPr>
              <w:t>2</w:t>
            </w:r>
          </w:p>
        </w:tc>
        <w:tc>
          <w:tcPr>
            <w:tcW w:w="879" w:type="dxa"/>
          </w:tcPr>
          <w:p>
            <w:pPr>
              <w:pStyle w:val="TableParagraph"/>
              <w:spacing w:before="181"/>
              <w:ind w:left="209" w:right="200"/>
              <w:rPr>
                <w:rFonts w:ascii="Times New Roman"/>
                <w:sz w:val="21"/>
              </w:rPr>
            </w:pPr>
            <w:r>
              <w:rPr>
                <w:rFonts w:ascii="Times New Roman"/>
                <w:sz w:val="21"/>
              </w:rPr>
              <w:t>1320</w:t>
            </w:r>
          </w:p>
        </w:tc>
      </w:tr>
      <w:tr>
        <w:trPr>
          <w:trHeight w:val="652" w:hRule="atLeast"/>
        </w:trPr>
        <w:tc>
          <w:tcPr>
            <w:tcW w:w="564" w:type="dxa"/>
            <w:vMerge/>
            <w:tcBorders>
              <w:top w:val="nil"/>
            </w:tcBorders>
          </w:tcPr>
          <w:p>
            <w:pPr>
              <w:rPr>
                <w:sz w:val="2"/>
                <w:szCs w:val="2"/>
              </w:rPr>
            </w:pPr>
          </w:p>
        </w:tc>
        <w:tc>
          <w:tcPr>
            <w:tcW w:w="1323" w:type="dxa"/>
          </w:tcPr>
          <w:p>
            <w:pPr>
              <w:pStyle w:val="TableParagraph"/>
              <w:spacing w:before="164"/>
              <w:ind w:left="115" w:right="108"/>
              <w:rPr>
                <w:sz w:val="21"/>
              </w:rPr>
            </w:pPr>
            <w:r>
              <w:rPr>
                <w:sz w:val="21"/>
              </w:rPr>
              <w:t>筛分车间</w:t>
            </w:r>
          </w:p>
        </w:tc>
        <w:tc>
          <w:tcPr>
            <w:tcW w:w="677" w:type="dxa"/>
          </w:tcPr>
          <w:p>
            <w:pPr>
              <w:pStyle w:val="TableParagraph"/>
              <w:ind w:left="106" w:right="100"/>
              <w:rPr>
                <w:sz w:val="21"/>
              </w:rPr>
            </w:pPr>
            <w:r>
              <w:rPr>
                <w:sz w:val="21"/>
              </w:rPr>
              <w:t>颗粒</w:t>
            </w:r>
          </w:p>
          <w:p>
            <w:pPr>
              <w:pStyle w:val="TableParagraph"/>
              <w:spacing w:before="58"/>
              <w:ind w:left="9"/>
              <w:rPr>
                <w:sz w:val="21"/>
              </w:rPr>
            </w:pPr>
            <w:r>
              <w:rPr>
                <w:w w:val="99"/>
                <w:sz w:val="21"/>
              </w:rPr>
              <w:t>物</w:t>
            </w:r>
          </w:p>
        </w:tc>
        <w:tc>
          <w:tcPr>
            <w:tcW w:w="1038" w:type="dxa"/>
          </w:tcPr>
          <w:p>
            <w:pPr>
              <w:pStyle w:val="TableParagraph"/>
              <w:ind w:left="204"/>
              <w:jc w:val="left"/>
              <w:rPr>
                <w:sz w:val="21"/>
              </w:rPr>
            </w:pPr>
            <w:r>
              <w:rPr>
                <w:sz w:val="21"/>
              </w:rPr>
              <w:t>产污系</w:t>
            </w:r>
          </w:p>
          <w:p>
            <w:pPr>
              <w:pStyle w:val="TableParagraph"/>
              <w:spacing w:before="58"/>
              <w:ind w:left="307"/>
              <w:jc w:val="left"/>
              <w:rPr>
                <w:sz w:val="21"/>
              </w:rPr>
            </w:pPr>
            <w:r>
              <w:rPr>
                <w:sz w:val="21"/>
              </w:rPr>
              <w:t>数法</w:t>
            </w:r>
          </w:p>
        </w:tc>
        <w:tc>
          <w:tcPr>
            <w:tcW w:w="1037" w:type="dxa"/>
          </w:tcPr>
          <w:p>
            <w:pPr>
              <w:pStyle w:val="TableParagraph"/>
              <w:spacing w:before="180"/>
              <w:ind w:left="181" w:right="174"/>
              <w:rPr>
                <w:rFonts w:ascii="Times New Roman"/>
                <w:sz w:val="21"/>
              </w:rPr>
            </w:pPr>
            <w:r>
              <w:rPr>
                <w:rFonts w:ascii="Times New Roman"/>
                <w:sz w:val="21"/>
              </w:rPr>
              <w:t>1500</w:t>
            </w:r>
          </w:p>
        </w:tc>
        <w:tc>
          <w:tcPr>
            <w:tcW w:w="1038" w:type="dxa"/>
          </w:tcPr>
          <w:p>
            <w:pPr>
              <w:pStyle w:val="TableParagraph"/>
              <w:spacing w:before="180"/>
              <w:ind w:left="308"/>
              <w:jc w:val="left"/>
              <w:rPr>
                <w:rFonts w:ascii="Times New Roman"/>
                <w:sz w:val="21"/>
              </w:rPr>
            </w:pPr>
            <w:r>
              <w:rPr>
                <w:rFonts w:ascii="Times New Roman"/>
                <w:sz w:val="21"/>
              </w:rPr>
              <w:t>4000</w:t>
            </w:r>
          </w:p>
        </w:tc>
        <w:tc>
          <w:tcPr>
            <w:tcW w:w="1039" w:type="dxa"/>
          </w:tcPr>
          <w:p>
            <w:pPr>
              <w:pStyle w:val="TableParagraph"/>
              <w:spacing w:before="180"/>
              <w:ind w:left="7"/>
              <w:rPr>
                <w:rFonts w:ascii="Times New Roman"/>
                <w:sz w:val="21"/>
              </w:rPr>
            </w:pPr>
            <w:r>
              <w:rPr>
                <w:rFonts w:ascii="Times New Roman"/>
                <w:w w:val="99"/>
                <w:sz w:val="21"/>
              </w:rPr>
              <w:t>6</w:t>
            </w:r>
          </w:p>
        </w:tc>
        <w:tc>
          <w:tcPr>
            <w:tcW w:w="1370" w:type="dxa"/>
          </w:tcPr>
          <w:p>
            <w:pPr>
              <w:pStyle w:val="TableParagraph"/>
              <w:spacing w:before="164"/>
              <w:ind w:left="138" w:right="132"/>
              <w:rPr>
                <w:sz w:val="21"/>
              </w:rPr>
            </w:pPr>
            <w:r>
              <w:rPr>
                <w:sz w:val="21"/>
              </w:rPr>
              <w:t>布袋除尘器</w:t>
            </w:r>
          </w:p>
        </w:tc>
        <w:tc>
          <w:tcPr>
            <w:tcW w:w="914" w:type="dxa"/>
          </w:tcPr>
          <w:p>
            <w:pPr>
              <w:pStyle w:val="TableParagraph"/>
              <w:spacing w:before="180"/>
              <w:ind w:left="138" w:right="130"/>
              <w:rPr>
                <w:rFonts w:ascii="Times New Roman"/>
                <w:sz w:val="21"/>
              </w:rPr>
            </w:pPr>
            <w:r>
              <w:rPr>
                <w:rFonts w:ascii="Times New Roman"/>
                <w:sz w:val="21"/>
              </w:rPr>
              <w:t>99</w:t>
            </w:r>
          </w:p>
        </w:tc>
        <w:tc>
          <w:tcPr>
            <w:tcW w:w="898" w:type="dxa"/>
          </w:tcPr>
          <w:p>
            <w:pPr>
              <w:pStyle w:val="TableParagraph"/>
              <w:spacing w:before="180"/>
              <w:ind w:right="225"/>
              <w:jc w:val="right"/>
              <w:rPr>
                <w:rFonts w:ascii="Times New Roman"/>
                <w:sz w:val="21"/>
              </w:rPr>
            </w:pPr>
            <w:r>
              <w:rPr>
                <w:rFonts w:ascii="Times New Roman"/>
                <w:sz w:val="21"/>
              </w:rPr>
              <w:t>1500</w:t>
            </w:r>
          </w:p>
        </w:tc>
        <w:tc>
          <w:tcPr>
            <w:tcW w:w="898" w:type="dxa"/>
          </w:tcPr>
          <w:p>
            <w:pPr>
              <w:pStyle w:val="TableParagraph"/>
              <w:spacing w:before="180"/>
              <w:ind w:left="132" w:right="122"/>
              <w:rPr>
                <w:rFonts w:ascii="Times New Roman"/>
                <w:sz w:val="21"/>
              </w:rPr>
            </w:pPr>
            <w:r>
              <w:rPr>
                <w:rFonts w:ascii="Times New Roman"/>
                <w:sz w:val="21"/>
              </w:rPr>
              <w:t>40</w:t>
            </w:r>
          </w:p>
        </w:tc>
        <w:tc>
          <w:tcPr>
            <w:tcW w:w="897" w:type="dxa"/>
          </w:tcPr>
          <w:p>
            <w:pPr>
              <w:pStyle w:val="TableParagraph"/>
              <w:spacing w:before="180"/>
              <w:ind w:left="264"/>
              <w:jc w:val="left"/>
              <w:rPr>
                <w:rFonts w:ascii="Times New Roman"/>
                <w:sz w:val="21"/>
              </w:rPr>
            </w:pPr>
            <w:r>
              <w:rPr>
                <w:rFonts w:ascii="Times New Roman"/>
                <w:sz w:val="21"/>
              </w:rPr>
              <w:t>0.01</w:t>
            </w:r>
          </w:p>
        </w:tc>
        <w:tc>
          <w:tcPr>
            <w:tcW w:w="899" w:type="dxa"/>
          </w:tcPr>
          <w:p>
            <w:pPr>
              <w:pStyle w:val="TableParagraph"/>
              <w:spacing w:before="180"/>
              <w:ind w:right="253"/>
              <w:jc w:val="right"/>
              <w:rPr>
                <w:rFonts w:ascii="Times New Roman"/>
                <w:sz w:val="21"/>
              </w:rPr>
            </w:pPr>
            <w:r>
              <w:rPr>
                <w:rFonts w:ascii="Times New Roman"/>
                <w:sz w:val="21"/>
              </w:rPr>
              <w:t>0.06</w:t>
            </w:r>
          </w:p>
        </w:tc>
        <w:tc>
          <w:tcPr>
            <w:tcW w:w="879" w:type="dxa"/>
          </w:tcPr>
          <w:p>
            <w:pPr>
              <w:pStyle w:val="TableParagraph"/>
              <w:spacing w:before="180"/>
              <w:ind w:right="323"/>
              <w:jc w:val="right"/>
              <w:rPr>
                <w:rFonts w:ascii="Times New Roman"/>
                <w:sz w:val="21"/>
              </w:rPr>
            </w:pPr>
            <w:r>
              <w:rPr>
                <w:rFonts w:ascii="Times New Roman"/>
                <w:sz w:val="21"/>
              </w:rPr>
              <w:t>80</w:t>
            </w:r>
          </w:p>
        </w:tc>
        <w:tc>
          <w:tcPr>
            <w:tcW w:w="879" w:type="dxa"/>
          </w:tcPr>
          <w:p>
            <w:pPr>
              <w:pStyle w:val="TableParagraph"/>
              <w:spacing w:before="180"/>
              <w:ind w:left="209" w:right="200"/>
              <w:rPr>
                <w:rFonts w:ascii="Times New Roman"/>
                <w:sz w:val="21"/>
              </w:rPr>
            </w:pPr>
            <w:r>
              <w:rPr>
                <w:rFonts w:ascii="Times New Roman"/>
                <w:sz w:val="21"/>
              </w:rPr>
              <w:t>5940</w:t>
            </w:r>
          </w:p>
        </w:tc>
      </w:tr>
    </w:tbl>
    <w:p>
      <w:pPr>
        <w:spacing w:after="0"/>
        <w:rPr>
          <w:rFonts w:ascii="Times New Roman"/>
          <w:sz w:val="21"/>
        </w:rPr>
        <w:sectPr>
          <w:pgSz w:w="16840" w:h="11910" w:orient="landscape"/>
          <w:pgMar w:header="0" w:footer="993" w:top="1100" w:bottom="1180" w:left="1120" w:right="1120"/>
        </w:sectPr>
      </w:pPr>
    </w:p>
    <w:p>
      <w:pPr>
        <w:pStyle w:val="ListParagraph"/>
        <w:numPr>
          <w:ilvl w:val="1"/>
          <w:numId w:val="32"/>
        </w:numPr>
        <w:tabs>
          <w:tab w:pos="1796" w:val="left" w:leader="none"/>
        </w:tabs>
        <w:spacing w:line="240" w:lineRule="auto" w:before="62" w:after="0"/>
        <w:ind w:left="1795" w:right="0" w:hanging="602"/>
        <w:jc w:val="left"/>
        <w:rPr>
          <w:sz w:val="24"/>
        </w:rPr>
      </w:pPr>
      <w:r>
        <w:rPr>
          <w:sz w:val="24"/>
        </w:rPr>
        <w:t>水污染源及源强分析</w:t>
      </w:r>
    </w:p>
    <w:p>
      <w:pPr>
        <w:pStyle w:val="BodyText"/>
        <w:spacing w:before="160"/>
        <w:ind w:left="1194"/>
      </w:pPr>
      <w:r>
        <w:rPr/>
        <w:t>本项目水污染源主要为矿井水和生活污水。</w:t>
      </w:r>
    </w:p>
    <w:p>
      <w:pPr>
        <w:pStyle w:val="BodyText"/>
        <w:spacing w:before="161"/>
        <w:ind w:left="1194"/>
      </w:pPr>
      <w:r>
        <w:rPr/>
        <w:t>①矿井水及处理措施</w:t>
      </w:r>
    </w:p>
    <w:p>
      <w:pPr>
        <w:pStyle w:val="BodyText"/>
        <w:spacing w:line="364" w:lineRule="auto" w:before="160"/>
        <w:ind w:left="711" w:right="1029" w:firstLine="420"/>
      </w:pPr>
      <w:r>
        <w:rPr>
          <w:spacing w:val="-3"/>
        </w:rPr>
        <w:t>本项目矿井水正常涌水量 </w:t>
      </w:r>
      <w:r>
        <w:rPr>
          <w:rFonts w:ascii="Times New Roman" w:hAnsi="Times New Roman" w:eastAsia="Times New Roman"/>
        </w:rPr>
        <w:t>20m</w:t>
      </w:r>
      <w:r>
        <w:rPr>
          <w:rFonts w:ascii="Times New Roman" w:hAnsi="Times New Roman" w:eastAsia="Times New Roman"/>
          <w:position w:val="8"/>
          <w:sz w:val="15"/>
        </w:rPr>
        <w:t>3</w:t>
      </w:r>
      <w:r>
        <w:rPr>
          <w:rFonts w:ascii="Times New Roman" w:hAnsi="Times New Roman" w:eastAsia="Times New Roman"/>
        </w:rPr>
        <w:t>/h</w:t>
      </w:r>
      <w:r>
        <w:rPr>
          <w:spacing w:val="-10"/>
        </w:rPr>
        <w:t>，总水量 </w:t>
      </w:r>
      <w:r>
        <w:rPr>
          <w:rFonts w:ascii="Times New Roman" w:hAnsi="Times New Roman" w:eastAsia="Times New Roman"/>
        </w:rPr>
        <w:t>360m</w:t>
      </w:r>
      <w:r>
        <w:rPr>
          <w:rFonts w:ascii="Times New Roman" w:hAnsi="Times New Roman" w:eastAsia="Times New Roman"/>
          <w:position w:val="8"/>
          <w:sz w:val="15"/>
        </w:rPr>
        <w:t>3</w:t>
      </w:r>
      <w:r>
        <w:rPr>
          <w:rFonts w:ascii="Times New Roman" w:hAnsi="Times New Roman" w:eastAsia="Times New Roman"/>
        </w:rPr>
        <w:t>/d</w:t>
      </w:r>
      <w:r>
        <w:rPr/>
        <w:t>，在井下汇流过程中受到煤尘和人为活动的污染，使其悬浮物浓度较高，水多呈黑色，故矿井水的主要污</w:t>
      </w:r>
      <w:r>
        <w:rPr>
          <w:spacing w:val="-10"/>
        </w:rPr>
        <w:t>染物为悬浮物，矿井同步建设一座处理规模 </w:t>
      </w:r>
      <w:r>
        <w:rPr>
          <w:rFonts w:ascii="Times New Roman" w:hAnsi="Times New Roman" w:eastAsia="Times New Roman"/>
        </w:rPr>
        <w:t>720m</w:t>
      </w:r>
      <w:r>
        <w:rPr>
          <w:rFonts w:ascii="Times New Roman" w:hAnsi="Times New Roman" w:eastAsia="Times New Roman"/>
          <w:position w:val="8"/>
          <w:sz w:val="15"/>
        </w:rPr>
        <w:t>3</w:t>
      </w:r>
      <w:r>
        <w:rPr>
          <w:rFonts w:ascii="Times New Roman" w:hAnsi="Times New Roman" w:eastAsia="Times New Roman"/>
        </w:rPr>
        <w:t>/d </w:t>
      </w:r>
      <w:r>
        <w:rPr>
          <w:spacing w:val="-7"/>
        </w:rPr>
        <w:t>的矿井水处理站，采用絮凝、</w:t>
      </w:r>
      <w:r>
        <w:rPr>
          <w:spacing w:val="-6"/>
        </w:rPr>
        <w:t>沉淀处理工艺。</w:t>
      </w:r>
      <w:r>
        <w:rPr>
          <w:rFonts w:ascii="Times New Roman" w:hAnsi="Times New Roman" w:eastAsia="Times New Roman"/>
        </w:rPr>
        <w:t>COD </w:t>
      </w:r>
      <w:r>
        <w:rPr/>
        <w:t>去除率</w:t>
      </w:r>
      <w:r>
        <w:rPr>
          <w:rFonts w:ascii="Times New Roman" w:hAnsi="Times New Roman" w:eastAsia="Times New Roman"/>
          <w:spacing w:val="-6"/>
        </w:rPr>
        <w:t>≥90%</w:t>
      </w:r>
      <w:r>
        <w:rPr>
          <w:spacing w:val="-6"/>
        </w:rPr>
        <w:t>，</w:t>
      </w:r>
      <w:r>
        <w:rPr>
          <w:rFonts w:ascii="Times New Roman" w:hAnsi="Times New Roman" w:eastAsia="Times New Roman"/>
          <w:spacing w:val="-6"/>
        </w:rPr>
        <w:t>SS </w:t>
      </w:r>
      <w:r>
        <w:rPr/>
        <w:t>去除率</w:t>
      </w:r>
      <w:r>
        <w:rPr>
          <w:rFonts w:ascii="Times New Roman" w:hAnsi="Times New Roman" w:eastAsia="Times New Roman"/>
        </w:rPr>
        <w:t>≥90%</w:t>
      </w:r>
      <w:r>
        <w:rPr>
          <w:spacing w:val="-7"/>
        </w:rPr>
        <w:t>。处理后可用于其它非生活饮用水、井下消防及防尘洒水、浴室洗浴洗衣用水、锅炉房补充水、浇洒绿地用水等，多余部分排放于附近自建鱼塘。</w:t>
      </w:r>
    </w:p>
    <w:p>
      <w:pPr>
        <w:pStyle w:val="BodyText"/>
        <w:spacing w:before="4"/>
        <w:ind w:left="1194"/>
      </w:pPr>
      <w:r>
        <w:rPr/>
        <w:t>②生活污水及处理措施</w:t>
      </w:r>
    </w:p>
    <w:p>
      <w:pPr>
        <w:pStyle w:val="BodyText"/>
        <w:spacing w:line="364" w:lineRule="auto" w:before="160"/>
        <w:ind w:left="711" w:right="1153" w:firstLine="482"/>
      </w:pPr>
      <w:r>
        <w:rPr/>
        <w:t>本项目生产污水经生活污水处理设备处理达标后，回用于生产、工业场地绿化洒水用水等。</w:t>
      </w:r>
    </w:p>
    <w:p>
      <w:pPr>
        <w:pStyle w:val="BodyText"/>
        <w:spacing w:before="2"/>
        <w:ind w:left="1131"/>
      </w:pPr>
      <w:r>
        <w:rPr/>
        <w:t>废水污染源源强核算见表 </w:t>
      </w:r>
      <w:r>
        <w:rPr>
          <w:rFonts w:ascii="Times New Roman" w:eastAsia="Times New Roman"/>
        </w:rPr>
        <w:t>3.4-5</w:t>
      </w:r>
      <w:r>
        <w:rPr/>
        <w:t>，表 </w:t>
      </w:r>
      <w:r>
        <w:rPr>
          <w:rFonts w:ascii="Times New Roman" w:eastAsia="Times New Roman"/>
        </w:rPr>
        <w:t>3.4-6</w:t>
      </w:r>
      <w:r>
        <w:rPr/>
        <w:t>。</w:t>
      </w:r>
    </w:p>
    <w:p>
      <w:pPr>
        <w:pStyle w:val="BodyText"/>
        <w:rPr>
          <w:sz w:val="20"/>
        </w:rPr>
      </w:pPr>
    </w:p>
    <w:p>
      <w:pPr>
        <w:pStyle w:val="BodyText"/>
        <w:tabs>
          <w:tab w:pos="1039" w:val="left" w:leader="none"/>
        </w:tabs>
        <w:spacing w:after="37"/>
        <w:ind w:right="437"/>
        <w:jc w:val="center"/>
        <w:rPr>
          <w:rFonts w:ascii="黑体" w:eastAsia="黑体" w:hint="eastAsia"/>
        </w:rPr>
      </w:pPr>
      <w:r>
        <w:rPr>
          <w:rFonts w:ascii="黑体" w:eastAsia="黑体" w:hint="eastAsia"/>
        </w:rPr>
        <w:t>表</w:t>
      </w:r>
      <w:r>
        <w:rPr>
          <w:rFonts w:ascii="黑体" w:eastAsia="黑体" w:hint="eastAsia"/>
          <w:spacing w:val="-61"/>
        </w:rPr>
        <w:t> </w:t>
      </w:r>
      <w:r>
        <w:rPr>
          <w:rFonts w:ascii="Times New Roman" w:eastAsia="Times New Roman"/>
        </w:rPr>
        <w:t>3.4-5</w:t>
        <w:tab/>
      </w:r>
      <w:r>
        <w:rPr>
          <w:rFonts w:ascii="黑体" w:eastAsia="黑体" w:hint="eastAsia"/>
        </w:rPr>
        <w:t>采暖期废水污染源源强核算结果及相关参数一览表</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
        <w:gridCol w:w="717"/>
        <w:gridCol w:w="353"/>
        <w:gridCol w:w="793"/>
        <w:gridCol w:w="837"/>
        <w:gridCol w:w="779"/>
        <w:gridCol w:w="1230"/>
        <w:gridCol w:w="577"/>
        <w:gridCol w:w="353"/>
        <w:gridCol w:w="793"/>
        <w:gridCol w:w="837"/>
        <w:gridCol w:w="779"/>
        <w:gridCol w:w="618"/>
      </w:tblGrid>
      <w:tr>
        <w:trPr>
          <w:trHeight w:val="232" w:hRule="atLeast"/>
        </w:trPr>
        <w:tc>
          <w:tcPr>
            <w:tcW w:w="390" w:type="dxa"/>
            <w:vMerge w:val="restart"/>
          </w:tcPr>
          <w:p>
            <w:pPr>
              <w:pStyle w:val="TableParagraph"/>
              <w:spacing w:before="8"/>
              <w:jc w:val="left"/>
              <w:rPr>
                <w:rFonts w:ascii="黑体"/>
                <w:sz w:val="18"/>
              </w:rPr>
            </w:pPr>
          </w:p>
          <w:p>
            <w:pPr>
              <w:pStyle w:val="TableParagraph"/>
              <w:spacing w:line="242" w:lineRule="auto"/>
              <w:ind w:left="108" w:right="89"/>
              <w:jc w:val="both"/>
              <w:rPr>
                <w:sz w:val="18"/>
              </w:rPr>
            </w:pPr>
            <w:r>
              <w:rPr>
                <w:sz w:val="18"/>
              </w:rPr>
              <w:t>污染源</w:t>
            </w:r>
          </w:p>
        </w:tc>
        <w:tc>
          <w:tcPr>
            <w:tcW w:w="717" w:type="dxa"/>
            <w:vMerge w:val="restart"/>
          </w:tcPr>
          <w:p>
            <w:pPr>
              <w:pStyle w:val="TableParagraph"/>
              <w:jc w:val="left"/>
              <w:rPr>
                <w:rFonts w:ascii="黑体"/>
                <w:sz w:val="18"/>
              </w:rPr>
            </w:pPr>
          </w:p>
          <w:p>
            <w:pPr>
              <w:pStyle w:val="TableParagraph"/>
              <w:spacing w:line="242" w:lineRule="auto" w:before="126"/>
              <w:ind w:left="267" w:right="168" w:hanging="92"/>
              <w:jc w:val="left"/>
              <w:rPr>
                <w:sz w:val="18"/>
              </w:rPr>
            </w:pPr>
            <w:r>
              <w:rPr>
                <w:sz w:val="18"/>
              </w:rPr>
              <w:t>污染物</w:t>
            </w:r>
          </w:p>
        </w:tc>
        <w:tc>
          <w:tcPr>
            <w:tcW w:w="2762" w:type="dxa"/>
            <w:gridSpan w:val="4"/>
          </w:tcPr>
          <w:p>
            <w:pPr>
              <w:pStyle w:val="TableParagraph"/>
              <w:spacing w:line="211" w:lineRule="exact" w:before="1"/>
              <w:ind w:left="909" w:right="900"/>
              <w:rPr>
                <w:sz w:val="18"/>
              </w:rPr>
            </w:pPr>
            <w:r>
              <w:rPr>
                <w:sz w:val="18"/>
              </w:rPr>
              <w:t>污染物产生</w:t>
            </w:r>
          </w:p>
        </w:tc>
        <w:tc>
          <w:tcPr>
            <w:tcW w:w="1807" w:type="dxa"/>
            <w:gridSpan w:val="2"/>
          </w:tcPr>
          <w:p>
            <w:pPr>
              <w:pStyle w:val="TableParagraph"/>
              <w:spacing w:line="211" w:lineRule="exact" w:before="1"/>
              <w:ind w:left="542"/>
              <w:jc w:val="left"/>
              <w:rPr>
                <w:sz w:val="18"/>
              </w:rPr>
            </w:pPr>
            <w:r>
              <w:rPr>
                <w:sz w:val="18"/>
              </w:rPr>
              <w:t>治理措施</w:t>
            </w:r>
          </w:p>
        </w:tc>
        <w:tc>
          <w:tcPr>
            <w:tcW w:w="2762" w:type="dxa"/>
            <w:gridSpan w:val="4"/>
          </w:tcPr>
          <w:p>
            <w:pPr>
              <w:pStyle w:val="TableParagraph"/>
              <w:spacing w:line="211" w:lineRule="exact" w:before="1"/>
              <w:ind w:left="910" w:right="899"/>
              <w:rPr>
                <w:sz w:val="18"/>
              </w:rPr>
            </w:pPr>
            <w:r>
              <w:rPr>
                <w:sz w:val="18"/>
              </w:rPr>
              <w:t>污染物排放</w:t>
            </w:r>
          </w:p>
        </w:tc>
        <w:tc>
          <w:tcPr>
            <w:tcW w:w="618" w:type="dxa"/>
            <w:vMerge w:val="restart"/>
          </w:tcPr>
          <w:p>
            <w:pPr>
              <w:pStyle w:val="TableParagraph"/>
              <w:spacing w:before="10"/>
              <w:jc w:val="left"/>
              <w:rPr>
                <w:rFonts w:ascii="黑体"/>
                <w:sz w:val="19"/>
              </w:rPr>
            </w:pPr>
          </w:p>
          <w:p>
            <w:pPr>
              <w:pStyle w:val="TableParagraph"/>
              <w:ind w:left="127" w:right="118"/>
              <w:jc w:val="both"/>
              <w:rPr>
                <w:rFonts w:ascii="Times New Roman" w:eastAsia="Times New Roman"/>
                <w:sz w:val="18"/>
              </w:rPr>
            </w:pPr>
            <w:r>
              <w:rPr>
                <w:sz w:val="18"/>
              </w:rPr>
              <w:t>排放时间</w:t>
            </w:r>
            <w:r>
              <w:rPr>
                <w:rFonts w:ascii="Times New Roman" w:eastAsia="Times New Roman"/>
                <w:sz w:val="18"/>
              </w:rPr>
              <w:t>(d)</w:t>
            </w:r>
          </w:p>
        </w:tc>
      </w:tr>
      <w:tr>
        <w:trPr>
          <w:trHeight w:val="934" w:hRule="atLeast"/>
        </w:trPr>
        <w:tc>
          <w:tcPr>
            <w:tcW w:w="390" w:type="dxa"/>
            <w:vMerge/>
            <w:tcBorders>
              <w:top w:val="nil"/>
            </w:tcBorders>
          </w:tcPr>
          <w:p>
            <w:pPr>
              <w:rPr>
                <w:sz w:val="2"/>
                <w:szCs w:val="2"/>
              </w:rPr>
            </w:pPr>
          </w:p>
        </w:tc>
        <w:tc>
          <w:tcPr>
            <w:tcW w:w="717" w:type="dxa"/>
            <w:vMerge/>
            <w:tcBorders>
              <w:top w:val="nil"/>
            </w:tcBorders>
          </w:tcPr>
          <w:p>
            <w:pPr>
              <w:rPr>
                <w:sz w:val="2"/>
                <w:szCs w:val="2"/>
              </w:rPr>
            </w:pPr>
          </w:p>
        </w:tc>
        <w:tc>
          <w:tcPr>
            <w:tcW w:w="353" w:type="dxa"/>
          </w:tcPr>
          <w:p>
            <w:pPr>
              <w:pStyle w:val="TableParagraph"/>
              <w:spacing w:line="242" w:lineRule="auto" w:before="1"/>
              <w:ind w:left="107" w:right="53"/>
              <w:jc w:val="both"/>
              <w:rPr>
                <w:sz w:val="18"/>
              </w:rPr>
            </w:pPr>
            <w:r>
              <w:rPr>
                <w:sz w:val="18"/>
              </w:rPr>
              <w:t>核算方</w:t>
            </w:r>
          </w:p>
          <w:p>
            <w:pPr>
              <w:pStyle w:val="TableParagraph"/>
              <w:spacing w:line="212" w:lineRule="exact" w:before="2"/>
              <w:ind w:left="107"/>
              <w:jc w:val="left"/>
              <w:rPr>
                <w:sz w:val="18"/>
              </w:rPr>
            </w:pPr>
            <w:r>
              <w:rPr>
                <w:sz w:val="18"/>
              </w:rPr>
              <w:t>法</w:t>
            </w:r>
          </w:p>
        </w:tc>
        <w:tc>
          <w:tcPr>
            <w:tcW w:w="793" w:type="dxa"/>
          </w:tcPr>
          <w:p>
            <w:pPr>
              <w:pStyle w:val="TableParagraph"/>
              <w:spacing w:line="244" w:lineRule="auto" w:before="1"/>
              <w:ind w:left="126" w:right="114" w:hanging="3"/>
              <w:rPr>
                <w:sz w:val="18"/>
              </w:rPr>
            </w:pPr>
            <w:r>
              <w:rPr>
                <w:sz w:val="18"/>
              </w:rPr>
              <w:t>产生 </w:t>
            </w:r>
            <w:r>
              <w:rPr>
                <w:spacing w:val="-6"/>
                <w:sz w:val="18"/>
              </w:rPr>
              <w:t>废水量</w:t>
            </w:r>
          </w:p>
          <w:p>
            <w:pPr>
              <w:pStyle w:val="TableParagraph"/>
              <w:spacing w:line="228" w:lineRule="exact"/>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TableParagraph"/>
              <w:spacing w:line="212" w:lineRule="exact" w:before="2"/>
              <w:ind w:left="10"/>
              <w:rPr>
                <w:sz w:val="18"/>
              </w:rPr>
            </w:pPr>
            <w:r>
              <w:rPr>
                <w:sz w:val="18"/>
              </w:rPr>
              <w:t>）</w:t>
            </w:r>
          </w:p>
        </w:tc>
        <w:tc>
          <w:tcPr>
            <w:tcW w:w="837" w:type="dxa"/>
          </w:tcPr>
          <w:p>
            <w:pPr>
              <w:pStyle w:val="TableParagraph"/>
              <w:spacing w:line="244" w:lineRule="auto" w:before="1"/>
              <w:ind w:left="238" w:right="226"/>
              <w:rPr>
                <w:sz w:val="18"/>
              </w:rPr>
            </w:pPr>
            <w:r>
              <w:rPr>
                <w:sz w:val="18"/>
              </w:rPr>
              <w:t>产生浓度</w:t>
            </w:r>
          </w:p>
          <w:p>
            <w:pPr>
              <w:pStyle w:val="TableParagraph"/>
              <w:spacing w:line="228" w:lineRule="exact"/>
              <w:ind w:left="111" w:right="104"/>
              <w:rPr>
                <w:rFonts w:ascii="Times New Roman" w:eastAsia="Times New Roman"/>
                <w:sz w:val="18"/>
              </w:rPr>
            </w:pPr>
            <w:r>
              <w:rPr>
                <w:sz w:val="18"/>
              </w:rPr>
              <w:t>（</w:t>
            </w:r>
            <w:r>
              <w:rPr>
                <w:rFonts w:ascii="Times New Roman" w:eastAsia="Times New Roman"/>
                <w:sz w:val="18"/>
              </w:rPr>
              <w:t>mg/L</w:t>
            </w:r>
          </w:p>
          <w:p>
            <w:pPr>
              <w:pStyle w:val="TableParagraph"/>
              <w:spacing w:line="212" w:lineRule="exact" w:before="2"/>
              <w:ind w:left="7"/>
              <w:rPr>
                <w:sz w:val="18"/>
              </w:rPr>
            </w:pPr>
            <w:r>
              <w:rPr>
                <w:sz w:val="18"/>
              </w:rPr>
              <w:t>）</w:t>
            </w:r>
          </w:p>
        </w:tc>
        <w:tc>
          <w:tcPr>
            <w:tcW w:w="779" w:type="dxa"/>
          </w:tcPr>
          <w:p>
            <w:pPr>
              <w:pStyle w:val="TableParagraph"/>
              <w:spacing w:before="118"/>
              <w:ind w:left="98" w:right="89"/>
              <w:rPr>
                <w:sz w:val="18"/>
              </w:rPr>
            </w:pPr>
            <w:r>
              <w:rPr>
                <w:sz w:val="18"/>
              </w:rPr>
              <w:t>产生量</w:t>
            </w:r>
          </w:p>
          <w:p>
            <w:pPr>
              <w:pStyle w:val="TableParagraph"/>
              <w:spacing w:before="2"/>
              <w:ind w:left="94" w:right="89"/>
              <w:rPr>
                <w:rFonts w:ascii="Times New Roman" w:eastAsia="Times New Roman"/>
                <w:sz w:val="18"/>
              </w:rPr>
            </w:pPr>
            <w:r>
              <w:rPr>
                <w:sz w:val="18"/>
              </w:rPr>
              <w:t>（</w:t>
            </w:r>
            <w:r>
              <w:rPr>
                <w:rFonts w:ascii="Times New Roman" w:eastAsia="Times New Roman"/>
                <w:sz w:val="18"/>
              </w:rPr>
              <w:t>kg/d</w:t>
            </w:r>
          </w:p>
          <w:p>
            <w:pPr>
              <w:pStyle w:val="TableParagraph"/>
              <w:spacing w:before="3"/>
              <w:ind w:left="9"/>
              <w:rPr>
                <w:sz w:val="18"/>
              </w:rPr>
            </w:pPr>
            <w:r>
              <w:rPr>
                <w:sz w:val="18"/>
              </w:rPr>
              <w:t>）</w:t>
            </w:r>
          </w:p>
        </w:tc>
        <w:tc>
          <w:tcPr>
            <w:tcW w:w="1230" w:type="dxa"/>
          </w:tcPr>
          <w:p>
            <w:pPr>
              <w:pStyle w:val="TableParagraph"/>
              <w:jc w:val="left"/>
              <w:rPr>
                <w:rFonts w:ascii="黑体"/>
                <w:sz w:val="18"/>
              </w:rPr>
            </w:pPr>
          </w:p>
          <w:p>
            <w:pPr>
              <w:pStyle w:val="TableParagraph"/>
              <w:spacing w:before="120"/>
              <w:ind w:left="414" w:right="405"/>
              <w:rPr>
                <w:sz w:val="18"/>
              </w:rPr>
            </w:pPr>
            <w:r>
              <w:rPr>
                <w:sz w:val="18"/>
              </w:rPr>
              <w:t>工艺</w:t>
            </w:r>
          </w:p>
        </w:tc>
        <w:tc>
          <w:tcPr>
            <w:tcW w:w="577" w:type="dxa"/>
          </w:tcPr>
          <w:p>
            <w:pPr>
              <w:pStyle w:val="TableParagraph"/>
              <w:spacing w:before="118"/>
              <w:ind w:left="106"/>
              <w:jc w:val="left"/>
              <w:rPr>
                <w:sz w:val="18"/>
              </w:rPr>
            </w:pPr>
            <w:r>
              <w:rPr>
                <w:sz w:val="18"/>
              </w:rPr>
              <w:t>效率</w:t>
            </w:r>
          </w:p>
          <w:p>
            <w:pPr>
              <w:pStyle w:val="TableParagraph"/>
              <w:spacing w:before="2"/>
              <w:ind w:left="123"/>
              <w:jc w:val="left"/>
              <w:rPr>
                <w:rFonts w:ascii="Times New Roman" w:eastAsia="Times New Roman"/>
                <w:sz w:val="18"/>
              </w:rPr>
            </w:pPr>
            <w:r>
              <w:rPr>
                <w:sz w:val="18"/>
              </w:rPr>
              <w:t>（</w:t>
            </w:r>
            <w:r>
              <w:rPr>
                <w:rFonts w:ascii="Times New Roman" w:eastAsia="Times New Roman"/>
                <w:sz w:val="18"/>
              </w:rPr>
              <w:t>%</w:t>
            </w:r>
          </w:p>
          <w:p>
            <w:pPr>
              <w:pStyle w:val="TableParagraph"/>
              <w:spacing w:before="3"/>
              <w:ind w:left="198"/>
              <w:jc w:val="left"/>
              <w:rPr>
                <w:sz w:val="18"/>
              </w:rPr>
            </w:pPr>
            <w:r>
              <w:rPr>
                <w:sz w:val="18"/>
              </w:rPr>
              <w:t>）</w:t>
            </w:r>
          </w:p>
        </w:tc>
        <w:tc>
          <w:tcPr>
            <w:tcW w:w="353" w:type="dxa"/>
          </w:tcPr>
          <w:p>
            <w:pPr>
              <w:pStyle w:val="TableParagraph"/>
              <w:spacing w:line="242" w:lineRule="auto" w:before="1"/>
              <w:ind w:left="108" w:right="52"/>
              <w:jc w:val="both"/>
              <w:rPr>
                <w:sz w:val="18"/>
              </w:rPr>
            </w:pPr>
            <w:r>
              <w:rPr>
                <w:sz w:val="18"/>
              </w:rPr>
              <w:t>核算方</w:t>
            </w:r>
          </w:p>
          <w:p>
            <w:pPr>
              <w:pStyle w:val="TableParagraph"/>
              <w:spacing w:line="212" w:lineRule="exact" w:before="2"/>
              <w:ind w:left="108"/>
              <w:jc w:val="left"/>
              <w:rPr>
                <w:sz w:val="18"/>
              </w:rPr>
            </w:pPr>
            <w:r>
              <w:rPr>
                <w:sz w:val="18"/>
              </w:rPr>
              <w:t>法</w:t>
            </w:r>
          </w:p>
        </w:tc>
        <w:tc>
          <w:tcPr>
            <w:tcW w:w="793" w:type="dxa"/>
          </w:tcPr>
          <w:p>
            <w:pPr>
              <w:pStyle w:val="TableParagraph"/>
              <w:spacing w:line="244" w:lineRule="auto" w:before="1"/>
              <w:ind w:left="124" w:right="116" w:firstLine="2"/>
              <w:rPr>
                <w:sz w:val="18"/>
              </w:rPr>
            </w:pPr>
            <w:r>
              <w:rPr>
                <w:sz w:val="18"/>
              </w:rPr>
              <w:t>排放 </w:t>
            </w:r>
            <w:r>
              <w:rPr>
                <w:spacing w:val="-6"/>
                <w:sz w:val="18"/>
              </w:rPr>
              <w:t>废水量</w:t>
            </w:r>
          </w:p>
          <w:p>
            <w:pPr>
              <w:pStyle w:val="TableParagraph"/>
              <w:spacing w:line="228" w:lineRule="exact"/>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TableParagraph"/>
              <w:spacing w:line="212" w:lineRule="exact" w:before="2"/>
              <w:ind w:left="6"/>
              <w:rPr>
                <w:sz w:val="18"/>
              </w:rPr>
            </w:pPr>
            <w:r>
              <w:rPr>
                <w:sz w:val="18"/>
              </w:rPr>
              <w:t>）</w:t>
            </w:r>
          </w:p>
        </w:tc>
        <w:tc>
          <w:tcPr>
            <w:tcW w:w="837" w:type="dxa"/>
          </w:tcPr>
          <w:p>
            <w:pPr>
              <w:pStyle w:val="TableParagraph"/>
              <w:spacing w:line="244" w:lineRule="auto" w:before="1"/>
              <w:ind w:left="236" w:right="228"/>
              <w:rPr>
                <w:sz w:val="18"/>
              </w:rPr>
            </w:pPr>
            <w:r>
              <w:rPr>
                <w:sz w:val="18"/>
              </w:rPr>
              <w:t>排放浓度</w:t>
            </w:r>
          </w:p>
          <w:p>
            <w:pPr>
              <w:pStyle w:val="TableParagraph"/>
              <w:spacing w:line="228" w:lineRule="exact"/>
              <w:ind w:left="112" w:right="104"/>
              <w:rPr>
                <w:rFonts w:ascii="Times New Roman" w:eastAsia="Times New Roman"/>
                <w:sz w:val="18"/>
              </w:rPr>
            </w:pPr>
            <w:r>
              <w:rPr>
                <w:sz w:val="18"/>
              </w:rPr>
              <w:t>（</w:t>
            </w:r>
            <w:r>
              <w:rPr>
                <w:rFonts w:ascii="Times New Roman" w:eastAsia="Times New Roman"/>
                <w:sz w:val="18"/>
              </w:rPr>
              <w:t>mg/L</w:t>
            </w:r>
          </w:p>
          <w:p>
            <w:pPr>
              <w:pStyle w:val="TableParagraph"/>
              <w:spacing w:line="212" w:lineRule="exact" w:before="2"/>
              <w:ind w:left="8"/>
              <w:rPr>
                <w:sz w:val="18"/>
              </w:rPr>
            </w:pPr>
            <w:r>
              <w:rPr>
                <w:sz w:val="18"/>
              </w:rPr>
              <w:t>）</w:t>
            </w:r>
          </w:p>
        </w:tc>
        <w:tc>
          <w:tcPr>
            <w:tcW w:w="779" w:type="dxa"/>
          </w:tcPr>
          <w:p>
            <w:pPr>
              <w:pStyle w:val="TableParagraph"/>
              <w:spacing w:before="118"/>
              <w:ind w:left="99" w:right="89"/>
              <w:rPr>
                <w:sz w:val="18"/>
              </w:rPr>
            </w:pPr>
            <w:r>
              <w:rPr>
                <w:sz w:val="18"/>
              </w:rPr>
              <w:t>排放量</w:t>
            </w:r>
          </w:p>
          <w:p>
            <w:pPr>
              <w:pStyle w:val="TableParagraph"/>
              <w:spacing w:before="2"/>
              <w:ind w:left="95" w:right="89"/>
              <w:rPr>
                <w:rFonts w:ascii="Times New Roman" w:eastAsia="Times New Roman"/>
                <w:sz w:val="18"/>
              </w:rPr>
            </w:pPr>
            <w:r>
              <w:rPr>
                <w:sz w:val="18"/>
              </w:rPr>
              <w:t>（</w:t>
            </w:r>
            <w:r>
              <w:rPr>
                <w:rFonts w:ascii="Times New Roman" w:eastAsia="Times New Roman"/>
                <w:sz w:val="18"/>
              </w:rPr>
              <w:t>kg/d</w:t>
            </w:r>
          </w:p>
          <w:p>
            <w:pPr>
              <w:pStyle w:val="TableParagraph"/>
              <w:spacing w:before="3"/>
              <w:ind w:left="10"/>
              <w:rPr>
                <w:sz w:val="18"/>
              </w:rPr>
            </w:pPr>
            <w:r>
              <w:rPr>
                <w:sz w:val="18"/>
              </w:rPr>
              <w:t>）</w:t>
            </w:r>
          </w:p>
        </w:tc>
        <w:tc>
          <w:tcPr>
            <w:tcW w:w="618" w:type="dxa"/>
            <w:vMerge/>
            <w:tcBorders>
              <w:top w:val="nil"/>
            </w:tcBorders>
          </w:tcPr>
          <w:p>
            <w:pPr>
              <w:rPr>
                <w:sz w:val="2"/>
                <w:szCs w:val="2"/>
              </w:rPr>
            </w:pPr>
          </w:p>
        </w:tc>
      </w:tr>
      <w:tr>
        <w:trPr>
          <w:trHeight w:val="573" w:hRule="atLeast"/>
        </w:trPr>
        <w:tc>
          <w:tcPr>
            <w:tcW w:w="390" w:type="dxa"/>
            <w:vMerge w:val="restart"/>
          </w:tcPr>
          <w:p>
            <w:pPr>
              <w:pStyle w:val="TableParagraph"/>
              <w:jc w:val="left"/>
              <w:rPr>
                <w:rFonts w:ascii="黑体"/>
                <w:sz w:val="18"/>
              </w:rPr>
            </w:pPr>
          </w:p>
          <w:p>
            <w:pPr>
              <w:pStyle w:val="TableParagraph"/>
              <w:jc w:val="left"/>
              <w:rPr>
                <w:rFonts w:ascii="黑体"/>
                <w:sz w:val="18"/>
              </w:rPr>
            </w:pPr>
          </w:p>
          <w:p>
            <w:pPr>
              <w:pStyle w:val="TableParagraph"/>
              <w:spacing w:line="242" w:lineRule="auto" w:before="124"/>
              <w:ind w:left="108" w:right="89"/>
              <w:jc w:val="both"/>
              <w:rPr>
                <w:sz w:val="18"/>
              </w:rPr>
            </w:pPr>
            <w:r>
              <w:rPr>
                <w:sz w:val="18"/>
              </w:rPr>
              <w:t>矿井水</w:t>
            </w:r>
          </w:p>
        </w:tc>
        <w:tc>
          <w:tcPr>
            <w:tcW w:w="717" w:type="dxa"/>
          </w:tcPr>
          <w:p>
            <w:pPr>
              <w:pStyle w:val="TableParagraph"/>
              <w:spacing w:before="3"/>
              <w:jc w:val="left"/>
              <w:rPr>
                <w:rFonts w:ascii="黑体"/>
                <w:sz w:val="14"/>
              </w:rPr>
            </w:pPr>
          </w:p>
          <w:p>
            <w:pPr>
              <w:pStyle w:val="TableParagraph"/>
              <w:ind w:left="119" w:right="108"/>
              <w:rPr>
                <w:rFonts w:ascii="Times New Roman"/>
                <w:sz w:val="18"/>
              </w:rPr>
            </w:pPr>
            <w:r>
              <w:rPr>
                <w:rFonts w:ascii="Times New Roman"/>
                <w:sz w:val="18"/>
              </w:rPr>
              <w:t>COD</w:t>
            </w:r>
          </w:p>
        </w:tc>
        <w:tc>
          <w:tcPr>
            <w:tcW w:w="353" w:type="dxa"/>
            <w:vMerge w:val="restart"/>
          </w:tcPr>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spacing w:before="3"/>
              <w:jc w:val="left"/>
              <w:rPr>
                <w:rFonts w:ascii="黑体"/>
                <w:sz w:val="24"/>
              </w:rPr>
            </w:pPr>
          </w:p>
          <w:p>
            <w:pPr>
              <w:pStyle w:val="TableParagraph"/>
              <w:spacing w:line="242" w:lineRule="auto"/>
              <w:ind w:left="107" w:right="53"/>
              <w:jc w:val="both"/>
              <w:rPr>
                <w:sz w:val="18"/>
              </w:rPr>
            </w:pPr>
            <w:r>
              <w:rPr>
                <w:sz w:val="18"/>
              </w:rPr>
              <w:t>类比法</w:t>
            </w: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10"/>
              <w:jc w:val="left"/>
              <w:rPr>
                <w:rFonts w:ascii="黑体"/>
                <w:sz w:val="24"/>
              </w:rPr>
            </w:pPr>
          </w:p>
          <w:p>
            <w:pPr>
              <w:pStyle w:val="TableParagraph"/>
              <w:ind w:left="261"/>
              <w:jc w:val="left"/>
              <w:rPr>
                <w:rFonts w:ascii="Times New Roman"/>
                <w:sz w:val="18"/>
              </w:rPr>
            </w:pPr>
            <w:r>
              <w:rPr>
                <w:rFonts w:ascii="Times New Roman"/>
                <w:sz w:val="18"/>
              </w:rPr>
              <w:t>480</w:t>
            </w:r>
          </w:p>
        </w:tc>
        <w:tc>
          <w:tcPr>
            <w:tcW w:w="837" w:type="dxa"/>
          </w:tcPr>
          <w:p>
            <w:pPr>
              <w:pStyle w:val="TableParagraph"/>
              <w:spacing w:before="3"/>
              <w:jc w:val="left"/>
              <w:rPr>
                <w:rFonts w:ascii="黑体"/>
                <w:sz w:val="14"/>
              </w:rPr>
            </w:pPr>
          </w:p>
          <w:p>
            <w:pPr>
              <w:pStyle w:val="TableParagraph"/>
              <w:ind w:left="232" w:right="226"/>
              <w:rPr>
                <w:rFonts w:ascii="Times New Roman"/>
                <w:sz w:val="18"/>
              </w:rPr>
            </w:pPr>
            <w:r>
              <w:rPr>
                <w:rFonts w:ascii="Times New Roman"/>
                <w:sz w:val="18"/>
              </w:rPr>
              <w:t>150</w:t>
            </w:r>
          </w:p>
        </w:tc>
        <w:tc>
          <w:tcPr>
            <w:tcW w:w="779" w:type="dxa"/>
          </w:tcPr>
          <w:p>
            <w:pPr>
              <w:pStyle w:val="TableParagraph"/>
              <w:spacing w:before="3"/>
              <w:jc w:val="left"/>
              <w:rPr>
                <w:rFonts w:ascii="黑体"/>
                <w:sz w:val="14"/>
              </w:rPr>
            </w:pPr>
          </w:p>
          <w:p>
            <w:pPr>
              <w:pStyle w:val="TableParagraph"/>
              <w:ind w:left="99" w:right="89"/>
              <w:rPr>
                <w:rFonts w:ascii="Times New Roman"/>
                <w:sz w:val="18"/>
              </w:rPr>
            </w:pPr>
            <w:r>
              <w:rPr>
                <w:rFonts w:ascii="Times New Roman"/>
                <w:sz w:val="18"/>
              </w:rPr>
              <w:t>72</w:t>
            </w:r>
          </w:p>
        </w:tc>
        <w:tc>
          <w:tcPr>
            <w:tcW w:w="1230" w:type="dxa"/>
            <w:vMerge w:val="restart"/>
          </w:tcPr>
          <w:p>
            <w:pPr>
              <w:pStyle w:val="TableParagraph"/>
              <w:spacing w:line="242" w:lineRule="auto" w:before="2"/>
              <w:ind w:left="108" w:right="94"/>
              <w:jc w:val="both"/>
              <w:rPr>
                <w:sz w:val="18"/>
              </w:rPr>
            </w:pPr>
            <w:r>
              <w:rPr>
                <w:sz w:val="18"/>
              </w:rPr>
              <w:t>处 理 规 模</w:t>
            </w:r>
            <w:r>
              <w:rPr>
                <w:rFonts w:ascii="Times New Roman" w:eastAsia="Times New Roman"/>
                <w:sz w:val="18"/>
              </w:rPr>
              <w:t>720m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w:t>
            </w:r>
            <w:r>
              <w:rPr>
                <w:spacing w:val="-27"/>
                <w:sz w:val="18"/>
              </w:rPr>
              <w:t>， 主</w:t>
            </w:r>
            <w:r>
              <w:rPr>
                <w:spacing w:val="-14"/>
                <w:sz w:val="18"/>
              </w:rPr>
              <w:t>体工艺：调节</w:t>
            </w:r>
          </w:p>
          <w:p>
            <w:pPr>
              <w:pStyle w:val="TableParagraph"/>
              <w:spacing w:line="230" w:lineRule="exact"/>
              <w:ind w:left="108"/>
              <w:jc w:val="left"/>
              <w:rPr>
                <w:sz w:val="18"/>
              </w:rPr>
            </w:pPr>
            <w:r>
              <w:rPr>
                <w:rFonts w:ascii="Times New Roman" w:eastAsia="Times New Roman"/>
                <w:spacing w:val="-15"/>
                <w:sz w:val="18"/>
              </w:rPr>
              <w:t>+ </w:t>
            </w:r>
            <w:r>
              <w:rPr>
                <w:spacing w:val="19"/>
                <w:sz w:val="18"/>
              </w:rPr>
              <w:t>混凝</w:t>
            </w:r>
            <w:r>
              <w:rPr>
                <w:rFonts w:ascii="Times New Roman" w:eastAsia="Times New Roman"/>
                <w:spacing w:val="-14"/>
                <w:sz w:val="18"/>
              </w:rPr>
              <w:t>+ </w:t>
            </w:r>
            <w:r>
              <w:rPr>
                <w:spacing w:val="9"/>
                <w:sz w:val="18"/>
              </w:rPr>
              <w:t>沉淀</w:t>
            </w:r>
          </w:p>
          <w:p>
            <w:pPr>
              <w:pStyle w:val="TableParagraph"/>
              <w:spacing w:line="242" w:lineRule="auto" w:before="5"/>
              <w:ind w:left="108" w:right="5"/>
              <w:jc w:val="left"/>
              <w:rPr>
                <w:sz w:val="18"/>
              </w:rPr>
            </w:pPr>
            <w:r>
              <w:rPr>
                <w:rFonts w:ascii="Times New Roman" w:eastAsia="Times New Roman"/>
                <w:sz w:val="18"/>
              </w:rPr>
              <w:t>+</w:t>
            </w:r>
            <w:r>
              <w:rPr>
                <w:sz w:val="18"/>
              </w:rPr>
              <w:t>过滤</w:t>
            </w:r>
            <w:r>
              <w:rPr>
                <w:rFonts w:ascii="Times New Roman" w:eastAsia="Times New Roman"/>
                <w:sz w:val="18"/>
              </w:rPr>
              <w:t>+</w:t>
            </w:r>
            <w:r>
              <w:rPr>
                <w:spacing w:val="-6"/>
                <w:sz w:val="18"/>
              </w:rPr>
              <w:t>消毒， </w:t>
            </w:r>
            <w:r>
              <w:rPr>
                <w:spacing w:val="-12"/>
                <w:sz w:val="18"/>
              </w:rPr>
              <w:t>部分回用，部</w:t>
            </w:r>
            <w:r>
              <w:rPr>
                <w:spacing w:val="21"/>
                <w:sz w:val="18"/>
              </w:rPr>
              <w:t>分外排自建</w:t>
            </w:r>
          </w:p>
          <w:p>
            <w:pPr>
              <w:pStyle w:val="TableParagraph"/>
              <w:spacing w:line="211" w:lineRule="exact" w:before="2"/>
              <w:ind w:left="108"/>
              <w:jc w:val="left"/>
              <w:rPr>
                <w:sz w:val="18"/>
              </w:rPr>
            </w:pPr>
            <w:r>
              <w:rPr>
                <w:sz w:val="18"/>
              </w:rPr>
              <w:t>鱼塘。</w:t>
            </w:r>
          </w:p>
        </w:tc>
        <w:tc>
          <w:tcPr>
            <w:tcW w:w="577" w:type="dxa"/>
          </w:tcPr>
          <w:p>
            <w:pPr>
              <w:pStyle w:val="TableParagraph"/>
              <w:spacing w:before="3"/>
              <w:jc w:val="left"/>
              <w:rPr>
                <w:rFonts w:ascii="黑体"/>
                <w:sz w:val="14"/>
              </w:rPr>
            </w:pPr>
          </w:p>
          <w:p>
            <w:pPr>
              <w:pStyle w:val="TableParagraph"/>
              <w:ind w:left="198"/>
              <w:jc w:val="left"/>
              <w:rPr>
                <w:rFonts w:ascii="Times New Roman"/>
                <w:sz w:val="18"/>
              </w:rPr>
            </w:pPr>
            <w:r>
              <w:rPr>
                <w:rFonts w:ascii="Times New Roman"/>
                <w:sz w:val="18"/>
              </w:rPr>
              <w:t>90</w:t>
            </w:r>
          </w:p>
        </w:tc>
        <w:tc>
          <w:tcPr>
            <w:tcW w:w="353" w:type="dxa"/>
            <w:vMerge w:val="restart"/>
          </w:tcPr>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jc w:val="left"/>
              <w:rPr>
                <w:rFonts w:ascii="黑体"/>
                <w:sz w:val="18"/>
              </w:rPr>
            </w:pPr>
          </w:p>
          <w:p>
            <w:pPr>
              <w:pStyle w:val="TableParagraph"/>
              <w:spacing w:before="3"/>
              <w:jc w:val="left"/>
              <w:rPr>
                <w:rFonts w:ascii="黑体"/>
                <w:sz w:val="24"/>
              </w:rPr>
            </w:pPr>
          </w:p>
          <w:p>
            <w:pPr>
              <w:pStyle w:val="TableParagraph"/>
              <w:spacing w:line="242" w:lineRule="auto"/>
              <w:ind w:left="108" w:right="52"/>
              <w:jc w:val="both"/>
              <w:rPr>
                <w:sz w:val="18"/>
              </w:rPr>
            </w:pPr>
            <w:r>
              <w:rPr>
                <w:sz w:val="18"/>
              </w:rPr>
              <w:t>类比法</w:t>
            </w: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10"/>
              <w:jc w:val="left"/>
              <w:rPr>
                <w:rFonts w:ascii="黑体"/>
                <w:sz w:val="24"/>
              </w:rPr>
            </w:pPr>
          </w:p>
          <w:p>
            <w:pPr>
              <w:pStyle w:val="TableParagraph"/>
              <w:ind w:left="6"/>
              <w:rPr>
                <w:rFonts w:ascii="Times New Roman"/>
                <w:sz w:val="18"/>
              </w:rPr>
            </w:pPr>
            <w:r>
              <w:rPr>
                <w:rFonts w:ascii="Times New Roman"/>
                <w:sz w:val="18"/>
              </w:rPr>
              <w:t>/</w:t>
            </w:r>
          </w:p>
        </w:tc>
        <w:tc>
          <w:tcPr>
            <w:tcW w:w="837" w:type="dxa"/>
          </w:tcPr>
          <w:p>
            <w:pPr>
              <w:pStyle w:val="TableParagraph"/>
              <w:spacing w:before="3"/>
              <w:jc w:val="left"/>
              <w:rPr>
                <w:rFonts w:ascii="黑体"/>
                <w:sz w:val="14"/>
              </w:rPr>
            </w:pPr>
          </w:p>
          <w:p>
            <w:pPr>
              <w:pStyle w:val="TableParagraph"/>
              <w:ind w:left="236" w:right="226"/>
              <w:rPr>
                <w:rFonts w:ascii="Times New Roman"/>
                <w:sz w:val="18"/>
              </w:rPr>
            </w:pPr>
            <w:r>
              <w:rPr>
                <w:rFonts w:ascii="Times New Roman"/>
                <w:sz w:val="18"/>
              </w:rPr>
              <w:t>15</w:t>
            </w:r>
          </w:p>
        </w:tc>
        <w:tc>
          <w:tcPr>
            <w:tcW w:w="779" w:type="dxa"/>
          </w:tcPr>
          <w:p>
            <w:pPr>
              <w:pStyle w:val="TableParagraph"/>
              <w:spacing w:before="3"/>
              <w:jc w:val="left"/>
              <w:rPr>
                <w:rFonts w:ascii="黑体"/>
                <w:sz w:val="14"/>
              </w:rPr>
            </w:pPr>
          </w:p>
          <w:p>
            <w:pPr>
              <w:pStyle w:val="TableParagraph"/>
              <w:ind w:left="6"/>
              <w:rPr>
                <w:rFonts w:ascii="Times New Roman"/>
                <w:sz w:val="18"/>
              </w:rPr>
            </w:pPr>
            <w:r>
              <w:rPr>
                <w:rFonts w:ascii="Times New Roman"/>
                <w:sz w:val="18"/>
              </w:rPr>
              <w:t>0</w:t>
            </w:r>
          </w:p>
        </w:tc>
        <w:tc>
          <w:tcPr>
            <w:tcW w:w="618" w:type="dxa"/>
            <w:vMerge w:val="restart"/>
          </w:tcPr>
          <w:p>
            <w:pPr>
              <w:pStyle w:val="TableParagraph"/>
              <w:jc w:val="left"/>
              <w:rPr>
                <w:rFonts w:ascii="黑体"/>
                <w:sz w:val="20"/>
              </w:rPr>
            </w:pPr>
          </w:p>
          <w:p>
            <w:pPr>
              <w:pStyle w:val="TableParagraph"/>
              <w:jc w:val="left"/>
              <w:rPr>
                <w:rFonts w:ascii="黑体"/>
                <w:sz w:val="20"/>
              </w:rPr>
            </w:pPr>
          </w:p>
          <w:p>
            <w:pPr>
              <w:pStyle w:val="TableParagraph"/>
              <w:jc w:val="left"/>
              <w:rPr>
                <w:rFonts w:ascii="黑体"/>
                <w:sz w:val="20"/>
              </w:rPr>
            </w:pPr>
          </w:p>
          <w:p>
            <w:pPr>
              <w:pStyle w:val="TableParagraph"/>
              <w:jc w:val="left"/>
              <w:rPr>
                <w:rFonts w:ascii="黑体"/>
                <w:sz w:val="20"/>
              </w:rPr>
            </w:pPr>
          </w:p>
          <w:p>
            <w:pPr>
              <w:pStyle w:val="TableParagraph"/>
              <w:jc w:val="left"/>
              <w:rPr>
                <w:rFonts w:ascii="黑体"/>
                <w:sz w:val="20"/>
              </w:rPr>
            </w:pPr>
          </w:p>
          <w:p>
            <w:pPr>
              <w:pStyle w:val="TableParagraph"/>
              <w:jc w:val="left"/>
              <w:rPr>
                <w:rFonts w:ascii="黑体"/>
                <w:sz w:val="20"/>
              </w:rPr>
            </w:pPr>
          </w:p>
          <w:p>
            <w:pPr>
              <w:pStyle w:val="TableParagraph"/>
              <w:spacing w:before="171"/>
              <w:ind w:left="173"/>
              <w:jc w:val="left"/>
              <w:rPr>
                <w:rFonts w:ascii="Times New Roman"/>
                <w:sz w:val="18"/>
              </w:rPr>
            </w:pPr>
            <w:r>
              <w:rPr>
                <w:rFonts w:ascii="Times New Roman"/>
                <w:sz w:val="18"/>
              </w:rPr>
              <w:t>180</w:t>
            </w:r>
          </w:p>
        </w:tc>
      </w:tr>
      <w:tr>
        <w:trPr>
          <w:trHeight w:val="485" w:hRule="atLeast"/>
        </w:trPr>
        <w:tc>
          <w:tcPr>
            <w:tcW w:w="390" w:type="dxa"/>
            <w:vMerge/>
            <w:tcBorders>
              <w:top w:val="nil"/>
            </w:tcBorders>
          </w:tcPr>
          <w:p>
            <w:pPr>
              <w:rPr>
                <w:sz w:val="2"/>
                <w:szCs w:val="2"/>
              </w:rPr>
            </w:pPr>
          </w:p>
        </w:tc>
        <w:tc>
          <w:tcPr>
            <w:tcW w:w="717" w:type="dxa"/>
          </w:tcPr>
          <w:p>
            <w:pPr>
              <w:pStyle w:val="TableParagraph"/>
              <w:spacing w:before="138"/>
              <w:ind w:left="118" w:right="108"/>
              <w:rPr>
                <w:rFonts w:ascii="Times New Roman"/>
                <w:sz w:val="18"/>
              </w:rPr>
            </w:pPr>
            <w:r>
              <w:rPr>
                <w:rFonts w:ascii="Times New Roman"/>
                <w:sz w:val="18"/>
              </w:rPr>
              <w:t>SS</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38"/>
              <w:ind w:left="232" w:right="226"/>
              <w:rPr>
                <w:rFonts w:ascii="Times New Roman"/>
                <w:sz w:val="18"/>
              </w:rPr>
            </w:pPr>
            <w:r>
              <w:rPr>
                <w:rFonts w:ascii="Times New Roman"/>
                <w:sz w:val="18"/>
              </w:rPr>
              <w:t>300</w:t>
            </w:r>
          </w:p>
        </w:tc>
        <w:tc>
          <w:tcPr>
            <w:tcW w:w="779" w:type="dxa"/>
          </w:tcPr>
          <w:p>
            <w:pPr>
              <w:pStyle w:val="TableParagraph"/>
              <w:spacing w:before="138"/>
              <w:ind w:left="97" w:right="89"/>
              <w:rPr>
                <w:rFonts w:ascii="Times New Roman"/>
                <w:sz w:val="18"/>
              </w:rPr>
            </w:pPr>
            <w:r>
              <w:rPr>
                <w:rFonts w:ascii="Times New Roman"/>
                <w:sz w:val="18"/>
              </w:rPr>
              <w:t>144</w:t>
            </w:r>
          </w:p>
        </w:tc>
        <w:tc>
          <w:tcPr>
            <w:tcW w:w="1230" w:type="dxa"/>
            <w:vMerge/>
            <w:tcBorders>
              <w:top w:val="nil"/>
            </w:tcBorders>
          </w:tcPr>
          <w:p>
            <w:pPr>
              <w:rPr>
                <w:sz w:val="2"/>
                <w:szCs w:val="2"/>
              </w:rPr>
            </w:pPr>
          </w:p>
        </w:tc>
        <w:tc>
          <w:tcPr>
            <w:tcW w:w="577" w:type="dxa"/>
          </w:tcPr>
          <w:p>
            <w:pPr>
              <w:pStyle w:val="TableParagraph"/>
              <w:spacing w:before="138"/>
              <w:ind w:left="198"/>
              <w:jc w:val="left"/>
              <w:rPr>
                <w:rFonts w:ascii="Times New Roman"/>
                <w:sz w:val="18"/>
              </w:rPr>
            </w:pPr>
            <w:r>
              <w:rPr>
                <w:rFonts w:ascii="Times New Roman"/>
                <w:sz w:val="18"/>
              </w:rPr>
              <w:t>90</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38"/>
              <w:ind w:left="233" w:right="226"/>
              <w:rPr>
                <w:rFonts w:ascii="Times New Roman"/>
                <w:sz w:val="18"/>
              </w:rPr>
            </w:pPr>
            <w:r>
              <w:rPr>
                <w:rFonts w:ascii="Times New Roman"/>
                <w:sz w:val="18"/>
              </w:rPr>
              <w:t>30</w:t>
            </w:r>
          </w:p>
        </w:tc>
        <w:tc>
          <w:tcPr>
            <w:tcW w:w="779" w:type="dxa"/>
          </w:tcPr>
          <w:p>
            <w:pPr>
              <w:pStyle w:val="TableParagraph"/>
              <w:spacing w:before="138"/>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788" w:hRule="atLeast"/>
        </w:trPr>
        <w:tc>
          <w:tcPr>
            <w:tcW w:w="390" w:type="dxa"/>
            <w:vMerge/>
            <w:tcBorders>
              <w:top w:val="nil"/>
            </w:tcBorders>
          </w:tcPr>
          <w:p>
            <w:pPr>
              <w:rPr>
                <w:sz w:val="2"/>
                <w:szCs w:val="2"/>
              </w:rPr>
            </w:pPr>
          </w:p>
        </w:tc>
        <w:tc>
          <w:tcPr>
            <w:tcW w:w="717" w:type="dxa"/>
          </w:tcPr>
          <w:p>
            <w:pPr>
              <w:pStyle w:val="TableParagraph"/>
              <w:spacing w:line="244" w:lineRule="auto" w:before="161"/>
              <w:ind w:left="267" w:right="168" w:hanging="92"/>
              <w:jc w:val="left"/>
              <w:rPr>
                <w:sz w:val="18"/>
              </w:rPr>
            </w:pPr>
            <w:r>
              <w:rPr>
                <w:sz w:val="18"/>
              </w:rPr>
              <w:t>石油类</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8"/>
              <w:jc w:val="left"/>
              <w:rPr>
                <w:rFonts w:ascii="黑体"/>
                <w:sz w:val="22"/>
              </w:rPr>
            </w:pPr>
          </w:p>
          <w:p>
            <w:pPr>
              <w:pStyle w:val="TableParagraph"/>
              <w:ind w:left="8"/>
              <w:rPr>
                <w:rFonts w:ascii="Times New Roman"/>
                <w:sz w:val="18"/>
              </w:rPr>
            </w:pPr>
            <w:r>
              <w:rPr>
                <w:rFonts w:ascii="Times New Roman"/>
                <w:sz w:val="18"/>
              </w:rPr>
              <w:t>2</w:t>
            </w:r>
          </w:p>
        </w:tc>
        <w:tc>
          <w:tcPr>
            <w:tcW w:w="779" w:type="dxa"/>
          </w:tcPr>
          <w:p>
            <w:pPr>
              <w:pStyle w:val="TableParagraph"/>
              <w:spacing w:before="8"/>
              <w:jc w:val="left"/>
              <w:rPr>
                <w:rFonts w:ascii="黑体"/>
                <w:sz w:val="22"/>
              </w:rPr>
            </w:pPr>
          </w:p>
          <w:p>
            <w:pPr>
              <w:pStyle w:val="TableParagraph"/>
              <w:ind w:left="99" w:right="89"/>
              <w:rPr>
                <w:rFonts w:ascii="Times New Roman"/>
                <w:sz w:val="18"/>
              </w:rPr>
            </w:pPr>
            <w:r>
              <w:rPr>
                <w:rFonts w:ascii="Times New Roman"/>
                <w:sz w:val="18"/>
              </w:rPr>
              <w:t>0.96</w:t>
            </w:r>
          </w:p>
        </w:tc>
        <w:tc>
          <w:tcPr>
            <w:tcW w:w="1230" w:type="dxa"/>
            <w:vMerge/>
            <w:tcBorders>
              <w:top w:val="nil"/>
            </w:tcBorders>
          </w:tcPr>
          <w:p>
            <w:pPr>
              <w:rPr>
                <w:sz w:val="2"/>
                <w:szCs w:val="2"/>
              </w:rPr>
            </w:pPr>
          </w:p>
        </w:tc>
        <w:tc>
          <w:tcPr>
            <w:tcW w:w="577" w:type="dxa"/>
          </w:tcPr>
          <w:p>
            <w:pPr>
              <w:pStyle w:val="TableParagraph"/>
              <w:spacing w:before="8"/>
              <w:jc w:val="left"/>
              <w:rPr>
                <w:rFonts w:ascii="黑体"/>
                <w:sz w:val="22"/>
              </w:rPr>
            </w:pPr>
          </w:p>
          <w:p>
            <w:pPr>
              <w:pStyle w:val="TableParagraph"/>
              <w:ind w:left="198"/>
              <w:jc w:val="left"/>
              <w:rPr>
                <w:rFonts w:ascii="Times New Roman"/>
                <w:sz w:val="18"/>
              </w:rPr>
            </w:pPr>
            <w:r>
              <w:rPr>
                <w:rFonts w:ascii="Times New Roman"/>
                <w:sz w:val="18"/>
              </w:rPr>
              <w:t>99</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8"/>
              <w:jc w:val="left"/>
              <w:rPr>
                <w:rFonts w:ascii="黑体"/>
                <w:sz w:val="22"/>
              </w:rPr>
            </w:pPr>
          </w:p>
          <w:p>
            <w:pPr>
              <w:pStyle w:val="TableParagraph"/>
              <w:ind w:left="236" w:right="226"/>
              <w:rPr>
                <w:rFonts w:ascii="Times New Roman"/>
                <w:sz w:val="18"/>
              </w:rPr>
            </w:pPr>
            <w:r>
              <w:rPr>
                <w:rFonts w:ascii="Times New Roman"/>
                <w:sz w:val="18"/>
              </w:rPr>
              <w:t>0.02</w:t>
            </w:r>
          </w:p>
        </w:tc>
        <w:tc>
          <w:tcPr>
            <w:tcW w:w="779" w:type="dxa"/>
          </w:tcPr>
          <w:p>
            <w:pPr>
              <w:pStyle w:val="TableParagraph"/>
              <w:spacing w:before="8"/>
              <w:jc w:val="left"/>
              <w:rPr>
                <w:rFonts w:ascii="黑体"/>
                <w:sz w:val="22"/>
              </w:rPr>
            </w:pPr>
          </w:p>
          <w:p>
            <w:pPr>
              <w:pStyle w:val="TableParagraph"/>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65" w:hRule="atLeast"/>
        </w:trPr>
        <w:tc>
          <w:tcPr>
            <w:tcW w:w="390" w:type="dxa"/>
            <w:vMerge w:val="restart"/>
          </w:tcPr>
          <w:p>
            <w:pPr>
              <w:pStyle w:val="TableParagraph"/>
              <w:jc w:val="left"/>
              <w:rPr>
                <w:rFonts w:ascii="黑体"/>
                <w:sz w:val="18"/>
              </w:rPr>
            </w:pPr>
          </w:p>
          <w:p>
            <w:pPr>
              <w:pStyle w:val="TableParagraph"/>
              <w:spacing w:before="12"/>
              <w:jc w:val="left"/>
              <w:rPr>
                <w:rFonts w:ascii="黑体"/>
                <w:sz w:val="13"/>
              </w:rPr>
            </w:pPr>
          </w:p>
          <w:p>
            <w:pPr>
              <w:pStyle w:val="TableParagraph"/>
              <w:spacing w:line="242" w:lineRule="auto"/>
              <w:ind w:left="108" w:right="89"/>
              <w:jc w:val="both"/>
              <w:rPr>
                <w:sz w:val="18"/>
              </w:rPr>
            </w:pPr>
            <w:r>
              <w:rPr>
                <w:sz w:val="18"/>
              </w:rPr>
              <w:t>生活污水</w:t>
            </w:r>
          </w:p>
        </w:tc>
        <w:tc>
          <w:tcPr>
            <w:tcW w:w="717" w:type="dxa"/>
          </w:tcPr>
          <w:p>
            <w:pPr>
              <w:pStyle w:val="TableParagraph"/>
              <w:spacing w:before="128"/>
              <w:ind w:left="119" w:right="108"/>
              <w:rPr>
                <w:rFonts w:ascii="Times New Roman"/>
                <w:sz w:val="18"/>
              </w:rPr>
            </w:pPr>
            <w:r>
              <w:rPr>
                <w:rFonts w:ascii="Times New Roman"/>
                <w:sz w:val="18"/>
              </w:rPr>
              <w:t>COD</w:t>
            </w:r>
          </w:p>
        </w:tc>
        <w:tc>
          <w:tcPr>
            <w:tcW w:w="353" w:type="dxa"/>
            <w:vMerge/>
            <w:tcBorders>
              <w:top w:val="nil"/>
            </w:tcBorders>
          </w:tcPr>
          <w:p>
            <w:pPr>
              <w:rPr>
                <w:sz w:val="2"/>
                <w:szCs w:val="2"/>
              </w:rPr>
            </w:pP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3"/>
              <w:jc w:val="left"/>
              <w:rPr>
                <w:rFonts w:ascii="黑体"/>
                <w:sz w:val="20"/>
              </w:rPr>
            </w:pPr>
          </w:p>
          <w:p>
            <w:pPr>
              <w:pStyle w:val="TableParagraph"/>
              <w:ind w:left="193"/>
              <w:jc w:val="left"/>
              <w:rPr>
                <w:rFonts w:ascii="Times New Roman"/>
                <w:sz w:val="18"/>
              </w:rPr>
            </w:pPr>
            <w:r>
              <w:rPr>
                <w:rFonts w:ascii="Times New Roman"/>
                <w:sz w:val="18"/>
              </w:rPr>
              <w:t>92.70</w:t>
            </w:r>
          </w:p>
        </w:tc>
        <w:tc>
          <w:tcPr>
            <w:tcW w:w="837" w:type="dxa"/>
          </w:tcPr>
          <w:p>
            <w:pPr>
              <w:pStyle w:val="TableParagraph"/>
              <w:spacing w:before="128"/>
              <w:ind w:left="232" w:right="226"/>
              <w:rPr>
                <w:rFonts w:ascii="Times New Roman"/>
                <w:sz w:val="18"/>
              </w:rPr>
            </w:pPr>
            <w:r>
              <w:rPr>
                <w:rFonts w:ascii="Times New Roman"/>
                <w:sz w:val="18"/>
              </w:rPr>
              <w:t>300</w:t>
            </w:r>
          </w:p>
        </w:tc>
        <w:tc>
          <w:tcPr>
            <w:tcW w:w="779" w:type="dxa"/>
          </w:tcPr>
          <w:p>
            <w:pPr>
              <w:pStyle w:val="TableParagraph"/>
              <w:spacing w:before="128"/>
              <w:ind w:left="99" w:right="89"/>
              <w:rPr>
                <w:rFonts w:ascii="Times New Roman"/>
                <w:sz w:val="18"/>
              </w:rPr>
            </w:pPr>
            <w:r>
              <w:rPr>
                <w:rFonts w:ascii="Times New Roman"/>
                <w:sz w:val="18"/>
              </w:rPr>
              <w:t>27.81</w:t>
            </w:r>
          </w:p>
        </w:tc>
        <w:tc>
          <w:tcPr>
            <w:tcW w:w="1230" w:type="dxa"/>
            <w:vMerge w:val="restart"/>
          </w:tcPr>
          <w:p>
            <w:pPr>
              <w:pStyle w:val="TableParagraph"/>
              <w:spacing w:line="242" w:lineRule="auto" w:before="59"/>
              <w:ind w:left="108" w:right="94"/>
              <w:jc w:val="both"/>
              <w:rPr>
                <w:sz w:val="18"/>
              </w:rPr>
            </w:pPr>
            <w:r>
              <w:rPr>
                <w:sz w:val="18"/>
              </w:rPr>
              <w:t>处 理 规 模</w:t>
            </w:r>
            <w:r>
              <w:rPr>
                <w:rFonts w:ascii="Times New Roman" w:eastAsia="Times New Roman"/>
                <w:sz w:val="18"/>
              </w:rPr>
              <w:t>120m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w:t>
            </w:r>
            <w:r>
              <w:rPr>
                <w:spacing w:val="-27"/>
                <w:sz w:val="18"/>
              </w:rPr>
              <w:t>， 经</w:t>
            </w:r>
            <w:r>
              <w:rPr>
                <w:sz w:val="18"/>
              </w:rPr>
              <w:t>二级生物</w:t>
            </w:r>
            <w:r>
              <w:rPr>
                <w:rFonts w:ascii="Times New Roman" w:eastAsia="Times New Roman"/>
                <w:sz w:val="18"/>
              </w:rPr>
              <w:t>+</w:t>
            </w:r>
            <w:r>
              <w:rPr>
                <w:spacing w:val="-13"/>
                <w:sz w:val="18"/>
              </w:rPr>
              <w:t>超</w:t>
            </w:r>
            <w:r>
              <w:rPr>
                <w:spacing w:val="-14"/>
                <w:sz w:val="18"/>
              </w:rPr>
              <w:t>滤处理后，回用于生产、工</w:t>
            </w:r>
            <w:r>
              <w:rPr>
                <w:spacing w:val="19"/>
                <w:sz w:val="18"/>
              </w:rPr>
              <w:t>业场地绿化</w:t>
            </w:r>
            <w:r>
              <w:rPr>
                <w:sz w:val="18"/>
              </w:rPr>
              <w:t>洒水用水</w:t>
            </w:r>
          </w:p>
        </w:tc>
        <w:tc>
          <w:tcPr>
            <w:tcW w:w="577" w:type="dxa"/>
          </w:tcPr>
          <w:p>
            <w:pPr>
              <w:pStyle w:val="TableParagraph"/>
              <w:spacing w:before="128"/>
              <w:ind w:left="198"/>
              <w:jc w:val="left"/>
              <w:rPr>
                <w:rFonts w:ascii="Times New Roman"/>
                <w:sz w:val="18"/>
              </w:rPr>
            </w:pPr>
            <w:r>
              <w:rPr>
                <w:rFonts w:ascii="Times New Roman"/>
                <w:sz w:val="18"/>
              </w:rPr>
              <w:t>90</w:t>
            </w:r>
          </w:p>
        </w:tc>
        <w:tc>
          <w:tcPr>
            <w:tcW w:w="353" w:type="dxa"/>
            <w:vMerge/>
            <w:tcBorders>
              <w:top w:val="nil"/>
            </w:tcBorders>
          </w:tcPr>
          <w:p>
            <w:pPr>
              <w:rPr>
                <w:sz w:val="2"/>
                <w:szCs w:val="2"/>
              </w:rPr>
            </w:pP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3"/>
              <w:jc w:val="left"/>
              <w:rPr>
                <w:rFonts w:ascii="黑体"/>
                <w:sz w:val="20"/>
              </w:rPr>
            </w:pPr>
          </w:p>
          <w:p>
            <w:pPr>
              <w:pStyle w:val="TableParagraph"/>
              <w:ind w:left="6"/>
              <w:rPr>
                <w:rFonts w:ascii="Times New Roman"/>
                <w:sz w:val="18"/>
              </w:rPr>
            </w:pPr>
            <w:r>
              <w:rPr>
                <w:rFonts w:ascii="Times New Roman"/>
                <w:sz w:val="18"/>
              </w:rPr>
              <w:t>/</w:t>
            </w:r>
          </w:p>
        </w:tc>
        <w:tc>
          <w:tcPr>
            <w:tcW w:w="837" w:type="dxa"/>
          </w:tcPr>
          <w:p>
            <w:pPr>
              <w:pStyle w:val="TableParagraph"/>
              <w:spacing w:before="128"/>
              <w:ind w:left="236" w:right="226"/>
              <w:rPr>
                <w:rFonts w:ascii="Times New Roman"/>
                <w:sz w:val="18"/>
              </w:rPr>
            </w:pPr>
            <w:r>
              <w:rPr>
                <w:rFonts w:ascii="Times New Roman"/>
                <w:sz w:val="18"/>
              </w:rPr>
              <w:t>30</w:t>
            </w:r>
          </w:p>
        </w:tc>
        <w:tc>
          <w:tcPr>
            <w:tcW w:w="779" w:type="dxa"/>
          </w:tcPr>
          <w:p>
            <w:pPr>
              <w:pStyle w:val="TableParagraph"/>
              <w:spacing w:before="128"/>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35" w:hRule="atLeast"/>
        </w:trPr>
        <w:tc>
          <w:tcPr>
            <w:tcW w:w="390" w:type="dxa"/>
            <w:vMerge/>
            <w:tcBorders>
              <w:top w:val="nil"/>
            </w:tcBorders>
          </w:tcPr>
          <w:p>
            <w:pPr>
              <w:rPr>
                <w:sz w:val="2"/>
                <w:szCs w:val="2"/>
              </w:rPr>
            </w:pPr>
          </w:p>
        </w:tc>
        <w:tc>
          <w:tcPr>
            <w:tcW w:w="717" w:type="dxa"/>
          </w:tcPr>
          <w:p>
            <w:pPr>
              <w:pStyle w:val="TableParagraph"/>
              <w:spacing w:before="117"/>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13"/>
              <w:ind w:left="232" w:right="226"/>
              <w:rPr>
                <w:rFonts w:ascii="Times New Roman"/>
                <w:sz w:val="18"/>
              </w:rPr>
            </w:pPr>
            <w:r>
              <w:rPr>
                <w:rFonts w:ascii="Times New Roman"/>
                <w:sz w:val="18"/>
              </w:rPr>
              <w:t>200</w:t>
            </w:r>
          </w:p>
        </w:tc>
        <w:tc>
          <w:tcPr>
            <w:tcW w:w="779" w:type="dxa"/>
          </w:tcPr>
          <w:p>
            <w:pPr>
              <w:pStyle w:val="TableParagraph"/>
              <w:spacing w:before="113"/>
              <w:ind w:left="99" w:right="89"/>
              <w:rPr>
                <w:rFonts w:ascii="Times New Roman"/>
                <w:sz w:val="18"/>
              </w:rPr>
            </w:pPr>
            <w:r>
              <w:rPr>
                <w:rFonts w:ascii="Times New Roman"/>
                <w:sz w:val="18"/>
              </w:rPr>
              <w:t>18.54</w:t>
            </w:r>
          </w:p>
        </w:tc>
        <w:tc>
          <w:tcPr>
            <w:tcW w:w="1230" w:type="dxa"/>
            <w:vMerge/>
            <w:tcBorders>
              <w:top w:val="nil"/>
            </w:tcBorders>
          </w:tcPr>
          <w:p>
            <w:pPr>
              <w:rPr>
                <w:sz w:val="2"/>
                <w:szCs w:val="2"/>
              </w:rPr>
            </w:pPr>
          </w:p>
        </w:tc>
        <w:tc>
          <w:tcPr>
            <w:tcW w:w="577" w:type="dxa"/>
          </w:tcPr>
          <w:p>
            <w:pPr>
              <w:pStyle w:val="TableParagraph"/>
              <w:spacing w:before="113"/>
              <w:ind w:left="198"/>
              <w:jc w:val="left"/>
              <w:rPr>
                <w:rFonts w:ascii="Times New Roman"/>
                <w:sz w:val="18"/>
              </w:rPr>
            </w:pPr>
            <w:r>
              <w:rPr>
                <w:rFonts w:ascii="Times New Roman"/>
                <w:sz w:val="18"/>
              </w:rPr>
              <w:t>95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13"/>
              <w:ind w:left="236" w:right="226"/>
              <w:rPr>
                <w:rFonts w:ascii="Times New Roman"/>
                <w:sz w:val="18"/>
              </w:rPr>
            </w:pPr>
            <w:r>
              <w:rPr>
                <w:rFonts w:ascii="Times New Roman"/>
                <w:sz w:val="18"/>
              </w:rPr>
              <w:t>10</w:t>
            </w:r>
          </w:p>
        </w:tc>
        <w:tc>
          <w:tcPr>
            <w:tcW w:w="779" w:type="dxa"/>
          </w:tcPr>
          <w:p>
            <w:pPr>
              <w:pStyle w:val="TableParagraph"/>
              <w:spacing w:before="113"/>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26" w:hRule="atLeast"/>
        </w:trPr>
        <w:tc>
          <w:tcPr>
            <w:tcW w:w="390" w:type="dxa"/>
            <w:vMerge/>
            <w:tcBorders>
              <w:top w:val="nil"/>
            </w:tcBorders>
          </w:tcPr>
          <w:p>
            <w:pPr>
              <w:rPr>
                <w:sz w:val="2"/>
                <w:szCs w:val="2"/>
              </w:rPr>
            </w:pPr>
          </w:p>
        </w:tc>
        <w:tc>
          <w:tcPr>
            <w:tcW w:w="717" w:type="dxa"/>
          </w:tcPr>
          <w:p>
            <w:pPr>
              <w:pStyle w:val="TableParagraph"/>
              <w:spacing w:before="109"/>
              <w:ind w:left="118" w:right="108"/>
              <w:rPr>
                <w:rFonts w:ascii="Times New Roman"/>
                <w:sz w:val="18"/>
              </w:rPr>
            </w:pPr>
            <w:r>
              <w:rPr>
                <w:rFonts w:ascii="Times New Roman"/>
                <w:sz w:val="18"/>
              </w:rPr>
              <w:t>SS</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09"/>
              <w:ind w:left="232" w:right="226"/>
              <w:rPr>
                <w:rFonts w:ascii="Times New Roman"/>
                <w:sz w:val="18"/>
              </w:rPr>
            </w:pPr>
            <w:r>
              <w:rPr>
                <w:rFonts w:ascii="Times New Roman"/>
                <w:sz w:val="18"/>
              </w:rPr>
              <w:t>200</w:t>
            </w:r>
          </w:p>
        </w:tc>
        <w:tc>
          <w:tcPr>
            <w:tcW w:w="779" w:type="dxa"/>
          </w:tcPr>
          <w:p>
            <w:pPr>
              <w:pStyle w:val="TableParagraph"/>
              <w:spacing w:before="109"/>
              <w:ind w:left="99" w:right="89"/>
              <w:rPr>
                <w:rFonts w:ascii="Times New Roman"/>
                <w:sz w:val="18"/>
              </w:rPr>
            </w:pPr>
            <w:r>
              <w:rPr>
                <w:rFonts w:ascii="Times New Roman"/>
                <w:sz w:val="18"/>
              </w:rPr>
              <w:t>18.54</w:t>
            </w:r>
          </w:p>
        </w:tc>
        <w:tc>
          <w:tcPr>
            <w:tcW w:w="1230" w:type="dxa"/>
            <w:vMerge/>
            <w:tcBorders>
              <w:top w:val="nil"/>
            </w:tcBorders>
          </w:tcPr>
          <w:p>
            <w:pPr>
              <w:rPr>
                <w:sz w:val="2"/>
                <w:szCs w:val="2"/>
              </w:rPr>
            </w:pPr>
          </w:p>
        </w:tc>
        <w:tc>
          <w:tcPr>
            <w:tcW w:w="577" w:type="dxa"/>
          </w:tcPr>
          <w:p>
            <w:pPr>
              <w:pStyle w:val="TableParagraph"/>
              <w:spacing w:before="109"/>
              <w:ind w:left="198"/>
              <w:jc w:val="left"/>
              <w:rPr>
                <w:rFonts w:ascii="Times New Roman"/>
                <w:sz w:val="18"/>
              </w:rPr>
            </w:pPr>
            <w:r>
              <w:rPr>
                <w:rFonts w:ascii="Times New Roman"/>
                <w:sz w:val="18"/>
              </w:rPr>
              <w:t>95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09"/>
              <w:ind w:left="236" w:right="226"/>
              <w:rPr>
                <w:rFonts w:ascii="Times New Roman"/>
                <w:sz w:val="18"/>
              </w:rPr>
            </w:pPr>
            <w:r>
              <w:rPr>
                <w:rFonts w:ascii="Times New Roman"/>
                <w:sz w:val="18"/>
              </w:rPr>
              <w:t>10</w:t>
            </w:r>
          </w:p>
        </w:tc>
        <w:tc>
          <w:tcPr>
            <w:tcW w:w="779" w:type="dxa"/>
          </w:tcPr>
          <w:p>
            <w:pPr>
              <w:pStyle w:val="TableParagraph"/>
              <w:spacing w:before="109"/>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392" w:hRule="atLeast"/>
        </w:trPr>
        <w:tc>
          <w:tcPr>
            <w:tcW w:w="390" w:type="dxa"/>
            <w:vMerge/>
            <w:tcBorders>
              <w:top w:val="nil"/>
            </w:tcBorders>
          </w:tcPr>
          <w:p>
            <w:pPr>
              <w:rPr>
                <w:sz w:val="2"/>
                <w:szCs w:val="2"/>
              </w:rPr>
            </w:pPr>
          </w:p>
        </w:tc>
        <w:tc>
          <w:tcPr>
            <w:tcW w:w="717" w:type="dxa"/>
          </w:tcPr>
          <w:p>
            <w:pPr>
              <w:pStyle w:val="TableParagraph"/>
              <w:spacing w:before="81"/>
              <w:ind w:left="114" w:right="108"/>
              <w:rPr>
                <w:sz w:val="18"/>
              </w:rPr>
            </w:pPr>
            <w:r>
              <w:rPr>
                <w:sz w:val="18"/>
              </w:rPr>
              <w:t>氨氮</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93"/>
              <w:ind w:left="234" w:right="226"/>
              <w:rPr>
                <w:rFonts w:ascii="Times New Roman"/>
                <w:sz w:val="18"/>
              </w:rPr>
            </w:pPr>
            <w:r>
              <w:rPr>
                <w:rFonts w:ascii="Times New Roman"/>
                <w:sz w:val="18"/>
              </w:rPr>
              <w:t>25</w:t>
            </w:r>
          </w:p>
        </w:tc>
        <w:tc>
          <w:tcPr>
            <w:tcW w:w="779" w:type="dxa"/>
          </w:tcPr>
          <w:p>
            <w:pPr>
              <w:pStyle w:val="TableParagraph"/>
              <w:spacing w:before="93"/>
              <w:ind w:left="99" w:right="89"/>
              <w:rPr>
                <w:rFonts w:ascii="Times New Roman"/>
                <w:sz w:val="18"/>
              </w:rPr>
            </w:pPr>
            <w:r>
              <w:rPr>
                <w:rFonts w:ascii="Times New Roman"/>
                <w:sz w:val="18"/>
              </w:rPr>
              <w:t>2.32</w:t>
            </w:r>
          </w:p>
        </w:tc>
        <w:tc>
          <w:tcPr>
            <w:tcW w:w="1230" w:type="dxa"/>
            <w:vMerge/>
            <w:tcBorders>
              <w:top w:val="nil"/>
            </w:tcBorders>
          </w:tcPr>
          <w:p>
            <w:pPr>
              <w:rPr>
                <w:sz w:val="2"/>
                <w:szCs w:val="2"/>
              </w:rPr>
            </w:pPr>
          </w:p>
        </w:tc>
        <w:tc>
          <w:tcPr>
            <w:tcW w:w="577" w:type="dxa"/>
          </w:tcPr>
          <w:p>
            <w:pPr>
              <w:pStyle w:val="TableParagraph"/>
              <w:spacing w:before="93"/>
              <w:ind w:left="198"/>
              <w:jc w:val="left"/>
              <w:rPr>
                <w:rFonts w:ascii="Times New Roman"/>
                <w:sz w:val="18"/>
              </w:rPr>
            </w:pPr>
            <w:r>
              <w:rPr>
                <w:rFonts w:ascii="Times New Roman"/>
                <w:sz w:val="18"/>
              </w:rPr>
              <w:t>80</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93"/>
              <w:ind w:left="10"/>
              <w:rPr>
                <w:rFonts w:ascii="Times New Roman"/>
                <w:sz w:val="18"/>
              </w:rPr>
            </w:pPr>
            <w:r>
              <w:rPr>
                <w:rFonts w:ascii="Times New Roman"/>
                <w:sz w:val="18"/>
              </w:rPr>
              <w:t>5</w:t>
            </w:r>
          </w:p>
        </w:tc>
        <w:tc>
          <w:tcPr>
            <w:tcW w:w="779" w:type="dxa"/>
          </w:tcPr>
          <w:p>
            <w:pPr>
              <w:pStyle w:val="TableParagraph"/>
              <w:spacing w:before="93"/>
              <w:ind w:left="6"/>
              <w:rPr>
                <w:rFonts w:ascii="Times New Roman"/>
                <w:sz w:val="18"/>
              </w:rPr>
            </w:pPr>
            <w:r>
              <w:rPr>
                <w:rFonts w:ascii="Times New Roman"/>
                <w:sz w:val="18"/>
              </w:rPr>
              <w:t>0</w:t>
            </w:r>
          </w:p>
        </w:tc>
        <w:tc>
          <w:tcPr>
            <w:tcW w:w="618" w:type="dxa"/>
            <w:vMerge/>
            <w:tcBorders>
              <w:top w:val="nil"/>
            </w:tcBorders>
          </w:tcPr>
          <w:p>
            <w:pPr>
              <w:rPr>
                <w:sz w:val="2"/>
                <w:szCs w:val="2"/>
              </w:rPr>
            </w:pPr>
          </w:p>
        </w:tc>
      </w:tr>
    </w:tbl>
    <w:p>
      <w:pPr>
        <w:pStyle w:val="BodyText"/>
        <w:tabs>
          <w:tab w:pos="1039" w:val="left" w:leader="none"/>
        </w:tabs>
        <w:spacing w:before="177" w:after="36"/>
        <w:ind w:right="437"/>
        <w:jc w:val="center"/>
        <w:rPr>
          <w:rFonts w:ascii="黑体" w:eastAsia="黑体" w:hint="eastAsia"/>
        </w:rPr>
      </w:pPr>
      <w:r>
        <w:rPr>
          <w:rFonts w:ascii="黑体" w:eastAsia="黑体" w:hint="eastAsia"/>
        </w:rPr>
        <w:t>表</w:t>
      </w:r>
      <w:r>
        <w:rPr>
          <w:rFonts w:ascii="黑体" w:eastAsia="黑体" w:hint="eastAsia"/>
          <w:spacing w:val="-61"/>
        </w:rPr>
        <w:t> </w:t>
      </w:r>
      <w:r>
        <w:rPr>
          <w:rFonts w:ascii="Times New Roman" w:eastAsia="Times New Roman"/>
        </w:rPr>
        <w:t>3.4-6</w:t>
        <w:tab/>
      </w:r>
      <w:r>
        <w:rPr>
          <w:rFonts w:ascii="黑体" w:eastAsia="黑体" w:hint="eastAsia"/>
        </w:rPr>
        <w:t>非采暖期废水污染源源强核算结果及相关参数一览表</w:t>
      </w: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
        <w:gridCol w:w="717"/>
        <w:gridCol w:w="353"/>
        <w:gridCol w:w="793"/>
        <w:gridCol w:w="837"/>
        <w:gridCol w:w="779"/>
        <w:gridCol w:w="1230"/>
        <w:gridCol w:w="577"/>
        <w:gridCol w:w="353"/>
        <w:gridCol w:w="793"/>
        <w:gridCol w:w="837"/>
        <w:gridCol w:w="779"/>
        <w:gridCol w:w="618"/>
      </w:tblGrid>
      <w:tr>
        <w:trPr>
          <w:trHeight w:val="232" w:hRule="atLeast"/>
        </w:trPr>
        <w:tc>
          <w:tcPr>
            <w:tcW w:w="390" w:type="dxa"/>
            <w:vMerge w:val="restart"/>
          </w:tcPr>
          <w:p>
            <w:pPr>
              <w:pStyle w:val="TableParagraph"/>
              <w:spacing w:before="9"/>
              <w:jc w:val="left"/>
              <w:rPr>
                <w:rFonts w:ascii="黑体"/>
                <w:sz w:val="18"/>
              </w:rPr>
            </w:pPr>
          </w:p>
          <w:p>
            <w:pPr>
              <w:pStyle w:val="TableParagraph"/>
              <w:spacing w:line="242" w:lineRule="auto"/>
              <w:ind w:left="108" w:right="89"/>
              <w:jc w:val="both"/>
              <w:rPr>
                <w:sz w:val="18"/>
              </w:rPr>
            </w:pPr>
            <w:r>
              <w:rPr>
                <w:sz w:val="18"/>
              </w:rPr>
              <w:t>污染源</w:t>
            </w:r>
          </w:p>
        </w:tc>
        <w:tc>
          <w:tcPr>
            <w:tcW w:w="717" w:type="dxa"/>
            <w:vMerge w:val="restart"/>
          </w:tcPr>
          <w:p>
            <w:pPr>
              <w:pStyle w:val="TableParagraph"/>
              <w:jc w:val="left"/>
              <w:rPr>
                <w:rFonts w:ascii="黑体"/>
                <w:sz w:val="18"/>
              </w:rPr>
            </w:pPr>
          </w:p>
          <w:p>
            <w:pPr>
              <w:pStyle w:val="TableParagraph"/>
              <w:spacing w:line="242" w:lineRule="auto" w:before="124"/>
              <w:ind w:left="267" w:right="168" w:hanging="92"/>
              <w:jc w:val="left"/>
              <w:rPr>
                <w:sz w:val="18"/>
              </w:rPr>
            </w:pPr>
            <w:r>
              <w:rPr>
                <w:sz w:val="18"/>
              </w:rPr>
              <w:t>污染物</w:t>
            </w:r>
          </w:p>
        </w:tc>
        <w:tc>
          <w:tcPr>
            <w:tcW w:w="2762" w:type="dxa"/>
            <w:gridSpan w:val="4"/>
          </w:tcPr>
          <w:p>
            <w:pPr>
              <w:pStyle w:val="TableParagraph"/>
              <w:spacing w:line="213" w:lineRule="exact"/>
              <w:ind w:left="909" w:right="900"/>
              <w:rPr>
                <w:sz w:val="18"/>
              </w:rPr>
            </w:pPr>
            <w:r>
              <w:rPr>
                <w:sz w:val="18"/>
              </w:rPr>
              <w:t>污染物产生</w:t>
            </w:r>
          </w:p>
        </w:tc>
        <w:tc>
          <w:tcPr>
            <w:tcW w:w="1807" w:type="dxa"/>
            <w:gridSpan w:val="2"/>
          </w:tcPr>
          <w:p>
            <w:pPr>
              <w:pStyle w:val="TableParagraph"/>
              <w:spacing w:line="213" w:lineRule="exact"/>
              <w:ind w:left="542"/>
              <w:jc w:val="left"/>
              <w:rPr>
                <w:sz w:val="18"/>
              </w:rPr>
            </w:pPr>
            <w:r>
              <w:rPr>
                <w:sz w:val="18"/>
              </w:rPr>
              <w:t>治理措施</w:t>
            </w:r>
          </w:p>
        </w:tc>
        <w:tc>
          <w:tcPr>
            <w:tcW w:w="2762" w:type="dxa"/>
            <w:gridSpan w:val="4"/>
          </w:tcPr>
          <w:p>
            <w:pPr>
              <w:pStyle w:val="TableParagraph"/>
              <w:spacing w:line="213" w:lineRule="exact"/>
              <w:ind w:left="910" w:right="899"/>
              <w:rPr>
                <w:sz w:val="18"/>
              </w:rPr>
            </w:pPr>
            <w:r>
              <w:rPr>
                <w:sz w:val="18"/>
              </w:rPr>
              <w:t>污染物排放</w:t>
            </w:r>
          </w:p>
        </w:tc>
        <w:tc>
          <w:tcPr>
            <w:tcW w:w="618" w:type="dxa"/>
            <w:vMerge w:val="restart"/>
          </w:tcPr>
          <w:p>
            <w:pPr>
              <w:pStyle w:val="TableParagraph"/>
              <w:spacing w:before="8"/>
              <w:jc w:val="left"/>
              <w:rPr>
                <w:rFonts w:ascii="黑体"/>
                <w:sz w:val="19"/>
              </w:rPr>
            </w:pPr>
          </w:p>
          <w:p>
            <w:pPr>
              <w:pStyle w:val="TableParagraph"/>
              <w:ind w:left="127" w:right="118"/>
              <w:jc w:val="both"/>
              <w:rPr>
                <w:rFonts w:ascii="Times New Roman" w:eastAsia="Times New Roman"/>
                <w:sz w:val="18"/>
              </w:rPr>
            </w:pPr>
            <w:r>
              <w:rPr>
                <w:sz w:val="18"/>
              </w:rPr>
              <w:t>排放时间</w:t>
            </w:r>
            <w:r>
              <w:rPr>
                <w:rFonts w:ascii="Times New Roman" w:eastAsia="Times New Roman"/>
                <w:sz w:val="18"/>
              </w:rPr>
              <w:t>(d)</w:t>
            </w:r>
          </w:p>
        </w:tc>
      </w:tr>
      <w:tr>
        <w:trPr>
          <w:trHeight w:val="934" w:hRule="atLeast"/>
        </w:trPr>
        <w:tc>
          <w:tcPr>
            <w:tcW w:w="390" w:type="dxa"/>
            <w:vMerge/>
            <w:tcBorders>
              <w:top w:val="nil"/>
            </w:tcBorders>
          </w:tcPr>
          <w:p>
            <w:pPr>
              <w:rPr>
                <w:sz w:val="2"/>
                <w:szCs w:val="2"/>
              </w:rPr>
            </w:pPr>
          </w:p>
        </w:tc>
        <w:tc>
          <w:tcPr>
            <w:tcW w:w="717" w:type="dxa"/>
            <w:vMerge/>
            <w:tcBorders>
              <w:top w:val="nil"/>
            </w:tcBorders>
          </w:tcPr>
          <w:p>
            <w:pPr>
              <w:rPr>
                <w:sz w:val="2"/>
                <w:szCs w:val="2"/>
              </w:rPr>
            </w:pPr>
          </w:p>
        </w:tc>
        <w:tc>
          <w:tcPr>
            <w:tcW w:w="353" w:type="dxa"/>
          </w:tcPr>
          <w:p>
            <w:pPr>
              <w:pStyle w:val="TableParagraph"/>
              <w:spacing w:line="242" w:lineRule="auto" w:before="2"/>
              <w:ind w:left="107" w:right="53"/>
              <w:jc w:val="both"/>
              <w:rPr>
                <w:sz w:val="18"/>
              </w:rPr>
            </w:pPr>
            <w:r>
              <w:rPr>
                <w:sz w:val="18"/>
              </w:rPr>
              <w:t>核算方</w:t>
            </w:r>
          </w:p>
          <w:p>
            <w:pPr>
              <w:pStyle w:val="TableParagraph"/>
              <w:spacing w:line="211" w:lineRule="exact" w:before="1"/>
              <w:ind w:left="107"/>
              <w:jc w:val="left"/>
              <w:rPr>
                <w:sz w:val="18"/>
              </w:rPr>
            </w:pPr>
            <w:r>
              <w:rPr>
                <w:sz w:val="18"/>
              </w:rPr>
              <w:t>法</w:t>
            </w:r>
          </w:p>
        </w:tc>
        <w:tc>
          <w:tcPr>
            <w:tcW w:w="793" w:type="dxa"/>
          </w:tcPr>
          <w:p>
            <w:pPr>
              <w:pStyle w:val="TableParagraph"/>
              <w:spacing w:line="242" w:lineRule="auto" w:before="2"/>
              <w:ind w:left="126" w:right="114" w:hanging="3"/>
              <w:rPr>
                <w:sz w:val="18"/>
              </w:rPr>
            </w:pPr>
            <w:r>
              <w:rPr>
                <w:sz w:val="18"/>
              </w:rPr>
              <w:t>产生 </w:t>
            </w:r>
            <w:r>
              <w:rPr>
                <w:spacing w:val="-6"/>
                <w:sz w:val="18"/>
              </w:rPr>
              <w:t>废水量</w:t>
            </w:r>
          </w:p>
          <w:p>
            <w:pPr>
              <w:pStyle w:val="TableParagraph"/>
              <w:spacing w:line="230" w:lineRule="exact"/>
              <w:ind w:left="118"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TableParagraph"/>
              <w:spacing w:line="211" w:lineRule="exact" w:before="4"/>
              <w:ind w:left="10"/>
              <w:rPr>
                <w:sz w:val="18"/>
              </w:rPr>
            </w:pPr>
            <w:r>
              <w:rPr>
                <w:sz w:val="18"/>
              </w:rPr>
              <w:t>）</w:t>
            </w:r>
          </w:p>
        </w:tc>
        <w:tc>
          <w:tcPr>
            <w:tcW w:w="837" w:type="dxa"/>
          </w:tcPr>
          <w:p>
            <w:pPr>
              <w:pStyle w:val="TableParagraph"/>
              <w:spacing w:line="242" w:lineRule="auto" w:before="2"/>
              <w:ind w:left="238" w:right="226"/>
              <w:rPr>
                <w:sz w:val="18"/>
              </w:rPr>
            </w:pPr>
            <w:r>
              <w:rPr>
                <w:sz w:val="18"/>
              </w:rPr>
              <w:t>产生浓度</w:t>
            </w:r>
          </w:p>
          <w:p>
            <w:pPr>
              <w:pStyle w:val="TableParagraph"/>
              <w:spacing w:line="230" w:lineRule="exact"/>
              <w:ind w:left="111" w:right="104"/>
              <w:rPr>
                <w:rFonts w:ascii="Times New Roman" w:eastAsia="Times New Roman"/>
                <w:sz w:val="18"/>
              </w:rPr>
            </w:pPr>
            <w:r>
              <w:rPr>
                <w:sz w:val="18"/>
              </w:rPr>
              <w:t>（</w:t>
            </w:r>
            <w:r>
              <w:rPr>
                <w:rFonts w:ascii="Times New Roman" w:eastAsia="Times New Roman"/>
                <w:sz w:val="18"/>
              </w:rPr>
              <w:t>mg/L</w:t>
            </w:r>
          </w:p>
          <w:p>
            <w:pPr>
              <w:pStyle w:val="TableParagraph"/>
              <w:spacing w:line="211" w:lineRule="exact" w:before="4"/>
              <w:ind w:left="7"/>
              <w:rPr>
                <w:sz w:val="18"/>
              </w:rPr>
            </w:pPr>
            <w:r>
              <w:rPr>
                <w:sz w:val="18"/>
              </w:rPr>
              <w:t>）</w:t>
            </w:r>
          </w:p>
        </w:tc>
        <w:tc>
          <w:tcPr>
            <w:tcW w:w="779" w:type="dxa"/>
          </w:tcPr>
          <w:p>
            <w:pPr>
              <w:pStyle w:val="TableParagraph"/>
              <w:spacing w:before="117"/>
              <w:ind w:left="98" w:right="89"/>
              <w:rPr>
                <w:sz w:val="18"/>
              </w:rPr>
            </w:pPr>
            <w:r>
              <w:rPr>
                <w:sz w:val="18"/>
              </w:rPr>
              <w:t>产生量</w:t>
            </w:r>
          </w:p>
          <w:p>
            <w:pPr>
              <w:pStyle w:val="TableParagraph"/>
              <w:spacing w:before="4"/>
              <w:ind w:left="94" w:right="89"/>
              <w:rPr>
                <w:rFonts w:ascii="Times New Roman" w:eastAsia="Times New Roman"/>
                <w:sz w:val="18"/>
              </w:rPr>
            </w:pPr>
            <w:r>
              <w:rPr>
                <w:sz w:val="18"/>
              </w:rPr>
              <w:t>（</w:t>
            </w:r>
            <w:r>
              <w:rPr>
                <w:rFonts w:ascii="Times New Roman" w:eastAsia="Times New Roman"/>
                <w:sz w:val="18"/>
              </w:rPr>
              <w:t>kg/d</w:t>
            </w:r>
          </w:p>
          <w:p>
            <w:pPr>
              <w:pStyle w:val="TableParagraph"/>
              <w:spacing w:before="2"/>
              <w:ind w:left="9"/>
              <w:rPr>
                <w:sz w:val="18"/>
              </w:rPr>
            </w:pPr>
            <w:r>
              <w:rPr>
                <w:sz w:val="18"/>
              </w:rPr>
              <w:t>）</w:t>
            </w:r>
          </w:p>
        </w:tc>
        <w:tc>
          <w:tcPr>
            <w:tcW w:w="1230" w:type="dxa"/>
          </w:tcPr>
          <w:p>
            <w:pPr>
              <w:pStyle w:val="TableParagraph"/>
              <w:jc w:val="left"/>
              <w:rPr>
                <w:rFonts w:ascii="黑体"/>
                <w:sz w:val="18"/>
              </w:rPr>
            </w:pPr>
          </w:p>
          <w:p>
            <w:pPr>
              <w:pStyle w:val="TableParagraph"/>
              <w:spacing w:before="121"/>
              <w:ind w:left="414" w:right="405"/>
              <w:rPr>
                <w:sz w:val="18"/>
              </w:rPr>
            </w:pPr>
            <w:r>
              <w:rPr>
                <w:sz w:val="18"/>
              </w:rPr>
              <w:t>工艺</w:t>
            </w:r>
          </w:p>
        </w:tc>
        <w:tc>
          <w:tcPr>
            <w:tcW w:w="577" w:type="dxa"/>
          </w:tcPr>
          <w:p>
            <w:pPr>
              <w:pStyle w:val="TableParagraph"/>
              <w:spacing w:before="117"/>
              <w:ind w:left="106"/>
              <w:jc w:val="left"/>
              <w:rPr>
                <w:sz w:val="18"/>
              </w:rPr>
            </w:pPr>
            <w:r>
              <w:rPr>
                <w:sz w:val="18"/>
              </w:rPr>
              <w:t>效率</w:t>
            </w:r>
          </w:p>
          <w:p>
            <w:pPr>
              <w:pStyle w:val="TableParagraph"/>
              <w:spacing w:before="4"/>
              <w:ind w:left="123"/>
              <w:jc w:val="left"/>
              <w:rPr>
                <w:rFonts w:ascii="Times New Roman" w:eastAsia="Times New Roman"/>
                <w:sz w:val="18"/>
              </w:rPr>
            </w:pPr>
            <w:r>
              <w:rPr>
                <w:sz w:val="18"/>
              </w:rPr>
              <w:t>（</w:t>
            </w:r>
            <w:r>
              <w:rPr>
                <w:rFonts w:ascii="Times New Roman" w:eastAsia="Times New Roman"/>
                <w:sz w:val="18"/>
              </w:rPr>
              <w:t>%</w:t>
            </w:r>
          </w:p>
          <w:p>
            <w:pPr>
              <w:pStyle w:val="TableParagraph"/>
              <w:spacing w:before="2"/>
              <w:ind w:left="198"/>
              <w:jc w:val="left"/>
              <w:rPr>
                <w:sz w:val="18"/>
              </w:rPr>
            </w:pPr>
            <w:r>
              <w:rPr>
                <w:sz w:val="18"/>
              </w:rPr>
              <w:t>）</w:t>
            </w:r>
          </w:p>
        </w:tc>
        <w:tc>
          <w:tcPr>
            <w:tcW w:w="353" w:type="dxa"/>
          </w:tcPr>
          <w:p>
            <w:pPr>
              <w:pStyle w:val="TableParagraph"/>
              <w:spacing w:line="242" w:lineRule="auto" w:before="2"/>
              <w:ind w:left="108" w:right="52"/>
              <w:jc w:val="both"/>
              <w:rPr>
                <w:sz w:val="18"/>
              </w:rPr>
            </w:pPr>
            <w:r>
              <w:rPr>
                <w:sz w:val="18"/>
              </w:rPr>
              <w:t>核算方</w:t>
            </w:r>
          </w:p>
          <w:p>
            <w:pPr>
              <w:pStyle w:val="TableParagraph"/>
              <w:spacing w:line="211" w:lineRule="exact" w:before="1"/>
              <w:ind w:left="108"/>
              <w:jc w:val="left"/>
              <w:rPr>
                <w:sz w:val="18"/>
              </w:rPr>
            </w:pPr>
            <w:r>
              <w:rPr>
                <w:sz w:val="18"/>
              </w:rPr>
              <w:t>法</w:t>
            </w:r>
          </w:p>
        </w:tc>
        <w:tc>
          <w:tcPr>
            <w:tcW w:w="793" w:type="dxa"/>
          </w:tcPr>
          <w:p>
            <w:pPr>
              <w:pStyle w:val="TableParagraph"/>
              <w:spacing w:line="242" w:lineRule="auto" w:before="2"/>
              <w:ind w:left="124" w:right="116" w:firstLine="2"/>
              <w:rPr>
                <w:sz w:val="18"/>
              </w:rPr>
            </w:pPr>
            <w:r>
              <w:rPr>
                <w:sz w:val="18"/>
              </w:rPr>
              <w:t>排放 </w:t>
            </w:r>
            <w:r>
              <w:rPr>
                <w:spacing w:val="-6"/>
                <w:sz w:val="18"/>
              </w:rPr>
              <w:t>废水量</w:t>
            </w:r>
          </w:p>
          <w:p>
            <w:pPr>
              <w:pStyle w:val="TableParagraph"/>
              <w:spacing w:line="230" w:lineRule="exact"/>
              <w:ind w:left="117" w:right="109"/>
              <w:rPr>
                <w:rFonts w:ascii="Times New Roman" w:eastAsia="Times New Roman"/>
                <w:sz w:val="18"/>
              </w:rPr>
            </w:pPr>
            <w:r>
              <w:rPr>
                <w:sz w:val="18"/>
              </w:rPr>
              <w:t>（</w:t>
            </w:r>
            <w:r>
              <w:rPr>
                <w:rFonts w:ascii="Times New Roman" w:eastAsia="Times New Roman"/>
                <w:sz w:val="18"/>
              </w:rPr>
              <w:t>m</w:t>
            </w:r>
            <w:r>
              <w:rPr>
                <w:rFonts w:ascii="Times New Roman" w:eastAsia="Times New Roman"/>
                <w:position w:val="6"/>
                <w:sz w:val="11"/>
              </w:rPr>
              <w:t>3</w:t>
            </w:r>
            <w:r>
              <w:rPr>
                <w:rFonts w:ascii="Times New Roman" w:eastAsia="Times New Roman"/>
                <w:sz w:val="18"/>
              </w:rPr>
              <w:t>/d</w:t>
            </w:r>
          </w:p>
          <w:p>
            <w:pPr>
              <w:pStyle w:val="TableParagraph"/>
              <w:spacing w:line="211" w:lineRule="exact" w:before="4"/>
              <w:ind w:left="6"/>
              <w:rPr>
                <w:sz w:val="18"/>
              </w:rPr>
            </w:pPr>
            <w:r>
              <w:rPr>
                <w:sz w:val="18"/>
              </w:rPr>
              <w:t>）</w:t>
            </w:r>
          </w:p>
        </w:tc>
        <w:tc>
          <w:tcPr>
            <w:tcW w:w="837" w:type="dxa"/>
          </w:tcPr>
          <w:p>
            <w:pPr>
              <w:pStyle w:val="TableParagraph"/>
              <w:spacing w:line="242" w:lineRule="auto" w:before="2"/>
              <w:ind w:left="236" w:right="228"/>
              <w:rPr>
                <w:sz w:val="18"/>
              </w:rPr>
            </w:pPr>
            <w:r>
              <w:rPr>
                <w:sz w:val="18"/>
              </w:rPr>
              <w:t>排放浓度</w:t>
            </w:r>
          </w:p>
          <w:p>
            <w:pPr>
              <w:pStyle w:val="TableParagraph"/>
              <w:spacing w:line="230" w:lineRule="exact"/>
              <w:ind w:left="112" w:right="104"/>
              <w:rPr>
                <w:rFonts w:ascii="Times New Roman" w:eastAsia="Times New Roman"/>
                <w:sz w:val="18"/>
              </w:rPr>
            </w:pPr>
            <w:r>
              <w:rPr>
                <w:sz w:val="18"/>
              </w:rPr>
              <w:t>（</w:t>
            </w:r>
            <w:r>
              <w:rPr>
                <w:rFonts w:ascii="Times New Roman" w:eastAsia="Times New Roman"/>
                <w:sz w:val="18"/>
              </w:rPr>
              <w:t>mg/L</w:t>
            </w:r>
          </w:p>
          <w:p>
            <w:pPr>
              <w:pStyle w:val="TableParagraph"/>
              <w:spacing w:line="211" w:lineRule="exact" w:before="4"/>
              <w:ind w:left="8"/>
              <w:rPr>
                <w:sz w:val="18"/>
              </w:rPr>
            </w:pPr>
            <w:r>
              <w:rPr>
                <w:sz w:val="18"/>
              </w:rPr>
              <w:t>）</w:t>
            </w:r>
          </w:p>
        </w:tc>
        <w:tc>
          <w:tcPr>
            <w:tcW w:w="779" w:type="dxa"/>
          </w:tcPr>
          <w:p>
            <w:pPr>
              <w:pStyle w:val="TableParagraph"/>
              <w:spacing w:before="117"/>
              <w:ind w:left="99" w:right="89"/>
              <w:rPr>
                <w:sz w:val="18"/>
              </w:rPr>
            </w:pPr>
            <w:r>
              <w:rPr>
                <w:sz w:val="18"/>
              </w:rPr>
              <w:t>排放量</w:t>
            </w:r>
          </w:p>
          <w:p>
            <w:pPr>
              <w:pStyle w:val="TableParagraph"/>
              <w:spacing w:before="4"/>
              <w:ind w:left="95" w:right="89"/>
              <w:rPr>
                <w:rFonts w:ascii="Times New Roman" w:eastAsia="Times New Roman"/>
                <w:sz w:val="18"/>
              </w:rPr>
            </w:pPr>
            <w:r>
              <w:rPr>
                <w:sz w:val="18"/>
              </w:rPr>
              <w:t>（</w:t>
            </w:r>
            <w:r>
              <w:rPr>
                <w:rFonts w:ascii="Times New Roman" w:eastAsia="Times New Roman"/>
                <w:sz w:val="18"/>
              </w:rPr>
              <w:t>kg/d</w:t>
            </w:r>
          </w:p>
          <w:p>
            <w:pPr>
              <w:pStyle w:val="TableParagraph"/>
              <w:spacing w:before="2"/>
              <w:ind w:left="10"/>
              <w:rPr>
                <w:sz w:val="18"/>
              </w:rPr>
            </w:pPr>
            <w:r>
              <w:rPr>
                <w:sz w:val="18"/>
              </w:rPr>
              <w:t>）</w:t>
            </w:r>
          </w:p>
        </w:tc>
        <w:tc>
          <w:tcPr>
            <w:tcW w:w="618" w:type="dxa"/>
            <w:vMerge/>
            <w:tcBorders>
              <w:top w:val="nil"/>
            </w:tcBorders>
          </w:tcPr>
          <w:p>
            <w:pPr>
              <w:rPr>
                <w:sz w:val="2"/>
                <w:szCs w:val="2"/>
              </w:rPr>
            </w:pPr>
          </w:p>
        </w:tc>
      </w:tr>
      <w:tr>
        <w:trPr>
          <w:trHeight w:val="572" w:hRule="atLeast"/>
        </w:trPr>
        <w:tc>
          <w:tcPr>
            <w:tcW w:w="390" w:type="dxa"/>
          </w:tcPr>
          <w:p>
            <w:pPr>
              <w:pStyle w:val="TableParagraph"/>
              <w:spacing w:line="242" w:lineRule="auto" w:before="53"/>
              <w:ind w:left="108" w:right="89"/>
              <w:jc w:val="left"/>
              <w:rPr>
                <w:sz w:val="18"/>
              </w:rPr>
            </w:pPr>
            <w:r>
              <w:rPr>
                <w:sz w:val="18"/>
              </w:rPr>
              <w:t>矿井</w:t>
            </w:r>
          </w:p>
        </w:tc>
        <w:tc>
          <w:tcPr>
            <w:tcW w:w="717" w:type="dxa"/>
          </w:tcPr>
          <w:p>
            <w:pPr>
              <w:pStyle w:val="TableParagraph"/>
              <w:spacing w:before="1"/>
              <w:jc w:val="left"/>
              <w:rPr>
                <w:rFonts w:ascii="黑体"/>
                <w:sz w:val="14"/>
              </w:rPr>
            </w:pPr>
          </w:p>
          <w:p>
            <w:pPr>
              <w:pStyle w:val="TableParagraph"/>
              <w:ind w:left="169"/>
              <w:jc w:val="left"/>
              <w:rPr>
                <w:rFonts w:ascii="Times New Roman"/>
                <w:sz w:val="18"/>
              </w:rPr>
            </w:pPr>
            <w:r>
              <w:rPr>
                <w:rFonts w:ascii="Times New Roman"/>
                <w:sz w:val="18"/>
              </w:rPr>
              <w:t>COD</w:t>
            </w:r>
          </w:p>
        </w:tc>
        <w:tc>
          <w:tcPr>
            <w:tcW w:w="353" w:type="dxa"/>
          </w:tcPr>
          <w:p>
            <w:pPr>
              <w:pStyle w:val="TableParagraph"/>
              <w:spacing w:line="242" w:lineRule="auto" w:before="53"/>
              <w:ind w:left="107" w:right="53"/>
              <w:jc w:val="left"/>
              <w:rPr>
                <w:sz w:val="18"/>
              </w:rPr>
            </w:pPr>
            <w:r>
              <w:rPr>
                <w:sz w:val="18"/>
              </w:rPr>
              <w:t>类比</w:t>
            </w:r>
          </w:p>
        </w:tc>
        <w:tc>
          <w:tcPr>
            <w:tcW w:w="793" w:type="dxa"/>
          </w:tcPr>
          <w:p>
            <w:pPr>
              <w:pStyle w:val="TableParagraph"/>
              <w:spacing w:before="1"/>
              <w:jc w:val="left"/>
              <w:rPr>
                <w:rFonts w:ascii="黑体"/>
                <w:sz w:val="14"/>
              </w:rPr>
            </w:pPr>
          </w:p>
          <w:p>
            <w:pPr>
              <w:pStyle w:val="TableParagraph"/>
              <w:ind w:left="261"/>
              <w:jc w:val="left"/>
              <w:rPr>
                <w:rFonts w:ascii="Times New Roman"/>
                <w:sz w:val="18"/>
              </w:rPr>
            </w:pPr>
            <w:r>
              <w:rPr>
                <w:rFonts w:ascii="Times New Roman"/>
                <w:sz w:val="18"/>
              </w:rPr>
              <w:t>480</w:t>
            </w:r>
          </w:p>
        </w:tc>
        <w:tc>
          <w:tcPr>
            <w:tcW w:w="837" w:type="dxa"/>
          </w:tcPr>
          <w:p>
            <w:pPr>
              <w:pStyle w:val="TableParagraph"/>
              <w:spacing w:before="1"/>
              <w:jc w:val="left"/>
              <w:rPr>
                <w:rFonts w:ascii="黑体"/>
                <w:sz w:val="14"/>
              </w:rPr>
            </w:pPr>
          </w:p>
          <w:p>
            <w:pPr>
              <w:pStyle w:val="TableParagraph"/>
              <w:ind w:left="281"/>
              <w:jc w:val="left"/>
              <w:rPr>
                <w:rFonts w:ascii="Times New Roman"/>
                <w:sz w:val="18"/>
              </w:rPr>
            </w:pPr>
            <w:r>
              <w:rPr>
                <w:rFonts w:ascii="Times New Roman"/>
                <w:sz w:val="18"/>
              </w:rPr>
              <w:t>150</w:t>
            </w:r>
          </w:p>
        </w:tc>
        <w:tc>
          <w:tcPr>
            <w:tcW w:w="779" w:type="dxa"/>
          </w:tcPr>
          <w:p>
            <w:pPr>
              <w:pStyle w:val="TableParagraph"/>
              <w:spacing w:before="1"/>
              <w:jc w:val="left"/>
              <w:rPr>
                <w:rFonts w:ascii="黑体"/>
                <w:sz w:val="14"/>
              </w:rPr>
            </w:pPr>
          </w:p>
          <w:p>
            <w:pPr>
              <w:pStyle w:val="TableParagraph"/>
              <w:ind w:left="99" w:right="89"/>
              <w:rPr>
                <w:rFonts w:ascii="Times New Roman"/>
                <w:sz w:val="18"/>
              </w:rPr>
            </w:pPr>
            <w:r>
              <w:rPr>
                <w:rFonts w:ascii="Times New Roman"/>
                <w:sz w:val="18"/>
              </w:rPr>
              <w:t>72</w:t>
            </w:r>
          </w:p>
        </w:tc>
        <w:tc>
          <w:tcPr>
            <w:tcW w:w="1230" w:type="dxa"/>
          </w:tcPr>
          <w:p>
            <w:pPr>
              <w:pStyle w:val="TableParagraph"/>
              <w:spacing w:before="53"/>
              <w:ind w:left="108"/>
              <w:jc w:val="left"/>
              <w:rPr>
                <w:sz w:val="18"/>
              </w:rPr>
            </w:pPr>
            <w:r>
              <w:rPr>
                <w:spacing w:val="2"/>
                <w:sz w:val="18"/>
              </w:rPr>
              <w:t>处 理 规 模</w:t>
            </w:r>
          </w:p>
          <w:p>
            <w:pPr>
              <w:pStyle w:val="TableParagraph"/>
              <w:spacing w:before="3"/>
              <w:ind w:left="108"/>
              <w:jc w:val="left"/>
              <w:rPr>
                <w:sz w:val="18"/>
              </w:rPr>
            </w:pPr>
            <w:r>
              <w:rPr>
                <w:rFonts w:ascii="Times New Roman" w:eastAsia="Times New Roman"/>
                <w:sz w:val="18"/>
              </w:rPr>
              <w:t>720m</w:t>
            </w:r>
            <w:r>
              <w:rPr>
                <w:rFonts w:ascii="Times New Roman" w:eastAsia="Times New Roman"/>
                <w:position w:val="6"/>
                <w:sz w:val="11"/>
              </w:rPr>
              <w:t>3</w:t>
            </w:r>
            <w:r>
              <w:rPr>
                <w:rFonts w:ascii="Times New Roman" w:eastAsia="Times New Roman"/>
                <w:sz w:val="18"/>
              </w:rPr>
              <w:t>/d</w:t>
            </w:r>
            <w:r>
              <w:rPr>
                <w:rFonts w:ascii="Times New Roman" w:eastAsia="Times New Roman"/>
                <w:spacing w:val="-23"/>
                <w:sz w:val="18"/>
              </w:rPr>
              <w:t> </w:t>
            </w:r>
            <w:r>
              <w:rPr>
                <w:spacing w:val="-22"/>
                <w:sz w:val="18"/>
              </w:rPr>
              <w:t>， 主</w:t>
            </w:r>
          </w:p>
        </w:tc>
        <w:tc>
          <w:tcPr>
            <w:tcW w:w="577" w:type="dxa"/>
          </w:tcPr>
          <w:p>
            <w:pPr>
              <w:pStyle w:val="TableParagraph"/>
              <w:spacing w:before="1"/>
              <w:jc w:val="left"/>
              <w:rPr>
                <w:rFonts w:ascii="黑体"/>
                <w:sz w:val="14"/>
              </w:rPr>
            </w:pPr>
          </w:p>
          <w:p>
            <w:pPr>
              <w:pStyle w:val="TableParagraph"/>
              <w:ind w:left="198"/>
              <w:jc w:val="left"/>
              <w:rPr>
                <w:rFonts w:ascii="Times New Roman"/>
                <w:sz w:val="18"/>
              </w:rPr>
            </w:pPr>
            <w:r>
              <w:rPr>
                <w:rFonts w:ascii="Times New Roman"/>
                <w:sz w:val="18"/>
              </w:rPr>
              <w:t>90</w:t>
            </w:r>
          </w:p>
        </w:tc>
        <w:tc>
          <w:tcPr>
            <w:tcW w:w="353" w:type="dxa"/>
          </w:tcPr>
          <w:p>
            <w:pPr>
              <w:pStyle w:val="TableParagraph"/>
              <w:spacing w:line="242" w:lineRule="auto" w:before="53"/>
              <w:ind w:left="108" w:right="52"/>
              <w:jc w:val="left"/>
              <w:rPr>
                <w:sz w:val="18"/>
              </w:rPr>
            </w:pPr>
            <w:r>
              <w:rPr>
                <w:sz w:val="18"/>
              </w:rPr>
              <w:t>类比</w:t>
            </w:r>
          </w:p>
        </w:tc>
        <w:tc>
          <w:tcPr>
            <w:tcW w:w="793" w:type="dxa"/>
          </w:tcPr>
          <w:p>
            <w:pPr>
              <w:pStyle w:val="TableParagraph"/>
              <w:spacing w:before="1"/>
              <w:jc w:val="left"/>
              <w:rPr>
                <w:rFonts w:ascii="黑体"/>
                <w:sz w:val="14"/>
              </w:rPr>
            </w:pPr>
          </w:p>
          <w:p>
            <w:pPr>
              <w:pStyle w:val="TableParagraph"/>
              <w:ind w:left="6"/>
              <w:rPr>
                <w:rFonts w:ascii="Times New Roman"/>
                <w:sz w:val="18"/>
              </w:rPr>
            </w:pPr>
            <w:r>
              <w:rPr>
                <w:rFonts w:ascii="Times New Roman"/>
                <w:sz w:val="18"/>
              </w:rPr>
              <w:t>/</w:t>
            </w:r>
          </w:p>
        </w:tc>
        <w:tc>
          <w:tcPr>
            <w:tcW w:w="837" w:type="dxa"/>
          </w:tcPr>
          <w:p>
            <w:pPr>
              <w:pStyle w:val="TableParagraph"/>
              <w:spacing w:before="1"/>
              <w:jc w:val="left"/>
              <w:rPr>
                <w:rFonts w:ascii="黑体"/>
                <w:sz w:val="14"/>
              </w:rPr>
            </w:pPr>
          </w:p>
          <w:p>
            <w:pPr>
              <w:pStyle w:val="TableParagraph"/>
              <w:ind w:left="236" w:right="226"/>
              <w:rPr>
                <w:rFonts w:ascii="Times New Roman"/>
                <w:sz w:val="18"/>
              </w:rPr>
            </w:pPr>
            <w:r>
              <w:rPr>
                <w:rFonts w:ascii="Times New Roman"/>
                <w:sz w:val="18"/>
              </w:rPr>
              <w:t>15</w:t>
            </w:r>
          </w:p>
        </w:tc>
        <w:tc>
          <w:tcPr>
            <w:tcW w:w="779" w:type="dxa"/>
          </w:tcPr>
          <w:p>
            <w:pPr>
              <w:pStyle w:val="TableParagraph"/>
              <w:spacing w:before="1"/>
              <w:jc w:val="left"/>
              <w:rPr>
                <w:rFonts w:ascii="黑体"/>
                <w:sz w:val="14"/>
              </w:rPr>
            </w:pPr>
          </w:p>
          <w:p>
            <w:pPr>
              <w:pStyle w:val="TableParagraph"/>
              <w:ind w:left="6"/>
              <w:rPr>
                <w:rFonts w:ascii="Times New Roman"/>
                <w:sz w:val="18"/>
              </w:rPr>
            </w:pPr>
            <w:r>
              <w:rPr>
                <w:rFonts w:ascii="Times New Roman"/>
                <w:sz w:val="18"/>
              </w:rPr>
              <w:t>0</w:t>
            </w:r>
          </w:p>
        </w:tc>
        <w:tc>
          <w:tcPr>
            <w:tcW w:w="618" w:type="dxa"/>
          </w:tcPr>
          <w:p>
            <w:pPr>
              <w:pStyle w:val="TableParagraph"/>
              <w:spacing w:before="1"/>
              <w:jc w:val="left"/>
              <w:rPr>
                <w:rFonts w:ascii="黑体"/>
                <w:sz w:val="14"/>
              </w:rPr>
            </w:pPr>
          </w:p>
          <w:p>
            <w:pPr>
              <w:pStyle w:val="TableParagraph"/>
              <w:ind w:left="173"/>
              <w:jc w:val="left"/>
              <w:rPr>
                <w:rFonts w:ascii="Times New Roman"/>
                <w:sz w:val="18"/>
              </w:rPr>
            </w:pPr>
            <w:r>
              <w:rPr>
                <w:rFonts w:ascii="Times New Roman"/>
                <w:sz w:val="18"/>
              </w:rPr>
              <w:t>150</w:t>
            </w:r>
          </w:p>
        </w:tc>
      </w:tr>
    </w:tbl>
    <w:p>
      <w:pPr>
        <w:spacing w:after="0"/>
        <w:jc w:val="left"/>
        <w:rPr>
          <w:rFonts w:ascii="Times New Roman"/>
          <w:sz w:val="18"/>
        </w:rPr>
        <w:sectPr>
          <w:footerReference w:type="default" r:id="rId29"/>
          <w:pgSz w:w="11910" w:h="16840"/>
          <w:pgMar w:footer="993" w:header="0" w:top="1440" w:bottom="1180" w:left="1040" w:right="600"/>
          <w:pgNumType w:start="59"/>
        </w:sect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
        <w:gridCol w:w="717"/>
        <w:gridCol w:w="353"/>
        <w:gridCol w:w="793"/>
        <w:gridCol w:w="837"/>
        <w:gridCol w:w="779"/>
        <w:gridCol w:w="1230"/>
        <w:gridCol w:w="577"/>
        <w:gridCol w:w="353"/>
        <w:gridCol w:w="793"/>
        <w:gridCol w:w="837"/>
        <w:gridCol w:w="779"/>
        <w:gridCol w:w="618"/>
      </w:tblGrid>
      <w:tr>
        <w:trPr>
          <w:trHeight w:val="485" w:hRule="atLeast"/>
        </w:trPr>
        <w:tc>
          <w:tcPr>
            <w:tcW w:w="390" w:type="dxa"/>
            <w:vMerge w:val="restart"/>
          </w:tcPr>
          <w:p>
            <w:pPr>
              <w:pStyle w:val="TableParagraph"/>
              <w:spacing w:before="3"/>
              <w:ind w:left="108"/>
              <w:jc w:val="left"/>
              <w:rPr>
                <w:sz w:val="18"/>
              </w:rPr>
            </w:pPr>
            <w:r>
              <w:rPr>
                <w:sz w:val="18"/>
              </w:rPr>
              <w:t>水</w:t>
            </w:r>
          </w:p>
        </w:tc>
        <w:tc>
          <w:tcPr>
            <w:tcW w:w="717" w:type="dxa"/>
          </w:tcPr>
          <w:p>
            <w:pPr>
              <w:pStyle w:val="TableParagraph"/>
              <w:spacing w:before="140"/>
              <w:ind w:left="118" w:right="108"/>
              <w:rPr>
                <w:rFonts w:ascii="Times New Roman"/>
                <w:sz w:val="18"/>
              </w:rPr>
            </w:pPr>
            <w:r>
              <w:rPr>
                <w:rFonts w:ascii="Times New Roman"/>
                <w:sz w:val="18"/>
              </w:rPr>
              <w:t>SS</w:t>
            </w:r>
          </w:p>
        </w:tc>
        <w:tc>
          <w:tcPr>
            <w:tcW w:w="353" w:type="dxa"/>
            <w:vMerge w:val="restart"/>
          </w:tcPr>
          <w:p>
            <w:pPr>
              <w:pStyle w:val="TableParagraph"/>
              <w:spacing w:before="3"/>
              <w:ind w:left="107"/>
              <w:jc w:val="left"/>
              <w:rPr>
                <w:sz w:val="18"/>
              </w:rPr>
            </w:pPr>
            <w:r>
              <w:rPr>
                <w:sz w:val="18"/>
              </w:rPr>
              <w:t>法</w:t>
            </w:r>
          </w:p>
        </w:tc>
        <w:tc>
          <w:tcPr>
            <w:tcW w:w="793" w:type="dxa"/>
            <w:vMerge w:val="restart"/>
          </w:tcPr>
          <w:p>
            <w:pPr>
              <w:pStyle w:val="TableParagraph"/>
              <w:jc w:val="left"/>
              <w:rPr>
                <w:rFonts w:ascii="Times New Roman"/>
                <w:sz w:val="20"/>
              </w:rPr>
            </w:pPr>
          </w:p>
        </w:tc>
        <w:tc>
          <w:tcPr>
            <w:tcW w:w="837" w:type="dxa"/>
          </w:tcPr>
          <w:p>
            <w:pPr>
              <w:pStyle w:val="TableParagraph"/>
              <w:spacing w:before="140"/>
              <w:ind w:left="232" w:right="226"/>
              <w:rPr>
                <w:rFonts w:ascii="Times New Roman"/>
                <w:sz w:val="18"/>
              </w:rPr>
            </w:pPr>
            <w:r>
              <w:rPr>
                <w:rFonts w:ascii="Times New Roman"/>
                <w:sz w:val="18"/>
              </w:rPr>
              <w:t>300</w:t>
            </w:r>
          </w:p>
        </w:tc>
        <w:tc>
          <w:tcPr>
            <w:tcW w:w="779" w:type="dxa"/>
          </w:tcPr>
          <w:p>
            <w:pPr>
              <w:pStyle w:val="TableParagraph"/>
              <w:spacing w:before="140"/>
              <w:ind w:left="97" w:right="89"/>
              <w:rPr>
                <w:rFonts w:ascii="Times New Roman"/>
                <w:sz w:val="18"/>
              </w:rPr>
            </w:pPr>
            <w:r>
              <w:rPr>
                <w:rFonts w:ascii="Times New Roman"/>
                <w:sz w:val="18"/>
              </w:rPr>
              <w:t>144</w:t>
            </w:r>
          </w:p>
        </w:tc>
        <w:tc>
          <w:tcPr>
            <w:tcW w:w="1230" w:type="dxa"/>
            <w:vMerge w:val="restart"/>
          </w:tcPr>
          <w:p>
            <w:pPr>
              <w:pStyle w:val="TableParagraph"/>
              <w:spacing w:before="3"/>
              <w:ind w:left="108"/>
              <w:jc w:val="left"/>
              <w:rPr>
                <w:sz w:val="18"/>
              </w:rPr>
            </w:pPr>
            <w:r>
              <w:rPr>
                <w:spacing w:val="-12"/>
                <w:sz w:val="18"/>
              </w:rPr>
              <w:t>体工艺：调节</w:t>
            </w:r>
          </w:p>
          <w:p>
            <w:pPr>
              <w:pStyle w:val="TableParagraph"/>
              <w:spacing w:before="2"/>
              <w:ind w:left="108"/>
              <w:jc w:val="left"/>
              <w:rPr>
                <w:sz w:val="18"/>
              </w:rPr>
            </w:pPr>
            <w:r>
              <w:rPr>
                <w:rFonts w:ascii="Times New Roman" w:eastAsia="Times New Roman"/>
                <w:spacing w:val="-15"/>
                <w:sz w:val="18"/>
              </w:rPr>
              <w:t>+ </w:t>
            </w:r>
            <w:r>
              <w:rPr>
                <w:spacing w:val="19"/>
                <w:sz w:val="18"/>
              </w:rPr>
              <w:t>混凝</w:t>
            </w:r>
            <w:r>
              <w:rPr>
                <w:rFonts w:ascii="Times New Roman" w:eastAsia="Times New Roman"/>
                <w:spacing w:val="-14"/>
                <w:sz w:val="18"/>
              </w:rPr>
              <w:t>+ </w:t>
            </w:r>
            <w:r>
              <w:rPr>
                <w:spacing w:val="9"/>
                <w:sz w:val="18"/>
              </w:rPr>
              <w:t>沉淀</w:t>
            </w:r>
          </w:p>
          <w:p>
            <w:pPr>
              <w:pStyle w:val="TableParagraph"/>
              <w:spacing w:line="242" w:lineRule="auto" w:before="2"/>
              <w:ind w:left="108" w:right="5"/>
              <w:jc w:val="left"/>
              <w:rPr>
                <w:sz w:val="18"/>
              </w:rPr>
            </w:pPr>
            <w:r>
              <w:rPr>
                <w:rFonts w:ascii="Times New Roman" w:eastAsia="Times New Roman"/>
                <w:sz w:val="18"/>
              </w:rPr>
              <w:t>+</w:t>
            </w:r>
            <w:r>
              <w:rPr>
                <w:sz w:val="18"/>
              </w:rPr>
              <w:t>过滤</w:t>
            </w:r>
            <w:r>
              <w:rPr>
                <w:rFonts w:ascii="Times New Roman" w:eastAsia="Times New Roman"/>
                <w:sz w:val="18"/>
              </w:rPr>
              <w:t>+</w:t>
            </w:r>
            <w:r>
              <w:rPr>
                <w:spacing w:val="-6"/>
                <w:sz w:val="18"/>
              </w:rPr>
              <w:t>消毒， </w:t>
            </w:r>
            <w:r>
              <w:rPr>
                <w:spacing w:val="-12"/>
                <w:sz w:val="18"/>
              </w:rPr>
              <w:t>部分回用，部</w:t>
            </w:r>
            <w:r>
              <w:rPr>
                <w:spacing w:val="21"/>
                <w:sz w:val="18"/>
              </w:rPr>
              <w:t>分外排自建</w:t>
            </w:r>
          </w:p>
          <w:p>
            <w:pPr>
              <w:pStyle w:val="TableParagraph"/>
              <w:spacing w:line="211" w:lineRule="exact" w:before="2"/>
              <w:ind w:left="108"/>
              <w:jc w:val="left"/>
              <w:rPr>
                <w:sz w:val="18"/>
              </w:rPr>
            </w:pPr>
            <w:r>
              <w:rPr>
                <w:sz w:val="18"/>
              </w:rPr>
              <w:t>鱼塘。</w:t>
            </w:r>
          </w:p>
        </w:tc>
        <w:tc>
          <w:tcPr>
            <w:tcW w:w="577" w:type="dxa"/>
          </w:tcPr>
          <w:p>
            <w:pPr>
              <w:pStyle w:val="TableParagraph"/>
              <w:spacing w:before="140"/>
              <w:ind w:left="198"/>
              <w:jc w:val="left"/>
              <w:rPr>
                <w:rFonts w:ascii="Times New Roman"/>
                <w:sz w:val="18"/>
              </w:rPr>
            </w:pPr>
            <w:r>
              <w:rPr>
                <w:rFonts w:ascii="Times New Roman"/>
                <w:sz w:val="18"/>
              </w:rPr>
              <w:t>90</w:t>
            </w:r>
          </w:p>
        </w:tc>
        <w:tc>
          <w:tcPr>
            <w:tcW w:w="353" w:type="dxa"/>
            <w:vMerge w:val="restart"/>
          </w:tcPr>
          <w:p>
            <w:pPr>
              <w:pStyle w:val="TableParagraph"/>
              <w:spacing w:before="3"/>
              <w:ind w:left="108"/>
              <w:jc w:val="left"/>
              <w:rPr>
                <w:sz w:val="18"/>
              </w:rPr>
            </w:pPr>
            <w:r>
              <w:rPr>
                <w:sz w:val="18"/>
              </w:rPr>
              <w:t>法</w:t>
            </w:r>
          </w:p>
        </w:tc>
        <w:tc>
          <w:tcPr>
            <w:tcW w:w="793" w:type="dxa"/>
            <w:vMerge w:val="restart"/>
          </w:tcPr>
          <w:p>
            <w:pPr>
              <w:pStyle w:val="TableParagraph"/>
              <w:jc w:val="left"/>
              <w:rPr>
                <w:rFonts w:ascii="Times New Roman"/>
                <w:sz w:val="20"/>
              </w:rPr>
            </w:pPr>
          </w:p>
        </w:tc>
        <w:tc>
          <w:tcPr>
            <w:tcW w:w="837" w:type="dxa"/>
          </w:tcPr>
          <w:p>
            <w:pPr>
              <w:pStyle w:val="TableParagraph"/>
              <w:spacing w:before="140"/>
              <w:ind w:left="233" w:right="226"/>
              <w:rPr>
                <w:rFonts w:ascii="Times New Roman"/>
                <w:sz w:val="18"/>
              </w:rPr>
            </w:pPr>
            <w:r>
              <w:rPr>
                <w:rFonts w:ascii="Times New Roman"/>
                <w:sz w:val="18"/>
              </w:rPr>
              <w:t>30</w:t>
            </w:r>
          </w:p>
        </w:tc>
        <w:tc>
          <w:tcPr>
            <w:tcW w:w="779" w:type="dxa"/>
          </w:tcPr>
          <w:p>
            <w:pPr>
              <w:pStyle w:val="TableParagraph"/>
              <w:spacing w:before="140"/>
              <w:ind w:left="6"/>
              <w:rPr>
                <w:rFonts w:ascii="Times New Roman"/>
                <w:sz w:val="18"/>
              </w:rPr>
            </w:pPr>
            <w:r>
              <w:rPr>
                <w:rFonts w:ascii="Times New Roman"/>
                <w:sz w:val="18"/>
              </w:rPr>
              <w:t>0</w:t>
            </w:r>
          </w:p>
        </w:tc>
        <w:tc>
          <w:tcPr>
            <w:tcW w:w="618" w:type="dxa"/>
            <w:vMerge w:val="restart"/>
          </w:tcPr>
          <w:p>
            <w:pPr>
              <w:pStyle w:val="TableParagraph"/>
              <w:jc w:val="left"/>
              <w:rPr>
                <w:rFonts w:ascii="Times New Roman"/>
                <w:sz w:val="20"/>
              </w:rPr>
            </w:pPr>
          </w:p>
        </w:tc>
      </w:tr>
      <w:tr>
        <w:trPr>
          <w:trHeight w:val="905" w:hRule="atLeast"/>
        </w:trPr>
        <w:tc>
          <w:tcPr>
            <w:tcW w:w="390" w:type="dxa"/>
            <w:vMerge/>
            <w:tcBorders>
              <w:top w:val="nil"/>
            </w:tcBorders>
          </w:tcPr>
          <w:p>
            <w:pPr>
              <w:rPr>
                <w:sz w:val="2"/>
                <w:szCs w:val="2"/>
              </w:rPr>
            </w:pPr>
          </w:p>
        </w:tc>
        <w:tc>
          <w:tcPr>
            <w:tcW w:w="717" w:type="dxa"/>
          </w:tcPr>
          <w:p>
            <w:pPr>
              <w:pStyle w:val="TableParagraph"/>
              <w:spacing w:before="2"/>
              <w:jc w:val="left"/>
              <w:rPr>
                <w:rFonts w:ascii="黑体"/>
                <w:sz w:val="17"/>
              </w:rPr>
            </w:pPr>
          </w:p>
          <w:p>
            <w:pPr>
              <w:pStyle w:val="TableParagraph"/>
              <w:spacing w:line="242" w:lineRule="auto"/>
              <w:ind w:left="267" w:right="168" w:hanging="92"/>
              <w:jc w:val="left"/>
              <w:rPr>
                <w:sz w:val="18"/>
              </w:rPr>
            </w:pPr>
            <w:r>
              <w:rPr>
                <w:sz w:val="18"/>
              </w:rPr>
              <w:t>石油类</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
              <w:jc w:val="left"/>
              <w:rPr>
                <w:rFonts w:ascii="黑体"/>
                <w:sz w:val="27"/>
              </w:rPr>
            </w:pPr>
          </w:p>
          <w:p>
            <w:pPr>
              <w:pStyle w:val="TableParagraph"/>
              <w:ind w:left="8"/>
              <w:rPr>
                <w:rFonts w:ascii="Times New Roman"/>
                <w:sz w:val="18"/>
              </w:rPr>
            </w:pPr>
            <w:r>
              <w:rPr>
                <w:rFonts w:ascii="Times New Roman"/>
                <w:sz w:val="18"/>
              </w:rPr>
              <w:t>2</w:t>
            </w:r>
          </w:p>
        </w:tc>
        <w:tc>
          <w:tcPr>
            <w:tcW w:w="779" w:type="dxa"/>
          </w:tcPr>
          <w:p>
            <w:pPr>
              <w:pStyle w:val="TableParagraph"/>
              <w:spacing w:before="1"/>
              <w:jc w:val="left"/>
              <w:rPr>
                <w:rFonts w:ascii="黑体"/>
                <w:sz w:val="27"/>
              </w:rPr>
            </w:pPr>
          </w:p>
          <w:p>
            <w:pPr>
              <w:pStyle w:val="TableParagraph"/>
              <w:ind w:left="99" w:right="89"/>
              <w:rPr>
                <w:rFonts w:ascii="Times New Roman"/>
                <w:sz w:val="18"/>
              </w:rPr>
            </w:pPr>
            <w:r>
              <w:rPr>
                <w:rFonts w:ascii="Times New Roman"/>
                <w:sz w:val="18"/>
              </w:rPr>
              <w:t>0.96</w:t>
            </w:r>
          </w:p>
        </w:tc>
        <w:tc>
          <w:tcPr>
            <w:tcW w:w="1230" w:type="dxa"/>
            <w:vMerge/>
            <w:tcBorders>
              <w:top w:val="nil"/>
            </w:tcBorders>
          </w:tcPr>
          <w:p>
            <w:pPr>
              <w:rPr>
                <w:sz w:val="2"/>
                <w:szCs w:val="2"/>
              </w:rPr>
            </w:pPr>
          </w:p>
        </w:tc>
        <w:tc>
          <w:tcPr>
            <w:tcW w:w="577" w:type="dxa"/>
          </w:tcPr>
          <w:p>
            <w:pPr>
              <w:pStyle w:val="TableParagraph"/>
              <w:spacing w:before="1"/>
              <w:jc w:val="left"/>
              <w:rPr>
                <w:rFonts w:ascii="黑体"/>
                <w:sz w:val="27"/>
              </w:rPr>
            </w:pPr>
          </w:p>
          <w:p>
            <w:pPr>
              <w:pStyle w:val="TableParagraph"/>
              <w:ind w:left="198"/>
              <w:jc w:val="left"/>
              <w:rPr>
                <w:rFonts w:ascii="Times New Roman"/>
                <w:sz w:val="18"/>
              </w:rPr>
            </w:pPr>
            <w:r>
              <w:rPr>
                <w:rFonts w:ascii="Times New Roman"/>
                <w:sz w:val="18"/>
              </w:rPr>
              <w:t>99</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
              <w:jc w:val="left"/>
              <w:rPr>
                <w:rFonts w:ascii="黑体"/>
                <w:sz w:val="27"/>
              </w:rPr>
            </w:pPr>
          </w:p>
          <w:p>
            <w:pPr>
              <w:pStyle w:val="TableParagraph"/>
              <w:ind w:left="236" w:right="226"/>
              <w:rPr>
                <w:rFonts w:ascii="Times New Roman"/>
                <w:sz w:val="18"/>
              </w:rPr>
            </w:pPr>
            <w:r>
              <w:rPr>
                <w:rFonts w:ascii="Times New Roman"/>
                <w:sz w:val="18"/>
              </w:rPr>
              <w:t>0.02</w:t>
            </w:r>
          </w:p>
        </w:tc>
        <w:tc>
          <w:tcPr>
            <w:tcW w:w="779" w:type="dxa"/>
          </w:tcPr>
          <w:p>
            <w:pPr>
              <w:pStyle w:val="TableParagraph"/>
              <w:spacing w:before="1"/>
              <w:jc w:val="left"/>
              <w:rPr>
                <w:rFonts w:ascii="黑体"/>
                <w:sz w:val="27"/>
              </w:rPr>
            </w:pPr>
          </w:p>
          <w:p>
            <w:pPr>
              <w:pStyle w:val="TableParagraph"/>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66" w:hRule="atLeast"/>
        </w:trPr>
        <w:tc>
          <w:tcPr>
            <w:tcW w:w="390" w:type="dxa"/>
            <w:vMerge w:val="restart"/>
          </w:tcPr>
          <w:p>
            <w:pPr>
              <w:pStyle w:val="TableParagraph"/>
              <w:jc w:val="left"/>
              <w:rPr>
                <w:rFonts w:ascii="黑体"/>
                <w:sz w:val="18"/>
              </w:rPr>
            </w:pPr>
          </w:p>
          <w:p>
            <w:pPr>
              <w:pStyle w:val="TableParagraph"/>
              <w:spacing w:before="11"/>
              <w:jc w:val="left"/>
              <w:rPr>
                <w:rFonts w:ascii="黑体"/>
                <w:sz w:val="13"/>
              </w:rPr>
            </w:pPr>
          </w:p>
          <w:p>
            <w:pPr>
              <w:pStyle w:val="TableParagraph"/>
              <w:spacing w:line="242" w:lineRule="auto" w:before="1"/>
              <w:ind w:left="108" w:right="89"/>
              <w:jc w:val="both"/>
              <w:rPr>
                <w:sz w:val="18"/>
              </w:rPr>
            </w:pPr>
            <w:r>
              <w:rPr>
                <w:sz w:val="18"/>
              </w:rPr>
              <w:t>生活污水</w:t>
            </w:r>
          </w:p>
        </w:tc>
        <w:tc>
          <w:tcPr>
            <w:tcW w:w="717" w:type="dxa"/>
          </w:tcPr>
          <w:p>
            <w:pPr>
              <w:pStyle w:val="TableParagraph"/>
              <w:spacing w:before="128"/>
              <w:ind w:left="119" w:right="108"/>
              <w:rPr>
                <w:rFonts w:ascii="Times New Roman"/>
                <w:sz w:val="18"/>
              </w:rPr>
            </w:pPr>
            <w:r>
              <w:rPr>
                <w:rFonts w:ascii="Times New Roman"/>
                <w:sz w:val="18"/>
              </w:rPr>
              <w:t>COD</w:t>
            </w:r>
          </w:p>
        </w:tc>
        <w:tc>
          <w:tcPr>
            <w:tcW w:w="353" w:type="dxa"/>
            <w:vMerge/>
            <w:tcBorders>
              <w:top w:val="nil"/>
            </w:tcBorders>
          </w:tcPr>
          <w:p>
            <w:pPr>
              <w:rPr>
                <w:sz w:val="2"/>
                <w:szCs w:val="2"/>
              </w:rPr>
            </w:pP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2"/>
              <w:jc w:val="left"/>
              <w:rPr>
                <w:rFonts w:ascii="黑体"/>
                <w:sz w:val="20"/>
              </w:rPr>
            </w:pPr>
          </w:p>
          <w:p>
            <w:pPr>
              <w:pStyle w:val="TableParagraph"/>
              <w:ind w:left="193"/>
              <w:jc w:val="left"/>
              <w:rPr>
                <w:rFonts w:ascii="Times New Roman"/>
                <w:sz w:val="18"/>
              </w:rPr>
            </w:pPr>
            <w:r>
              <w:rPr>
                <w:rFonts w:ascii="Times New Roman"/>
                <w:sz w:val="18"/>
              </w:rPr>
              <w:t>91.70</w:t>
            </w:r>
          </w:p>
        </w:tc>
        <w:tc>
          <w:tcPr>
            <w:tcW w:w="837" w:type="dxa"/>
          </w:tcPr>
          <w:p>
            <w:pPr>
              <w:pStyle w:val="TableParagraph"/>
              <w:spacing w:before="128"/>
              <w:ind w:left="232" w:right="226"/>
              <w:rPr>
                <w:rFonts w:ascii="Times New Roman"/>
                <w:sz w:val="18"/>
              </w:rPr>
            </w:pPr>
            <w:r>
              <w:rPr>
                <w:rFonts w:ascii="Times New Roman"/>
                <w:sz w:val="18"/>
              </w:rPr>
              <w:t>300</w:t>
            </w:r>
          </w:p>
        </w:tc>
        <w:tc>
          <w:tcPr>
            <w:tcW w:w="779" w:type="dxa"/>
          </w:tcPr>
          <w:p>
            <w:pPr>
              <w:pStyle w:val="TableParagraph"/>
              <w:spacing w:before="128"/>
              <w:ind w:left="99" w:right="89"/>
              <w:rPr>
                <w:rFonts w:ascii="Times New Roman"/>
                <w:sz w:val="18"/>
              </w:rPr>
            </w:pPr>
            <w:r>
              <w:rPr>
                <w:rFonts w:ascii="Times New Roman"/>
                <w:sz w:val="18"/>
              </w:rPr>
              <w:t>27.51</w:t>
            </w:r>
          </w:p>
        </w:tc>
        <w:tc>
          <w:tcPr>
            <w:tcW w:w="1230" w:type="dxa"/>
            <w:vMerge w:val="restart"/>
          </w:tcPr>
          <w:p>
            <w:pPr>
              <w:pStyle w:val="TableParagraph"/>
              <w:spacing w:line="242" w:lineRule="auto" w:before="58"/>
              <w:ind w:left="108" w:right="29"/>
              <w:jc w:val="left"/>
              <w:rPr>
                <w:sz w:val="18"/>
              </w:rPr>
            </w:pPr>
            <w:r>
              <w:rPr>
                <w:spacing w:val="2"/>
                <w:sz w:val="18"/>
              </w:rPr>
              <w:t>处 理 规 模</w:t>
            </w:r>
            <w:r>
              <w:rPr>
                <w:rFonts w:ascii="Times New Roman" w:eastAsia="Times New Roman"/>
                <w:spacing w:val="2"/>
                <w:sz w:val="18"/>
              </w:rPr>
              <w:t>120m</w:t>
            </w:r>
            <w:r>
              <w:rPr>
                <w:rFonts w:ascii="Times New Roman" w:eastAsia="Times New Roman"/>
                <w:spacing w:val="2"/>
                <w:position w:val="6"/>
                <w:sz w:val="11"/>
              </w:rPr>
              <w:t>3</w:t>
            </w:r>
            <w:r>
              <w:rPr>
                <w:rFonts w:ascii="Times New Roman" w:eastAsia="Times New Roman"/>
                <w:spacing w:val="2"/>
                <w:sz w:val="18"/>
              </w:rPr>
              <w:t>/d </w:t>
            </w:r>
            <w:r>
              <w:rPr>
                <w:spacing w:val="-22"/>
                <w:sz w:val="18"/>
              </w:rPr>
              <w:t>， 经二级生物法</w:t>
            </w:r>
            <w:r>
              <w:rPr>
                <w:rFonts w:ascii="Times New Roman" w:eastAsia="Times New Roman"/>
                <w:spacing w:val="-22"/>
                <w:sz w:val="18"/>
              </w:rPr>
              <w:t>+ </w:t>
            </w:r>
            <w:r>
              <w:rPr>
                <w:spacing w:val="-22"/>
                <w:sz w:val="18"/>
              </w:rPr>
              <w:t>超滤处理后， </w:t>
            </w:r>
            <w:r>
              <w:rPr>
                <w:spacing w:val="-3"/>
                <w:sz w:val="18"/>
              </w:rPr>
              <w:t>回用于生产、</w:t>
            </w:r>
            <w:r>
              <w:rPr>
                <w:spacing w:val="21"/>
                <w:sz w:val="18"/>
              </w:rPr>
              <w:t>工业场地绿化洒水用水</w:t>
            </w:r>
          </w:p>
        </w:tc>
        <w:tc>
          <w:tcPr>
            <w:tcW w:w="577" w:type="dxa"/>
          </w:tcPr>
          <w:p>
            <w:pPr>
              <w:pStyle w:val="TableParagraph"/>
              <w:spacing w:before="128"/>
              <w:ind w:left="198"/>
              <w:jc w:val="left"/>
              <w:rPr>
                <w:rFonts w:ascii="Times New Roman"/>
                <w:sz w:val="18"/>
              </w:rPr>
            </w:pPr>
            <w:r>
              <w:rPr>
                <w:rFonts w:ascii="Times New Roman"/>
                <w:sz w:val="18"/>
              </w:rPr>
              <w:t>90</w:t>
            </w:r>
          </w:p>
        </w:tc>
        <w:tc>
          <w:tcPr>
            <w:tcW w:w="353" w:type="dxa"/>
            <w:vMerge/>
            <w:tcBorders>
              <w:top w:val="nil"/>
            </w:tcBorders>
          </w:tcPr>
          <w:p>
            <w:pPr>
              <w:rPr>
                <w:sz w:val="2"/>
                <w:szCs w:val="2"/>
              </w:rPr>
            </w:pPr>
          </w:p>
        </w:tc>
        <w:tc>
          <w:tcPr>
            <w:tcW w:w="793"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2"/>
              <w:jc w:val="left"/>
              <w:rPr>
                <w:rFonts w:ascii="黑体"/>
                <w:sz w:val="20"/>
              </w:rPr>
            </w:pPr>
          </w:p>
          <w:p>
            <w:pPr>
              <w:pStyle w:val="TableParagraph"/>
              <w:ind w:left="6"/>
              <w:rPr>
                <w:rFonts w:ascii="Times New Roman"/>
                <w:sz w:val="18"/>
              </w:rPr>
            </w:pPr>
            <w:r>
              <w:rPr>
                <w:rFonts w:ascii="Times New Roman"/>
                <w:sz w:val="18"/>
              </w:rPr>
              <w:t>/</w:t>
            </w:r>
          </w:p>
        </w:tc>
        <w:tc>
          <w:tcPr>
            <w:tcW w:w="837" w:type="dxa"/>
          </w:tcPr>
          <w:p>
            <w:pPr>
              <w:pStyle w:val="TableParagraph"/>
              <w:spacing w:before="128"/>
              <w:ind w:left="236" w:right="226"/>
              <w:rPr>
                <w:rFonts w:ascii="Times New Roman"/>
                <w:sz w:val="18"/>
              </w:rPr>
            </w:pPr>
            <w:r>
              <w:rPr>
                <w:rFonts w:ascii="Times New Roman"/>
                <w:sz w:val="18"/>
              </w:rPr>
              <w:t>30</w:t>
            </w:r>
          </w:p>
        </w:tc>
        <w:tc>
          <w:tcPr>
            <w:tcW w:w="779" w:type="dxa"/>
          </w:tcPr>
          <w:p>
            <w:pPr>
              <w:pStyle w:val="TableParagraph"/>
              <w:spacing w:before="128"/>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35" w:hRule="atLeast"/>
        </w:trPr>
        <w:tc>
          <w:tcPr>
            <w:tcW w:w="390" w:type="dxa"/>
            <w:vMerge/>
            <w:tcBorders>
              <w:top w:val="nil"/>
            </w:tcBorders>
          </w:tcPr>
          <w:p>
            <w:pPr>
              <w:rPr>
                <w:sz w:val="2"/>
                <w:szCs w:val="2"/>
              </w:rPr>
            </w:pPr>
          </w:p>
        </w:tc>
        <w:tc>
          <w:tcPr>
            <w:tcW w:w="717" w:type="dxa"/>
          </w:tcPr>
          <w:p>
            <w:pPr>
              <w:pStyle w:val="TableParagraph"/>
              <w:spacing w:before="117"/>
              <w:ind w:left="119" w:right="108"/>
              <w:rPr>
                <w:rFonts w:ascii="Times New Roman"/>
                <w:sz w:val="18"/>
              </w:rPr>
            </w:pPr>
            <w:r>
              <w:rPr>
                <w:rFonts w:ascii="Times New Roman"/>
                <w:position w:val="1"/>
                <w:sz w:val="18"/>
              </w:rPr>
              <w:t>BOD</w:t>
            </w:r>
            <w:r>
              <w:rPr>
                <w:rFonts w:ascii="Times New Roman"/>
                <w:position w:val="1"/>
                <w:sz w:val="18"/>
                <w:vertAlign w:val="subscript"/>
              </w:rPr>
              <w:t>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13"/>
              <w:ind w:left="232" w:right="226"/>
              <w:rPr>
                <w:rFonts w:ascii="Times New Roman"/>
                <w:sz w:val="18"/>
              </w:rPr>
            </w:pPr>
            <w:r>
              <w:rPr>
                <w:rFonts w:ascii="Times New Roman"/>
                <w:sz w:val="18"/>
              </w:rPr>
              <w:t>200</w:t>
            </w:r>
          </w:p>
        </w:tc>
        <w:tc>
          <w:tcPr>
            <w:tcW w:w="779" w:type="dxa"/>
          </w:tcPr>
          <w:p>
            <w:pPr>
              <w:pStyle w:val="TableParagraph"/>
              <w:spacing w:before="113"/>
              <w:ind w:left="99" w:right="89"/>
              <w:rPr>
                <w:rFonts w:ascii="Times New Roman"/>
                <w:sz w:val="18"/>
              </w:rPr>
            </w:pPr>
            <w:r>
              <w:rPr>
                <w:rFonts w:ascii="Times New Roman"/>
                <w:sz w:val="18"/>
              </w:rPr>
              <w:t>18.34</w:t>
            </w:r>
          </w:p>
        </w:tc>
        <w:tc>
          <w:tcPr>
            <w:tcW w:w="1230" w:type="dxa"/>
            <w:vMerge/>
            <w:tcBorders>
              <w:top w:val="nil"/>
            </w:tcBorders>
          </w:tcPr>
          <w:p>
            <w:pPr>
              <w:rPr>
                <w:sz w:val="2"/>
                <w:szCs w:val="2"/>
              </w:rPr>
            </w:pPr>
          </w:p>
        </w:tc>
        <w:tc>
          <w:tcPr>
            <w:tcW w:w="577" w:type="dxa"/>
          </w:tcPr>
          <w:p>
            <w:pPr>
              <w:pStyle w:val="TableParagraph"/>
              <w:spacing w:before="113"/>
              <w:ind w:left="198"/>
              <w:jc w:val="left"/>
              <w:rPr>
                <w:rFonts w:ascii="Times New Roman"/>
                <w:sz w:val="18"/>
              </w:rPr>
            </w:pPr>
            <w:r>
              <w:rPr>
                <w:rFonts w:ascii="Times New Roman"/>
                <w:sz w:val="18"/>
              </w:rPr>
              <w:t>95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13"/>
              <w:ind w:left="236" w:right="226"/>
              <w:rPr>
                <w:rFonts w:ascii="Times New Roman"/>
                <w:sz w:val="18"/>
              </w:rPr>
            </w:pPr>
            <w:r>
              <w:rPr>
                <w:rFonts w:ascii="Times New Roman"/>
                <w:sz w:val="18"/>
              </w:rPr>
              <w:t>10</w:t>
            </w:r>
          </w:p>
        </w:tc>
        <w:tc>
          <w:tcPr>
            <w:tcW w:w="779" w:type="dxa"/>
          </w:tcPr>
          <w:p>
            <w:pPr>
              <w:pStyle w:val="TableParagraph"/>
              <w:spacing w:before="113"/>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425" w:hRule="atLeast"/>
        </w:trPr>
        <w:tc>
          <w:tcPr>
            <w:tcW w:w="390" w:type="dxa"/>
            <w:vMerge/>
            <w:tcBorders>
              <w:top w:val="nil"/>
            </w:tcBorders>
          </w:tcPr>
          <w:p>
            <w:pPr>
              <w:rPr>
                <w:sz w:val="2"/>
                <w:szCs w:val="2"/>
              </w:rPr>
            </w:pPr>
          </w:p>
        </w:tc>
        <w:tc>
          <w:tcPr>
            <w:tcW w:w="717" w:type="dxa"/>
          </w:tcPr>
          <w:p>
            <w:pPr>
              <w:pStyle w:val="TableParagraph"/>
              <w:spacing w:before="108"/>
              <w:ind w:left="118" w:right="108"/>
              <w:rPr>
                <w:rFonts w:ascii="Times New Roman"/>
                <w:sz w:val="18"/>
              </w:rPr>
            </w:pPr>
            <w:r>
              <w:rPr>
                <w:rFonts w:ascii="Times New Roman"/>
                <w:sz w:val="18"/>
              </w:rPr>
              <w:t>SS</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08"/>
              <w:ind w:left="232" w:right="226"/>
              <w:rPr>
                <w:rFonts w:ascii="Times New Roman"/>
                <w:sz w:val="18"/>
              </w:rPr>
            </w:pPr>
            <w:r>
              <w:rPr>
                <w:rFonts w:ascii="Times New Roman"/>
                <w:sz w:val="18"/>
              </w:rPr>
              <w:t>200</w:t>
            </w:r>
          </w:p>
        </w:tc>
        <w:tc>
          <w:tcPr>
            <w:tcW w:w="779" w:type="dxa"/>
          </w:tcPr>
          <w:p>
            <w:pPr>
              <w:pStyle w:val="TableParagraph"/>
              <w:spacing w:before="108"/>
              <w:ind w:left="99" w:right="89"/>
              <w:rPr>
                <w:rFonts w:ascii="Times New Roman"/>
                <w:sz w:val="18"/>
              </w:rPr>
            </w:pPr>
            <w:r>
              <w:rPr>
                <w:rFonts w:ascii="Times New Roman"/>
                <w:sz w:val="18"/>
              </w:rPr>
              <w:t>18.34</w:t>
            </w:r>
          </w:p>
        </w:tc>
        <w:tc>
          <w:tcPr>
            <w:tcW w:w="1230" w:type="dxa"/>
            <w:vMerge/>
            <w:tcBorders>
              <w:top w:val="nil"/>
            </w:tcBorders>
          </w:tcPr>
          <w:p>
            <w:pPr>
              <w:rPr>
                <w:sz w:val="2"/>
                <w:szCs w:val="2"/>
              </w:rPr>
            </w:pPr>
          </w:p>
        </w:tc>
        <w:tc>
          <w:tcPr>
            <w:tcW w:w="577" w:type="dxa"/>
          </w:tcPr>
          <w:p>
            <w:pPr>
              <w:pStyle w:val="TableParagraph"/>
              <w:spacing w:before="108"/>
              <w:ind w:left="198"/>
              <w:jc w:val="left"/>
              <w:rPr>
                <w:rFonts w:ascii="Times New Roman"/>
                <w:sz w:val="18"/>
              </w:rPr>
            </w:pPr>
            <w:r>
              <w:rPr>
                <w:rFonts w:ascii="Times New Roman"/>
                <w:sz w:val="18"/>
              </w:rPr>
              <w:t>95</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108"/>
              <w:ind w:left="236" w:right="226"/>
              <w:rPr>
                <w:rFonts w:ascii="Times New Roman"/>
                <w:sz w:val="18"/>
              </w:rPr>
            </w:pPr>
            <w:r>
              <w:rPr>
                <w:rFonts w:ascii="Times New Roman"/>
                <w:sz w:val="18"/>
              </w:rPr>
              <w:t>10</w:t>
            </w:r>
          </w:p>
        </w:tc>
        <w:tc>
          <w:tcPr>
            <w:tcW w:w="779" w:type="dxa"/>
          </w:tcPr>
          <w:p>
            <w:pPr>
              <w:pStyle w:val="TableParagraph"/>
              <w:spacing w:before="108"/>
              <w:ind w:left="6"/>
              <w:rPr>
                <w:rFonts w:ascii="Times New Roman"/>
                <w:sz w:val="18"/>
              </w:rPr>
            </w:pPr>
            <w:r>
              <w:rPr>
                <w:rFonts w:ascii="Times New Roman"/>
                <w:sz w:val="18"/>
              </w:rPr>
              <w:t>0</w:t>
            </w:r>
          </w:p>
        </w:tc>
        <w:tc>
          <w:tcPr>
            <w:tcW w:w="618" w:type="dxa"/>
            <w:vMerge/>
            <w:tcBorders>
              <w:top w:val="nil"/>
            </w:tcBorders>
          </w:tcPr>
          <w:p>
            <w:pPr>
              <w:rPr>
                <w:sz w:val="2"/>
                <w:szCs w:val="2"/>
              </w:rPr>
            </w:pPr>
          </w:p>
        </w:tc>
      </w:tr>
      <w:tr>
        <w:trPr>
          <w:trHeight w:val="393" w:hRule="atLeast"/>
        </w:trPr>
        <w:tc>
          <w:tcPr>
            <w:tcW w:w="390" w:type="dxa"/>
            <w:vMerge/>
            <w:tcBorders>
              <w:top w:val="nil"/>
            </w:tcBorders>
          </w:tcPr>
          <w:p>
            <w:pPr>
              <w:rPr>
                <w:sz w:val="2"/>
                <w:szCs w:val="2"/>
              </w:rPr>
            </w:pPr>
          </w:p>
        </w:tc>
        <w:tc>
          <w:tcPr>
            <w:tcW w:w="717" w:type="dxa"/>
          </w:tcPr>
          <w:p>
            <w:pPr>
              <w:pStyle w:val="TableParagraph"/>
              <w:spacing w:before="80"/>
              <w:ind w:left="114" w:right="108"/>
              <w:rPr>
                <w:sz w:val="18"/>
              </w:rPr>
            </w:pPr>
            <w:r>
              <w:rPr>
                <w:sz w:val="18"/>
              </w:rPr>
              <w:t>氨氮</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92"/>
              <w:ind w:left="234" w:right="226"/>
              <w:rPr>
                <w:rFonts w:ascii="Times New Roman"/>
                <w:sz w:val="18"/>
              </w:rPr>
            </w:pPr>
            <w:r>
              <w:rPr>
                <w:rFonts w:ascii="Times New Roman"/>
                <w:sz w:val="18"/>
              </w:rPr>
              <w:t>25</w:t>
            </w:r>
          </w:p>
        </w:tc>
        <w:tc>
          <w:tcPr>
            <w:tcW w:w="779" w:type="dxa"/>
          </w:tcPr>
          <w:p>
            <w:pPr>
              <w:pStyle w:val="TableParagraph"/>
              <w:spacing w:before="92"/>
              <w:ind w:left="99" w:right="89"/>
              <w:rPr>
                <w:rFonts w:ascii="Times New Roman"/>
                <w:sz w:val="18"/>
              </w:rPr>
            </w:pPr>
            <w:r>
              <w:rPr>
                <w:rFonts w:ascii="Times New Roman"/>
                <w:sz w:val="18"/>
              </w:rPr>
              <w:t>2.29</w:t>
            </w:r>
          </w:p>
        </w:tc>
        <w:tc>
          <w:tcPr>
            <w:tcW w:w="1230" w:type="dxa"/>
            <w:vMerge/>
            <w:tcBorders>
              <w:top w:val="nil"/>
            </w:tcBorders>
          </w:tcPr>
          <w:p>
            <w:pPr>
              <w:rPr>
                <w:sz w:val="2"/>
                <w:szCs w:val="2"/>
              </w:rPr>
            </w:pPr>
          </w:p>
        </w:tc>
        <w:tc>
          <w:tcPr>
            <w:tcW w:w="577" w:type="dxa"/>
          </w:tcPr>
          <w:p>
            <w:pPr>
              <w:pStyle w:val="TableParagraph"/>
              <w:spacing w:before="92"/>
              <w:ind w:left="198"/>
              <w:jc w:val="left"/>
              <w:rPr>
                <w:rFonts w:ascii="Times New Roman"/>
                <w:sz w:val="18"/>
              </w:rPr>
            </w:pPr>
            <w:r>
              <w:rPr>
                <w:rFonts w:ascii="Times New Roman"/>
                <w:sz w:val="18"/>
              </w:rPr>
              <w:t>80</w:t>
            </w:r>
          </w:p>
        </w:tc>
        <w:tc>
          <w:tcPr>
            <w:tcW w:w="353" w:type="dxa"/>
            <w:vMerge/>
            <w:tcBorders>
              <w:top w:val="nil"/>
            </w:tcBorders>
          </w:tcPr>
          <w:p>
            <w:pPr>
              <w:rPr>
                <w:sz w:val="2"/>
                <w:szCs w:val="2"/>
              </w:rPr>
            </w:pPr>
          </w:p>
        </w:tc>
        <w:tc>
          <w:tcPr>
            <w:tcW w:w="793" w:type="dxa"/>
            <w:vMerge/>
            <w:tcBorders>
              <w:top w:val="nil"/>
            </w:tcBorders>
          </w:tcPr>
          <w:p>
            <w:pPr>
              <w:rPr>
                <w:sz w:val="2"/>
                <w:szCs w:val="2"/>
              </w:rPr>
            </w:pPr>
          </w:p>
        </w:tc>
        <w:tc>
          <w:tcPr>
            <w:tcW w:w="837" w:type="dxa"/>
          </w:tcPr>
          <w:p>
            <w:pPr>
              <w:pStyle w:val="TableParagraph"/>
              <w:spacing w:before="92"/>
              <w:ind w:left="10"/>
              <w:rPr>
                <w:rFonts w:ascii="Times New Roman"/>
                <w:sz w:val="18"/>
              </w:rPr>
            </w:pPr>
            <w:r>
              <w:rPr>
                <w:rFonts w:ascii="Times New Roman"/>
                <w:sz w:val="18"/>
              </w:rPr>
              <w:t>5</w:t>
            </w:r>
          </w:p>
        </w:tc>
        <w:tc>
          <w:tcPr>
            <w:tcW w:w="779" w:type="dxa"/>
          </w:tcPr>
          <w:p>
            <w:pPr>
              <w:pStyle w:val="TableParagraph"/>
              <w:spacing w:before="92"/>
              <w:ind w:left="6"/>
              <w:rPr>
                <w:rFonts w:ascii="Times New Roman"/>
                <w:sz w:val="18"/>
              </w:rPr>
            </w:pPr>
            <w:r>
              <w:rPr>
                <w:rFonts w:ascii="Times New Roman"/>
                <w:sz w:val="18"/>
              </w:rPr>
              <w:t>0</w:t>
            </w:r>
          </w:p>
        </w:tc>
        <w:tc>
          <w:tcPr>
            <w:tcW w:w="618" w:type="dxa"/>
            <w:vMerge/>
            <w:tcBorders>
              <w:top w:val="nil"/>
            </w:tcBorders>
          </w:tcPr>
          <w:p>
            <w:pPr>
              <w:rPr>
                <w:sz w:val="2"/>
                <w:szCs w:val="2"/>
              </w:rPr>
            </w:pPr>
          </w:p>
        </w:tc>
      </w:tr>
    </w:tbl>
    <w:p>
      <w:pPr>
        <w:pStyle w:val="BodyText"/>
        <w:spacing w:before="4"/>
        <w:rPr>
          <w:rFonts w:ascii="黑体"/>
          <w:sz w:val="13"/>
        </w:rPr>
      </w:pPr>
    </w:p>
    <w:p>
      <w:pPr>
        <w:pStyle w:val="BodyText"/>
        <w:spacing w:line="364" w:lineRule="auto" w:before="66"/>
        <w:ind w:left="711" w:right="1027" w:firstLine="480"/>
      </w:pPr>
      <w:r>
        <w:rPr/>
        <w:t>通过以上对本工程水污染源排放情况的分析，确定本评价水环境评价因子为</w:t>
      </w:r>
      <w:r>
        <w:rPr>
          <w:spacing w:val="-14"/>
        </w:rPr>
        <w:t>氨氮、</w:t>
      </w:r>
      <w:r>
        <w:rPr>
          <w:rFonts w:ascii="Times New Roman" w:eastAsia="Times New Roman"/>
          <w:spacing w:val="-11"/>
        </w:rPr>
        <w:t>COD</w:t>
      </w:r>
      <w:r>
        <w:rPr>
          <w:spacing w:val="-11"/>
        </w:rPr>
        <w:t>，污染物排放浓度满足《煤炭工业污染物排放标准》</w:t>
      </w:r>
      <w:r>
        <w:rPr/>
        <w:t>（</w:t>
      </w:r>
      <w:r>
        <w:rPr>
          <w:rFonts w:ascii="Times New Roman" w:eastAsia="Times New Roman"/>
        </w:rPr>
        <w:t>GB20426-2006</w:t>
      </w:r>
      <w:r>
        <w:rPr/>
        <w:t>） </w:t>
      </w:r>
      <w:r>
        <w:rPr>
          <w:spacing w:val="-30"/>
        </w:rPr>
        <w:t>表 </w:t>
      </w:r>
      <w:r>
        <w:rPr>
          <w:rFonts w:ascii="Times New Roman" w:eastAsia="Times New Roman"/>
        </w:rPr>
        <w:t>1</w:t>
      </w:r>
      <w:r>
        <w:rPr/>
        <w:t>、</w:t>
      </w:r>
      <w:r>
        <w:rPr>
          <w:rFonts w:ascii="Times New Roman" w:eastAsia="Times New Roman"/>
        </w:rPr>
        <w:t>2 </w:t>
      </w:r>
      <w:r>
        <w:rPr/>
        <w:t>标准限值要求。</w:t>
      </w:r>
    </w:p>
    <w:p>
      <w:pPr>
        <w:pStyle w:val="ListParagraph"/>
        <w:numPr>
          <w:ilvl w:val="1"/>
          <w:numId w:val="32"/>
        </w:numPr>
        <w:tabs>
          <w:tab w:pos="1793" w:val="left" w:leader="none"/>
        </w:tabs>
        <w:spacing w:line="240" w:lineRule="auto" w:before="158" w:after="0"/>
        <w:ind w:left="1793" w:right="0" w:hanging="602"/>
        <w:jc w:val="left"/>
        <w:rPr>
          <w:sz w:val="24"/>
        </w:rPr>
      </w:pPr>
      <w:r>
        <w:rPr>
          <w:sz w:val="24"/>
        </w:rPr>
        <w:t>固体废物的源强分析</w:t>
      </w:r>
    </w:p>
    <w:p>
      <w:pPr>
        <w:pStyle w:val="BodyText"/>
        <w:spacing w:before="9"/>
      </w:pPr>
    </w:p>
    <w:p>
      <w:pPr>
        <w:pStyle w:val="BodyText"/>
        <w:spacing w:line="364" w:lineRule="auto"/>
        <w:ind w:left="711" w:right="1153" w:firstLine="480"/>
      </w:pPr>
      <w:r>
        <w:rPr>
          <w:spacing w:val="-1"/>
        </w:rPr>
        <w:t>本项目生产运营期主要固体废物为矸石、灰渣、生活垃圾、污泥、废润滑油</w:t>
      </w:r>
      <w:r>
        <w:rPr>
          <w:spacing w:val="-4"/>
        </w:rPr>
        <w:t>和废机油。固体废物的最终产排量详见表 </w:t>
      </w:r>
      <w:r>
        <w:rPr>
          <w:rFonts w:ascii="Times New Roman" w:eastAsia="Times New Roman"/>
        </w:rPr>
        <w:t>3.4-7</w:t>
      </w:r>
      <w:r>
        <w:rPr/>
        <w:t>。</w:t>
      </w:r>
    </w:p>
    <w:p>
      <w:pPr>
        <w:pStyle w:val="BodyText"/>
        <w:tabs>
          <w:tab w:pos="1039" w:val="left" w:leader="none"/>
        </w:tabs>
        <w:spacing w:before="97" w:after="36"/>
        <w:ind w:right="437"/>
        <w:jc w:val="center"/>
        <w:rPr>
          <w:rFonts w:ascii="黑体" w:eastAsia="黑体" w:hint="eastAsia"/>
        </w:rPr>
      </w:pPr>
      <w:r>
        <w:rPr>
          <w:rFonts w:ascii="黑体" w:eastAsia="黑体" w:hint="eastAsia"/>
        </w:rPr>
        <w:t>表</w:t>
      </w:r>
      <w:r>
        <w:rPr>
          <w:rFonts w:ascii="黑体" w:eastAsia="黑体" w:hint="eastAsia"/>
          <w:spacing w:val="-61"/>
        </w:rPr>
        <w:t> </w:t>
      </w:r>
      <w:r>
        <w:rPr>
          <w:rFonts w:ascii="Times New Roman" w:eastAsia="Times New Roman"/>
        </w:rPr>
        <w:t>3.4-7</w:t>
        <w:tab/>
      </w:r>
      <w:r>
        <w:rPr>
          <w:rFonts w:ascii="黑体" w:eastAsia="黑体" w:hint="eastAsia"/>
        </w:rPr>
        <w:t>本项目固体废物污染源源强核算结果</w:t>
      </w: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2"/>
        <w:gridCol w:w="1532"/>
        <w:gridCol w:w="1255"/>
        <w:gridCol w:w="1311"/>
        <w:gridCol w:w="2699"/>
      </w:tblGrid>
      <w:tr>
        <w:trPr>
          <w:trHeight w:val="272" w:hRule="atLeast"/>
        </w:trPr>
        <w:tc>
          <w:tcPr>
            <w:tcW w:w="1922" w:type="dxa"/>
          </w:tcPr>
          <w:p>
            <w:pPr>
              <w:pStyle w:val="TableParagraph"/>
              <w:spacing w:line="251" w:lineRule="exact"/>
              <w:ind w:left="108"/>
              <w:jc w:val="left"/>
              <w:rPr>
                <w:sz w:val="21"/>
              </w:rPr>
            </w:pPr>
            <w:r>
              <w:rPr>
                <w:sz w:val="21"/>
              </w:rPr>
              <w:t>装置</w:t>
            </w:r>
            <w:r>
              <w:rPr>
                <w:rFonts w:ascii="Times New Roman" w:eastAsia="Times New Roman"/>
                <w:sz w:val="21"/>
              </w:rPr>
              <w:t>/</w:t>
            </w:r>
            <w:r>
              <w:rPr>
                <w:sz w:val="21"/>
              </w:rPr>
              <w:t>生产环节</w:t>
            </w:r>
          </w:p>
        </w:tc>
        <w:tc>
          <w:tcPr>
            <w:tcW w:w="1532" w:type="dxa"/>
          </w:tcPr>
          <w:p>
            <w:pPr>
              <w:pStyle w:val="TableParagraph"/>
              <w:spacing w:line="251" w:lineRule="exact"/>
              <w:ind w:left="108"/>
              <w:jc w:val="left"/>
              <w:rPr>
                <w:sz w:val="21"/>
              </w:rPr>
            </w:pPr>
            <w:r>
              <w:rPr>
                <w:sz w:val="21"/>
              </w:rPr>
              <w:t>固体废物名称</w:t>
            </w:r>
          </w:p>
        </w:tc>
        <w:tc>
          <w:tcPr>
            <w:tcW w:w="1255" w:type="dxa"/>
          </w:tcPr>
          <w:p>
            <w:pPr>
              <w:pStyle w:val="TableParagraph"/>
              <w:spacing w:line="251" w:lineRule="exact"/>
              <w:ind w:left="107"/>
              <w:jc w:val="left"/>
              <w:rPr>
                <w:sz w:val="21"/>
              </w:rPr>
            </w:pPr>
            <w:r>
              <w:rPr>
                <w:sz w:val="21"/>
              </w:rPr>
              <w:t>固废属性</w:t>
            </w:r>
          </w:p>
        </w:tc>
        <w:tc>
          <w:tcPr>
            <w:tcW w:w="1311" w:type="dxa"/>
          </w:tcPr>
          <w:p>
            <w:pPr>
              <w:pStyle w:val="TableParagraph"/>
              <w:spacing w:line="251" w:lineRule="exact"/>
              <w:ind w:left="108" w:right="-15"/>
              <w:jc w:val="left"/>
              <w:rPr>
                <w:sz w:val="21"/>
              </w:rPr>
            </w:pPr>
            <w:r>
              <w:rPr>
                <w:spacing w:val="-20"/>
                <w:sz w:val="21"/>
              </w:rPr>
              <w:t>产生量</w:t>
            </w:r>
            <w:r>
              <w:rPr>
                <w:sz w:val="21"/>
              </w:rPr>
              <w:t>（</w:t>
            </w:r>
            <w:r>
              <w:rPr>
                <w:rFonts w:ascii="Times New Roman" w:eastAsia="Times New Roman"/>
                <w:sz w:val="21"/>
              </w:rPr>
              <w:t>t/a</w:t>
            </w:r>
            <w:r>
              <w:rPr>
                <w:sz w:val="21"/>
              </w:rPr>
              <w:t>）</w:t>
            </w:r>
          </w:p>
        </w:tc>
        <w:tc>
          <w:tcPr>
            <w:tcW w:w="2699" w:type="dxa"/>
          </w:tcPr>
          <w:p>
            <w:pPr>
              <w:pStyle w:val="TableParagraph"/>
              <w:spacing w:line="251" w:lineRule="exact"/>
              <w:ind w:left="107"/>
              <w:jc w:val="left"/>
              <w:rPr>
                <w:sz w:val="21"/>
              </w:rPr>
            </w:pPr>
            <w:r>
              <w:rPr>
                <w:sz w:val="21"/>
              </w:rPr>
              <w:t>最终去向</w:t>
            </w:r>
          </w:p>
        </w:tc>
      </w:tr>
      <w:tr>
        <w:trPr>
          <w:trHeight w:val="816" w:hRule="atLeast"/>
        </w:trPr>
        <w:tc>
          <w:tcPr>
            <w:tcW w:w="1922" w:type="dxa"/>
          </w:tcPr>
          <w:p>
            <w:pPr>
              <w:pStyle w:val="TableParagraph"/>
              <w:spacing w:before="4"/>
              <w:jc w:val="left"/>
              <w:rPr>
                <w:rFonts w:ascii="黑体"/>
                <w:sz w:val="21"/>
              </w:rPr>
            </w:pPr>
          </w:p>
          <w:p>
            <w:pPr>
              <w:pStyle w:val="TableParagraph"/>
              <w:ind w:left="108"/>
              <w:jc w:val="left"/>
              <w:rPr>
                <w:sz w:val="21"/>
              </w:rPr>
            </w:pPr>
            <w:r>
              <w:rPr>
                <w:sz w:val="21"/>
              </w:rPr>
              <w:t>煤炭开采</w:t>
            </w:r>
          </w:p>
        </w:tc>
        <w:tc>
          <w:tcPr>
            <w:tcW w:w="1532" w:type="dxa"/>
          </w:tcPr>
          <w:p>
            <w:pPr>
              <w:pStyle w:val="TableParagraph"/>
              <w:spacing w:before="4"/>
              <w:jc w:val="left"/>
              <w:rPr>
                <w:rFonts w:ascii="黑体"/>
                <w:sz w:val="21"/>
              </w:rPr>
            </w:pPr>
          </w:p>
          <w:p>
            <w:pPr>
              <w:pStyle w:val="TableParagraph"/>
              <w:ind w:left="108"/>
              <w:jc w:val="left"/>
              <w:rPr>
                <w:sz w:val="21"/>
              </w:rPr>
            </w:pPr>
            <w:r>
              <w:rPr>
                <w:sz w:val="21"/>
              </w:rPr>
              <w:t>矸石</w:t>
            </w:r>
          </w:p>
        </w:tc>
        <w:tc>
          <w:tcPr>
            <w:tcW w:w="1255" w:type="dxa"/>
            <w:vMerge w:val="restart"/>
          </w:tcPr>
          <w:p>
            <w:pPr>
              <w:pStyle w:val="TableParagraph"/>
              <w:jc w:val="left"/>
              <w:rPr>
                <w:rFonts w:ascii="黑体"/>
                <w:sz w:val="20"/>
              </w:rPr>
            </w:pPr>
          </w:p>
          <w:p>
            <w:pPr>
              <w:pStyle w:val="TableParagraph"/>
              <w:jc w:val="left"/>
              <w:rPr>
                <w:rFonts w:ascii="黑体"/>
                <w:sz w:val="20"/>
              </w:rPr>
            </w:pPr>
          </w:p>
          <w:p>
            <w:pPr>
              <w:pStyle w:val="TableParagraph"/>
              <w:spacing w:before="10"/>
              <w:jc w:val="left"/>
              <w:rPr>
                <w:rFonts w:ascii="黑体"/>
                <w:sz w:val="24"/>
              </w:rPr>
            </w:pPr>
          </w:p>
          <w:p>
            <w:pPr>
              <w:pStyle w:val="TableParagraph"/>
              <w:spacing w:line="244" w:lineRule="auto"/>
              <w:ind w:left="107" w:right="297"/>
              <w:jc w:val="left"/>
              <w:rPr>
                <w:sz w:val="21"/>
              </w:rPr>
            </w:pPr>
            <w:r>
              <w:rPr>
                <w:sz w:val="21"/>
              </w:rPr>
              <w:t>一般固体废物</w:t>
            </w:r>
          </w:p>
        </w:tc>
        <w:tc>
          <w:tcPr>
            <w:tcW w:w="1311" w:type="dxa"/>
          </w:tcPr>
          <w:p>
            <w:pPr>
              <w:pStyle w:val="TableParagraph"/>
              <w:spacing w:before="5"/>
              <w:jc w:val="left"/>
              <w:rPr>
                <w:rFonts w:ascii="黑体"/>
                <w:sz w:val="22"/>
              </w:rPr>
            </w:pPr>
          </w:p>
          <w:p>
            <w:pPr>
              <w:pStyle w:val="TableParagraph"/>
              <w:ind w:left="108"/>
              <w:jc w:val="left"/>
              <w:rPr>
                <w:rFonts w:ascii="Times New Roman"/>
                <w:sz w:val="21"/>
              </w:rPr>
            </w:pPr>
            <w:r>
              <w:rPr>
                <w:rFonts w:ascii="Times New Roman"/>
                <w:sz w:val="21"/>
              </w:rPr>
              <w:t>30000</w:t>
            </w:r>
          </w:p>
        </w:tc>
        <w:tc>
          <w:tcPr>
            <w:tcW w:w="2699" w:type="dxa"/>
          </w:tcPr>
          <w:p>
            <w:pPr>
              <w:pStyle w:val="TableParagraph"/>
              <w:spacing w:line="269" w:lineRule="exact"/>
              <w:ind w:left="107"/>
              <w:jc w:val="left"/>
              <w:rPr>
                <w:sz w:val="21"/>
              </w:rPr>
            </w:pPr>
            <w:r>
              <w:rPr>
                <w:sz w:val="21"/>
              </w:rPr>
              <w:t>用于平整工业场地、公路的</w:t>
            </w:r>
          </w:p>
          <w:p>
            <w:pPr>
              <w:pStyle w:val="TableParagraph"/>
              <w:spacing w:line="270" w:lineRule="atLeast" w:before="3"/>
              <w:ind w:left="107" w:right="39"/>
              <w:jc w:val="left"/>
              <w:rPr>
                <w:sz w:val="21"/>
              </w:rPr>
            </w:pPr>
            <w:r>
              <w:rPr>
                <w:sz w:val="21"/>
              </w:rPr>
              <w:t>路基石料、或用于填沟造田等</w:t>
            </w:r>
          </w:p>
        </w:tc>
      </w:tr>
      <w:tr>
        <w:trPr>
          <w:trHeight w:val="545" w:hRule="atLeast"/>
        </w:trPr>
        <w:tc>
          <w:tcPr>
            <w:tcW w:w="1922" w:type="dxa"/>
          </w:tcPr>
          <w:p>
            <w:pPr>
              <w:pStyle w:val="TableParagraph"/>
              <w:spacing w:before="135"/>
              <w:ind w:left="108"/>
              <w:jc w:val="left"/>
              <w:rPr>
                <w:sz w:val="21"/>
              </w:rPr>
            </w:pPr>
            <w:r>
              <w:rPr>
                <w:sz w:val="21"/>
              </w:rPr>
              <w:t>热风炉和热水锅炉</w:t>
            </w:r>
          </w:p>
        </w:tc>
        <w:tc>
          <w:tcPr>
            <w:tcW w:w="1532" w:type="dxa"/>
          </w:tcPr>
          <w:p>
            <w:pPr>
              <w:pStyle w:val="TableParagraph"/>
              <w:spacing w:before="135"/>
              <w:ind w:left="108"/>
              <w:jc w:val="left"/>
              <w:rPr>
                <w:sz w:val="21"/>
              </w:rPr>
            </w:pPr>
            <w:r>
              <w:rPr>
                <w:sz w:val="21"/>
              </w:rPr>
              <w:t>灰渣</w:t>
            </w:r>
          </w:p>
        </w:tc>
        <w:tc>
          <w:tcPr>
            <w:tcW w:w="1255" w:type="dxa"/>
            <w:vMerge/>
            <w:tcBorders>
              <w:top w:val="nil"/>
            </w:tcBorders>
          </w:tcPr>
          <w:p>
            <w:pPr>
              <w:rPr>
                <w:sz w:val="2"/>
                <w:szCs w:val="2"/>
              </w:rPr>
            </w:pPr>
          </w:p>
        </w:tc>
        <w:tc>
          <w:tcPr>
            <w:tcW w:w="1311" w:type="dxa"/>
          </w:tcPr>
          <w:p>
            <w:pPr>
              <w:pStyle w:val="TableParagraph"/>
              <w:spacing w:before="151"/>
              <w:ind w:left="108"/>
              <w:jc w:val="left"/>
              <w:rPr>
                <w:rFonts w:ascii="Times New Roman"/>
                <w:sz w:val="21"/>
              </w:rPr>
            </w:pPr>
            <w:r>
              <w:rPr>
                <w:rFonts w:ascii="Times New Roman"/>
                <w:sz w:val="21"/>
              </w:rPr>
              <w:t>553</w:t>
            </w:r>
          </w:p>
        </w:tc>
        <w:tc>
          <w:tcPr>
            <w:tcW w:w="2699" w:type="dxa"/>
          </w:tcPr>
          <w:p>
            <w:pPr>
              <w:pStyle w:val="TableParagraph"/>
              <w:ind w:left="107"/>
              <w:jc w:val="left"/>
              <w:rPr>
                <w:sz w:val="21"/>
              </w:rPr>
            </w:pPr>
            <w:r>
              <w:rPr>
                <w:sz w:val="21"/>
              </w:rPr>
              <w:t>作为农肥原料外售综合利</w:t>
            </w:r>
          </w:p>
          <w:p>
            <w:pPr>
              <w:pStyle w:val="TableParagraph"/>
              <w:spacing w:line="251" w:lineRule="exact" w:before="5"/>
              <w:ind w:left="107"/>
              <w:jc w:val="left"/>
              <w:rPr>
                <w:sz w:val="21"/>
              </w:rPr>
            </w:pPr>
            <w:r>
              <w:rPr>
                <w:w w:val="99"/>
                <w:sz w:val="21"/>
              </w:rPr>
              <w:t>用</w:t>
            </w:r>
          </w:p>
        </w:tc>
      </w:tr>
      <w:tr>
        <w:trPr>
          <w:trHeight w:val="272" w:hRule="atLeast"/>
        </w:trPr>
        <w:tc>
          <w:tcPr>
            <w:tcW w:w="1922" w:type="dxa"/>
          </w:tcPr>
          <w:p>
            <w:pPr>
              <w:pStyle w:val="TableParagraph"/>
              <w:spacing w:line="252" w:lineRule="exact"/>
              <w:ind w:left="108"/>
              <w:jc w:val="left"/>
              <w:rPr>
                <w:sz w:val="21"/>
              </w:rPr>
            </w:pPr>
            <w:r>
              <w:rPr>
                <w:sz w:val="21"/>
              </w:rPr>
              <w:t>工作人员</w:t>
            </w:r>
          </w:p>
        </w:tc>
        <w:tc>
          <w:tcPr>
            <w:tcW w:w="1532" w:type="dxa"/>
          </w:tcPr>
          <w:p>
            <w:pPr>
              <w:pStyle w:val="TableParagraph"/>
              <w:spacing w:line="252" w:lineRule="exact"/>
              <w:ind w:left="108"/>
              <w:jc w:val="left"/>
              <w:rPr>
                <w:sz w:val="21"/>
              </w:rPr>
            </w:pPr>
            <w:r>
              <w:rPr>
                <w:sz w:val="21"/>
              </w:rPr>
              <w:t>生活垃圾</w:t>
            </w:r>
          </w:p>
        </w:tc>
        <w:tc>
          <w:tcPr>
            <w:tcW w:w="1255" w:type="dxa"/>
            <w:vMerge/>
            <w:tcBorders>
              <w:top w:val="nil"/>
            </w:tcBorders>
          </w:tcPr>
          <w:p>
            <w:pPr>
              <w:rPr>
                <w:sz w:val="2"/>
                <w:szCs w:val="2"/>
              </w:rPr>
            </w:pPr>
          </w:p>
        </w:tc>
        <w:tc>
          <w:tcPr>
            <w:tcW w:w="1311" w:type="dxa"/>
          </w:tcPr>
          <w:p>
            <w:pPr>
              <w:pStyle w:val="TableParagraph"/>
              <w:spacing w:line="238" w:lineRule="exact" w:before="14"/>
              <w:ind w:left="108"/>
              <w:jc w:val="left"/>
              <w:rPr>
                <w:rFonts w:ascii="Times New Roman"/>
                <w:sz w:val="21"/>
              </w:rPr>
            </w:pPr>
            <w:r>
              <w:rPr>
                <w:rFonts w:ascii="Times New Roman"/>
                <w:sz w:val="21"/>
              </w:rPr>
              <w:t>59.9</w:t>
            </w:r>
          </w:p>
        </w:tc>
        <w:tc>
          <w:tcPr>
            <w:tcW w:w="2699" w:type="dxa"/>
          </w:tcPr>
          <w:p>
            <w:pPr>
              <w:pStyle w:val="TableParagraph"/>
              <w:spacing w:line="252" w:lineRule="exact"/>
              <w:ind w:left="107"/>
              <w:jc w:val="left"/>
              <w:rPr>
                <w:sz w:val="21"/>
              </w:rPr>
            </w:pPr>
            <w:r>
              <w:rPr>
                <w:sz w:val="21"/>
              </w:rPr>
              <w:t>委托环卫部门统一清运</w:t>
            </w:r>
          </w:p>
        </w:tc>
      </w:tr>
      <w:tr>
        <w:trPr>
          <w:trHeight w:val="545" w:hRule="atLeast"/>
        </w:trPr>
        <w:tc>
          <w:tcPr>
            <w:tcW w:w="1922" w:type="dxa"/>
          </w:tcPr>
          <w:p>
            <w:pPr>
              <w:pStyle w:val="TableParagraph"/>
              <w:spacing w:before="1"/>
              <w:ind w:left="108"/>
              <w:jc w:val="left"/>
              <w:rPr>
                <w:sz w:val="21"/>
              </w:rPr>
            </w:pPr>
            <w:r>
              <w:rPr>
                <w:sz w:val="21"/>
              </w:rPr>
              <w:t>矿井水处理站和</w:t>
            </w:r>
          </w:p>
          <w:p>
            <w:pPr>
              <w:pStyle w:val="TableParagraph"/>
              <w:spacing w:line="253" w:lineRule="exact" w:before="2"/>
              <w:ind w:left="108"/>
              <w:jc w:val="left"/>
              <w:rPr>
                <w:sz w:val="21"/>
              </w:rPr>
            </w:pPr>
            <w:r>
              <w:rPr>
                <w:sz w:val="21"/>
              </w:rPr>
              <w:t>生活污水处理设施</w:t>
            </w:r>
          </w:p>
        </w:tc>
        <w:tc>
          <w:tcPr>
            <w:tcW w:w="1532" w:type="dxa"/>
          </w:tcPr>
          <w:p>
            <w:pPr>
              <w:pStyle w:val="TableParagraph"/>
              <w:spacing w:before="135"/>
              <w:ind w:left="108"/>
              <w:jc w:val="left"/>
              <w:rPr>
                <w:sz w:val="21"/>
              </w:rPr>
            </w:pPr>
            <w:r>
              <w:rPr>
                <w:sz w:val="21"/>
              </w:rPr>
              <w:t>污泥</w:t>
            </w:r>
          </w:p>
        </w:tc>
        <w:tc>
          <w:tcPr>
            <w:tcW w:w="1255" w:type="dxa"/>
            <w:vMerge/>
            <w:tcBorders>
              <w:top w:val="nil"/>
            </w:tcBorders>
          </w:tcPr>
          <w:p>
            <w:pPr>
              <w:rPr>
                <w:sz w:val="2"/>
                <w:szCs w:val="2"/>
              </w:rPr>
            </w:pPr>
          </w:p>
        </w:tc>
        <w:tc>
          <w:tcPr>
            <w:tcW w:w="1311" w:type="dxa"/>
          </w:tcPr>
          <w:p>
            <w:pPr>
              <w:pStyle w:val="TableParagraph"/>
              <w:spacing w:before="152"/>
              <w:ind w:left="108"/>
              <w:jc w:val="left"/>
              <w:rPr>
                <w:rFonts w:ascii="Times New Roman"/>
                <w:sz w:val="21"/>
              </w:rPr>
            </w:pPr>
            <w:r>
              <w:rPr>
                <w:rFonts w:ascii="Times New Roman"/>
                <w:sz w:val="21"/>
              </w:rPr>
              <w:t>500</w:t>
            </w:r>
          </w:p>
        </w:tc>
        <w:tc>
          <w:tcPr>
            <w:tcW w:w="2699" w:type="dxa"/>
          </w:tcPr>
          <w:p>
            <w:pPr>
              <w:pStyle w:val="TableParagraph"/>
              <w:spacing w:before="1"/>
              <w:ind w:left="107"/>
              <w:jc w:val="left"/>
              <w:rPr>
                <w:sz w:val="21"/>
              </w:rPr>
            </w:pPr>
            <w:r>
              <w:rPr>
                <w:sz w:val="21"/>
              </w:rPr>
              <w:t>脱水后委托环卫部门统一</w:t>
            </w:r>
          </w:p>
          <w:p>
            <w:pPr>
              <w:pStyle w:val="TableParagraph"/>
              <w:spacing w:line="253" w:lineRule="exact" w:before="2"/>
              <w:ind w:left="107"/>
              <w:jc w:val="left"/>
              <w:rPr>
                <w:sz w:val="21"/>
              </w:rPr>
            </w:pPr>
            <w:r>
              <w:rPr>
                <w:sz w:val="21"/>
              </w:rPr>
              <w:t>清运</w:t>
            </w:r>
          </w:p>
        </w:tc>
      </w:tr>
      <w:tr>
        <w:trPr>
          <w:trHeight w:val="543" w:hRule="atLeast"/>
        </w:trPr>
        <w:tc>
          <w:tcPr>
            <w:tcW w:w="1922" w:type="dxa"/>
          </w:tcPr>
          <w:p>
            <w:pPr>
              <w:pStyle w:val="TableParagraph"/>
              <w:spacing w:before="135"/>
              <w:ind w:left="108"/>
              <w:jc w:val="left"/>
              <w:rPr>
                <w:sz w:val="21"/>
              </w:rPr>
            </w:pPr>
            <w:r>
              <w:rPr>
                <w:sz w:val="21"/>
              </w:rPr>
              <w:t>设备维修</w:t>
            </w:r>
          </w:p>
        </w:tc>
        <w:tc>
          <w:tcPr>
            <w:tcW w:w="1532" w:type="dxa"/>
          </w:tcPr>
          <w:p>
            <w:pPr>
              <w:pStyle w:val="TableParagraph"/>
              <w:spacing w:before="135"/>
              <w:ind w:left="108"/>
              <w:jc w:val="left"/>
              <w:rPr>
                <w:sz w:val="21"/>
              </w:rPr>
            </w:pPr>
            <w:r>
              <w:rPr>
                <w:sz w:val="21"/>
              </w:rPr>
              <w:t>废机油</w:t>
            </w:r>
          </w:p>
        </w:tc>
        <w:tc>
          <w:tcPr>
            <w:tcW w:w="1255" w:type="dxa"/>
          </w:tcPr>
          <w:p>
            <w:pPr>
              <w:pStyle w:val="TableParagraph"/>
              <w:spacing w:before="135"/>
              <w:ind w:left="107"/>
              <w:jc w:val="left"/>
              <w:rPr>
                <w:sz w:val="21"/>
              </w:rPr>
            </w:pPr>
            <w:r>
              <w:rPr>
                <w:sz w:val="21"/>
              </w:rPr>
              <w:t>危险废物</w:t>
            </w:r>
          </w:p>
        </w:tc>
        <w:tc>
          <w:tcPr>
            <w:tcW w:w="1311" w:type="dxa"/>
          </w:tcPr>
          <w:p>
            <w:pPr>
              <w:pStyle w:val="TableParagraph"/>
              <w:spacing w:before="149"/>
              <w:ind w:left="108"/>
              <w:jc w:val="left"/>
              <w:rPr>
                <w:rFonts w:ascii="Times New Roman"/>
                <w:sz w:val="21"/>
              </w:rPr>
            </w:pPr>
            <w:r>
              <w:rPr>
                <w:rFonts w:ascii="Times New Roman"/>
                <w:sz w:val="21"/>
              </w:rPr>
              <w:t>0.02</w:t>
            </w:r>
          </w:p>
        </w:tc>
        <w:tc>
          <w:tcPr>
            <w:tcW w:w="2699" w:type="dxa"/>
          </w:tcPr>
          <w:p>
            <w:pPr>
              <w:pStyle w:val="TableParagraph"/>
              <w:ind w:left="107"/>
              <w:jc w:val="left"/>
              <w:rPr>
                <w:sz w:val="21"/>
              </w:rPr>
            </w:pPr>
            <w:r>
              <w:rPr>
                <w:sz w:val="21"/>
              </w:rPr>
              <w:t>在危险废物暂存间内暂存，</w:t>
            </w:r>
          </w:p>
          <w:p>
            <w:pPr>
              <w:pStyle w:val="TableParagraph"/>
              <w:spacing w:line="252" w:lineRule="exact" w:before="2"/>
              <w:ind w:left="107"/>
              <w:jc w:val="left"/>
              <w:rPr>
                <w:sz w:val="21"/>
              </w:rPr>
            </w:pPr>
            <w:r>
              <w:rPr>
                <w:sz w:val="21"/>
              </w:rPr>
              <w:t>定期委托有资质单位处置</w:t>
            </w:r>
          </w:p>
        </w:tc>
      </w:tr>
    </w:tbl>
    <w:p>
      <w:pPr>
        <w:pStyle w:val="BodyText"/>
        <w:tabs>
          <w:tab w:pos="1039" w:val="left" w:leader="none"/>
        </w:tabs>
        <w:spacing w:before="2" w:after="3"/>
        <w:ind w:right="437"/>
        <w:jc w:val="center"/>
        <w:rPr>
          <w:rFonts w:ascii="黑体" w:eastAsia="黑体" w:hint="eastAsia"/>
        </w:rPr>
      </w:pPr>
      <w:r>
        <w:rPr>
          <w:rFonts w:ascii="黑体" w:eastAsia="黑体" w:hint="eastAsia"/>
        </w:rPr>
        <w:t>表</w:t>
      </w:r>
      <w:r>
        <w:rPr>
          <w:rFonts w:ascii="黑体" w:eastAsia="黑体" w:hint="eastAsia"/>
          <w:spacing w:val="-61"/>
        </w:rPr>
        <w:t> </w:t>
      </w:r>
      <w:r>
        <w:rPr>
          <w:rFonts w:ascii="Times New Roman" w:eastAsia="Times New Roman"/>
        </w:rPr>
        <w:t>3.4-8</w:t>
        <w:tab/>
      </w:r>
      <w:r>
        <w:rPr>
          <w:rFonts w:ascii="黑体" w:eastAsia="黑体" w:hint="eastAsia"/>
        </w:rPr>
        <w:t>本项目危险废物汇总表</w:t>
      </w:r>
    </w:p>
    <w:tbl>
      <w:tblPr>
        <w:tblW w:w="0" w:type="auto"/>
        <w:jc w:val="left"/>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4"/>
        <w:gridCol w:w="1357"/>
        <w:gridCol w:w="912"/>
        <w:gridCol w:w="1067"/>
        <w:gridCol w:w="879"/>
        <w:gridCol w:w="1445"/>
        <w:gridCol w:w="439"/>
        <w:gridCol w:w="729"/>
        <w:gridCol w:w="1910"/>
      </w:tblGrid>
      <w:tr>
        <w:trPr>
          <w:trHeight w:val="544" w:hRule="atLeast"/>
        </w:trPr>
        <w:tc>
          <w:tcPr>
            <w:tcW w:w="444" w:type="dxa"/>
          </w:tcPr>
          <w:p>
            <w:pPr>
              <w:pStyle w:val="TableParagraph"/>
              <w:ind w:left="106"/>
              <w:jc w:val="left"/>
              <w:rPr>
                <w:sz w:val="21"/>
              </w:rPr>
            </w:pPr>
            <w:r>
              <w:rPr>
                <w:w w:val="99"/>
                <w:sz w:val="21"/>
              </w:rPr>
              <w:t>序</w:t>
            </w:r>
          </w:p>
          <w:p>
            <w:pPr>
              <w:pStyle w:val="TableParagraph"/>
              <w:spacing w:line="252" w:lineRule="exact" w:before="2"/>
              <w:ind w:left="106"/>
              <w:jc w:val="left"/>
              <w:rPr>
                <w:sz w:val="21"/>
              </w:rPr>
            </w:pPr>
            <w:r>
              <w:rPr>
                <w:w w:val="99"/>
                <w:sz w:val="21"/>
              </w:rPr>
              <w:t>号</w:t>
            </w:r>
          </w:p>
        </w:tc>
        <w:tc>
          <w:tcPr>
            <w:tcW w:w="1357" w:type="dxa"/>
          </w:tcPr>
          <w:p>
            <w:pPr>
              <w:pStyle w:val="TableParagraph"/>
              <w:ind w:left="106"/>
              <w:jc w:val="left"/>
              <w:rPr>
                <w:sz w:val="21"/>
              </w:rPr>
            </w:pPr>
            <w:r>
              <w:rPr>
                <w:sz w:val="21"/>
              </w:rPr>
              <w:t>危险废物</w:t>
            </w:r>
          </w:p>
          <w:p>
            <w:pPr>
              <w:pStyle w:val="TableParagraph"/>
              <w:spacing w:line="252" w:lineRule="exact" w:before="2"/>
              <w:ind w:left="106"/>
              <w:jc w:val="left"/>
              <w:rPr>
                <w:sz w:val="21"/>
              </w:rPr>
            </w:pPr>
            <w:r>
              <w:rPr>
                <w:sz w:val="21"/>
              </w:rPr>
              <w:t>名称</w:t>
            </w:r>
          </w:p>
        </w:tc>
        <w:tc>
          <w:tcPr>
            <w:tcW w:w="912" w:type="dxa"/>
          </w:tcPr>
          <w:p>
            <w:pPr>
              <w:pStyle w:val="TableParagraph"/>
              <w:ind w:left="107"/>
              <w:jc w:val="left"/>
              <w:rPr>
                <w:sz w:val="21"/>
              </w:rPr>
            </w:pPr>
            <w:r>
              <w:rPr>
                <w:w w:val="95"/>
                <w:sz w:val="21"/>
              </w:rPr>
              <w:t>危险废</w:t>
            </w:r>
          </w:p>
          <w:p>
            <w:pPr>
              <w:pStyle w:val="TableParagraph"/>
              <w:spacing w:line="252" w:lineRule="exact" w:before="2"/>
              <w:ind w:left="107"/>
              <w:jc w:val="left"/>
              <w:rPr>
                <w:sz w:val="21"/>
              </w:rPr>
            </w:pPr>
            <w:r>
              <w:rPr>
                <w:w w:val="95"/>
                <w:sz w:val="21"/>
              </w:rPr>
              <w:t>物类别</w:t>
            </w:r>
          </w:p>
        </w:tc>
        <w:tc>
          <w:tcPr>
            <w:tcW w:w="1067" w:type="dxa"/>
          </w:tcPr>
          <w:p>
            <w:pPr>
              <w:pStyle w:val="TableParagraph"/>
              <w:ind w:left="107"/>
              <w:jc w:val="left"/>
              <w:rPr>
                <w:sz w:val="21"/>
              </w:rPr>
            </w:pPr>
            <w:r>
              <w:rPr>
                <w:sz w:val="21"/>
              </w:rPr>
              <w:t>危险废物</w:t>
            </w:r>
          </w:p>
          <w:p>
            <w:pPr>
              <w:pStyle w:val="TableParagraph"/>
              <w:spacing w:line="252" w:lineRule="exact" w:before="2"/>
              <w:ind w:left="107"/>
              <w:jc w:val="left"/>
              <w:rPr>
                <w:sz w:val="21"/>
              </w:rPr>
            </w:pPr>
            <w:r>
              <w:rPr>
                <w:sz w:val="21"/>
              </w:rPr>
              <w:t>代码</w:t>
            </w:r>
          </w:p>
        </w:tc>
        <w:tc>
          <w:tcPr>
            <w:tcW w:w="879" w:type="dxa"/>
          </w:tcPr>
          <w:p>
            <w:pPr>
              <w:pStyle w:val="TableParagraph"/>
              <w:spacing w:before="15"/>
              <w:ind w:left="106"/>
              <w:jc w:val="left"/>
              <w:rPr>
                <w:sz w:val="21"/>
              </w:rPr>
            </w:pPr>
            <w:r>
              <w:rPr>
                <w:sz w:val="21"/>
              </w:rPr>
              <w:t>产生量</w:t>
            </w:r>
          </w:p>
          <w:p>
            <w:pPr>
              <w:pStyle w:val="TableParagraph"/>
              <w:spacing w:line="238" w:lineRule="exact" w:before="1"/>
              <w:ind w:left="106"/>
              <w:jc w:val="left"/>
              <w:rPr>
                <w:rFonts w:ascii="Times New Roman"/>
                <w:sz w:val="21"/>
              </w:rPr>
            </w:pPr>
            <w:r>
              <w:rPr>
                <w:rFonts w:ascii="Times New Roman"/>
                <w:sz w:val="21"/>
              </w:rPr>
              <w:t>(t/a)</w:t>
            </w:r>
          </w:p>
        </w:tc>
        <w:tc>
          <w:tcPr>
            <w:tcW w:w="1445" w:type="dxa"/>
          </w:tcPr>
          <w:p>
            <w:pPr>
              <w:pStyle w:val="TableParagraph"/>
              <w:ind w:left="108"/>
              <w:jc w:val="left"/>
              <w:rPr>
                <w:sz w:val="21"/>
              </w:rPr>
            </w:pPr>
            <w:r>
              <w:rPr>
                <w:sz w:val="21"/>
              </w:rPr>
              <w:t>产生工序及</w:t>
            </w:r>
          </w:p>
          <w:p>
            <w:pPr>
              <w:pStyle w:val="TableParagraph"/>
              <w:spacing w:line="252" w:lineRule="exact" w:before="2"/>
              <w:ind w:left="108"/>
              <w:jc w:val="left"/>
              <w:rPr>
                <w:sz w:val="21"/>
              </w:rPr>
            </w:pPr>
            <w:r>
              <w:rPr>
                <w:sz w:val="21"/>
              </w:rPr>
              <w:t>装置</w:t>
            </w:r>
          </w:p>
        </w:tc>
        <w:tc>
          <w:tcPr>
            <w:tcW w:w="439" w:type="dxa"/>
          </w:tcPr>
          <w:p>
            <w:pPr>
              <w:pStyle w:val="TableParagraph"/>
              <w:ind w:left="108"/>
              <w:jc w:val="left"/>
              <w:rPr>
                <w:sz w:val="21"/>
              </w:rPr>
            </w:pPr>
            <w:r>
              <w:rPr>
                <w:w w:val="99"/>
                <w:sz w:val="21"/>
              </w:rPr>
              <w:t>形</w:t>
            </w:r>
          </w:p>
          <w:p>
            <w:pPr>
              <w:pStyle w:val="TableParagraph"/>
              <w:spacing w:line="252" w:lineRule="exact" w:before="2"/>
              <w:ind w:left="108"/>
              <w:jc w:val="left"/>
              <w:rPr>
                <w:sz w:val="21"/>
              </w:rPr>
            </w:pPr>
            <w:r>
              <w:rPr>
                <w:w w:val="99"/>
                <w:sz w:val="21"/>
              </w:rPr>
              <w:t>态</w:t>
            </w:r>
          </w:p>
        </w:tc>
        <w:tc>
          <w:tcPr>
            <w:tcW w:w="729" w:type="dxa"/>
          </w:tcPr>
          <w:p>
            <w:pPr>
              <w:pStyle w:val="TableParagraph"/>
              <w:ind w:left="108"/>
              <w:jc w:val="left"/>
              <w:rPr>
                <w:sz w:val="21"/>
              </w:rPr>
            </w:pPr>
            <w:r>
              <w:rPr>
                <w:spacing w:val="-1"/>
                <w:w w:val="95"/>
                <w:sz w:val="21"/>
              </w:rPr>
              <w:t>危险</w:t>
            </w:r>
          </w:p>
          <w:p>
            <w:pPr>
              <w:pStyle w:val="TableParagraph"/>
              <w:spacing w:line="252" w:lineRule="exact" w:before="2"/>
              <w:ind w:left="108"/>
              <w:jc w:val="left"/>
              <w:rPr>
                <w:sz w:val="21"/>
              </w:rPr>
            </w:pPr>
            <w:r>
              <w:rPr>
                <w:spacing w:val="-1"/>
                <w:w w:val="95"/>
                <w:sz w:val="21"/>
              </w:rPr>
              <w:t>特性</w:t>
            </w:r>
          </w:p>
        </w:tc>
        <w:tc>
          <w:tcPr>
            <w:tcW w:w="1910" w:type="dxa"/>
          </w:tcPr>
          <w:p>
            <w:pPr>
              <w:pStyle w:val="TableParagraph"/>
              <w:spacing w:before="135"/>
              <w:ind w:left="106"/>
              <w:jc w:val="left"/>
              <w:rPr>
                <w:sz w:val="21"/>
              </w:rPr>
            </w:pPr>
            <w:r>
              <w:rPr>
                <w:sz w:val="21"/>
              </w:rPr>
              <w:t>污染防治措施</w:t>
            </w:r>
          </w:p>
        </w:tc>
      </w:tr>
      <w:tr>
        <w:trPr>
          <w:trHeight w:val="816" w:hRule="atLeast"/>
        </w:trPr>
        <w:tc>
          <w:tcPr>
            <w:tcW w:w="444" w:type="dxa"/>
          </w:tcPr>
          <w:p>
            <w:pPr>
              <w:pStyle w:val="TableParagraph"/>
              <w:spacing w:before="4"/>
              <w:jc w:val="left"/>
              <w:rPr>
                <w:rFonts w:ascii="黑体"/>
                <w:sz w:val="22"/>
              </w:rPr>
            </w:pPr>
          </w:p>
          <w:p>
            <w:pPr>
              <w:pStyle w:val="TableParagraph"/>
              <w:ind w:left="106"/>
              <w:jc w:val="left"/>
              <w:rPr>
                <w:rFonts w:ascii="Times New Roman"/>
                <w:sz w:val="21"/>
              </w:rPr>
            </w:pPr>
            <w:r>
              <w:rPr>
                <w:rFonts w:ascii="Times New Roman"/>
                <w:w w:val="99"/>
                <w:sz w:val="21"/>
              </w:rPr>
              <w:t>1</w:t>
            </w:r>
          </w:p>
        </w:tc>
        <w:tc>
          <w:tcPr>
            <w:tcW w:w="1357" w:type="dxa"/>
          </w:tcPr>
          <w:p>
            <w:pPr>
              <w:pStyle w:val="TableParagraph"/>
              <w:spacing w:before="3"/>
              <w:jc w:val="left"/>
              <w:rPr>
                <w:rFonts w:ascii="黑体"/>
                <w:sz w:val="21"/>
              </w:rPr>
            </w:pPr>
          </w:p>
          <w:p>
            <w:pPr>
              <w:pStyle w:val="TableParagraph"/>
              <w:ind w:left="106"/>
              <w:jc w:val="left"/>
              <w:rPr>
                <w:sz w:val="21"/>
              </w:rPr>
            </w:pPr>
            <w:r>
              <w:rPr>
                <w:sz w:val="21"/>
              </w:rPr>
              <w:t>废机油</w:t>
            </w:r>
          </w:p>
        </w:tc>
        <w:tc>
          <w:tcPr>
            <w:tcW w:w="912" w:type="dxa"/>
          </w:tcPr>
          <w:p>
            <w:pPr>
              <w:pStyle w:val="TableParagraph"/>
              <w:spacing w:before="4"/>
              <w:jc w:val="left"/>
              <w:rPr>
                <w:rFonts w:ascii="黑体"/>
                <w:sz w:val="22"/>
              </w:rPr>
            </w:pPr>
          </w:p>
          <w:p>
            <w:pPr>
              <w:pStyle w:val="TableParagraph"/>
              <w:ind w:left="107"/>
              <w:jc w:val="left"/>
              <w:rPr>
                <w:rFonts w:ascii="Times New Roman"/>
                <w:sz w:val="21"/>
              </w:rPr>
            </w:pPr>
            <w:r>
              <w:rPr>
                <w:rFonts w:ascii="Times New Roman"/>
                <w:sz w:val="21"/>
              </w:rPr>
              <w:t>HW08</w:t>
            </w:r>
          </w:p>
        </w:tc>
        <w:tc>
          <w:tcPr>
            <w:tcW w:w="1067" w:type="dxa"/>
          </w:tcPr>
          <w:p>
            <w:pPr>
              <w:pStyle w:val="TableParagraph"/>
              <w:spacing w:before="166"/>
              <w:ind w:left="107"/>
              <w:jc w:val="left"/>
              <w:rPr>
                <w:rFonts w:ascii="Times New Roman"/>
                <w:sz w:val="21"/>
              </w:rPr>
            </w:pPr>
            <w:r>
              <w:rPr>
                <w:rFonts w:ascii="Times New Roman"/>
                <w:sz w:val="21"/>
              </w:rPr>
              <w:t>900-217-</w:t>
            </w:r>
          </w:p>
          <w:p>
            <w:pPr>
              <w:pStyle w:val="TableParagraph"/>
              <w:spacing w:before="1"/>
              <w:ind w:left="107"/>
              <w:jc w:val="left"/>
              <w:rPr>
                <w:rFonts w:ascii="Times New Roman"/>
                <w:sz w:val="21"/>
              </w:rPr>
            </w:pPr>
            <w:r>
              <w:rPr>
                <w:rFonts w:ascii="Times New Roman"/>
                <w:sz w:val="21"/>
              </w:rPr>
              <w:t>08</w:t>
            </w:r>
          </w:p>
        </w:tc>
        <w:tc>
          <w:tcPr>
            <w:tcW w:w="879" w:type="dxa"/>
          </w:tcPr>
          <w:p>
            <w:pPr>
              <w:pStyle w:val="TableParagraph"/>
              <w:spacing w:before="4"/>
              <w:jc w:val="left"/>
              <w:rPr>
                <w:rFonts w:ascii="黑体"/>
                <w:sz w:val="22"/>
              </w:rPr>
            </w:pPr>
          </w:p>
          <w:p>
            <w:pPr>
              <w:pStyle w:val="TableParagraph"/>
              <w:ind w:left="106"/>
              <w:jc w:val="left"/>
              <w:rPr>
                <w:rFonts w:ascii="Times New Roman"/>
                <w:sz w:val="21"/>
              </w:rPr>
            </w:pPr>
            <w:r>
              <w:rPr>
                <w:rFonts w:ascii="Times New Roman"/>
                <w:sz w:val="21"/>
              </w:rPr>
              <w:t>0.02</w:t>
            </w:r>
          </w:p>
        </w:tc>
        <w:tc>
          <w:tcPr>
            <w:tcW w:w="1445" w:type="dxa"/>
          </w:tcPr>
          <w:p>
            <w:pPr>
              <w:pStyle w:val="TableParagraph"/>
              <w:spacing w:before="3"/>
              <w:jc w:val="left"/>
              <w:rPr>
                <w:rFonts w:ascii="黑体"/>
                <w:sz w:val="21"/>
              </w:rPr>
            </w:pPr>
          </w:p>
          <w:p>
            <w:pPr>
              <w:pStyle w:val="TableParagraph"/>
              <w:ind w:left="108"/>
              <w:jc w:val="left"/>
              <w:rPr>
                <w:sz w:val="21"/>
              </w:rPr>
            </w:pPr>
            <w:r>
              <w:rPr>
                <w:sz w:val="21"/>
              </w:rPr>
              <w:t>设备维修</w:t>
            </w:r>
          </w:p>
        </w:tc>
        <w:tc>
          <w:tcPr>
            <w:tcW w:w="439" w:type="dxa"/>
          </w:tcPr>
          <w:p>
            <w:pPr>
              <w:pStyle w:val="TableParagraph"/>
              <w:spacing w:line="242" w:lineRule="auto" w:before="137"/>
              <w:ind w:left="108" w:right="109"/>
              <w:jc w:val="left"/>
              <w:rPr>
                <w:sz w:val="21"/>
              </w:rPr>
            </w:pPr>
            <w:r>
              <w:rPr>
                <w:sz w:val="21"/>
              </w:rPr>
              <w:t>液体</w:t>
            </w:r>
          </w:p>
        </w:tc>
        <w:tc>
          <w:tcPr>
            <w:tcW w:w="729" w:type="dxa"/>
          </w:tcPr>
          <w:p>
            <w:pPr>
              <w:pStyle w:val="TableParagraph"/>
              <w:spacing w:before="4"/>
              <w:jc w:val="left"/>
              <w:rPr>
                <w:rFonts w:ascii="黑体"/>
                <w:sz w:val="22"/>
              </w:rPr>
            </w:pPr>
          </w:p>
          <w:p>
            <w:pPr>
              <w:pStyle w:val="TableParagraph"/>
              <w:ind w:left="108"/>
              <w:jc w:val="left"/>
              <w:rPr>
                <w:rFonts w:ascii="Times New Roman"/>
                <w:sz w:val="21"/>
              </w:rPr>
            </w:pPr>
            <w:r>
              <w:rPr>
                <w:rFonts w:ascii="Times New Roman"/>
                <w:sz w:val="21"/>
              </w:rPr>
              <w:t>T/In</w:t>
            </w:r>
          </w:p>
        </w:tc>
        <w:tc>
          <w:tcPr>
            <w:tcW w:w="1910" w:type="dxa"/>
          </w:tcPr>
          <w:p>
            <w:pPr>
              <w:pStyle w:val="TableParagraph"/>
              <w:spacing w:line="242" w:lineRule="auto" w:before="1"/>
              <w:ind w:left="106" w:right="113"/>
              <w:jc w:val="left"/>
              <w:rPr>
                <w:sz w:val="21"/>
              </w:rPr>
            </w:pPr>
            <w:r>
              <w:rPr>
                <w:sz w:val="21"/>
              </w:rPr>
              <w:t>在危险废物暂存间内暂存，定期委托</w:t>
            </w:r>
          </w:p>
          <w:p>
            <w:pPr>
              <w:pStyle w:val="TableParagraph"/>
              <w:spacing w:line="251" w:lineRule="exact" w:before="1"/>
              <w:ind w:left="106"/>
              <w:jc w:val="left"/>
              <w:rPr>
                <w:sz w:val="21"/>
              </w:rPr>
            </w:pPr>
            <w:r>
              <w:rPr>
                <w:sz w:val="21"/>
              </w:rPr>
              <w:t>有资质单位处置</w:t>
            </w:r>
          </w:p>
        </w:tc>
      </w:tr>
    </w:tbl>
    <w:p>
      <w:pPr>
        <w:pStyle w:val="BodyText"/>
        <w:spacing w:line="362" w:lineRule="auto" w:before="3"/>
        <w:ind w:left="711" w:right="1144" w:firstLine="420"/>
      </w:pPr>
      <w:r>
        <w:rPr>
          <w:spacing w:val="-5"/>
        </w:rPr>
        <w:t>矸石量按照煤炭开采能力 </w:t>
      </w:r>
      <w:r>
        <w:rPr>
          <w:rFonts w:ascii="Times New Roman" w:hAnsi="Times New Roman" w:eastAsia="Times New Roman"/>
        </w:rPr>
        <w:t>10%</w:t>
      </w:r>
      <w:r>
        <w:rPr>
          <w:spacing w:val="-11"/>
        </w:rPr>
        <w:t>估算，生活垃圾按照 </w:t>
      </w:r>
      <w:r>
        <w:rPr>
          <w:rFonts w:ascii="Times New Roman" w:hAnsi="Times New Roman" w:eastAsia="Times New Roman"/>
          <w:spacing w:val="-4"/>
        </w:rPr>
        <w:t>0.5kg/</w:t>
      </w:r>
      <w:r>
        <w:rPr>
          <w:spacing w:val="-4"/>
        </w:rPr>
        <w:t>（</w:t>
      </w:r>
      <w:r>
        <w:rPr/>
        <w:t>人</w:t>
      </w:r>
      <w:r>
        <w:rPr>
          <w:rFonts w:ascii="Times New Roman" w:hAnsi="Times New Roman" w:eastAsia="Times New Roman"/>
          <w:spacing w:val="-9"/>
        </w:rPr>
        <w:t>·d</w:t>
      </w:r>
      <w:r>
        <w:rPr>
          <w:spacing w:val="-9"/>
        </w:rPr>
        <w:t>）</w:t>
      </w:r>
      <w:r>
        <w:rPr>
          <w:spacing w:val="-8"/>
        </w:rPr>
        <w:t>估算，灰渣</w:t>
      </w:r>
      <w:r>
        <w:rPr/>
        <w:t>量按照下面公式核算。</w:t>
      </w:r>
    </w:p>
    <w:p>
      <w:pPr>
        <w:pStyle w:val="BodyText"/>
        <w:spacing w:before="5"/>
        <w:ind w:left="1131"/>
      </w:pPr>
      <w:r>
        <w:rPr/>
        <w:t>燃生物质锅炉灰渣：</w:t>
      </w:r>
    </w:p>
    <w:p>
      <w:pPr>
        <w:spacing w:after="0"/>
        <w:sectPr>
          <w:footerReference w:type="default" r:id="rId30"/>
          <w:pgSz w:w="11910" w:h="16840"/>
          <w:pgMar w:footer="993" w:header="0" w:top="1420" w:bottom="1180" w:left="1040" w:right="600"/>
          <w:pgNumType w:start="60"/>
        </w:sectPr>
      </w:pPr>
    </w:p>
    <w:p>
      <w:pPr>
        <w:pStyle w:val="BodyText"/>
        <w:ind w:left="3272"/>
        <w:rPr>
          <w:sz w:val="20"/>
        </w:rPr>
      </w:pPr>
      <w:r>
        <w:rPr>
          <w:sz w:val="20"/>
        </w:rPr>
        <w:drawing>
          <wp:inline distT="0" distB="0" distL="0" distR="0">
            <wp:extent cx="1972187" cy="518159"/>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31" cstate="print"/>
                    <a:stretch>
                      <a:fillRect/>
                    </a:stretch>
                  </pic:blipFill>
                  <pic:spPr>
                    <a:xfrm>
                      <a:off x="0" y="0"/>
                      <a:ext cx="1972187" cy="518159"/>
                    </a:xfrm>
                    <a:prstGeom prst="rect">
                      <a:avLst/>
                    </a:prstGeom>
                  </pic:spPr>
                </pic:pic>
              </a:graphicData>
            </a:graphic>
          </wp:inline>
        </w:drawing>
      </w:r>
      <w:r>
        <w:rPr>
          <w:sz w:val="20"/>
        </w:rPr>
      </w:r>
    </w:p>
    <w:p>
      <w:pPr>
        <w:pStyle w:val="BodyText"/>
        <w:spacing w:before="10"/>
        <w:rPr>
          <w:sz w:val="7"/>
        </w:rPr>
      </w:pPr>
    </w:p>
    <w:p>
      <w:pPr>
        <w:pStyle w:val="BodyText"/>
        <w:spacing w:before="74"/>
        <w:ind w:left="1131"/>
      </w:pPr>
      <w:r>
        <w:rPr/>
        <w:t>经计算，本项目锅炉灰渣量约为 </w:t>
      </w:r>
      <w:r>
        <w:rPr>
          <w:rFonts w:ascii="Times New Roman" w:eastAsia="Times New Roman"/>
        </w:rPr>
        <w:t>553t/a</w:t>
      </w:r>
      <w:r>
        <w:rPr/>
        <w:t>。</w:t>
      </w:r>
    </w:p>
    <w:p>
      <w:pPr>
        <w:pStyle w:val="ListParagraph"/>
        <w:numPr>
          <w:ilvl w:val="1"/>
          <w:numId w:val="32"/>
        </w:numPr>
        <w:tabs>
          <w:tab w:pos="1733" w:val="left" w:leader="none"/>
        </w:tabs>
        <w:spacing w:line="240" w:lineRule="auto" w:before="160" w:after="0"/>
        <w:ind w:left="1733" w:right="0" w:hanging="602"/>
        <w:jc w:val="left"/>
        <w:rPr>
          <w:sz w:val="24"/>
        </w:rPr>
      </w:pPr>
      <w:r>
        <w:rPr>
          <w:sz w:val="24"/>
        </w:rPr>
        <w:t>主要噪声污染源及源强</w:t>
      </w:r>
    </w:p>
    <w:p>
      <w:pPr>
        <w:pStyle w:val="BodyText"/>
        <w:spacing w:line="364" w:lineRule="auto" w:before="158"/>
        <w:ind w:left="711" w:right="1147" w:firstLine="420"/>
        <w:jc w:val="both"/>
      </w:pPr>
      <w:r>
        <w:rPr/>
        <w:t>工业场地的主要噪声源有主副井绞车系统的提升机，回风井通风机房的通风</w:t>
      </w:r>
      <w:r>
        <w:rPr>
          <w:spacing w:val="-1"/>
        </w:rPr>
        <w:t>机及电机，锅炉房内的鼓风机和引风机，压风机房的空气压缩机等。噪声的主要</w:t>
      </w:r>
      <w:r>
        <w:rPr>
          <w:spacing w:val="-8"/>
        </w:rPr>
        <w:t>类型为空气动力性噪声、机械性噪声，噪声声级一般在 </w:t>
      </w:r>
      <w:r>
        <w:rPr>
          <w:rFonts w:ascii="Times New Roman" w:eastAsia="Times New Roman"/>
        </w:rPr>
        <w:t>85</w:t>
      </w:r>
      <w:r>
        <w:rPr/>
        <w:t>～</w:t>
      </w:r>
      <w:r>
        <w:rPr>
          <w:rFonts w:ascii="Times New Roman" w:eastAsia="Times New Roman"/>
        </w:rPr>
        <w:t>105dB(A)</w:t>
      </w:r>
      <w:r>
        <w:rPr>
          <w:spacing w:val="-8"/>
        </w:rPr>
        <w:t>左右。主要</w:t>
      </w:r>
      <w:r>
        <w:rPr>
          <w:spacing w:val="-7"/>
        </w:rPr>
        <w:t>噪声源及源强见表 </w:t>
      </w:r>
      <w:r>
        <w:rPr>
          <w:rFonts w:ascii="Times New Roman" w:eastAsia="Times New Roman"/>
        </w:rPr>
        <w:t>3.4-9</w:t>
      </w:r>
      <w:r>
        <w:rPr/>
        <w:t>。</w:t>
      </w:r>
    </w:p>
    <w:p>
      <w:pPr>
        <w:pStyle w:val="BodyText"/>
        <w:tabs>
          <w:tab w:pos="1036" w:val="left" w:leader="none"/>
        </w:tabs>
        <w:ind w:right="123"/>
        <w:jc w:val="center"/>
        <w:rPr>
          <w:rFonts w:ascii="黑体" w:eastAsia="黑体" w:hint="eastAsia"/>
        </w:rPr>
      </w:pPr>
      <w:r>
        <w:rPr>
          <w:rFonts w:ascii="黑体" w:eastAsia="黑体" w:hint="eastAsia"/>
        </w:rPr>
        <w:t>表</w:t>
      </w:r>
      <w:r>
        <w:rPr>
          <w:rFonts w:ascii="黑体" w:eastAsia="黑体" w:hint="eastAsia"/>
          <w:spacing w:val="-61"/>
        </w:rPr>
        <w:t> </w:t>
      </w:r>
      <w:r>
        <w:rPr>
          <w:rFonts w:ascii="Times New Roman" w:eastAsia="Times New Roman"/>
        </w:rPr>
        <w:t>3.4-9</w:t>
        <w:tab/>
      </w:r>
      <w:r>
        <w:rPr>
          <w:rFonts w:ascii="黑体" w:eastAsia="黑体" w:hint="eastAsia"/>
        </w:rPr>
        <w:t>矿井主要噪声源及源强</w:t>
      </w:r>
    </w:p>
    <w:tbl>
      <w:tblPr>
        <w:tblW w:w="0" w:type="auto"/>
        <w:jc w:val="left"/>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
        <w:gridCol w:w="848"/>
        <w:gridCol w:w="940"/>
        <w:gridCol w:w="766"/>
        <w:gridCol w:w="652"/>
        <w:gridCol w:w="2347"/>
        <w:gridCol w:w="683"/>
        <w:gridCol w:w="877"/>
        <w:gridCol w:w="897"/>
      </w:tblGrid>
      <w:tr>
        <w:trPr>
          <w:trHeight w:val="935" w:hRule="atLeast"/>
        </w:trPr>
        <w:tc>
          <w:tcPr>
            <w:tcW w:w="496" w:type="dxa"/>
          </w:tcPr>
          <w:p>
            <w:pPr>
              <w:pStyle w:val="TableParagraph"/>
              <w:spacing w:line="278" w:lineRule="auto" w:before="178"/>
              <w:ind w:left="142" w:right="132"/>
              <w:jc w:val="left"/>
              <w:rPr>
                <w:sz w:val="21"/>
              </w:rPr>
            </w:pPr>
            <w:r>
              <w:rPr>
                <w:sz w:val="21"/>
              </w:rPr>
              <w:t>序号</w:t>
            </w:r>
          </w:p>
        </w:tc>
        <w:tc>
          <w:tcPr>
            <w:tcW w:w="848" w:type="dxa"/>
          </w:tcPr>
          <w:p>
            <w:pPr>
              <w:pStyle w:val="TableParagraph"/>
              <w:jc w:val="left"/>
              <w:rPr>
                <w:rFonts w:ascii="黑体"/>
                <w:sz w:val="26"/>
              </w:rPr>
            </w:pPr>
          </w:p>
          <w:p>
            <w:pPr>
              <w:pStyle w:val="TableParagraph"/>
              <w:ind w:right="99"/>
              <w:jc w:val="right"/>
              <w:rPr>
                <w:sz w:val="21"/>
              </w:rPr>
            </w:pPr>
            <w:r>
              <w:rPr>
                <w:w w:val="95"/>
                <w:sz w:val="21"/>
              </w:rPr>
              <w:t>噪声源</w:t>
            </w:r>
          </w:p>
        </w:tc>
        <w:tc>
          <w:tcPr>
            <w:tcW w:w="940" w:type="dxa"/>
          </w:tcPr>
          <w:p>
            <w:pPr>
              <w:pStyle w:val="TableParagraph"/>
              <w:spacing w:line="278" w:lineRule="auto" w:before="178"/>
              <w:ind w:left="363" w:right="144" w:hanging="209"/>
              <w:jc w:val="left"/>
              <w:rPr>
                <w:sz w:val="21"/>
              </w:rPr>
            </w:pPr>
            <w:r>
              <w:rPr>
                <w:sz w:val="21"/>
              </w:rPr>
              <w:t>发声建筑</w:t>
            </w:r>
          </w:p>
        </w:tc>
        <w:tc>
          <w:tcPr>
            <w:tcW w:w="766" w:type="dxa"/>
          </w:tcPr>
          <w:p>
            <w:pPr>
              <w:pStyle w:val="TableParagraph"/>
              <w:spacing w:line="278" w:lineRule="auto" w:before="178"/>
              <w:ind w:left="66" w:right="58"/>
              <w:jc w:val="left"/>
              <w:rPr>
                <w:sz w:val="21"/>
              </w:rPr>
            </w:pPr>
            <w:r>
              <w:rPr>
                <w:sz w:val="21"/>
              </w:rPr>
              <w:t>同时启用台数</w:t>
            </w:r>
          </w:p>
        </w:tc>
        <w:tc>
          <w:tcPr>
            <w:tcW w:w="652" w:type="dxa"/>
          </w:tcPr>
          <w:p>
            <w:pPr>
              <w:pStyle w:val="TableParagraph"/>
              <w:spacing w:before="178"/>
              <w:ind w:left="114"/>
              <w:jc w:val="left"/>
              <w:rPr>
                <w:sz w:val="21"/>
              </w:rPr>
            </w:pPr>
            <w:r>
              <w:rPr>
                <w:sz w:val="21"/>
              </w:rPr>
              <w:t>源强</w:t>
            </w:r>
          </w:p>
          <w:p>
            <w:pPr>
              <w:pStyle w:val="TableParagraph"/>
              <w:spacing w:before="56"/>
              <w:ind w:left="59"/>
              <w:jc w:val="left"/>
              <w:rPr>
                <w:rFonts w:ascii="Times New Roman"/>
                <w:sz w:val="21"/>
              </w:rPr>
            </w:pPr>
            <w:r>
              <w:rPr>
                <w:rFonts w:ascii="Times New Roman"/>
                <w:sz w:val="21"/>
              </w:rPr>
              <w:t>dB(A)</w:t>
            </w:r>
          </w:p>
        </w:tc>
        <w:tc>
          <w:tcPr>
            <w:tcW w:w="2347" w:type="dxa"/>
          </w:tcPr>
          <w:p>
            <w:pPr>
              <w:pStyle w:val="TableParagraph"/>
              <w:jc w:val="left"/>
              <w:rPr>
                <w:rFonts w:ascii="黑体"/>
                <w:sz w:val="26"/>
              </w:rPr>
            </w:pPr>
          </w:p>
          <w:p>
            <w:pPr>
              <w:pStyle w:val="TableParagraph"/>
              <w:ind w:left="8"/>
              <w:rPr>
                <w:sz w:val="21"/>
              </w:rPr>
            </w:pPr>
            <w:r>
              <w:rPr>
                <w:sz w:val="21"/>
              </w:rPr>
              <w:t>治理措施</w:t>
            </w:r>
          </w:p>
        </w:tc>
        <w:tc>
          <w:tcPr>
            <w:tcW w:w="683" w:type="dxa"/>
          </w:tcPr>
          <w:p>
            <w:pPr>
              <w:pStyle w:val="TableParagraph"/>
              <w:spacing w:line="278" w:lineRule="auto" w:before="21"/>
              <w:ind w:left="129" w:right="123"/>
              <w:jc w:val="left"/>
              <w:rPr>
                <w:sz w:val="21"/>
              </w:rPr>
            </w:pPr>
            <w:r>
              <w:rPr>
                <w:spacing w:val="-8"/>
                <w:sz w:val="21"/>
              </w:rPr>
              <w:t>降噪</w:t>
            </w:r>
            <w:r>
              <w:rPr>
                <w:spacing w:val="-9"/>
                <w:w w:val="95"/>
                <w:sz w:val="21"/>
              </w:rPr>
              <w:t>效果</w:t>
            </w:r>
          </w:p>
          <w:p>
            <w:pPr>
              <w:pStyle w:val="TableParagraph"/>
              <w:spacing w:before="14"/>
              <w:ind w:left="74"/>
              <w:jc w:val="left"/>
              <w:rPr>
                <w:rFonts w:ascii="Times New Roman"/>
                <w:sz w:val="21"/>
              </w:rPr>
            </w:pPr>
            <w:r>
              <w:rPr>
                <w:rFonts w:ascii="Times New Roman"/>
                <w:sz w:val="21"/>
              </w:rPr>
              <w:t>dB(A)</w:t>
            </w:r>
          </w:p>
        </w:tc>
        <w:tc>
          <w:tcPr>
            <w:tcW w:w="877" w:type="dxa"/>
          </w:tcPr>
          <w:p>
            <w:pPr>
              <w:pStyle w:val="TableParagraph"/>
              <w:spacing w:line="278" w:lineRule="auto" w:before="21"/>
              <w:ind w:left="226" w:right="112" w:hanging="104"/>
              <w:jc w:val="left"/>
              <w:rPr>
                <w:sz w:val="21"/>
              </w:rPr>
            </w:pPr>
            <w:r>
              <w:rPr>
                <w:sz w:val="21"/>
              </w:rPr>
              <w:t>噪声排放量</w:t>
            </w:r>
          </w:p>
          <w:p>
            <w:pPr>
              <w:pStyle w:val="TableParagraph"/>
              <w:spacing w:before="14"/>
              <w:ind w:left="171"/>
              <w:jc w:val="left"/>
              <w:rPr>
                <w:rFonts w:ascii="Times New Roman"/>
                <w:sz w:val="21"/>
              </w:rPr>
            </w:pPr>
            <w:r>
              <w:rPr>
                <w:rFonts w:ascii="Times New Roman"/>
                <w:sz w:val="21"/>
              </w:rPr>
              <w:t>dB(A)</w:t>
            </w:r>
          </w:p>
        </w:tc>
        <w:tc>
          <w:tcPr>
            <w:tcW w:w="897" w:type="dxa"/>
          </w:tcPr>
          <w:p>
            <w:pPr>
              <w:pStyle w:val="TableParagraph"/>
              <w:spacing w:line="278" w:lineRule="auto" w:before="178"/>
              <w:ind w:left="237" w:right="229"/>
              <w:jc w:val="left"/>
              <w:rPr>
                <w:sz w:val="21"/>
              </w:rPr>
            </w:pPr>
            <w:r>
              <w:rPr>
                <w:sz w:val="21"/>
              </w:rPr>
              <w:t>预期效果</w:t>
            </w:r>
          </w:p>
        </w:tc>
      </w:tr>
      <w:tr>
        <w:trPr>
          <w:trHeight w:val="312" w:hRule="atLeast"/>
        </w:trPr>
        <w:tc>
          <w:tcPr>
            <w:tcW w:w="496" w:type="dxa"/>
            <w:tcBorders>
              <w:bottom w:val="nil"/>
            </w:tcBorders>
          </w:tcPr>
          <w:p>
            <w:pPr>
              <w:pStyle w:val="TableParagraph"/>
              <w:jc w:val="left"/>
              <w:rPr>
                <w:rFonts w:ascii="Times New Roman"/>
                <w:sz w:val="20"/>
              </w:rPr>
            </w:pPr>
          </w:p>
        </w:tc>
        <w:tc>
          <w:tcPr>
            <w:tcW w:w="848" w:type="dxa"/>
            <w:tcBorders>
              <w:bottom w:val="nil"/>
            </w:tcBorders>
          </w:tcPr>
          <w:p>
            <w:pPr>
              <w:pStyle w:val="TableParagraph"/>
              <w:jc w:val="left"/>
              <w:rPr>
                <w:rFonts w:ascii="Times New Roman"/>
                <w:sz w:val="20"/>
              </w:rPr>
            </w:pPr>
          </w:p>
        </w:tc>
        <w:tc>
          <w:tcPr>
            <w:tcW w:w="940" w:type="dxa"/>
            <w:tcBorders>
              <w:bottom w:val="nil"/>
            </w:tcBorders>
          </w:tcPr>
          <w:p>
            <w:pPr>
              <w:pStyle w:val="TableParagraph"/>
              <w:spacing w:before="21"/>
              <w:ind w:left="134" w:right="126"/>
              <w:rPr>
                <w:sz w:val="21"/>
              </w:rPr>
            </w:pPr>
            <w:r>
              <w:rPr>
                <w:sz w:val="21"/>
              </w:rPr>
              <w:t>主斜井</w:t>
            </w:r>
          </w:p>
        </w:tc>
        <w:tc>
          <w:tcPr>
            <w:tcW w:w="766" w:type="dxa"/>
            <w:tcBorders>
              <w:bottom w:val="nil"/>
            </w:tcBorders>
          </w:tcPr>
          <w:p>
            <w:pPr>
              <w:pStyle w:val="TableParagraph"/>
              <w:jc w:val="left"/>
              <w:rPr>
                <w:rFonts w:ascii="Times New Roman"/>
                <w:sz w:val="20"/>
              </w:rPr>
            </w:pPr>
          </w:p>
        </w:tc>
        <w:tc>
          <w:tcPr>
            <w:tcW w:w="652" w:type="dxa"/>
            <w:tcBorders>
              <w:bottom w:val="nil"/>
            </w:tcBorders>
          </w:tcPr>
          <w:p>
            <w:pPr>
              <w:pStyle w:val="TableParagraph"/>
              <w:jc w:val="left"/>
              <w:rPr>
                <w:rFonts w:ascii="Times New Roman"/>
                <w:sz w:val="20"/>
              </w:rPr>
            </w:pPr>
          </w:p>
        </w:tc>
        <w:tc>
          <w:tcPr>
            <w:tcW w:w="2347" w:type="dxa"/>
            <w:tcBorders>
              <w:bottom w:val="nil"/>
            </w:tcBorders>
          </w:tcPr>
          <w:p>
            <w:pPr>
              <w:pStyle w:val="TableParagraph"/>
              <w:jc w:val="left"/>
              <w:rPr>
                <w:rFonts w:ascii="Times New Roman"/>
                <w:sz w:val="20"/>
              </w:rPr>
            </w:pPr>
          </w:p>
        </w:tc>
        <w:tc>
          <w:tcPr>
            <w:tcW w:w="683" w:type="dxa"/>
            <w:tcBorders>
              <w:bottom w:val="nil"/>
            </w:tcBorders>
          </w:tcPr>
          <w:p>
            <w:pPr>
              <w:pStyle w:val="TableParagraph"/>
              <w:jc w:val="left"/>
              <w:rPr>
                <w:rFonts w:ascii="Times New Roman"/>
                <w:sz w:val="20"/>
              </w:rPr>
            </w:pPr>
          </w:p>
        </w:tc>
        <w:tc>
          <w:tcPr>
            <w:tcW w:w="877" w:type="dxa"/>
            <w:tcBorders>
              <w:bottom w:val="nil"/>
            </w:tcBorders>
          </w:tcPr>
          <w:p>
            <w:pPr>
              <w:pStyle w:val="TableParagraph"/>
              <w:jc w:val="left"/>
              <w:rPr>
                <w:rFonts w:ascii="Times New Roman"/>
                <w:sz w:val="20"/>
              </w:rPr>
            </w:pPr>
          </w:p>
        </w:tc>
        <w:tc>
          <w:tcPr>
            <w:tcW w:w="897" w:type="dxa"/>
            <w:tcBorders>
              <w:bottom w:val="nil"/>
            </w:tcBorders>
          </w:tcPr>
          <w:p>
            <w:pPr>
              <w:pStyle w:val="TableParagraph"/>
              <w:jc w:val="left"/>
              <w:rPr>
                <w:rFonts w:ascii="Times New Roman"/>
                <w:sz w:val="20"/>
              </w:rPr>
            </w:pPr>
          </w:p>
        </w:tc>
      </w:tr>
      <w:tr>
        <w:trPr>
          <w:trHeight w:val="623" w:hRule="atLeast"/>
        </w:trPr>
        <w:tc>
          <w:tcPr>
            <w:tcW w:w="496" w:type="dxa"/>
            <w:tcBorders>
              <w:top w:val="nil"/>
              <w:bottom w:val="nil"/>
            </w:tcBorders>
          </w:tcPr>
          <w:p>
            <w:pPr>
              <w:pStyle w:val="TableParagraph"/>
              <w:spacing w:before="191"/>
              <w:ind w:right="183"/>
              <w:jc w:val="right"/>
              <w:rPr>
                <w:rFonts w:ascii="Times New Roman"/>
                <w:sz w:val="21"/>
              </w:rPr>
            </w:pPr>
            <w:r>
              <w:rPr>
                <w:rFonts w:ascii="Times New Roman"/>
                <w:w w:val="99"/>
                <w:sz w:val="21"/>
              </w:rPr>
              <w:t>1</w:t>
            </w:r>
          </w:p>
        </w:tc>
        <w:tc>
          <w:tcPr>
            <w:tcW w:w="848" w:type="dxa"/>
            <w:tcBorders>
              <w:top w:val="nil"/>
              <w:bottom w:val="nil"/>
            </w:tcBorders>
          </w:tcPr>
          <w:p>
            <w:pPr>
              <w:pStyle w:val="TableParagraph"/>
              <w:spacing w:before="28"/>
              <w:ind w:left="124"/>
              <w:jc w:val="left"/>
              <w:rPr>
                <w:sz w:val="20"/>
              </w:rPr>
            </w:pPr>
            <w:r>
              <w:rPr>
                <w:sz w:val="20"/>
              </w:rPr>
              <w:t>带式输</w:t>
            </w:r>
          </w:p>
          <w:p>
            <w:pPr>
              <w:pStyle w:val="TableParagraph"/>
              <w:spacing w:before="56"/>
              <w:ind w:left="222"/>
              <w:jc w:val="left"/>
              <w:rPr>
                <w:sz w:val="20"/>
              </w:rPr>
            </w:pPr>
            <w:r>
              <w:rPr>
                <w:sz w:val="20"/>
              </w:rPr>
              <w:t>送机</w:t>
            </w:r>
          </w:p>
        </w:tc>
        <w:tc>
          <w:tcPr>
            <w:tcW w:w="940" w:type="dxa"/>
            <w:tcBorders>
              <w:top w:val="nil"/>
              <w:bottom w:val="nil"/>
            </w:tcBorders>
          </w:tcPr>
          <w:p>
            <w:pPr>
              <w:pStyle w:val="TableParagraph"/>
              <w:spacing w:before="21"/>
              <w:ind w:left="154"/>
              <w:jc w:val="left"/>
              <w:rPr>
                <w:sz w:val="21"/>
              </w:rPr>
            </w:pPr>
            <w:r>
              <w:rPr>
                <w:w w:val="95"/>
                <w:sz w:val="21"/>
              </w:rPr>
              <w:t>带式输</w:t>
            </w:r>
          </w:p>
          <w:p>
            <w:pPr>
              <w:pStyle w:val="TableParagraph"/>
              <w:spacing w:before="43"/>
              <w:ind w:left="154"/>
              <w:jc w:val="left"/>
              <w:rPr>
                <w:sz w:val="21"/>
              </w:rPr>
            </w:pPr>
            <w:r>
              <w:rPr>
                <w:w w:val="95"/>
                <w:sz w:val="21"/>
              </w:rPr>
              <w:t>送机栈</w:t>
            </w:r>
          </w:p>
        </w:tc>
        <w:tc>
          <w:tcPr>
            <w:tcW w:w="766" w:type="dxa"/>
            <w:tcBorders>
              <w:top w:val="nil"/>
              <w:bottom w:val="nil"/>
            </w:tcBorders>
          </w:tcPr>
          <w:p>
            <w:pPr>
              <w:pStyle w:val="TableParagraph"/>
              <w:spacing w:before="191"/>
              <w:ind w:left="5"/>
              <w:rPr>
                <w:rFonts w:ascii="Times New Roman"/>
                <w:sz w:val="21"/>
              </w:rPr>
            </w:pPr>
            <w:r>
              <w:rPr>
                <w:rFonts w:ascii="Times New Roman"/>
                <w:w w:val="99"/>
                <w:sz w:val="21"/>
              </w:rPr>
              <w:t>1</w:t>
            </w:r>
          </w:p>
        </w:tc>
        <w:tc>
          <w:tcPr>
            <w:tcW w:w="652" w:type="dxa"/>
            <w:tcBorders>
              <w:top w:val="nil"/>
              <w:bottom w:val="nil"/>
            </w:tcBorders>
          </w:tcPr>
          <w:p>
            <w:pPr>
              <w:pStyle w:val="TableParagraph"/>
              <w:spacing w:before="191"/>
              <w:ind w:left="200" w:right="192"/>
              <w:rPr>
                <w:rFonts w:ascii="Times New Roman"/>
                <w:sz w:val="21"/>
              </w:rPr>
            </w:pPr>
            <w:r>
              <w:rPr>
                <w:rFonts w:ascii="Times New Roman"/>
                <w:sz w:val="21"/>
              </w:rPr>
              <w:t>92</w:t>
            </w:r>
          </w:p>
        </w:tc>
        <w:tc>
          <w:tcPr>
            <w:tcW w:w="2347" w:type="dxa"/>
            <w:tcBorders>
              <w:top w:val="nil"/>
              <w:bottom w:val="nil"/>
            </w:tcBorders>
          </w:tcPr>
          <w:p>
            <w:pPr>
              <w:pStyle w:val="TableParagraph"/>
              <w:spacing w:before="21"/>
              <w:ind w:left="8"/>
              <w:rPr>
                <w:sz w:val="21"/>
              </w:rPr>
            </w:pPr>
            <w:r>
              <w:rPr>
                <w:sz w:val="21"/>
              </w:rPr>
              <w:t>封闭栈桥；电机设减震基</w:t>
            </w:r>
          </w:p>
          <w:p>
            <w:pPr>
              <w:pStyle w:val="TableParagraph"/>
              <w:spacing w:before="43"/>
              <w:ind w:left="5"/>
              <w:rPr>
                <w:sz w:val="21"/>
              </w:rPr>
            </w:pPr>
            <w:r>
              <w:rPr>
                <w:sz w:val="21"/>
              </w:rPr>
              <w:t>础并加装隔声罩</w:t>
            </w:r>
          </w:p>
        </w:tc>
        <w:tc>
          <w:tcPr>
            <w:tcW w:w="683" w:type="dxa"/>
            <w:tcBorders>
              <w:top w:val="nil"/>
              <w:bottom w:val="nil"/>
            </w:tcBorders>
          </w:tcPr>
          <w:p>
            <w:pPr>
              <w:pStyle w:val="TableParagraph"/>
              <w:spacing w:before="191"/>
              <w:ind w:left="215" w:right="207"/>
              <w:rPr>
                <w:rFonts w:ascii="Times New Roman"/>
                <w:sz w:val="21"/>
              </w:rPr>
            </w:pPr>
            <w:r>
              <w:rPr>
                <w:rFonts w:ascii="Times New Roman"/>
                <w:sz w:val="21"/>
              </w:rPr>
              <w:t>20</w:t>
            </w:r>
          </w:p>
        </w:tc>
        <w:tc>
          <w:tcPr>
            <w:tcW w:w="877" w:type="dxa"/>
            <w:tcBorders>
              <w:top w:val="nil"/>
              <w:bottom w:val="nil"/>
            </w:tcBorders>
          </w:tcPr>
          <w:p>
            <w:pPr>
              <w:pStyle w:val="TableParagraph"/>
              <w:spacing w:before="191"/>
              <w:ind w:right="322"/>
              <w:jc w:val="right"/>
              <w:rPr>
                <w:rFonts w:ascii="Times New Roman"/>
                <w:sz w:val="21"/>
              </w:rPr>
            </w:pPr>
            <w:r>
              <w:rPr>
                <w:rFonts w:ascii="Times New Roman"/>
                <w:sz w:val="21"/>
              </w:rPr>
              <w:t>72</w:t>
            </w:r>
          </w:p>
        </w:tc>
        <w:tc>
          <w:tcPr>
            <w:tcW w:w="897" w:type="dxa"/>
            <w:tcBorders>
              <w:top w:val="nil"/>
              <w:bottom w:val="nil"/>
            </w:tcBorders>
          </w:tcPr>
          <w:p>
            <w:pPr>
              <w:pStyle w:val="TableParagraph"/>
              <w:jc w:val="left"/>
              <w:rPr>
                <w:rFonts w:ascii="Times New Roman"/>
                <w:sz w:val="20"/>
              </w:rPr>
            </w:pPr>
          </w:p>
        </w:tc>
      </w:tr>
      <w:tr>
        <w:trPr>
          <w:trHeight w:val="311" w:hRule="atLeast"/>
        </w:trPr>
        <w:tc>
          <w:tcPr>
            <w:tcW w:w="496" w:type="dxa"/>
            <w:tcBorders>
              <w:top w:val="nil"/>
            </w:tcBorders>
          </w:tcPr>
          <w:p>
            <w:pPr>
              <w:pStyle w:val="TableParagraph"/>
              <w:jc w:val="left"/>
              <w:rPr>
                <w:rFonts w:ascii="Times New Roman"/>
                <w:sz w:val="20"/>
              </w:rPr>
            </w:pPr>
          </w:p>
        </w:tc>
        <w:tc>
          <w:tcPr>
            <w:tcW w:w="848" w:type="dxa"/>
            <w:tcBorders>
              <w:top w:val="nil"/>
            </w:tcBorders>
          </w:tcPr>
          <w:p>
            <w:pPr>
              <w:pStyle w:val="TableParagraph"/>
              <w:jc w:val="left"/>
              <w:rPr>
                <w:rFonts w:ascii="Times New Roman"/>
                <w:sz w:val="20"/>
              </w:rPr>
            </w:pPr>
          </w:p>
        </w:tc>
        <w:tc>
          <w:tcPr>
            <w:tcW w:w="940" w:type="dxa"/>
            <w:tcBorders>
              <w:top w:val="nil"/>
            </w:tcBorders>
          </w:tcPr>
          <w:p>
            <w:pPr>
              <w:pStyle w:val="TableParagraph"/>
              <w:spacing w:before="21"/>
              <w:ind w:left="6"/>
              <w:rPr>
                <w:sz w:val="21"/>
              </w:rPr>
            </w:pPr>
            <w:r>
              <w:rPr>
                <w:w w:val="99"/>
                <w:sz w:val="21"/>
              </w:rPr>
              <w:t>桥</w:t>
            </w:r>
          </w:p>
        </w:tc>
        <w:tc>
          <w:tcPr>
            <w:tcW w:w="766" w:type="dxa"/>
            <w:tcBorders>
              <w:top w:val="nil"/>
            </w:tcBorders>
          </w:tcPr>
          <w:p>
            <w:pPr>
              <w:pStyle w:val="TableParagraph"/>
              <w:jc w:val="left"/>
              <w:rPr>
                <w:rFonts w:ascii="Times New Roman"/>
                <w:sz w:val="20"/>
              </w:rPr>
            </w:pPr>
          </w:p>
        </w:tc>
        <w:tc>
          <w:tcPr>
            <w:tcW w:w="652" w:type="dxa"/>
            <w:tcBorders>
              <w:top w:val="nil"/>
            </w:tcBorders>
          </w:tcPr>
          <w:p>
            <w:pPr>
              <w:pStyle w:val="TableParagraph"/>
              <w:jc w:val="left"/>
              <w:rPr>
                <w:rFonts w:ascii="Times New Roman"/>
                <w:sz w:val="20"/>
              </w:rPr>
            </w:pPr>
          </w:p>
        </w:tc>
        <w:tc>
          <w:tcPr>
            <w:tcW w:w="2347" w:type="dxa"/>
            <w:tcBorders>
              <w:top w:val="nil"/>
            </w:tcBorders>
          </w:tcPr>
          <w:p>
            <w:pPr>
              <w:pStyle w:val="TableParagraph"/>
              <w:jc w:val="left"/>
              <w:rPr>
                <w:rFonts w:ascii="Times New Roman"/>
                <w:sz w:val="20"/>
              </w:rPr>
            </w:pPr>
          </w:p>
        </w:tc>
        <w:tc>
          <w:tcPr>
            <w:tcW w:w="683" w:type="dxa"/>
            <w:tcBorders>
              <w:top w:val="nil"/>
            </w:tcBorders>
          </w:tcPr>
          <w:p>
            <w:pPr>
              <w:pStyle w:val="TableParagraph"/>
              <w:jc w:val="left"/>
              <w:rPr>
                <w:rFonts w:ascii="Times New Roman"/>
                <w:sz w:val="20"/>
              </w:rPr>
            </w:pPr>
          </w:p>
        </w:tc>
        <w:tc>
          <w:tcPr>
            <w:tcW w:w="877" w:type="dxa"/>
            <w:tcBorders>
              <w:top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623" w:hRule="atLeast"/>
        </w:trPr>
        <w:tc>
          <w:tcPr>
            <w:tcW w:w="496" w:type="dxa"/>
          </w:tcPr>
          <w:p>
            <w:pPr>
              <w:pStyle w:val="TableParagraph"/>
              <w:spacing w:before="191"/>
              <w:ind w:right="183"/>
              <w:jc w:val="right"/>
              <w:rPr>
                <w:rFonts w:ascii="Times New Roman"/>
                <w:sz w:val="21"/>
              </w:rPr>
            </w:pPr>
            <w:r>
              <w:rPr>
                <w:rFonts w:ascii="Times New Roman"/>
                <w:w w:val="99"/>
                <w:sz w:val="21"/>
              </w:rPr>
              <w:t>2</w:t>
            </w:r>
          </w:p>
        </w:tc>
        <w:tc>
          <w:tcPr>
            <w:tcW w:w="848" w:type="dxa"/>
          </w:tcPr>
          <w:p>
            <w:pPr>
              <w:pStyle w:val="TableParagraph"/>
              <w:spacing w:before="177"/>
              <w:ind w:right="99"/>
              <w:jc w:val="right"/>
              <w:rPr>
                <w:sz w:val="21"/>
              </w:rPr>
            </w:pPr>
            <w:r>
              <w:rPr>
                <w:w w:val="95"/>
                <w:sz w:val="21"/>
              </w:rPr>
              <w:t>通风机</w:t>
            </w:r>
          </w:p>
        </w:tc>
        <w:tc>
          <w:tcPr>
            <w:tcW w:w="940" w:type="dxa"/>
          </w:tcPr>
          <w:p>
            <w:pPr>
              <w:pStyle w:val="TableParagraph"/>
              <w:spacing w:before="21"/>
              <w:ind w:left="134" w:right="126"/>
              <w:rPr>
                <w:sz w:val="21"/>
              </w:rPr>
            </w:pPr>
            <w:r>
              <w:rPr>
                <w:sz w:val="21"/>
              </w:rPr>
              <w:t>通风机</w:t>
            </w:r>
          </w:p>
          <w:p>
            <w:pPr>
              <w:pStyle w:val="TableParagraph"/>
              <w:spacing w:before="43"/>
              <w:ind w:left="6"/>
              <w:rPr>
                <w:sz w:val="21"/>
              </w:rPr>
            </w:pPr>
            <w:r>
              <w:rPr>
                <w:w w:val="99"/>
                <w:sz w:val="21"/>
              </w:rPr>
              <w:t>房</w:t>
            </w:r>
          </w:p>
        </w:tc>
        <w:tc>
          <w:tcPr>
            <w:tcW w:w="766" w:type="dxa"/>
          </w:tcPr>
          <w:p>
            <w:pPr>
              <w:pStyle w:val="TableParagraph"/>
              <w:spacing w:before="191"/>
              <w:ind w:left="5"/>
              <w:rPr>
                <w:rFonts w:ascii="Times New Roman"/>
                <w:sz w:val="21"/>
              </w:rPr>
            </w:pPr>
            <w:r>
              <w:rPr>
                <w:rFonts w:ascii="Times New Roman"/>
                <w:w w:val="99"/>
                <w:sz w:val="21"/>
              </w:rPr>
              <w:t>1</w:t>
            </w:r>
          </w:p>
        </w:tc>
        <w:tc>
          <w:tcPr>
            <w:tcW w:w="652" w:type="dxa"/>
          </w:tcPr>
          <w:p>
            <w:pPr>
              <w:pStyle w:val="TableParagraph"/>
              <w:spacing w:before="191"/>
              <w:ind w:left="200" w:right="192"/>
              <w:rPr>
                <w:rFonts w:ascii="Times New Roman"/>
                <w:sz w:val="21"/>
              </w:rPr>
            </w:pPr>
            <w:r>
              <w:rPr>
                <w:rFonts w:ascii="Times New Roman"/>
                <w:sz w:val="21"/>
              </w:rPr>
              <w:t>88</w:t>
            </w:r>
          </w:p>
        </w:tc>
        <w:tc>
          <w:tcPr>
            <w:tcW w:w="2347" w:type="dxa"/>
          </w:tcPr>
          <w:p>
            <w:pPr>
              <w:pStyle w:val="TableParagraph"/>
              <w:spacing w:before="177"/>
              <w:ind w:left="8"/>
              <w:rPr>
                <w:sz w:val="21"/>
              </w:rPr>
            </w:pPr>
            <w:r>
              <w:rPr>
                <w:sz w:val="21"/>
              </w:rPr>
              <w:t>隔声减振</w:t>
            </w:r>
          </w:p>
        </w:tc>
        <w:tc>
          <w:tcPr>
            <w:tcW w:w="683" w:type="dxa"/>
          </w:tcPr>
          <w:p>
            <w:pPr>
              <w:pStyle w:val="TableParagraph"/>
              <w:spacing w:before="191"/>
              <w:ind w:left="215" w:right="207"/>
              <w:rPr>
                <w:rFonts w:ascii="Times New Roman"/>
                <w:sz w:val="21"/>
              </w:rPr>
            </w:pPr>
            <w:r>
              <w:rPr>
                <w:rFonts w:ascii="Times New Roman"/>
                <w:sz w:val="21"/>
              </w:rPr>
              <w:t>20</w:t>
            </w:r>
          </w:p>
        </w:tc>
        <w:tc>
          <w:tcPr>
            <w:tcW w:w="877" w:type="dxa"/>
          </w:tcPr>
          <w:p>
            <w:pPr>
              <w:pStyle w:val="TableParagraph"/>
              <w:spacing w:before="191"/>
              <w:ind w:right="322"/>
              <w:jc w:val="right"/>
              <w:rPr>
                <w:rFonts w:ascii="Times New Roman"/>
                <w:sz w:val="21"/>
              </w:rPr>
            </w:pPr>
            <w:r>
              <w:rPr>
                <w:rFonts w:ascii="Times New Roman"/>
                <w:sz w:val="21"/>
              </w:rPr>
              <w:t>68</w:t>
            </w:r>
          </w:p>
        </w:tc>
        <w:tc>
          <w:tcPr>
            <w:tcW w:w="897" w:type="dxa"/>
            <w:tcBorders>
              <w:top w:val="nil"/>
              <w:bottom w:val="nil"/>
            </w:tcBorders>
          </w:tcPr>
          <w:p>
            <w:pPr>
              <w:pStyle w:val="TableParagraph"/>
              <w:jc w:val="left"/>
              <w:rPr>
                <w:rFonts w:ascii="Times New Roman"/>
                <w:sz w:val="20"/>
              </w:rPr>
            </w:pPr>
          </w:p>
        </w:tc>
      </w:tr>
      <w:tr>
        <w:trPr>
          <w:trHeight w:val="311" w:hRule="atLeast"/>
        </w:trPr>
        <w:tc>
          <w:tcPr>
            <w:tcW w:w="496" w:type="dxa"/>
            <w:tcBorders>
              <w:bottom w:val="nil"/>
            </w:tcBorders>
          </w:tcPr>
          <w:p>
            <w:pPr>
              <w:pStyle w:val="TableParagraph"/>
              <w:jc w:val="left"/>
              <w:rPr>
                <w:rFonts w:ascii="Times New Roman"/>
                <w:sz w:val="20"/>
              </w:rPr>
            </w:pPr>
          </w:p>
        </w:tc>
        <w:tc>
          <w:tcPr>
            <w:tcW w:w="848" w:type="dxa"/>
            <w:tcBorders>
              <w:bottom w:val="nil"/>
            </w:tcBorders>
          </w:tcPr>
          <w:p>
            <w:pPr>
              <w:pStyle w:val="TableParagraph"/>
              <w:jc w:val="left"/>
              <w:rPr>
                <w:rFonts w:ascii="Times New Roman"/>
                <w:sz w:val="20"/>
              </w:rPr>
            </w:pPr>
          </w:p>
        </w:tc>
        <w:tc>
          <w:tcPr>
            <w:tcW w:w="940" w:type="dxa"/>
            <w:tcBorders>
              <w:bottom w:val="nil"/>
            </w:tcBorders>
          </w:tcPr>
          <w:p>
            <w:pPr>
              <w:pStyle w:val="TableParagraph"/>
              <w:jc w:val="left"/>
              <w:rPr>
                <w:rFonts w:ascii="Times New Roman"/>
                <w:sz w:val="20"/>
              </w:rPr>
            </w:pPr>
          </w:p>
        </w:tc>
        <w:tc>
          <w:tcPr>
            <w:tcW w:w="766" w:type="dxa"/>
            <w:tcBorders>
              <w:bottom w:val="nil"/>
            </w:tcBorders>
          </w:tcPr>
          <w:p>
            <w:pPr>
              <w:pStyle w:val="TableParagraph"/>
              <w:jc w:val="left"/>
              <w:rPr>
                <w:rFonts w:ascii="Times New Roman"/>
                <w:sz w:val="20"/>
              </w:rPr>
            </w:pPr>
          </w:p>
        </w:tc>
        <w:tc>
          <w:tcPr>
            <w:tcW w:w="652" w:type="dxa"/>
            <w:tcBorders>
              <w:bottom w:val="nil"/>
            </w:tcBorders>
          </w:tcPr>
          <w:p>
            <w:pPr>
              <w:pStyle w:val="TableParagraph"/>
              <w:jc w:val="left"/>
              <w:rPr>
                <w:rFonts w:ascii="Times New Roman"/>
                <w:sz w:val="20"/>
              </w:rPr>
            </w:pPr>
          </w:p>
        </w:tc>
        <w:tc>
          <w:tcPr>
            <w:tcW w:w="2347" w:type="dxa"/>
            <w:tcBorders>
              <w:bottom w:val="nil"/>
            </w:tcBorders>
          </w:tcPr>
          <w:p>
            <w:pPr>
              <w:pStyle w:val="TableParagraph"/>
              <w:spacing w:before="20"/>
              <w:ind w:left="57" w:right="-44"/>
              <w:rPr>
                <w:sz w:val="21"/>
              </w:rPr>
            </w:pPr>
            <w:r>
              <w:rPr>
                <w:sz w:val="21"/>
              </w:rPr>
              <w:t>对空压机采用隔振机座，</w:t>
            </w:r>
          </w:p>
        </w:tc>
        <w:tc>
          <w:tcPr>
            <w:tcW w:w="683" w:type="dxa"/>
            <w:tcBorders>
              <w:bottom w:val="nil"/>
            </w:tcBorders>
          </w:tcPr>
          <w:p>
            <w:pPr>
              <w:pStyle w:val="TableParagraph"/>
              <w:jc w:val="left"/>
              <w:rPr>
                <w:rFonts w:ascii="Times New Roman"/>
                <w:sz w:val="20"/>
              </w:rPr>
            </w:pPr>
          </w:p>
        </w:tc>
        <w:tc>
          <w:tcPr>
            <w:tcW w:w="877" w:type="dxa"/>
            <w:tcBorders>
              <w:bottom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624" w:hRule="atLeast"/>
        </w:trPr>
        <w:tc>
          <w:tcPr>
            <w:tcW w:w="496" w:type="dxa"/>
            <w:tcBorders>
              <w:top w:val="nil"/>
              <w:bottom w:val="nil"/>
            </w:tcBorders>
          </w:tcPr>
          <w:p>
            <w:pPr>
              <w:pStyle w:val="TableParagraph"/>
              <w:spacing w:before="191"/>
              <w:ind w:right="183"/>
              <w:jc w:val="right"/>
              <w:rPr>
                <w:rFonts w:ascii="Times New Roman"/>
                <w:sz w:val="21"/>
              </w:rPr>
            </w:pPr>
            <w:r>
              <w:rPr>
                <w:rFonts w:ascii="Times New Roman"/>
                <w:w w:val="99"/>
                <w:sz w:val="21"/>
              </w:rPr>
              <w:t>3</w:t>
            </w:r>
          </w:p>
        </w:tc>
        <w:tc>
          <w:tcPr>
            <w:tcW w:w="848" w:type="dxa"/>
            <w:tcBorders>
              <w:top w:val="nil"/>
              <w:bottom w:val="nil"/>
            </w:tcBorders>
          </w:tcPr>
          <w:p>
            <w:pPr>
              <w:pStyle w:val="TableParagraph"/>
              <w:spacing w:before="21"/>
              <w:ind w:left="87" w:right="81"/>
              <w:rPr>
                <w:sz w:val="21"/>
              </w:rPr>
            </w:pPr>
            <w:r>
              <w:rPr>
                <w:sz w:val="21"/>
              </w:rPr>
              <w:t>空气压</w:t>
            </w:r>
          </w:p>
          <w:p>
            <w:pPr>
              <w:pStyle w:val="TableParagraph"/>
              <w:spacing w:before="43"/>
              <w:ind w:left="87" w:right="81"/>
              <w:rPr>
                <w:sz w:val="21"/>
              </w:rPr>
            </w:pPr>
            <w:r>
              <w:rPr>
                <w:sz w:val="21"/>
              </w:rPr>
              <w:t>缩机</w:t>
            </w:r>
          </w:p>
        </w:tc>
        <w:tc>
          <w:tcPr>
            <w:tcW w:w="940" w:type="dxa"/>
            <w:tcBorders>
              <w:top w:val="nil"/>
              <w:bottom w:val="nil"/>
            </w:tcBorders>
          </w:tcPr>
          <w:p>
            <w:pPr>
              <w:pStyle w:val="TableParagraph"/>
              <w:spacing w:before="21"/>
              <w:ind w:left="134" w:right="126"/>
              <w:rPr>
                <w:sz w:val="21"/>
              </w:rPr>
            </w:pPr>
            <w:r>
              <w:rPr>
                <w:sz w:val="21"/>
              </w:rPr>
              <w:t>空压机</w:t>
            </w:r>
          </w:p>
          <w:p>
            <w:pPr>
              <w:pStyle w:val="TableParagraph"/>
              <w:spacing w:before="43"/>
              <w:ind w:left="6"/>
              <w:rPr>
                <w:sz w:val="21"/>
              </w:rPr>
            </w:pPr>
            <w:r>
              <w:rPr>
                <w:w w:val="99"/>
                <w:sz w:val="21"/>
              </w:rPr>
              <w:t>房</w:t>
            </w:r>
          </w:p>
        </w:tc>
        <w:tc>
          <w:tcPr>
            <w:tcW w:w="766" w:type="dxa"/>
            <w:tcBorders>
              <w:top w:val="nil"/>
              <w:bottom w:val="nil"/>
            </w:tcBorders>
          </w:tcPr>
          <w:p>
            <w:pPr>
              <w:pStyle w:val="TableParagraph"/>
              <w:spacing w:before="191"/>
              <w:ind w:left="5"/>
              <w:rPr>
                <w:rFonts w:ascii="Times New Roman"/>
                <w:sz w:val="21"/>
              </w:rPr>
            </w:pPr>
            <w:r>
              <w:rPr>
                <w:rFonts w:ascii="Times New Roman"/>
                <w:w w:val="99"/>
                <w:sz w:val="21"/>
              </w:rPr>
              <w:t>1</w:t>
            </w:r>
          </w:p>
        </w:tc>
        <w:tc>
          <w:tcPr>
            <w:tcW w:w="652" w:type="dxa"/>
            <w:tcBorders>
              <w:top w:val="nil"/>
              <w:bottom w:val="nil"/>
            </w:tcBorders>
          </w:tcPr>
          <w:p>
            <w:pPr>
              <w:pStyle w:val="TableParagraph"/>
              <w:spacing w:before="191"/>
              <w:ind w:left="200" w:right="192"/>
              <w:rPr>
                <w:rFonts w:ascii="Times New Roman"/>
                <w:sz w:val="21"/>
              </w:rPr>
            </w:pPr>
            <w:r>
              <w:rPr>
                <w:rFonts w:ascii="Times New Roman"/>
                <w:sz w:val="21"/>
              </w:rPr>
              <w:t>95</w:t>
            </w:r>
          </w:p>
        </w:tc>
        <w:tc>
          <w:tcPr>
            <w:tcW w:w="2347" w:type="dxa"/>
            <w:tcBorders>
              <w:top w:val="nil"/>
              <w:bottom w:val="nil"/>
            </w:tcBorders>
          </w:tcPr>
          <w:p>
            <w:pPr>
              <w:pStyle w:val="TableParagraph"/>
              <w:spacing w:before="21"/>
              <w:ind w:left="57"/>
              <w:jc w:val="left"/>
              <w:rPr>
                <w:sz w:val="21"/>
              </w:rPr>
            </w:pPr>
            <w:r>
              <w:rPr>
                <w:spacing w:val="-8"/>
                <w:w w:val="95"/>
                <w:sz w:val="21"/>
              </w:rPr>
              <w:t>进排气口安装消声器，对</w:t>
            </w:r>
          </w:p>
          <w:p>
            <w:pPr>
              <w:pStyle w:val="TableParagraph"/>
              <w:spacing w:before="43"/>
              <w:ind w:left="57"/>
              <w:jc w:val="left"/>
              <w:rPr>
                <w:sz w:val="21"/>
              </w:rPr>
            </w:pPr>
            <w:r>
              <w:rPr>
                <w:spacing w:val="-9"/>
                <w:w w:val="95"/>
                <w:sz w:val="21"/>
              </w:rPr>
              <w:t>机房墙壁、顶棚进行吸声</w:t>
            </w:r>
          </w:p>
        </w:tc>
        <w:tc>
          <w:tcPr>
            <w:tcW w:w="683" w:type="dxa"/>
            <w:tcBorders>
              <w:top w:val="nil"/>
              <w:bottom w:val="nil"/>
            </w:tcBorders>
          </w:tcPr>
          <w:p>
            <w:pPr>
              <w:pStyle w:val="TableParagraph"/>
              <w:spacing w:before="191"/>
              <w:ind w:left="215" w:right="207"/>
              <w:rPr>
                <w:rFonts w:ascii="Times New Roman"/>
                <w:sz w:val="21"/>
              </w:rPr>
            </w:pPr>
            <w:r>
              <w:rPr>
                <w:rFonts w:ascii="Times New Roman"/>
                <w:sz w:val="21"/>
              </w:rPr>
              <w:t>25</w:t>
            </w:r>
          </w:p>
        </w:tc>
        <w:tc>
          <w:tcPr>
            <w:tcW w:w="877" w:type="dxa"/>
            <w:tcBorders>
              <w:top w:val="nil"/>
              <w:bottom w:val="nil"/>
            </w:tcBorders>
          </w:tcPr>
          <w:p>
            <w:pPr>
              <w:pStyle w:val="TableParagraph"/>
              <w:spacing w:before="191"/>
              <w:ind w:right="322"/>
              <w:jc w:val="right"/>
              <w:rPr>
                <w:rFonts w:ascii="Times New Roman"/>
                <w:sz w:val="21"/>
              </w:rPr>
            </w:pPr>
            <w:r>
              <w:rPr>
                <w:rFonts w:ascii="Times New Roman"/>
                <w:sz w:val="21"/>
              </w:rPr>
              <w:t>70</w:t>
            </w:r>
          </w:p>
        </w:tc>
        <w:tc>
          <w:tcPr>
            <w:tcW w:w="897" w:type="dxa"/>
            <w:tcBorders>
              <w:top w:val="nil"/>
              <w:bottom w:val="nil"/>
            </w:tcBorders>
          </w:tcPr>
          <w:p>
            <w:pPr>
              <w:pStyle w:val="TableParagraph"/>
              <w:jc w:val="left"/>
              <w:rPr>
                <w:rFonts w:ascii="Times New Roman"/>
                <w:sz w:val="20"/>
              </w:rPr>
            </w:pPr>
          </w:p>
        </w:tc>
      </w:tr>
      <w:tr>
        <w:trPr>
          <w:trHeight w:val="312" w:hRule="atLeast"/>
        </w:trPr>
        <w:tc>
          <w:tcPr>
            <w:tcW w:w="496" w:type="dxa"/>
            <w:tcBorders>
              <w:top w:val="nil"/>
            </w:tcBorders>
          </w:tcPr>
          <w:p>
            <w:pPr>
              <w:pStyle w:val="TableParagraph"/>
              <w:jc w:val="left"/>
              <w:rPr>
                <w:rFonts w:ascii="Times New Roman"/>
                <w:sz w:val="20"/>
              </w:rPr>
            </w:pPr>
          </w:p>
        </w:tc>
        <w:tc>
          <w:tcPr>
            <w:tcW w:w="848" w:type="dxa"/>
            <w:tcBorders>
              <w:top w:val="nil"/>
            </w:tcBorders>
          </w:tcPr>
          <w:p>
            <w:pPr>
              <w:pStyle w:val="TableParagraph"/>
              <w:jc w:val="left"/>
              <w:rPr>
                <w:rFonts w:ascii="Times New Roman"/>
                <w:sz w:val="20"/>
              </w:rPr>
            </w:pPr>
          </w:p>
        </w:tc>
        <w:tc>
          <w:tcPr>
            <w:tcW w:w="940" w:type="dxa"/>
            <w:tcBorders>
              <w:top w:val="nil"/>
            </w:tcBorders>
          </w:tcPr>
          <w:p>
            <w:pPr>
              <w:pStyle w:val="TableParagraph"/>
              <w:jc w:val="left"/>
              <w:rPr>
                <w:rFonts w:ascii="Times New Roman"/>
                <w:sz w:val="20"/>
              </w:rPr>
            </w:pPr>
          </w:p>
        </w:tc>
        <w:tc>
          <w:tcPr>
            <w:tcW w:w="766" w:type="dxa"/>
            <w:tcBorders>
              <w:top w:val="nil"/>
            </w:tcBorders>
          </w:tcPr>
          <w:p>
            <w:pPr>
              <w:pStyle w:val="TableParagraph"/>
              <w:jc w:val="left"/>
              <w:rPr>
                <w:rFonts w:ascii="Times New Roman"/>
                <w:sz w:val="20"/>
              </w:rPr>
            </w:pPr>
          </w:p>
        </w:tc>
        <w:tc>
          <w:tcPr>
            <w:tcW w:w="652" w:type="dxa"/>
            <w:tcBorders>
              <w:top w:val="nil"/>
            </w:tcBorders>
          </w:tcPr>
          <w:p>
            <w:pPr>
              <w:pStyle w:val="TableParagraph"/>
              <w:jc w:val="left"/>
              <w:rPr>
                <w:rFonts w:ascii="Times New Roman"/>
                <w:sz w:val="20"/>
              </w:rPr>
            </w:pPr>
          </w:p>
        </w:tc>
        <w:tc>
          <w:tcPr>
            <w:tcW w:w="2347" w:type="dxa"/>
            <w:tcBorders>
              <w:top w:val="nil"/>
            </w:tcBorders>
          </w:tcPr>
          <w:p>
            <w:pPr>
              <w:pStyle w:val="TableParagraph"/>
              <w:spacing w:before="21"/>
              <w:ind w:left="8"/>
              <w:rPr>
                <w:sz w:val="21"/>
              </w:rPr>
            </w:pPr>
            <w:r>
              <w:rPr>
                <w:sz w:val="21"/>
              </w:rPr>
              <w:t>处理，门窗采用隔声门窗</w:t>
            </w:r>
          </w:p>
        </w:tc>
        <w:tc>
          <w:tcPr>
            <w:tcW w:w="683" w:type="dxa"/>
            <w:tcBorders>
              <w:top w:val="nil"/>
            </w:tcBorders>
          </w:tcPr>
          <w:p>
            <w:pPr>
              <w:pStyle w:val="TableParagraph"/>
              <w:jc w:val="left"/>
              <w:rPr>
                <w:rFonts w:ascii="Times New Roman"/>
                <w:sz w:val="20"/>
              </w:rPr>
            </w:pPr>
          </w:p>
        </w:tc>
        <w:tc>
          <w:tcPr>
            <w:tcW w:w="877" w:type="dxa"/>
            <w:tcBorders>
              <w:top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270" w:hRule="atLeast"/>
        </w:trPr>
        <w:tc>
          <w:tcPr>
            <w:tcW w:w="496" w:type="dxa"/>
            <w:tcBorders>
              <w:bottom w:val="nil"/>
            </w:tcBorders>
          </w:tcPr>
          <w:p>
            <w:pPr>
              <w:pStyle w:val="TableParagraph"/>
              <w:jc w:val="left"/>
              <w:rPr>
                <w:rFonts w:ascii="Times New Roman"/>
                <w:sz w:val="20"/>
              </w:rPr>
            </w:pPr>
          </w:p>
        </w:tc>
        <w:tc>
          <w:tcPr>
            <w:tcW w:w="848" w:type="dxa"/>
            <w:tcBorders>
              <w:bottom w:val="nil"/>
            </w:tcBorders>
          </w:tcPr>
          <w:p>
            <w:pPr>
              <w:pStyle w:val="TableParagraph"/>
              <w:jc w:val="left"/>
              <w:rPr>
                <w:rFonts w:ascii="Times New Roman"/>
                <w:sz w:val="20"/>
              </w:rPr>
            </w:pPr>
          </w:p>
        </w:tc>
        <w:tc>
          <w:tcPr>
            <w:tcW w:w="940" w:type="dxa"/>
            <w:tcBorders>
              <w:bottom w:val="nil"/>
            </w:tcBorders>
          </w:tcPr>
          <w:p>
            <w:pPr>
              <w:pStyle w:val="TableParagraph"/>
              <w:jc w:val="left"/>
              <w:rPr>
                <w:rFonts w:ascii="Times New Roman"/>
                <w:sz w:val="20"/>
              </w:rPr>
            </w:pPr>
          </w:p>
        </w:tc>
        <w:tc>
          <w:tcPr>
            <w:tcW w:w="766" w:type="dxa"/>
            <w:tcBorders>
              <w:bottom w:val="nil"/>
            </w:tcBorders>
          </w:tcPr>
          <w:p>
            <w:pPr>
              <w:pStyle w:val="TableParagraph"/>
              <w:jc w:val="left"/>
              <w:rPr>
                <w:rFonts w:ascii="Times New Roman"/>
                <w:sz w:val="20"/>
              </w:rPr>
            </w:pPr>
          </w:p>
        </w:tc>
        <w:tc>
          <w:tcPr>
            <w:tcW w:w="652" w:type="dxa"/>
            <w:tcBorders>
              <w:bottom w:val="nil"/>
            </w:tcBorders>
          </w:tcPr>
          <w:p>
            <w:pPr>
              <w:pStyle w:val="TableParagraph"/>
              <w:jc w:val="left"/>
              <w:rPr>
                <w:rFonts w:ascii="Times New Roman"/>
                <w:sz w:val="20"/>
              </w:rPr>
            </w:pPr>
          </w:p>
        </w:tc>
        <w:tc>
          <w:tcPr>
            <w:tcW w:w="2347" w:type="dxa"/>
            <w:tcBorders>
              <w:bottom w:val="nil"/>
            </w:tcBorders>
          </w:tcPr>
          <w:p>
            <w:pPr>
              <w:pStyle w:val="TableParagraph"/>
              <w:spacing w:line="230" w:lineRule="exact" w:before="20"/>
              <w:ind w:left="57" w:right="-44"/>
              <w:rPr>
                <w:sz w:val="21"/>
              </w:rPr>
            </w:pPr>
            <w:r>
              <w:rPr>
                <w:sz w:val="21"/>
              </w:rPr>
              <w:t>车间内各设备基座减振；</w:t>
            </w:r>
          </w:p>
        </w:tc>
        <w:tc>
          <w:tcPr>
            <w:tcW w:w="683" w:type="dxa"/>
            <w:tcBorders>
              <w:bottom w:val="nil"/>
            </w:tcBorders>
          </w:tcPr>
          <w:p>
            <w:pPr>
              <w:pStyle w:val="TableParagraph"/>
              <w:jc w:val="left"/>
              <w:rPr>
                <w:rFonts w:ascii="Times New Roman"/>
                <w:sz w:val="20"/>
              </w:rPr>
            </w:pPr>
          </w:p>
        </w:tc>
        <w:tc>
          <w:tcPr>
            <w:tcW w:w="877" w:type="dxa"/>
            <w:tcBorders>
              <w:bottom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308" w:hRule="atLeast"/>
        </w:trPr>
        <w:tc>
          <w:tcPr>
            <w:tcW w:w="496" w:type="dxa"/>
            <w:tcBorders>
              <w:top w:val="nil"/>
              <w:bottom w:val="nil"/>
            </w:tcBorders>
          </w:tcPr>
          <w:p>
            <w:pPr>
              <w:pStyle w:val="TableParagraph"/>
              <w:jc w:val="left"/>
              <w:rPr>
                <w:rFonts w:ascii="Times New Roman"/>
                <w:sz w:val="20"/>
              </w:rPr>
            </w:pPr>
          </w:p>
        </w:tc>
        <w:tc>
          <w:tcPr>
            <w:tcW w:w="848" w:type="dxa"/>
            <w:tcBorders>
              <w:top w:val="nil"/>
              <w:bottom w:val="nil"/>
            </w:tcBorders>
          </w:tcPr>
          <w:p>
            <w:pPr>
              <w:pStyle w:val="TableParagraph"/>
              <w:jc w:val="left"/>
              <w:rPr>
                <w:rFonts w:ascii="Times New Roman"/>
                <w:sz w:val="20"/>
              </w:rPr>
            </w:pPr>
          </w:p>
        </w:tc>
        <w:tc>
          <w:tcPr>
            <w:tcW w:w="940" w:type="dxa"/>
            <w:tcBorders>
              <w:top w:val="nil"/>
              <w:bottom w:val="nil"/>
            </w:tcBorders>
          </w:tcPr>
          <w:p>
            <w:pPr>
              <w:pStyle w:val="TableParagraph"/>
              <w:jc w:val="left"/>
              <w:rPr>
                <w:rFonts w:ascii="Times New Roman"/>
                <w:sz w:val="20"/>
              </w:rPr>
            </w:pPr>
          </w:p>
        </w:tc>
        <w:tc>
          <w:tcPr>
            <w:tcW w:w="766" w:type="dxa"/>
            <w:tcBorders>
              <w:top w:val="nil"/>
              <w:bottom w:val="nil"/>
            </w:tcBorders>
          </w:tcPr>
          <w:p>
            <w:pPr>
              <w:pStyle w:val="TableParagraph"/>
              <w:jc w:val="left"/>
              <w:rPr>
                <w:rFonts w:ascii="Times New Roman"/>
                <w:sz w:val="20"/>
              </w:rPr>
            </w:pPr>
          </w:p>
        </w:tc>
        <w:tc>
          <w:tcPr>
            <w:tcW w:w="652" w:type="dxa"/>
            <w:tcBorders>
              <w:top w:val="nil"/>
              <w:bottom w:val="nil"/>
            </w:tcBorders>
          </w:tcPr>
          <w:p>
            <w:pPr>
              <w:pStyle w:val="TableParagraph"/>
              <w:jc w:val="left"/>
              <w:rPr>
                <w:rFonts w:ascii="Times New Roman"/>
                <w:sz w:val="20"/>
              </w:rPr>
            </w:pPr>
          </w:p>
        </w:tc>
        <w:tc>
          <w:tcPr>
            <w:tcW w:w="2347" w:type="dxa"/>
            <w:tcBorders>
              <w:top w:val="nil"/>
              <w:bottom w:val="nil"/>
            </w:tcBorders>
          </w:tcPr>
          <w:p>
            <w:pPr>
              <w:pStyle w:val="TableParagraph"/>
              <w:spacing w:line="227" w:lineRule="exact" w:before="62"/>
              <w:ind w:left="8"/>
              <w:rPr>
                <w:sz w:val="21"/>
              </w:rPr>
            </w:pPr>
            <w:r>
              <w:rPr>
                <w:sz w:val="21"/>
              </w:rPr>
              <w:t>减小各种溜槽的落差，并</w:t>
            </w:r>
          </w:p>
        </w:tc>
        <w:tc>
          <w:tcPr>
            <w:tcW w:w="683" w:type="dxa"/>
            <w:tcBorders>
              <w:top w:val="nil"/>
              <w:bottom w:val="nil"/>
            </w:tcBorders>
          </w:tcPr>
          <w:p>
            <w:pPr>
              <w:pStyle w:val="TableParagraph"/>
              <w:jc w:val="left"/>
              <w:rPr>
                <w:rFonts w:ascii="Times New Roman"/>
                <w:sz w:val="20"/>
              </w:rPr>
            </w:pPr>
          </w:p>
        </w:tc>
        <w:tc>
          <w:tcPr>
            <w:tcW w:w="877" w:type="dxa"/>
            <w:tcBorders>
              <w:top w:val="nil"/>
              <w:bottom w:val="nil"/>
            </w:tcBorders>
          </w:tcPr>
          <w:p>
            <w:pPr>
              <w:pStyle w:val="TableParagraph"/>
              <w:jc w:val="left"/>
              <w:rPr>
                <w:rFonts w:ascii="Times New Roman"/>
                <w:sz w:val="20"/>
              </w:rPr>
            </w:pPr>
          </w:p>
        </w:tc>
        <w:tc>
          <w:tcPr>
            <w:tcW w:w="897" w:type="dxa"/>
            <w:tcBorders>
              <w:top w:val="nil"/>
              <w:bottom w:val="nil"/>
            </w:tcBorders>
          </w:tcPr>
          <w:p>
            <w:pPr>
              <w:pStyle w:val="TableParagraph"/>
              <w:spacing w:line="249" w:lineRule="exact"/>
              <w:ind w:left="139" w:right="133"/>
              <w:rPr>
                <w:sz w:val="21"/>
              </w:rPr>
            </w:pPr>
            <w:r>
              <w:rPr>
                <w:sz w:val="21"/>
              </w:rPr>
              <w:t>昼间</w:t>
            </w:r>
          </w:p>
        </w:tc>
      </w:tr>
      <w:tr>
        <w:trPr>
          <w:trHeight w:val="935" w:hRule="atLeast"/>
        </w:trPr>
        <w:tc>
          <w:tcPr>
            <w:tcW w:w="496" w:type="dxa"/>
            <w:tcBorders>
              <w:top w:val="nil"/>
              <w:bottom w:val="nil"/>
            </w:tcBorders>
          </w:tcPr>
          <w:p>
            <w:pPr>
              <w:pStyle w:val="TableParagraph"/>
              <w:spacing w:before="6"/>
              <w:jc w:val="left"/>
              <w:rPr>
                <w:rFonts w:ascii="黑体"/>
                <w:sz w:val="30"/>
              </w:rPr>
            </w:pPr>
          </w:p>
          <w:p>
            <w:pPr>
              <w:pStyle w:val="TableParagraph"/>
              <w:spacing w:before="1"/>
              <w:ind w:right="183"/>
              <w:jc w:val="right"/>
              <w:rPr>
                <w:rFonts w:ascii="Times New Roman"/>
                <w:sz w:val="21"/>
              </w:rPr>
            </w:pPr>
            <w:r>
              <w:rPr>
                <w:rFonts w:ascii="Times New Roman"/>
                <w:w w:val="99"/>
                <w:sz w:val="21"/>
              </w:rPr>
              <w:t>4</w:t>
            </w:r>
          </w:p>
        </w:tc>
        <w:tc>
          <w:tcPr>
            <w:tcW w:w="848" w:type="dxa"/>
            <w:tcBorders>
              <w:top w:val="nil"/>
              <w:bottom w:val="nil"/>
            </w:tcBorders>
          </w:tcPr>
          <w:p>
            <w:pPr>
              <w:pStyle w:val="TableParagraph"/>
              <w:spacing w:before="5"/>
              <w:jc w:val="left"/>
              <w:rPr>
                <w:rFonts w:ascii="黑体"/>
                <w:sz w:val="29"/>
              </w:rPr>
            </w:pPr>
          </w:p>
          <w:p>
            <w:pPr>
              <w:pStyle w:val="TableParagraph"/>
              <w:ind w:right="99"/>
              <w:jc w:val="right"/>
              <w:rPr>
                <w:sz w:val="21"/>
              </w:rPr>
            </w:pPr>
            <w:r>
              <w:rPr>
                <w:w w:val="95"/>
                <w:sz w:val="21"/>
              </w:rPr>
              <w:t>振动筛</w:t>
            </w:r>
          </w:p>
        </w:tc>
        <w:tc>
          <w:tcPr>
            <w:tcW w:w="940" w:type="dxa"/>
            <w:tcBorders>
              <w:top w:val="nil"/>
              <w:bottom w:val="nil"/>
            </w:tcBorders>
          </w:tcPr>
          <w:p>
            <w:pPr>
              <w:pStyle w:val="TableParagraph"/>
              <w:spacing w:before="3"/>
              <w:jc w:val="left"/>
              <w:rPr>
                <w:rFonts w:ascii="黑体"/>
                <w:sz w:val="17"/>
              </w:rPr>
            </w:pPr>
          </w:p>
          <w:p>
            <w:pPr>
              <w:pStyle w:val="TableParagraph"/>
              <w:spacing w:line="278" w:lineRule="auto"/>
              <w:ind w:left="363" w:right="144" w:hanging="209"/>
              <w:jc w:val="left"/>
              <w:rPr>
                <w:sz w:val="21"/>
              </w:rPr>
            </w:pPr>
            <w:r>
              <w:rPr>
                <w:sz w:val="21"/>
              </w:rPr>
              <w:t>筛分车间</w:t>
            </w:r>
          </w:p>
        </w:tc>
        <w:tc>
          <w:tcPr>
            <w:tcW w:w="766" w:type="dxa"/>
            <w:tcBorders>
              <w:top w:val="nil"/>
              <w:bottom w:val="nil"/>
            </w:tcBorders>
          </w:tcPr>
          <w:p>
            <w:pPr>
              <w:pStyle w:val="TableParagraph"/>
              <w:spacing w:before="6"/>
              <w:jc w:val="left"/>
              <w:rPr>
                <w:rFonts w:ascii="黑体"/>
                <w:sz w:val="30"/>
              </w:rPr>
            </w:pPr>
          </w:p>
          <w:p>
            <w:pPr>
              <w:pStyle w:val="TableParagraph"/>
              <w:spacing w:before="1"/>
              <w:ind w:left="5"/>
              <w:rPr>
                <w:rFonts w:ascii="Times New Roman"/>
                <w:sz w:val="21"/>
              </w:rPr>
            </w:pPr>
            <w:r>
              <w:rPr>
                <w:rFonts w:ascii="Times New Roman"/>
                <w:w w:val="99"/>
                <w:sz w:val="21"/>
              </w:rPr>
              <w:t>1</w:t>
            </w:r>
          </w:p>
        </w:tc>
        <w:tc>
          <w:tcPr>
            <w:tcW w:w="652" w:type="dxa"/>
            <w:tcBorders>
              <w:top w:val="nil"/>
              <w:bottom w:val="nil"/>
            </w:tcBorders>
          </w:tcPr>
          <w:p>
            <w:pPr>
              <w:pStyle w:val="TableParagraph"/>
              <w:spacing w:before="6"/>
              <w:jc w:val="left"/>
              <w:rPr>
                <w:rFonts w:ascii="黑体"/>
                <w:sz w:val="30"/>
              </w:rPr>
            </w:pPr>
          </w:p>
          <w:p>
            <w:pPr>
              <w:pStyle w:val="TableParagraph"/>
              <w:spacing w:before="1"/>
              <w:ind w:left="200" w:right="192"/>
              <w:rPr>
                <w:rFonts w:ascii="Times New Roman"/>
                <w:sz w:val="21"/>
              </w:rPr>
            </w:pPr>
            <w:r>
              <w:rPr>
                <w:rFonts w:ascii="Times New Roman"/>
                <w:sz w:val="21"/>
              </w:rPr>
              <w:t>93</w:t>
            </w:r>
          </w:p>
        </w:tc>
        <w:tc>
          <w:tcPr>
            <w:tcW w:w="2347" w:type="dxa"/>
            <w:tcBorders>
              <w:top w:val="nil"/>
              <w:bottom w:val="nil"/>
            </w:tcBorders>
          </w:tcPr>
          <w:p>
            <w:pPr>
              <w:pStyle w:val="TableParagraph"/>
              <w:spacing w:line="310" w:lineRule="atLeast" w:before="24"/>
              <w:ind w:left="57" w:right="47"/>
              <w:jc w:val="both"/>
              <w:rPr>
                <w:sz w:val="21"/>
              </w:rPr>
            </w:pPr>
            <w:r>
              <w:rPr>
                <w:spacing w:val="-9"/>
                <w:sz w:val="21"/>
              </w:rPr>
              <w:t>在溜槽底部铺设耐磨、降</w:t>
            </w:r>
            <w:r>
              <w:rPr>
                <w:spacing w:val="-10"/>
                <w:sz w:val="21"/>
              </w:rPr>
              <w:t>噪衬板，以降低物料在运输过程中的噪声；对建筑</w:t>
            </w:r>
          </w:p>
        </w:tc>
        <w:tc>
          <w:tcPr>
            <w:tcW w:w="683" w:type="dxa"/>
            <w:tcBorders>
              <w:top w:val="nil"/>
              <w:bottom w:val="nil"/>
            </w:tcBorders>
          </w:tcPr>
          <w:p>
            <w:pPr>
              <w:pStyle w:val="TableParagraph"/>
              <w:spacing w:before="6"/>
              <w:jc w:val="left"/>
              <w:rPr>
                <w:rFonts w:ascii="黑体"/>
                <w:sz w:val="30"/>
              </w:rPr>
            </w:pPr>
          </w:p>
          <w:p>
            <w:pPr>
              <w:pStyle w:val="TableParagraph"/>
              <w:spacing w:before="1"/>
              <w:ind w:left="215" w:right="207"/>
              <w:rPr>
                <w:rFonts w:ascii="Times New Roman"/>
                <w:sz w:val="21"/>
              </w:rPr>
            </w:pPr>
            <w:r>
              <w:rPr>
                <w:rFonts w:ascii="Times New Roman"/>
                <w:sz w:val="21"/>
              </w:rPr>
              <w:t>15</w:t>
            </w:r>
          </w:p>
        </w:tc>
        <w:tc>
          <w:tcPr>
            <w:tcW w:w="877" w:type="dxa"/>
            <w:tcBorders>
              <w:top w:val="nil"/>
              <w:bottom w:val="nil"/>
            </w:tcBorders>
          </w:tcPr>
          <w:p>
            <w:pPr>
              <w:pStyle w:val="TableParagraph"/>
              <w:spacing w:before="6"/>
              <w:jc w:val="left"/>
              <w:rPr>
                <w:rFonts w:ascii="黑体"/>
                <w:sz w:val="30"/>
              </w:rPr>
            </w:pPr>
          </w:p>
          <w:p>
            <w:pPr>
              <w:pStyle w:val="TableParagraph"/>
              <w:spacing w:before="1"/>
              <w:ind w:right="322"/>
              <w:jc w:val="right"/>
              <w:rPr>
                <w:rFonts w:ascii="Times New Roman"/>
                <w:sz w:val="21"/>
              </w:rPr>
            </w:pPr>
            <w:r>
              <w:rPr>
                <w:rFonts w:ascii="Times New Roman"/>
                <w:sz w:val="21"/>
              </w:rPr>
              <w:t>78</w:t>
            </w:r>
          </w:p>
        </w:tc>
        <w:tc>
          <w:tcPr>
            <w:tcW w:w="897" w:type="dxa"/>
            <w:tcBorders>
              <w:top w:val="nil"/>
              <w:bottom w:val="nil"/>
            </w:tcBorders>
          </w:tcPr>
          <w:p>
            <w:pPr>
              <w:pStyle w:val="TableParagraph"/>
              <w:spacing w:line="239" w:lineRule="exact"/>
              <w:ind w:left="163"/>
              <w:jc w:val="left"/>
              <w:rPr>
                <w:rFonts w:ascii="Times New Roman" w:hAnsi="Times New Roman"/>
                <w:sz w:val="21"/>
              </w:rPr>
            </w:pPr>
            <w:r>
              <w:rPr>
                <w:rFonts w:ascii="Times New Roman" w:hAnsi="Times New Roman"/>
                <w:sz w:val="21"/>
              </w:rPr>
              <w:t>≤60dB</w:t>
            </w:r>
          </w:p>
          <w:p>
            <w:pPr>
              <w:pStyle w:val="TableParagraph"/>
              <w:spacing w:before="56"/>
              <w:ind w:left="163"/>
              <w:jc w:val="left"/>
              <w:rPr>
                <w:sz w:val="21"/>
              </w:rPr>
            </w:pPr>
            <w:r>
              <w:rPr>
                <w:sz w:val="21"/>
              </w:rPr>
              <w:t>（</w:t>
            </w:r>
            <w:r>
              <w:rPr>
                <w:rFonts w:ascii="Times New Roman" w:eastAsia="Times New Roman"/>
                <w:sz w:val="21"/>
              </w:rPr>
              <w:t>A</w:t>
            </w:r>
            <w:r>
              <w:rPr>
                <w:sz w:val="21"/>
              </w:rPr>
              <w:t>）</w:t>
            </w:r>
          </w:p>
          <w:p>
            <w:pPr>
              <w:pStyle w:val="TableParagraph"/>
              <w:spacing w:before="43"/>
              <w:ind w:left="132"/>
              <w:jc w:val="left"/>
              <w:rPr>
                <w:sz w:val="21"/>
              </w:rPr>
            </w:pPr>
            <w:r>
              <w:rPr>
                <w:w w:val="95"/>
                <w:sz w:val="21"/>
              </w:rPr>
              <w:t>；夜间</w:t>
            </w:r>
          </w:p>
        </w:tc>
      </w:tr>
      <w:tr>
        <w:trPr>
          <w:trHeight w:val="294" w:hRule="atLeast"/>
        </w:trPr>
        <w:tc>
          <w:tcPr>
            <w:tcW w:w="496" w:type="dxa"/>
            <w:tcBorders>
              <w:top w:val="nil"/>
              <w:bottom w:val="nil"/>
            </w:tcBorders>
          </w:tcPr>
          <w:p>
            <w:pPr>
              <w:pStyle w:val="TableParagraph"/>
              <w:jc w:val="left"/>
              <w:rPr>
                <w:rFonts w:ascii="Times New Roman"/>
                <w:sz w:val="20"/>
              </w:rPr>
            </w:pPr>
          </w:p>
        </w:tc>
        <w:tc>
          <w:tcPr>
            <w:tcW w:w="848" w:type="dxa"/>
            <w:tcBorders>
              <w:top w:val="nil"/>
              <w:bottom w:val="nil"/>
            </w:tcBorders>
          </w:tcPr>
          <w:p>
            <w:pPr>
              <w:pStyle w:val="TableParagraph"/>
              <w:jc w:val="left"/>
              <w:rPr>
                <w:rFonts w:ascii="Times New Roman"/>
                <w:sz w:val="20"/>
              </w:rPr>
            </w:pPr>
          </w:p>
        </w:tc>
        <w:tc>
          <w:tcPr>
            <w:tcW w:w="940" w:type="dxa"/>
            <w:tcBorders>
              <w:top w:val="nil"/>
              <w:bottom w:val="nil"/>
            </w:tcBorders>
          </w:tcPr>
          <w:p>
            <w:pPr>
              <w:pStyle w:val="TableParagraph"/>
              <w:jc w:val="left"/>
              <w:rPr>
                <w:rFonts w:ascii="Times New Roman"/>
                <w:sz w:val="20"/>
              </w:rPr>
            </w:pPr>
          </w:p>
        </w:tc>
        <w:tc>
          <w:tcPr>
            <w:tcW w:w="766" w:type="dxa"/>
            <w:tcBorders>
              <w:top w:val="nil"/>
              <w:bottom w:val="nil"/>
            </w:tcBorders>
          </w:tcPr>
          <w:p>
            <w:pPr>
              <w:pStyle w:val="TableParagraph"/>
              <w:jc w:val="left"/>
              <w:rPr>
                <w:rFonts w:ascii="Times New Roman"/>
                <w:sz w:val="20"/>
              </w:rPr>
            </w:pPr>
          </w:p>
        </w:tc>
        <w:tc>
          <w:tcPr>
            <w:tcW w:w="652" w:type="dxa"/>
            <w:tcBorders>
              <w:top w:val="nil"/>
              <w:bottom w:val="nil"/>
            </w:tcBorders>
          </w:tcPr>
          <w:p>
            <w:pPr>
              <w:pStyle w:val="TableParagraph"/>
              <w:jc w:val="left"/>
              <w:rPr>
                <w:rFonts w:ascii="Times New Roman"/>
                <w:sz w:val="20"/>
              </w:rPr>
            </w:pPr>
          </w:p>
        </w:tc>
        <w:tc>
          <w:tcPr>
            <w:tcW w:w="2347" w:type="dxa"/>
            <w:tcBorders>
              <w:top w:val="nil"/>
              <w:bottom w:val="nil"/>
            </w:tcBorders>
          </w:tcPr>
          <w:p>
            <w:pPr>
              <w:pStyle w:val="TableParagraph"/>
              <w:spacing w:line="227" w:lineRule="exact" w:before="47"/>
              <w:ind w:left="8"/>
              <w:rPr>
                <w:sz w:val="21"/>
              </w:rPr>
            </w:pPr>
            <w:r>
              <w:rPr>
                <w:sz w:val="21"/>
              </w:rPr>
              <w:t>物的外门、外窗要求采用</w:t>
            </w:r>
          </w:p>
        </w:tc>
        <w:tc>
          <w:tcPr>
            <w:tcW w:w="683" w:type="dxa"/>
            <w:tcBorders>
              <w:top w:val="nil"/>
              <w:bottom w:val="nil"/>
            </w:tcBorders>
          </w:tcPr>
          <w:p>
            <w:pPr>
              <w:pStyle w:val="TableParagraph"/>
              <w:jc w:val="left"/>
              <w:rPr>
                <w:rFonts w:ascii="Times New Roman"/>
                <w:sz w:val="20"/>
              </w:rPr>
            </w:pPr>
          </w:p>
        </w:tc>
        <w:tc>
          <w:tcPr>
            <w:tcW w:w="877" w:type="dxa"/>
            <w:tcBorders>
              <w:top w:val="nil"/>
              <w:bottom w:val="nil"/>
            </w:tcBorders>
          </w:tcPr>
          <w:p>
            <w:pPr>
              <w:pStyle w:val="TableParagraph"/>
              <w:jc w:val="left"/>
              <w:rPr>
                <w:rFonts w:ascii="Times New Roman"/>
                <w:sz w:val="20"/>
              </w:rPr>
            </w:pPr>
          </w:p>
        </w:tc>
        <w:tc>
          <w:tcPr>
            <w:tcW w:w="897" w:type="dxa"/>
            <w:tcBorders>
              <w:top w:val="nil"/>
              <w:bottom w:val="nil"/>
            </w:tcBorders>
          </w:tcPr>
          <w:p>
            <w:pPr>
              <w:pStyle w:val="TableParagraph"/>
              <w:spacing w:line="221" w:lineRule="exact"/>
              <w:ind w:left="142" w:right="133"/>
              <w:rPr>
                <w:rFonts w:ascii="Times New Roman" w:hAnsi="Times New Roman"/>
                <w:sz w:val="21"/>
              </w:rPr>
            </w:pPr>
            <w:r>
              <w:rPr>
                <w:rFonts w:ascii="Times New Roman" w:hAnsi="Times New Roman"/>
                <w:sz w:val="21"/>
              </w:rPr>
              <w:t>≤50dB</w:t>
            </w:r>
          </w:p>
        </w:tc>
      </w:tr>
      <w:tr>
        <w:trPr>
          <w:trHeight w:val="357" w:hRule="atLeast"/>
        </w:trPr>
        <w:tc>
          <w:tcPr>
            <w:tcW w:w="496" w:type="dxa"/>
            <w:tcBorders>
              <w:top w:val="nil"/>
            </w:tcBorders>
          </w:tcPr>
          <w:p>
            <w:pPr>
              <w:pStyle w:val="TableParagraph"/>
              <w:jc w:val="left"/>
              <w:rPr>
                <w:rFonts w:ascii="Times New Roman"/>
                <w:sz w:val="20"/>
              </w:rPr>
            </w:pPr>
          </w:p>
        </w:tc>
        <w:tc>
          <w:tcPr>
            <w:tcW w:w="848" w:type="dxa"/>
            <w:tcBorders>
              <w:top w:val="nil"/>
            </w:tcBorders>
          </w:tcPr>
          <w:p>
            <w:pPr>
              <w:pStyle w:val="TableParagraph"/>
              <w:jc w:val="left"/>
              <w:rPr>
                <w:rFonts w:ascii="Times New Roman"/>
                <w:sz w:val="20"/>
              </w:rPr>
            </w:pPr>
          </w:p>
        </w:tc>
        <w:tc>
          <w:tcPr>
            <w:tcW w:w="940" w:type="dxa"/>
            <w:tcBorders>
              <w:top w:val="nil"/>
            </w:tcBorders>
          </w:tcPr>
          <w:p>
            <w:pPr>
              <w:pStyle w:val="TableParagraph"/>
              <w:jc w:val="left"/>
              <w:rPr>
                <w:rFonts w:ascii="Times New Roman"/>
                <w:sz w:val="20"/>
              </w:rPr>
            </w:pPr>
          </w:p>
        </w:tc>
        <w:tc>
          <w:tcPr>
            <w:tcW w:w="766" w:type="dxa"/>
            <w:tcBorders>
              <w:top w:val="nil"/>
            </w:tcBorders>
          </w:tcPr>
          <w:p>
            <w:pPr>
              <w:pStyle w:val="TableParagraph"/>
              <w:jc w:val="left"/>
              <w:rPr>
                <w:rFonts w:ascii="Times New Roman"/>
                <w:sz w:val="20"/>
              </w:rPr>
            </w:pPr>
          </w:p>
        </w:tc>
        <w:tc>
          <w:tcPr>
            <w:tcW w:w="652" w:type="dxa"/>
            <w:tcBorders>
              <w:top w:val="nil"/>
            </w:tcBorders>
          </w:tcPr>
          <w:p>
            <w:pPr>
              <w:pStyle w:val="TableParagraph"/>
              <w:jc w:val="left"/>
              <w:rPr>
                <w:rFonts w:ascii="Times New Roman"/>
                <w:sz w:val="20"/>
              </w:rPr>
            </w:pPr>
          </w:p>
        </w:tc>
        <w:tc>
          <w:tcPr>
            <w:tcW w:w="2347" w:type="dxa"/>
            <w:tcBorders>
              <w:top w:val="nil"/>
            </w:tcBorders>
          </w:tcPr>
          <w:p>
            <w:pPr>
              <w:pStyle w:val="TableParagraph"/>
              <w:spacing w:before="65"/>
              <w:ind w:left="8"/>
              <w:rPr>
                <w:sz w:val="21"/>
              </w:rPr>
            </w:pPr>
            <w:r>
              <w:rPr>
                <w:sz w:val="21"/>
              </w:rPr>
              <w:t>隔声门窗</w:t>
            </w:r>
          </w:p>
        </w:tc>
        <w:tc>
          <w:tcPr>
            <w:tcW w:w="683" w:type="dxa"/>
            <w:tcBorders>
              <w:top w:val="nil"/>
            </w:tcBorders>
          </w:tcPr>
          <w:p>
            <w:pPr>
              <w:pStyle w:val="TableParagraph"/>
              <w:jc w:val="left"/>
              <w:rPr>
                <w:rFonts w:ascii="Times New Roman"/>
                <w:sz w:val="20"/>
              </w:rPr>
            </w:pPr>
          </w:p>
        </w:tc>
        <w:tc>
          <w:tcPr>
            <w:tcW w:w="877" w:type="dxa"/>
            <w:tcBorders>
              <w:top w:val="nil"/>
            </w:tcBorders>
          </w:tcPr>
          <w:p>
            <w:pPr>
              <w:pStyle w:val="TableParagraph"/>
              <w:jc w:val="left"/>
              <w:rPr>
                <w:rFonts w:ascii="Times New Roman"/>
                <w:sz w:val="20"/>
              </w:rPr>
            </w:pPr>
          </w:p>
        </w:tc>
        <w:tc>
          <w:tcPr>
            <w:tcW w:w="897" w:type="dxa"/>
            <w:tcBorders>
              <w:top w:val="nil"/>
              <w:bottom w:val="nil"/>
            </w:tcBorders>
          </w:tcPr>
          <w:p>
            <w:pPr>
              <w:pStyle w:val="TableParagraph"/>
              <w:spacing w:line="253" w:lineRule="exact"/>
              <w:ind w:left="142" w:right="133"/>
              <w:rPr>
                <w:sz w:val="21"/>
              </w:rPr>
            </w:pPr>
            <w:r>
              <w:rPr>
                <w:sz w:val="21"/>
              </w:rPr>
              <w:t>（</w:t>
            </w:r>
            <w:r>
              <w:rPr>
                <w:rFonts w:ascii="Times New Roman" w:eastAsia="Times New Roman"/>
                <w:sz w:val="21"/>
              </w:rPr>
              <w:t>A</w:t>
            </w:r>
            <w:r>
              <w:rPr>
                <w:sz w:val="21"/>
              </w:rPr>
              <w:t>）</w:t>
            </w:r>
          </w:p>
        </w:tc>
      </w:tr>
      <w:tr>
        <w:trPr>
          <w:trHeight w:val="371" w:hRule="atLeast"/>
        </w:trPr>
        <w:tc>
          <w:tcPr>
            <w:tcW w:w="496" w:type="dxa"/>
            <w:vMerge w:val="restart"/>
          </w:tcPr>
          <w:p>
            <w:pPr>
              <w:pStyle w:val="TableParagraph"/>
              <w:spacing w:before="11"/>
              <w:jc w:val="left"/>
              <w:rPr>
                <w:rFonts w:ascii="黑体"/>
                <w:sz w:val="19"/>
              </w:rPr>
            </w:pPr>
          </w:p>
          <w:p>
            <w:pPr>
              <w:pStyle w:val="TableParagraph"/>
              <w:ind w:left="10"/>
              <w:rPr>
                <w:rFonts w:ascii="Times New Roman"/>
                <w:sz w:val="21"/>
              </w:rPr>
            </w:pPr>
            <w:r>
              <w:rPr>
                <w:rFonts w:ascii="Times New Roman"/>
                <w:w w:val="99"/>
                <w:sz w:val="21"/>
              </w:rPr>
              <w:t>5</w:t>
            </w:r>
          </w:p>
        </w:tc>
        <w:tc>
          <w:tcPr>
            <w:tcW w:w="848" w:type="dxa"/>
          </w:tcPr>
          <w:p>
            <w:pPr>
              <w:pStyle w:val="TableParagraph"/>
              <w:spacing w:before="51"/>
              <w:ind w:right="99"/>
              <w:jc w:val="right"/>
              <w:rPr>
                <w:sz w:val="21"/>
              </w:rPr>
            </w:pPr>
            <w:r>
              <w:rPr>
                <w:w w:val="95"/>
                <w:sz w:val="21"/>
              </w:rPr>
              <w:t>鼓风机</w:t>
            </w:r>
          </w:p>
        </w:tc>
        <w:tc>
          <w:tcPr>
            <w:tcW w:w="940" w:type="dxa"/>
            <w:vMerge w:val="restart"/>
          </w:tcPr>
          <w:p>
            <w:pPr>
              <w:pStyle w:val="TableParagraph"/>
              <w:spacing w:before="9"/>
              <w:jc w:val="left"/>
              <w:rPr>
                <w:rFonts w:ascii="黑体"/>
                <w:sz w:val="18"/>
              </w:rPr>
            </w:pPr>
          </w:p>
          <w:p>
            <w:pPr>
              <w:pStyle w:val="TableParagraph"/>
              <w:spacing w:before="1"/>
              <w:ind w:left="154"/>
              <w:jc w:val="left"/>
              <w:rPr>
                <w:sz w:val="21"/>
              </w:rPr>
            </w:pPr>
            <w:r>
              <w:rPr>
                <w:sz w:val="21"/>
              </w:rPr>
              <w:t>锅炉房</w:t>
            </w:r>
          </w:p>
        </w:tc>
        <w:tc>
          <w:tcPr>
            <w:tcW w:w="766" w:type="dxa"/>
          </w:tcPr>
          <w:p>
            <w:pPr>
              <w:pStyle w:val="TableParagraph"/>
              <w:spacing w:before="65"/>
              <w:ind w:left="5"/>
              <w:rPr>
                <w:rFonts w:ascii="Times New Roman"/>
                <w:sz w:val="21"/>
              </w:rPr>
            </w:pPr>
            <w:r>
              <w:rPr>
                <w:rFonts w:ascii="Times New Roman"/>
                <w:w w:val="99"/>
                <w:sz w:val="21"/>
              </w:rPr>
              <w:t>1</w:t>
            </w:r>
          </w:p>
        </w:tc>
        <w:tc>
          <w:tcPr>
            <w:tcW w:w="652" w:type="dxa"/>
          </w:tcPr>
          <w:p>
            <w:pPr>
              <w:pStyle w:val="TableParagraph"/>
              <w:spacing w:before="65"/>
              <w:ind w:left="200" w:right="192"/>
              <w:rPr>
                <w:rFonts w:ascii="Times New Roman"/>
                <w:sz w:val="21"/>
              </w:rPr>
            </w:pPr>
            <w:r>
              <w:rPr>
                <w:rFonts w:ascii="Times New Roman"/>
                <w:sz w:val="21"/>
              </w:rPr>
              <w:t>85</w:t>
            </w:r>
          </w:p>
        </w:tc>
        <w:tc>
          <w:tcPr>
            <w:tcW w:w="2347" w:type="dxa"/>
            <w:vMerge w:val="restart"/>
          </w:tcPr>
          <w:p>
            <w:pPr>
              <w:pStyle w:val="TableParagraph"/>
              <w:spacing w:line="278" w:lineRule="auto" w:before="84"/>
              <w:ind w:left="753" w:right="47" w:hanging="696"/>
              <w:jc w:val="left"/>
              <w:rPr>
                <w:sz w:val="21"/>
              </w:rPr>
            </w:pPr>
            <w:r>
              <w:rPr>
                <w:spacing w:val="-10"/>
                <w:sz w:val="21"/>
              </w:rPr>
              <w:t>设置单独隔声间，并设置</w:t>
            </w:r>
            <w:r>
              <w:rPr>
                <w:sz w:val="21"/>
              </w:rPr>
              <w:t>减振基础</w:t>
            </w:r>
          </w:p>
        </w:tc>
        <w:tc>
          <w:tcPr>
            <w:tcW w:w="683" w:type="dxa"/>
          </w:tcPr>
          <w:p>
            <w:pPr>
              <w:pStyle w:val="TableParagraph"/>
              <w:spacing w:before="65"/>
              <w:ind w:left="215" w:right="207"/>
              <w:rPr>
                <w:rFonts w:ascii="Times New Roman"/>
                <w:sz w:val="21"/>
              </w:rPr>
            </w:pPr>
            <w:r>
              <w:rPr>
                <w:rFonts w:ascii="Times New Roman"/>
                <w:sz w:val="21"/>
              </w:rPr>
              <w:t>20</w:t>
            </w:r>
          </w:p>
        </w:tc>
        <w:tc>
          <w:tcPr>
            <w:tcW w:w="877" w:type="dxa"/>
          </w:tcPr>
          <w:p>
            <w:pPr>
              <w:pStyle w:val="TableParagraph"/>
              <w:spacing w:before="65"/>
              <w:ind w:right="322"/>
              <w:jc w:val="right"/>
              <w:rPr>
                <w:rFonts w:ascii="Times New Roman"/>
                <w:sz w:val="21"/>
              </w:rPr>
            </w:pPr>
            <w:r>
              <w:rPr>
                <w:rFonts w:ascii="Times New Roman"/>
                <w:sz w:val="21"/>
              </w:rPr>
              <w:t>60</w:t>
            </w:r>
          </w:p>
        </w:tc>
        <w:tc>
          <w:tcPr>
            <w:tcW w:w="897" w:type="dxa"/>
            <w:vMerge w:val="restart"/>
            <w:tcBorders>
              <w:top w:val="nil"/>
              <w:bottom w:val="nil"/>
            </w:tcBorders>
          </w:tcPr>
          <w:p>
            <w:pPr>
              <w:pStyle w:val="TableParagraph"/>
              <w:jc w:val="left"/>
              <w:rPr>
                <w:rFonts w:ascii="Times New Roman"/>
                <w:sz w:val="20"/>
              </w:rPr>
            </w:pPr>
          </w:p>
        </w:tc>
      </w:tr>
      <w:tr>
        <w:trPr>
          <w:trHeight w:val="370" w:hRule="atLeast"/>
        </w:trPr>
        <w:tc>
          <w:tcPr>
            <w:tcW w:w="496" w:type="dxa"/>
            <w:vMerge/>
            <w:tcBorders>
              <w:top w:val="nil"/>
            </w:tcBorders>
          </w:tcPr>
          <w:p>
            <w:pPr>
              <w:rPr>
                <w:sz w:val="2"/>
                <w:szCs w:val="2"/>
              </w:rPr>
            </w:pPr>
          </w:p>
        </w:tc>
        <w:tc>
          <w:tcPr>
            <w:tcW w:w="848" w:type="dxa"/>
          </w:tcPr>
          <w:p>
            <w:pPr>
              <w:pStyle w:val="TableParagraph"/>
              <w:spacing w:before="49"/>
              <w:ind w:right="99"/>
              <w:jc w:val="right"/>
              <w:rPr>
                <w:sz w:val="21"/>
              </w:rPr>
            </w:pPr>
            <w:r>
              <w:rPr>
                <w:w w:val="95"/>
                <w:sz w:val="21"/>
              </w:rPr>
              <w:t>引风机</w:t>
            </w:r>
          </w:p>
        </w:tc>
        <w:tc>
          <w:tcPr>
            <w:tcW w:w="940" w:type="dxa"/>
            <w:vMerge/>
            <w:tcBorders>
              <w:top w:val="nil"/>
            </w:tcBorders>
          </w:tcPr>
          <w:p>
            <w:pPr>
              <w:rPr>
                <w:sz w:val="2"/>
                <w:szCs w:val="2"/>
              </w:rPr>
            </w:pPr>
          </w:p>
        </w:tc>
        <w:tc>
          <w:tcPr>
            <w:tcW w:w="766" w:type="dxa"/>
          </w:tcPr>
          <w:p>
            <w:pPr>
              <w:pStyle w:val="TableParagraph"/>
              <w:spacing w:before="63"/>
              <w:ind w:left="5"/>
              <w:rPr>
                <w:rFonts w:ascii="Times New Roman"/>
                <w:sz w:val="21"/>
              </w:rPr>
            </w:pPr>
            <w:r>
              <w:rPr>
                <w:rFonts w:ascii="Times New Roman"/>
                <w:w w:val="99"/>
                <w:sz w:val="21"/>
              </w:rPr>
              <w:t>1</w:t>
            </w:r>
          </w:p>
        </w:tc>
        <w:tc>
          <w:tcPr>
            <w:tcW w:w="652" w:type="dxa"/>
          </w:tcPr>
          <w:p>
            <w:pPr>
              <w:pStyle w:val="TableParagraph"/>
              <w:spacing w:before="63"/>
              <w:ind w:left="200" w:right="192"/>
              <w:rPr>
                <w:rFonts w:ascii="Times New Roman"/>
                <w:sz w:val="21"/>
              </w:rPr>
            </w:pPr>
            <w:r>
              <w:rPr>
                <w:rFonts w:ascii="Times New Roman"/>
                <w:sz w:val="21"/>
              </w:rPr>
              <w:t>85</w:t>
            </w:r>
          </w:p>
        </w:tc>
        <w:tc>
          <w:tcPr>
            <w:tcW w:w="2347" w:type="dxa"/>
            <w:vMerge/>
            <w:tcBorders>
              <w:top w:val="nil"/>
            </w:tcBorders>
          </w:tcPr>
          <w:p>
            <w:pPr>
              <w:rPr>
                <w:sz w:val="2"/>
                <w:szCs w:val="2"/>
              </w:rPr>
            </w:pPr>
          </w:p>
        </w:tc>
        <w:tc>
          <w:tcPr>
            <w:tcW w:w="683" w:type="dxa"/>
          </w:tcPr>
          <w:p>
            <w:pPr>
              <w:pStyle w:val="TableParagraph"/>
              <w:spacing w:before="63"/>
              <w:ind w:left="215" w:right="207"/>
              <w:rPr>
                <w:rFonts w:ascii="Times New Roman"/>
                <w:sz w:val="21"/>
              </w:rPr>
            </w:pPr>
            <w:r>
              <w:rPr>
                <w:rFonts w:ascii="Times New Roman"/>
                <w:sz w:val="21"/>
              </w:rPr>
              <w:t>20</w:t>
            </w:r>
          </w:p>
        </w:tc>
        <w:tc>
          <w:tcPr>
            <w:tcW w:w="877" w:type="dxa"/>
          </w:tcPr>
          <w:p>
            <w:pPr>
              <w:pStyle w:val="TableParagraph"/>
              <w:spacing w:before="63"/>
              <w:ind w:right="322"/>
              <w:jc w:val="right"/>
              <w:rPr>
                <w:rFonts w:ascii="Times New Roman"/>
                <w:sz w:val="21"/>
              </w:rPr>
            </w:pPr>
            <w:r>
              <w:rPr>
                <w:rFonts w:ascii="Times New Roman"/>
                <w:sz w:val="21"/>
              </w:rPr>
              <w:t>60</w:t>
            </w:r>
          </w:p>
        </w:tc>
        <w:tc>
          <w:tcPr>
            <w:tcW w:w="897" w:type="dxa"/>
            <w:vMerge/>
            <w:tcBorders>
              <w:top w:val="nil"/>
              <w:bottom w:val="nil"/>
            </w:tcBorders>
          </w:tcPr>
          <w:p>
            <w:pPr>
              <w:rPr>
                <w:sz w:val="2"/>
                <w:szCs w:val="2"/>
              </w:rPr>
            </w:pPr>
          </w:p>
        </w:tc>
      </w:tr>
      <w:tr>
        <w:trPr>
          <w:trHeight w:val="312" w:hRule="atLeast"/>
        </w:trPr>
        <w:tc>
          <w:tcPr>
            <w:tcW w:w="496" w:type="dxa"/>
            <w:vMerge w:val="restart"/>
          </w:tcPr>
          <w:p>
            <w:pPr>
              <w:pStyle w:val="TableParagraph"/>
              <w:spacing w:before="195"/>
              <w:ind w:left="10"/>
              <w:rPr>
                <w:rFonts w:ascii="Times New Roman"/>
                <w:sz w:val="21"/>
              </w:rPr>
            </w:pPr>
            <w:r>
              <w:rPr>
                <w:rFonts w:ascii="Times New Roman"/>
                <w:w w:val="99"/>
                <w:sz w:val="21"/>
              </w:rPr>
              <w:t>6</w:t>
            </w:r>
          </w:p>
        </w:tc>
        <w:tc>
          <w:tcPr>
            <w:tcW w:w="848" w:type="dxa"/>
          </w:tcPr>
          <w:p>
            <w:pPr>
              <w:pStyle w:val="TableParagraph"/>
              <w:spacing w:before="21"/>
              <w:ind w:right="99"/>
              <w:jc w:val="right"/>
              <w:rPr>
                <w:sz w:val="21"/>
              </w:rPr>
            </w:pPr>
            <w:r>
              <w:rPr>
                <w:w w:val="95"/>
                <w:sz w:val="21"/>
              </w:rPr>
              <w:t>鼓风机</w:t>
            </w:r>
          </w:p>
        </w:tc>
        <w:tc>
          <w:tcPr>
            <w:tcW w:w="940" w:type="dxa"/>
            <w:tcBorders>
              <w:bottom w:val="nil"/>
            </w:tcBorders>
          </w:tcPr>
          <w:p>
            <w:pPr>
              <w:pStyle w:val="TableParagraph"/>
              <w:spacing w:line="266" w:lineRule="exact" w:before="25"/>
              <w:ind w:left="134" w:right="126"/>
              <w:rPr>
                <w:sz w:val="21"/>
              </w:rPr>
            </w:pPr>
            <w:r>
              <w:rPr>
                <w:sz w:val="21"/>
              </w:rPr>
              <w:t>热风炉</w:t>
            </w:r>
          </w:p>
        </w:tc>
        <w:tc>
          <w:tcPr>
            <w:tcW w:w="766" w:type="dxa"/>
          </w:tcPr>
          <w:p>
            <w:pPr>
              <w:pStyle w:val="TableParagraph"/>
              <w:spacing w:before="35"/>
              <w:ind w:left="5"/>
              <w:rPr>
                <w:rFonts w:ascii="Times New Roman"/>
                <w:sz w:val="21"/>
              </w:rPr>
            </w:pPr>
            <w:r>
              <w:rPr>
                <w:rFonts w:ascii="Times New Roman"/>
                <w:w w:val="99"/>
                <w:sz w:val="21"/>
              </w:rPr>
              <w:t>1</w:t>
            </w:r>
          </w:p>
        </w:tc>
        <w:tc>
          <w:tcPr>
            <w:tcW w:w="652" w:type="dxa"/>
          </w:tcPr>
          <w:p>
            <w:pPr>
              <w:pStyle w:val="TableParagraph"/>
              <w:spacing w:before="35"/>
              <w:ind w:left="200" w:right="192"/>
              <w:rPr>
                <w:rFonts w:ascii="Times New Roman"/>
                <w:sz w:val="21"/>
              </w:rPr>
            </w:pPr>
            <w:r>
              <w:rPr>
                <w:rFonts w:ascii="Times New Roman"/>
                <w:sz w:val="21"/>
              </w:rPr>
              <w:t>85</w:t>
            </w:r>
          </w:p>
        </w:tc>
        <w:tc>
          <w:tcPr>
            <w:tcW w:w="2347" w:type="dxa"/>
            <w:tcBorders>
              <w:bottom w:val="nil"/>
            </w:tcBorders>
          </w:tcPr>
          <w:p>
            <w:pPr>
              <w:pStyle w:val="TableParagraph"/>
              <w:spacing w:line="266" w:lineRule="exact" w:before="25"/>
              <w:ind w:left="8"/>
              <w:rPr>
                <w:sz w:val="21"/>
              </w:rPr>
            </w:pPr>
            <w:r>
              <w:rPr>
                <w:sz w:val="21"/>
              </w:rPr>
              <w:t>设置单独隔声间，并设置</w:t>
            </w:r>
          </w:p>
        </w:tc>
        <w:tc>
          <w:tcPr>
            <w:tcW w:w="683" w:type="dxa"/>
          </w:tcPr>
          <w:p>
            <w:pPr>
              <w:pStyle w:val="TableParagraph"/>
              <w:spacing w:before="35"/>
              <w:ind w:left="215" w:right="207"/>
              <w:rPr>
                <w:rFonts w:ascii="Times New Roman"/>
                <w:sz w:val="21"/>
              </w:rPr>
            </w:pPr>
            <w:r>
              <w:rPr>
                <w:rFonts w:ascii="Times New Roman"/>
                <w:sz w:val="21"/>
              </w:rPr>
              <w:t>20</w:t>
            </w:r>
          </w:p>
        </w:tc>
        <w:tc>
          <w:tcPr>
            <w:tcW w:w="877" w:type="dxa"/>
          </w:tcPr>
          <w:p>
            <w:pPr>
              <w:pStyle w:val="TableParagraph"/>
              <w:spacing w:before="35"/>
              <w:ind w:right="322"/>
              <w:jc w:val="right"/>
              <w:rPr>
                <w:rFonts w:ascii="Times New Roman"/>
                <w:sz w:val="21"/>
              </w:rPr>
            </w:pPr>
            <w:r>
              <w:rPr>
                <w:rFonts w:ascii="Times New Roman"/>
                <w:sz w:val="21"/>
              </w:rPr>
              <w:t>60</w:t>
            </w:r>
          </w:p>
        </w:tc>
        <w:tc>
          <w:tcPr>
            <w:tcW w:w="897" w:type="dxa"/>
            <w:tcBorders>
              <w:top w:val="nil"/>
              <w:bottom w:val="nil"/>
            </w:tcBorders>
          </w:tcPr>
          <w:p>
            <w:pPr>
              <w:pStyle w:val="TableParagraph"/>
              <w:jc w:val="left"/>
              <w:rPr>
                <w:rFonts w:ascii="Times New Roman"/>
                <w:sz w:val="20"/>
              </w:rPr>
            </w:pPr>
          </w:p>
        </w:tc>
      </w:tr>
      <w:tr>
        <w:trPr>
          <w:trHeight w:val="312" w:hRule="atLeast"/>
        </w:trPr>
        <w:tc>
          <w:tcPr>
            <w:tcW w:w="496" w:type="dxa"/>
            <w:vMerge/>
            <w:tcBorders>
              <w:top w:val="nil"/>
            </w:tcBorders>
          </w:tcPr>
          <w:p>
            <w:pPr>
              <w:rPr>
                <w:sz w:val="2"/>
                <w:szCs w:val="2"/>
              </w:rPr>
            </w:pPr>
          </w:p>
        </w:tc>
        <w:tc>
          <w:tcPr>
            <w:tcW w:w="848" w:type="dxa"/>
          </w:tcPr>
          <w:p>
            <w:pPr>
              <w:pStyle w:val="TableParagraph"/>
              <w:spacing w:before="20"/>
              <w:ind w:right="99"/>
              <w:jc w:val="right"/>
              <w:rPr>
                <w:sz w:val="21"/>
              </w:rPr>
            </w:pPr>
            <w:r>
              <w:rPr>
                <w:w w:val="95"/>
                <w:sz w:val="21"/>
              </w:rPr>
              <w:t>引风机</w:t>
            </w:r>
          </w:p>
        </w:tc>
        <w:tc>
          <w:tcPr>
            <w:tcW w:w="940" w:type="dxa"/>
            <w:tcBorders>
              <w:top w:val="nil"/>
            </w:tcBorders>
          </w:tcPr>
          <w:p>
            <w:pPr>
              <w:pStyle w:val="TableParagraph"/>
              <w:spacing w:before="16"/>
              <w:ind w:left="6"/>
              <w:rPr>
                <w:sz w:val="21"/>
              </w:rPr>
            </w:pPr>
            <w:r>
              <w:rPr>
                <w:w w:val="99"/>
                <w:sz w:val="21"/>
              </w:rPr>
              <w:t>房</w:t>
            </w:r>
          </w:p>
        </w:tc>
        <w:tc>
          <w:tcPr>
            <w:tcW w:w="766" w:type="dxa"/>
          </w:tcPr>
          <w:p>
            <w:pPr>
              <w:pStyle w:val="TableParagraph"/>
              <w:spacing w:before="34"/>
              <w:ind w:left="5"/>
              <w:rPr>
                <w:rFonts w:ascii="Times New Roman"/>
                <w:sz w:val="21"/>
              </w:rPr>
            </w:pPr>
            <w:r>
              <w:rPr>
                <w:rFonts w:ascii="Times New Roman"/>
                <w:w w:val="99"/>
                <w:sz w:val="21"/>
              </w:rPr>
              <w:t>1</w:t>
            </w:r>
          </w:p>
        </w:tc>
        <w:tc>
          <w:tcPr>
            <w:tcW w:w="652" w:type="dxa"/>
          </w:tcPr>
          <w:p>
            <w:pPr>
              <w:pStyle w:val="TableParagraph"/>
              <w:spacing w:before="34"/>
              <w:ind w:left="200" w:right="192"/>
              <w:rPr>
                <w:rFonts w:ascii="Times New Roman"/>
                <w:sz w:val="21"/>
              </w:rPr>
            </w:pPr>
            <w:r>
              <w:rPr>
                <w:rFonts w:ascii="Times New Roman"/>
                <w:sz w:val="21"/>
              </w:rPr>
              <w:t>85</w:t>
            </w:r>
          </w:p>
        </w:tc>
        <w:tc>
          <w:tcPr>
            <w:tcW w:w="2347" w:type="dxa"/>
            <w:tcBorders>
              <w:top w:val="nil"/>
            </w:tcBorders>
          </w:tcPr>
          <w:p>
            <w:pPr>
              <w:pStyle w:val="TableParagraph"/>
              <w:spacing w:before="16"/>
              <w:ind w:left="8"/>
              <w:rPr>
                <w:sz w:val="21"/>
              </w:rPr>
            </w:pPr>
            <w:r>
              <w:rPr>
                <w:sz w:val="21"/>
              </w:rPr>
              <w:t>减振基础</w:t>
            </w:r>
          </w:p>
        </w:tc>
        <w:tc>
          <w:tcPr>
            <w:tcW w:w="683" w:type="dxa"/>
          </w:tcPr>
          <w:p>
            <w:pPr>
              <w:pStyle w:val="TableParagraph"/>
              <w:spacing w:before="34"/>
              <w:ind w:left="215" w:right="207"/>
              <w:rPr>
                <w:rFonts w:ascii="Times New Roman"/>
                <w:sz w:val="21"/>
              </w:rPr>
            </w:pPr>
            <w:r>
              <w:rPr>
                <w:rFonts w:ascii="Times New Roman"/>
                <w:sz w:val="21"/>
              </w:rPr>
              <w:t>20</w:t>
            </w:r>
          </w:p>
        </w:tc>
        <w:tc>
          <w:tcPr>
            <w:tcW w:w="877" w:type="dxa"/>
          </w:tcPr>
          <w:p>
            <w:pPr>
              <w:pStyle w:val="TableParagraph"/>
              <w:spacing w:before="34"/>
              <w:ind w:right="322"/>
              <w:jc w:val="right"/>
              <w:rPr>
                <w:rFonts w:ascii="Times New Roman"/>
                <w:sz w:val="21"/>
              </w:rPr>
            </w:pPr>
            <w:r>
              <w:rPr>
                <w:rFonts w:ascii="Times New Roman"/>
                <w:sz w:val="21"/>
              </w:rPr>
              <w:t>60</w:t>
            </w:r>
          </w:p>
        </w:tc>
        <w:tc>
          <w:tcPr>
            <w:tcW w:w="897" w:type="dxa"/>
            <w:tcBorders>
              <w:top w:val="nil"/>
              <w:bottom w:val="nil"/>
            </w:tcBorders>
          </w:tcPr>
          <w:p>
            <w:pPr>
              <w:pStyle w:val="TableParagraph"/>
              <w:jc w:val="left"/>
              <w:rPr>
                <w:rFonts w:ascii="Times New Roman"/>
                <w:sz w:val="20"/>
              </w:rPr>
            </w:pPr>
          </w:p>
        </w:tc>
      </w:tr>
      <w:tr>
        <w:trPr>
          <w:trHeight w:val="311" w:hRule="atLeast"/>
        </w:trPr>
        <w:tc>
          <w:tcPr>
            <w:tcW w:w="496" w:type="dxa"/>
            <w:tcBorders>
              <w:bottom w:val="nil"/>
            </w:tcBorders>
          </w:tcPr>
          <w:p>
            <w:pPr>
              <w:pStyle w:val="TableParagraph"/>
              <w:jc w:val="left"/>
              <w:rPr>
                <w:rFonts w:ascii="Times New Roman"/>
                <w:sz w:val="20"/>
              </w:rPr>
            </w:pPr>
          </w:p>
        </w:tc>
        <w:tc>
          <w:tcPr>
            <w:tcW w:w="848" w:type="dxa"/>
            <w:tcBorders>
              <w:bottom w:val="nil"/>
            </w:tcBorders>
          </w:tcPr>
          <w:p>
            <w:pPr>
              <w:pStyle w:val="TableParagraph"/>
              <w:jc w:val="left"/>
              <w:rPr>
                <w:rFonts w:ascii="Times New Roman"/>
                <w:sz w:val="20"/>
              </w:rPr>
            </w:pPr>
          </w:p>
        </w:tc>
        <w:tc>
          <w:tcPr>
            <w:tcW w:w="940" w:type="dxa"/>
            <w:tcBorders>
              <w:bottom w:val="nil"/>
            </w:tcBorders>
          </w:tcPr>
          <w:p>
            <w:pPr>
              <w:pStyle w:val="TableParagraph"/>
              <w:jc w:val="left"/>
              <w:rPr>
                <w:rFonts w:ascii="Times New Roman"/>
                <w:sz w:val="20"/>
              </w:rPr>
            </w:pPr>
          </w:p>
        </w:tc>
        <w:tc>
          <w:tcPr>
            <w:tcW w:w="766" w:type="dxa"/>
            <w:tcBorders>
              <w:bottom w:val="nil"/>
            </w:tcBorders>
          </w:tcPr>
          <w:p>
            <w:pPr>
              <w:pStyle w:val="TableParagraph"/>
              <w:jc w:val="left"/>
              <w:rPr>
                <w:rFonts w:ascii="Times New Roman"/>
                <w:sz w:val="20"/>
              </w:rPr>
            </w:pPr>
          </w:p>
        </w:tc>
        <w:tc>
          <w:tcPr>
            <w:tcW w:w="652" w:type="dxa"/>
            <w:tcBorders>
              <w:bottom w:val="nil"/>
            </w:tcBorders>
          </w:tcPr>
          <w:p>
            <w:pPr>
              <w:pStyle w:val="TableParagraph"/>
              <w:jc w:val="left"/>
              <w:rPr>
                <w:rFonts w:ascii="Times New Roman"/>
                <w:sz w:val="20"/>
              </w:rPr>
            </w:pPr>
          </w:p>
        </w:tc>
        <w:tc>
          <w:tcPr>
            <w:tcW w:w="2347" w:type="dxa"/>
            <w:tcBorders>
              <w:bottom w:val="nil"/>
            </w:tcBorders>
          </w:tcPr>
          <w:p>
            <w:pPr>
              <w:pStyle w:val="TableParagraph"/>
              <w:spacing w:before="20"/>
              <w:ind w:left="5"/>
              <w:rPr>
                <w:sz w:val="21"/>
              </w:rPr>
            </w:pPr>
            <w:r>
              <w:rPr>
                <w:sz w:val="21"/>
              </w:rPr>
              <w:t>机房内电机设置减振基</w:t>
            </w:r>
          </w:p>
        </w:tc>
        <w:tc>
          <w:tcPr>
            <w:tcW w:w="683" w:type="dxa"/>
            <w:tcBorders>
              <w:bottom w:val="nil"/>
            </w:tcBorders>
          </w:tcPr>
          <w:p>
            <w:pPr>
              <w:pStyle w:val="TableParagraph"/>
              <w:jc w:val="left"/>
              <w:rPr>
                <w:rFonts w:ascii="Times New Roman"/>
                <w:sz w:val="20"/>
              </w:rPr>
            </w:pPr>
          </w:p>
        </w:tc>
        <w:tc>
          <w:tcPr>
            <w:tcW w:w="877" w:type="dxa"/>
            <w:tcBorders>
              <w:bottom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623" w:hRule="atLeast"/>
        </w:trPr>
        <w:tc>
          <w:tcPr>
            <w:tcW w:w="496" w:type="dxa"/>
            <w:tcBorders>
              <w:top w:val="nil"/>
              <w:bottom w:val="nil"/>
            </w:tcBorders>
          </w:tcPr>
          <w:p>
            <w:pPr>
              <w:pStyle w:val="TableParagraph"/>
              <w:spacing w:before="191"/>
              <w:ind w:right="183"/>
              <w:jc w:val="right"/>
              <w:rPr>
                <w:rFonts w:ascii="Times New Roman"/>
                <w:sz w:val="21"/>
              </w:rPr>
            </w:pPr>
            <w:r>
              <w:rPr>
                <w:rFonts w:ascii="Times New Roman"/>
                <w:w w:val="99"/>
                <w:sz w:val="21"/>
              </w:rPr>
              <w:t>7</w:t>
            </w:r>
          </w:p>
        </w:tc>
        <w:tc>
          <w:tcPr>
            <w:tcW w:w="848" w:type="dxa"/>
            <w:tcBorders>
              <w:top w:val="nil"/>
              <w:bottom w:val="nil"/>
            </w:tcBorders>
          </w:tcPr>
          <w:p>
            <w:pPr>
              <w:pStyle w:val="TableParagraph"/>
              <w:spacing w:before="21"/>
              <w:ind w:left="87" w:right="81"/>
              <w:rPr>
                <w:sz w:val="21"/>
              </w:rPr>
            </w:pPr>
            <w:r>
              <w:rPr>
                <w:sz w:val="21"/>
              </w:rPr>
              <w:t>提升绞</w:t>
            </w:r>
          </w:p>
          <w:p>
            <w:pPr>
              <w:pStyle w:val="TableParagraph"/>
              <w:spacing w:before="43"/>
              <w:ind w:left="8"/>
              <w:rPr>
                <w:sz w:val="21"/>
              </w:rPr>
            </w:pPr>
            <w:r>
              <w:rPr>
                <w:w w:val="99"/>
                <w:sz w:val="21"/>
              </w:rPr>
              <w:t>车</w:t>
            </w:r>
          </w:p>
        </w:tc>
        <w:tc>
          <w:tcPr>
            <w:tcW w:w="940" w:type="dxa"/>
            <w:tcBorders>
              <w:top w:val="nil"/>
              <w:bottom w:val="nil"/>
            </w:tcBorders>
          </w:tcPr>
          <w:p>
            <w:pPr>
              <w:pStyle w:val="TableParagraph"/>
              <w:spacing w:before="21"/>
              <w:ind w:left="134" w:right="126"/>
              <w:rPr>
                <w:sz w:val="21"/>
              </w:rPr>
            </w:pPr>
            <w:r>
              <w:rPr>
                <w:sz w:val="21"/>
              </w:rPr>
              <w:t>主井绞</w:t>
            </w:r>
          </w:p>
          <w:p>
            <w:pPr>
              <w:pStyle w:val="TableParagraph"/>
              <w:spacing w:before="43"/>
              <w:ind w:left="134" w:right="126"/>
              <w:rPr>
                <w:sz w:val="21"/>
              </w:rPr>
            </w:pPr>
            <w:r>
              <w:rPr>
                <w:sz w:val="21"/>
              </w:rPr>
              <w:t>车房</w:t>
            </w:r>
          </w:p>
        </w:tc>
        <w:tc>
          <w:tcPr>
            <w:tcW w:w="766" w:type="dxa"/>
            <w:tcBorders>
              <w:top w:val="nil"/>
              <w:bottom w:val="nil"/>
            </w:tcBorders>
          </w:tcPr>
          <w:p>
            <w:pPr>
              <w:pStyle w:val="TableParagraph"/>
              <w:spacing w:before="191"/>
              <w:ind w:left="5"/>
              <w:rPr>
                <w:rFonts w:ascii="Times New Roman"/>
                <w:sz w:val="21"/>
              </w:rPr>
            </w:pPr>
            <w:r>
              <w:rPr>
                <w:rFonts w:ascii="Times New Roman"/>
                <w:w w:val="99"/>
                <w:sz w:val="21"/>
              </w:rPr>
              <w:t>1</w:t>
            </w:r>
          </w:p>
        </w:tc>
        <w:tc>
          <w:tcPr>
            <w:tcW w:w="652" w:type="dxa"/>
            <w:tcBorders>
              <w:top w:val="nil"/>
              <w:bottom w:val="nil"/>
            </w:tcBorders>
          </w:tcPr>
          <w:p>
            <w:pPr>
              <w:pStyle w:val="TableParagraph"/>
              <w:spacing w:before="191"/>
              <w:ind w:left="200" w:right="192"/>
              <w:rPr>
                <w:rFonts w:ascii="Times New Roman"/>
                <w:sz w:val="21"/>
              </w:rPr>
            </w:pPr>
            <w:r>
              <w:rPr>
                <w:rFonts w:ascii="Times New Roman"/>
                <w:sz w:val="21"/>
              </w:rPr>
              <w:t>90</w:t>
            </w:r>
          </w:p>
        </w:tc>
        <w:tc>
          <w:tcPr>
            <w:tcW w:w="2347" w:type="dxa"/>
            <w:tcBorders>
              <w:top w:val="nil"/>
              <w:bottom w:val="nil"/>
            </w:tcBorders>
          </w:tcPr>
          <w:p>
            <w:pPr>
              <w:pStyle w:val="TableParagraph"/>
              <w:spacing w:before="21"/>
              <w:ind w:left="122"/>
              <w:jc w:val="left"/>
              <w:rPr>
                <w:sz w:val="21"/>
              </w:rPr>
            </w:pPr>
            <w:r>
              <w:rPr>
                <w:sz w:val="21"/>
              </w:rPr>
              <w:t>础，机房内进行吸声处</w:t>
            </w:r>
          </w:p>
          <w:p>
            <w:pPr>
              <w:pStyle w:val="TableParagraph"/>
              <w:spacing w:before="43"/>
              <w:ind w:left="57"/>
              <w:jc w:val="left"/>
              <w:rPr>
                <w:sz w:val="21"/>
              </w:rPr>
            </w:pPr>
            <w:r>
              <w:rPr>
                <w:spacing w:val="-10"/>
                <w:sz w:val="21"/>
              </w:rPr>
              <w:t>理，并加装隔声罩，机房</w:t>
            </w:r>
          </w:p>
        </w:tc>
        <w:tc>
          <w:tcPr>
            <w:tcW w:w="683" w:type="dxa"/>
            <w:tcBorders>
              <w:top w:val="nil"/>
              <w:bottom w:val="nil"/>
            </w:tcBorders>
          </w:tcPr>
          <w:p>
            <w:pPr>
              <w:pStyle w:val="TableParagraph"/>
              <w:spacing w:before="191"/>
              <w:ind w:left="215" w:right="207"/>
              <w:rPr>
                <w:rFonts w:ascii="Times New Roman"/>
                <w:sz w:val="21"/>
              </w:rPr>
            </w:pPr>
            <w:r>
              <w:rPr>
                <w:rFonts w:ascii="Times New Roman"/>
                <w:sz w:val="21"/>
              </w:rPr>
              <w:t>25</w:t>
            </w:r>
          </w:p>
        </w:tc>
        <w:tc>
          <w:tcPr>
            <w:tcW w:w="877" w:type="dxa"/>
            <w:tcBorders>
              <w:top w:val="nil"/>
              <w:bottom w:val="nil"/>
            </w:tcBorders>
          </w:tcPr>
          <w:p>
            <w:pPr>
              <w:pStyle w:val="TableParagraph"/>
              <w:spacing w:before="191"/>
              <w:ind w:right="322"/>
              <w:jc w:val="right"/>
              <w:rPr>
                <w:rFonts w:ascii="Times New Roman"/>
                <w:sz w:val="21"/>
              </w:rPr>
            </w:pPr>
            <w:r>
              <w:rPr>
                <w:rFonts w:ascii="Times New Roman"/>
                <w:sz w:val="21"/>
              </w:rPr>
              <w:t>65</w:t>
            </w:r>
          </w:p>
        </w:tc>
        <w:tc>
          <w:tcPr>
            <w:tcW w:w="897" w:type="dxa"/>
            <w:tcBorders>
              <w:top w:val="nil"/>
              <w:bottom w:val="nil"/>
            </w:tcBorders>
          </w:tcPr>
          <w:p>
            <w:pPr>
              <w:pStyle w:val="TableParagraph"/>
              <w:jc w:val="left"/>
              <w:rPr>
                <w:rFonts w:ascii="Times New Roman"/>
                <w:sz w:val="20"/>
              </w:rPr>
            </w:pPr>
          </w:p>
        </w:tc>
      </w:tr>
      <w:tr>
        <w:trPr>
          <w:trHeight w:val="312" w:hRule="atLeast"/>
        </w:trPr>
        <w:tc>
          <w:tcPr>
            <w:tcW w:w="496" w:type="dxa"/>
            <w:tcBorders>
              <w:top w:val="nil"/>
            </w:tcBorders>
          </w:tcPr>
          <w:p>
            <w:pPr>
              <w:pStyle w:val="TableParagraph"/>
              <w:jc w:val="left"/>
              <w:rPr>
                <w:rFonts w:ascii="Times New Roman"/>
                <w:sz w:val="20"/>
              </w:rPr>
            </w:pPr>
          </w:p>
        </w:tc>
        <w:tc>
          <w:tcPr>
            <w:tcW w:w="848" w:type="dxa"/>
            <w:tcBorders>
              <w:top w:val="nil"/>
            </w:tcBorders>
          </w:tcPr>
          <w:p>
            <w:pPr>
              <w:pStyle w:val="TableParagraph"/>
              <w:jc w:val="left"/>
              <w:rPr>
                <w:rFonts w:ascii="Times New Roman"/>
                <w:sz w:val="20"/>
              </w:rPr>
            </w:pPr>
          </w:p>
        </w:tc>
        <w:tc>
          <w:tcPr>
            <w:tcW w:w="940" w:type="dxa"/>
            <w:tcBorders>
              <w:top w:val="nil"/>
            </w:tcBorders>
          </w:tcPr>
          <w:p>
            <w:pPr>
              <w:pStyle w:val="TableParagraph"/>
              <w:jc w:val="left"/>
              <w:rPr>
                <w:rFonts w:ascii="Times New Roman"/>
                <w:sz w:val="20"/>
              </w:rPr>
            </w:pPr>
          </w:p>
        </w:tc>
        <w:tc>
          <w:tcPr>
            <w:tcW w:w="766" w:type="dxa"/>
            <w:tcBorders>
              <w:top w:val="nil"/>
            </w:tcBorders>
          </w:tcPr>
          <w:p>
            <w:pPr>
              <w:pStyle w:val="TableParagraph"/>
              <w:jc w:val="left"/>
              <w:rPr>
                <w:rFonts w:ascii="Times New Roman"/>
                <w:sz w:val="20"/>
              </w:rPr>
            </w:pPr>
          </w:p>
        </w:tc>
        <w:tc>
          <w:tcPr>
            <w:tcW w:w="652" w:type="dxa"/>
            <w:tcBorders>
              <w:top w:val="nil"/>
            </w:tcBorders>
          </w:tcPr>
          <w:p>
            <w:pPr>
              <w:pStyle w:val="TableParagraph"/>
              <w:jc w:val="left"/>
              <w:rPr>
                <w:rFonts w:ascii="Times New Roman"/>
                <w:sz w:val="20"/>
              </w:rPr>
            </w:pPr>
          </w:p>
        </w:tc>
        <w:tc>
          <w:tcPr>
            <w:tcW w:w="2347" w:type="dxa"/>
            <w:tcBorders>
              <w:top w:val="nil"/>
            </w:tcBorders>
          </w:tcPr>
          <w:p>
            <w:pPr>
              <w:pStyle w:val="TableParagraph"/>
              <w:spacing w:before="21"/>
              <w:ind w:left="8"/>
              <w:rPr>
                <w:sz w:val="21"/>
              </w:rPr>
            </w:pPr>
            <w:r>
              <w:rPr>
                <w:sz w:val="21"/>
              </w:rPr>
              <w:t>门窗设置为隔声门窗</w:t>
            </w:r>
          </w:p>
        </w:tc>
        <w:tc>
          <w:tcPr>
            <w:tcW w:w="683" w:type="dxa"/>
            <w:tcBorders>
              <w:top w:val="nil"/>
            </w:tcBorders>
          </w:tcPr>
          <w:p>
            <w:pPr>
              <w:pStyle w:val="TableParagraph"/>
              <w:jc w:val="left"/>
              <w:rPr>
                <w:rFonts w:ascii="Times New Roman"/>
                <w:sz w:val="20"/>
              </w:rPr>
            </w:pPr>
          </w:p>
        </w:tc>
        <w:tc>
          <w:tcPr>
            <w:tcW w:w="877" w:type="dxa"/>
            <w:tcBorders>
              <w:top w:val="nil"/>
            </w:tcBorders>
          </w:tcPr>
          <w:p>
            <w:pPr>
              <w:pStyle w:val="TableParagraph"/>
              <w:jc w:val="left"/>
              <w:rPr>
                <w:rFonts w:ascii="Times New Roman"/>
                <w:sz w:val="20"/>
              </w:rPr>
            </w:pPr>
          </w:p>
        </w:tc>
        <w:tc>
          <w:tcPr>
            <w:tcW w:w="897" w:type="dxa"/>
            <w:tcBorders>
              <w:top w:val="nil"/>
              <w:bottom w:val="nil"/>
            </w:tcBorders>
          </w:tcPr>
          <w:p>
            <w:pPr>
              <w:pStyle w:val="TableParagraph"/>
              <w:jc w:val="left"/>
              <w:rPr>
                <w:rFonts w:ascii="Times New Roman"/>
                <w:sz w:val="20"/>
              </w:rPr>
            </w:pPr>
          </w:p>
        </w:tc>
      </w:tr>
      <w:tr>
        <w:trPr>
          <w:trHeight w:val="622" w:hRule="atLeast"/>
        </w:trPr>
        <w:tc>
          <w:tcPr>
            <w:tcW w:w="496" w:type="dxa"/>
          </w:tcPr>
          <w:p>
            <w:pPr>
              <w:pStyle w:val="TableParagraph"/>
              <w:spacing w:before="192"/>
              <w:ind w:right="183"/>
              <w:jc w:val="right"/>
              <w:rPr>
                <w:rFonts w:ascii="Times New Roman"/>
                <w:sz w:val="21"/>
              </w:rPr>
            </w:pPr>
            <w:r>
              <w:rPr>
                <w:rFonts w:ascii="Times New Roman"/>
                <w:w w:val="99"/>
                <w:sz w:val="21"/>
              </w:rPr>
              <w:t>8</w:t>
            </w:r>
          </w:p>
        </w:tc>
        <w:tc>
          <w:tcPr>
            <w:tcW w:w="848" w:type="dxa"/>
          </w:tcPr>
          <w:p>
            <w:pPr>
              <w:pStyle w:val="TableParagraph"/>
              <w:spacing w:before="22"/>
              <w:ind w:left="87" w:right="81"/>
              <w:rPr>
                <w:sz w:val="21"/>
              </w:rPr>
            </w:pPr>
            <w:r>
              <w:rPr>
                <w:sz w:val="21"/>
              </w:rPr>
              <w:t>提升绞</w:t>
            </w:r>
          </w:p>
          <w:p>
            <w:pPr>
              <w:pStyle w:val="TableParagraph"/>
              <w:spacing w:line="268" w:lineRule="exact" w:before="43"/>
              <w:ind w:left="8"/>
              <w:rPr>
                <w:sz w:val="21"/>
              </w:rPr>
            </w:pPr>
            <w:r>
              <w:rPr>
                <w:w w:val="99"/>
                <w:sz w:val="21"/>
              </w:rPr>
              <w:t>车</w:t>
            </w:r>
          </w:p>
        </w:tc>
        <w:tc>
          <w:tcPr>
            <w:tcW w:w="940" w:type="dxa"/>
          </w:tcPr>
          <w:p>
            <w:pPr>
              <w:pStyle w:val="TableParagraph"/>
              <w:spacing w:before="22"/>
              <w:ind w:left="134" w:right="126"/>
              <w:rPr>
                <w:sz w:val="21"/>
              </w:rPr>
            </w:pPr>
            <w:r>
              <w:rPr>
                <w:sz w:val="21"/>
              </w:rPr>
              <w:t>矸石绞</w:t>
            </w:r>
          </w:p>
          <w:p>
            <w:pPr>
              <w:pStyle w:val="TableParagraph"/>
              <w:spacing w:line="268" w:lineRule="exact" w:before="43"/>
              <w:ind w:left="134" w:right="126"/>
              <w:rPr>
                <w:sz w:val="21"/>
              </w:rPr>
            </w:pPr>
            <w:r>
              <w:rPr>
                <w:sz w:val="21"/>
              </w:rPr>
              <w:t>车房</w:t>
            </w:r>
          </w:p>
        </w:tc>
        <w:tc>
          <w:tcPr>
            <w:tcW w:w="766" w:type="dxa"/>
          </w:tcPr>
          <w:p>
            <w:pPr>
              <w:pStyle w:val="TableParagraph"/>
              <w:spacing w:before="192"/>
              <w:ind w:left="5"/>
              <w:rPr>
                <w:rFonts w:ascii="Times New Roman"/>
                <w:sz w:val="21"/>
              </w:rPr>
            </w:pPr>
            <w:r>
              <w:rPr>
                <w:rFonts w:ascii="Times New Roman"/>
                <w:w w:val="99"/>
                <w:sz w:val="21"/>
              </w:rPr>
              <w:t>1</w:t>
            </w:r>
          </w:p>
        </w:tc>
        <w:tc>
          <w:tcPr>
            <w:tcW w:w="652" w:type="dxa"/>
          </w:tcPr>
          <w:p>
            <w:pPr>
              <w:pStyle w:val="TableParagraph"/>
              <w:spacing w:before="192"/>
              <w:ind w:left="200" w:right="192"/>
              <w:rPr>
                <w:rFonts w:ascii="Times New Roman"/>
                <w:sz w:val="21"/>
              </w:rPr>
            </w:pPr>
            <w:r>
              <w:rPr>
                <w:rFonts w:ascii="Times New Roman"/>
                <w:sz w:val="21"/>
              </w:rPr>
              <w:t>90</w:t>
            </w:r>
          </w:p>
        </w:tc>
        <w:tc>
          <w:tcPr>
            <w:tcW w:w="2347" w:type="dxa"/>
          </w:tcPr>
          <w:p>
            <w:pPr>
              <w:pStyle w:val="TableParagraph"/>
              <w:spacing w:before="178"/>
              <w:ind w:left="8"/>
              <w:rPr>
                <w:sz w:val="21"/>
              </w:rPr>
            </w:pPr>
            <w:r>
              <w:rPr>
                <w:sz w:val="21"/>
              </w:rPr>
              <w:t>隔声减振</w:t>
            </w:r>
          </w:p>
        </w:tc>
        <w:tc>
          <w:tcPr>
            <w:tcW w:w="683" w:type="dxa"/>
          </w:tcPr>
          <w:p>
            <w:pPr>
              <w:pStyle w:val="TableParagraph"/>
              <w:spacing w:before="192"/>
              <w:ind w:left="215" w:right="207"/>
              <w:rPr>
                <w:rFonts w:ascii="Times New Roman"/>
                <w:sz w:val="21"/>
              </w:rPr>
            </w:pPr>
            <w:r>
              <w:rPr>
                <w:rFonts w:ascii="Times New Roman"/>
                <w:sz w:val="21"/>
              </w:rPr>
              <w:t>25</w:t>
            </w:r>
          </w:p>
        </w:tc>
        <w:tc>
          <w:tcPr>
            <w:tcW w:w="877" w:type="dxa"/>
          </w:tcPr>
          <w:p>
            <w:pPr>
              <w:pStyle w:val="TableParagraph"/>
              <w:spacing w:before="192"/>
              <w:ind w:right="322"/>
              <w:jc w:val="right"/>
              <w:rPr>
                <w:rFonts w:ascii="Times New Roman"/>
                <w:sz w:val="21"/>
              </w:rPr>
            </w:pPr>
            <w:r>
              <w:rPr>
                <w:rFonts w:ascii="Times New Roman"/>
                <w:sz w:val="21"/>
              </w:rPr>
              <w:t>65</w:t>
            </w:r>
          </w:p>
        </w:tc>
        <w:tc>
          <w:tcPr>
            <w:tcW w:w="897" w:type="dxa"/>
            <w:tcBorders>
              <w:top w:val="nil"/>
            </w:tcBorders>
          </w:tcPr>
          <w:p>
            <w:pPr>
              <w:pStyle w:val="TableParagraph"/>
              <w:jc w:val="left"/>
              <w:rPr>
                <w:rFonts w:ascii="Times New Roman"/>
                <w:sz w:val="20"/>
              </w:rPr>
            </w:pPr>
          </w:p>
        </w:tc>
      </w:tr>
    </w:tbl>
    <w:p>
      <w:pPr>
        <w:spacing w:after="0"/>
        <w:jc w:val="left"/>
        <w:rPr>
          <w:rFonts w:ascii="Times New Roman"/>
          <w:sz w:val="20"/>
        </w:rPr>
        <w:sectPr>
          <w:pgSz w:w="11910" w:h="16840"/>
          <w:pgMar w:header="0" w:footer="993" w:top="1420" w:bottom="1180" w:left="1040" w:right="600"/>
        </w:sectPr>
      </w:pPr>
    </w:p>
    <w:tbl>
      <w:tblPr>
        <w:tblW w:w="0" w:type="auto"/>
        <w:jc w:val="left"/>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
        <w:gridCol w:w="848"/>
        <w:gridCol w:w="940"/>
        <w:gridCol w:w="766"/>
        <w:gridCol w:w="652"/>
        <w:gridCol w:w="2347"/>
        <w:gridCol w:w="683"/>
        <w:gridCol w:w="877"/>
        <w:gridCol w:w="897"/>
      </w:tblGrid>
      <w:tr>
        <w:trPr>
          <w:trHeight w:val="623" w:hRule="atLeast"/>
        </w:trPr>
        <w:tc>
          <w:tcPr>
            <w:tcW w:w="496" w:type="dxa"/>
          </w:tcPr>
          <w:p>
            <w:pPr>
              <w:pStyle w:val="TableParagraph"/>
              <w:spacing w:before="191"/>
              <w:ind w:left="10"/>
              <w:rPr>
                <w:rFonts w:ascii="Times New Roman"/>
                <w:sz w:val="21"/>
              </w:rPr>
            </w:pPr>
            <w:r>
              <w:rPr>
                <w:rFonts w:ascii="Times New Roman"/>
                <w:w w:val="99"/>
                <w:sz w:val="21"/>
              </w:rPr>
              <w:t>9</w:t>
            </w:r>
          </w:p>
        </w:tc>
        <w:tc>
          <w:tcPr>
            <w:tcW w:w="848" w:type="dxa"/>
          </w:tcPr>
          <w:p>
            <w:pPr>
              <w:pStyle w:val="TableParagraph"/>
              <w:spacing w:before="21"/>
              <w:ind w:left="87" w:right="81"/>
              <w:rPr>
                <w:sz w:val="21"/>
              </w:rPr>
            </w:pPr>
            <w:r>
              <w:rPr>
                <w:sz w:val="21"/>
              </w:rPr>
              <w:t>维修设</w:t>
            </w:r>
          </w:p>
          <w:p>
            <w:pPr>
              <w:pStyle w:val="TableParagraph"/>
              <w:spacing w:before="43"/>
              <w:ind w:left="8"/>
              <w:rPr>
                <w:sz w:val="21"/>
              </w:rPr>
            </w:pPr>
            <w:r>
              <w:rPr>
                <w:w w:val="99"/>
                <w:sz w:val="21"/>
              </w:rPr>
              <w:t>备</w:t>
            </w:r>
          </w:p>
        </w:tc>
        <w:tc>
          <w:tcPr>
            <w:tcW w:w="940" w:type="dxa"/>
          </w:tcPr>
          <w:p>
            <w:pPr>
              <w:pStyle w:val="TableParagraph"/>
              <w:spacing w:before="21"/>
              <w:ind w:left="154"/>
              <w:jc w:val="left"/>
              <w:rPr>
                <w:sz w:val="21"/>
              </w:rPr>
            </w:pPr>
            <w:r>
              <w:rPr>
                <w:w w:val="95"/>
                <w:sz w:val="21"/>
              </w:rPr>
              <w:t>机电维</w:t>
            </w:r>
          </w:p>
          <w:p>
            <w:pPr>
              <w:pStyle w:val="TableParagraph"/>
              <w:spacing w:before="43"/>
              <w:ind w:left="154"/>
              <w:jc w:val="left"/>
              <w:rPr>
                <w:sz w:val="21"/>
              </w:rPr>
            </w:pPr>
            <w:r>
              <w:rPr>
                <w:w w:val="95"/>
                <w:sz w:val="21"/>
              </w:rPr>
              <w:t>修车间</w:t>
            </w:r>
          </w:p>
        </w:tc>
        <w:tc>
          <w:tcPr>
            <w:tcW w:w="766" w:type="dxa"/>
          </w:tcPr>
          <w:p>
            <w:pPr>
              <w:pStyle w:val="TableParagraph"/>
              <w:spacing w:before="191"/>
              <w:ind w:left="5"/>
              <w:rPr>
                <w:rFonts w:ascii="Times New Roman"/>
                <w:sz w:val="21"/>
              </w:rPr>
            </w:pPr>
            <w:r>
              <w:rPr>
                <w:rFonts w:ascii="Times New Roman"/>
                <w:w w:val="99"/>
                <w:sz w:val="21"/>
              </w:rPr>
              <w:t>1</w:t>
            </w:r>
          </w:p>
        </w:tc>
        <w:tc>
          <w:tcPr>
            <w:tcW w:w="652" w:type="dxa"/>
          </w:tcPr>
          <w:p>
            <w:pPr>
              <w:pStyle w:val="TableParagraph"/>
              <w:spacing w:before="191"/>
              <w:ind w:left="220"/>
              <w:jc w:val="left"/>
              <w:rPr>
                <w:rFonts w:ascii="Times New Roman"/>
                <w:sz w:val="21"/>
              </w:rPr>
            </w:pPr>
            <w:r>
              <w:rPr>
                <w:rFonts w:ascii="Times New Roman"/>
                <w:sz w:val="21"/>
              </w:rPr>
              <w:t>85</w:t>
            </w:r>
          </w:p>
        </w:tc>
        <w:tc>
          <w:tcPr>
            <w:tcW w:w="2347" w:type="dxa"/>
          </w:tcPr>
          <w:p>
            <w:pPr>
              <w:pStyle w:val="TableParagraph"/>
              <w:jc w:val="left"/>
              <w:rPr>
                <w:rFonts w:ascii="Times New Roman"/>
                <w:sz w:val="24"/>
              </w:rPr>
            </w:pPr>
          </w:p>
        </w:tc>
        <w:tc>
          <w:tcPr>
            <w:tcW w:w="683" w:type="dxa"/>
          </w:tcPr>
          <w:p>
            <w:pPr>
              <w:pStyle w:val="TableParagraph"/>
              <w:spacing w:before="191"/>
              <w:ind w:left="215" w:right="207"/>
              <w:rPr>
                <w:rFonts w:ascii="Times New Roman"/>
                <w:sz w:val="21"/>
              </w:rPr>
            </w:pPr>
            <w:r>
              <w:rPr>
                <w:rFonts w:ascii="Times New Roman"/>
                <w:sz w:val="21"/>
              </w:rPr>
              <w:t>20</w:t>
            </w:r>
          </w:p>
        </w:tc>
        <w:tc>
          <w:tcPr>
            <w:tcW w:w="877" w:type="dxa"/>
          </w:tcPr>
          <w:p>
            <w:pPr>
              <w:pStyle w:val="TableParagraph"/>
              <w:spacing w:before="191"/>
              <w:ind w:left="312" w:right="304"/>
              <w:rPr>
                <w:rFonts w:ascii="Times New Roman"/>
                <w:sz w:val="21"/>
              </w:rPr>
            </w:pPr>
            <w:r>
              <w:rPr>
                <w:rFonts w:ascii="Times New Roman"/>
                <w:sz w:val="21"/>
              </w:rPr>
              <w:t>65</w:t>
            </w:r>
          </w:p>
        </w:tc>
        <w:tc>
          <w:tcPr>
            <w:tcW w:w="897" w:type="dxa"/>
          </w:tcPr>
          <w:p>
            <w:pPr>
              <w:pStyle w:val="TableParagraph"/>
              <w:jc w:val="left"/>
              <w:rPr>
                <w:rFonts w:ascii="Times New Roman"/>
                <w:sz w:val="24"/>
              </w:rPr>
            </w:pPr>
          </w:p>
        </w:tc>
      </w:tr>
    </w:tbl>
    <w:p>
      <w:pPr>
        <w:pStyle w:val="ListParagraph"/>
        <w:numPr>
          <w:ilvl w:val="1"/>
          <w:numId w:val="32"/>
        </w:numPr>
        <w:tabs>
          <w:tab w:pos="1733" w:val="left" w:leader="none"/>
        </w:tabs>
        <w:spacing w:line="240" w:lineRule="auto" w:before="3" w:after="0"/>
        <w:ind w:left="1733" w:right="0" w:hanging="602"/>
        <w:jc w:val="left"/>
        <w:rPr>
          <w:sz w:val="24"/>
        </w:rPr>
      </w:pPr>
      <w:r>
        <w:rPr>
          <w:sz w:val="24"/>
        </w:rPr>
        <w:t>生态影响因素分析</w:t>
      </w:r>
    </w:p>
    <w:p>
      <w:pPr>
        <w:pStyle w:val="BodyText"/>
        <w:spacing w:before="6"/>
        <w:rPr>
          <w:sz w:val="18"/>
        </w:rPr>
      </w:pPr>
    </w:p>
    <w:p>
      <w:pPr>
        <w:pStyle w:val="BodyText"/>
        <w:ind w:left="1191"/>
      </w:pPr>
      <w:r>
        <w:rPr/>
        <w:t>①地表沉陷影响分析</w:t>
      </w:r>
    </w:p>
    <w:p>
      <w:pPr>
        <w:pStyle w:val="BodyText"/>
        <w:spacing w:line="364" w:lineRule="auto" w:before="161"/>
        <w:ind w:left="711" w:right="1153" w:firstLine="480"/>
      </w:pPr>
      <w:r>
        <w:rPr/>
        <w:t>煤炭开采会造成一定程度的地表沉陷区和积水区，对井田内的地形、地貌、景观、交通设施等产生一定程度的影响。对地表植被等生态环境产生影响。</w:t>
      </w:r>
    </w:p>
    <w:p>
      <w:pPr>
        <w:pStyle w:val="BodyText"/>
        <w:spacing w:before="1"/>
        <w:ind w:left="1191"/>
      </w:pPr>
      <w:r>
        <w:rPr/>
        <w:t>②地表沉陷预防与生态保护</w:t>
      </w:r>
    </w:p>
    <w:p>
      <w:pPr>
        <w:pStyle w:val="BodyText"/>
        <w:spacing w:line="364" w:lineRule="auto" w:before="81"/>
        <w:ind w:left="711" w:right="1149" w:firstLine="480"/>
        <w:jc w:val="both"/>
      </w:pPr>
      <w:r>
        <w:rPr/>
        <w:t>矿井生态保护是以沉陷区治理为主。双鸭山市东盛矿业集团有限公司井田面积 </w:t>
      </w:r>
      <w:r>
        <w:rPr>
          <w:rFonts w:ascii="Times New Roman" w:eastAsia="Times New Roman"/>
        </w:rPr>
        <w:t>5.91km</w:t>
      </w:r>
      <w:r>
        <w:rPr>
          <w:rFonts w:ascii="Times New Roman" w:eastAsia="Times New Roman"/>
          <w:position w:val="8"/>
          <w:sz w:val="15"/>
        </w:rPr>
        <w:t>2</w:t>
      </w:r>
      <w:r>
        <w:rPr/>
        <w:t>，矿区地面以林地、农田为主，局部有少量荒地井田范围内主要是林地、工矿用地。</w:t>
      </w:r>
    </w:p>
    <w:p>
      <w:pPr>
        <w:pStyle w:val="BodyText"/>
        <w:spacing w:line="307" w:lineRule="exact"/>
        <w:ind w:left="1191"/>
        <w:jc w:val="both"/>
      </w:pPr>
      <w:r>
        <w:rPr>
          <w:rFonts w:ascii="Times New Roman" w:eastAsia="Times New Roman"/>
        </w:rPr>
        <w:t>a </w:t>
      </w:r>
      <w:r>
        <w:rPr/>
        <w:t>地表沉陷预防</w:t>
      </w:r>
    </w:p>
    <w:p>
      <w:pPr>
        <w:pStyle w:val="BodyText"/>
        <w:spacing w:before="7"/>
        <w:rPr>
          <w:sz w:val="18"/>
        </w:rPr>
      </w:pPr>
    </w:p>
    <w:p>
      <w:pPr>
        <w:pStyle w:val="BodyText"/>
        <w:spacing w:line="364" w:lineRule="auto"/>
        <w:ind w:left="711" w:right="1153" w:firstLine="482"/>
      </w:pPr>
      <w:r>
        <w:rPr/>
        <w:t>设计对开采影响范围内的矿井工业场地和附属构筑物，采用留设永久保护煤柱的方法加以保护。</w:t>
      </w:r>
    </w:p>
    <w:p>
      <w:pPr>
        <w:pStyle w:val="BodyText"/>
        <w:spacing w:line="364" w:lineRule="auto" w:before="1"/>
        <w:ind w:left="711" w:right="1153" w:firstLine="482"/>
      </w:pPr>
      <w:r>
        <w:rPr/>
        <w:t>根据本井的地质、采矿条件，在最大限度满足开采范围内建筑允许移动和变形值的前提下，通过合理选择条带开采的采留尺寸。</w:t>
      </w:r>
    </w:p>
    <w:p>
      <w:pPr>
        <w:pStyle w:val="BodyText"/>
        <w:spacing w:line="229" w:lineRule="exact"/>
        <w:ind w:left="1191"/>
        <w:jc w:val="both"/>
      </w:pPr>
      <w:r>
        <w:rPr>
          <w:rFonts w:ascii="Times New Roman" w:eastAsia="Times New Roman"/>
        </w:rPr>
        <w:t>b </w:t>
      </w:r>
      <w:r>
        <w:rPr/>
        <w:t>地表沉陷整治覆土</w:t>
      </w:r>
    </w:p>
    <w:p>
      <w:pPr>
        <w:pStyle w:val="BodyText"/>
        <w:spacing w:line="364" w:lineRule="auto" w:before="161"/>
        <w:ind w:left="711" w:right="1149" w:firstLine="480"/>
        <w:jc w:val="both"/>
      </w:pPr>
      <w:r>
        <w:rPr/>
        <w:t>对非积水塌陷区的治理主要应从恢复土地功能出发，采用土地平整、倒运等办法恢复林地质量。塌陷前期地表尚未稳定，塌陷盆地边界亦在不断发展，此时宜着重输灌排涝、挖设沟渠，维持土地的功能，待塌陷稳定后再全面整治。</w:t>
      </w:r>
    </w:p>
    <w:p>
      <w:pPr>
        <w:pStyle w:val="BodyText"/>
        <w:spacing w:line="305" w:lineRule="exact"/>
        <w:ind w:left="1191"/>
      </w:pPr>
      <w:r>
        <w:rPr/>
        <w:t>具体措施见</w:t>
      </w:r>
      <w:r>
        <w:rPr>
          <w:rFonts w:ascii="Times New Roman" w:hAnsi="Times New Roman" w:eastAsia="Times New Roman"/>
        </w:rPr>
        <w:t>“</w:t>
      </w:r>
      <w:r>
        <w:rPr/>
        <w:t>地表沉陷影响防治与生态综合整治方案</w:t>
      </w:r>
      <w:r>
        <w:rPr>
          <w:rFonts w:ascii="Times New Roman" w:hAnsi="Times New Roman" w:eastAsia="Times New Roman"/>
        </w:rPr>
        <w:t>”</w:t>
      </w:r>
      <w:r>
        <w:rPr/>
        <w:t>。</w:t>
      </w:r>
    </w:p>
    <w:p>
      <w:pPr>
        <w:pStyle w:val="Heading3"/>
        <w:spacing w:before="161"/>
        <w:ind w:left="711" w:firstLine="0"/>
      </w:pPr>
      <w:bookmarkStart w:name="3.4.3本工程退役期排污分析" w:id="118"/>
      <w:bookmarkEnd w:id="118"/>
      <w:r>
        <w:rPr>
          <w:b w:val="0"/>
        </w:rPr>
      </w:r>
      <w:r>
        <w:rPr>
          <w:rFonts w:ascii="Times New Roman" w:eastAsia="Times New Roman"/>
        </w:rPr>
        <w:t>3.4.3 </w:t>
      </w:r>
      <w:r>
        <w:rPr/>
        <w:t>本工程退役期排污分析</w:t>
      </w:r>
    </w:p>
    <w:p>
      <w:pPr>
        <w:pStyle w:val="BodyText"/>
        <w:spacing w:line="364" w:lineRule="auto" w:before="264"/>
        <w:ind w:left="711" w:right="1153" w:firstLine="480"/>
        <w:jc w:val="both"/>
      </w:pPr>
      <w:r>
        <w:rPr/>
        <w:t>本矿服务期满后工业场地将改做它用，本工程工业场地在生产期间产生的空气、地表水、噪声污染将结束，但在设备拆移和运输过程中将产生暂短的粉尘和噪声污染。</w:t>
      </w:r>
    </w:p>
    <w:p>
      <w:pPr>
        <w:pStyle w:val="Heading2"/>
        <w:numPr>
          <w:ilvl w:val="1"/>
          <w:numId w:val="33"/>
        </w:numPr>
        <w:tabs>
          <w:tab w:pos="1161" w:val="left" w:leader="none"/>
        </w:tabs>
        <w:spacing w:line="240" w:lineRule="auto" w:before="41" w:after="0"/>
        <w:ind w:left="1160" w:right="0" w:hanging="450"/>
        <w:jc w:val="left"/>
      </w:pPr>
      <w:bookmarkStart w:name="3.5本工程“以新带老”环境保护措施" w:id="119"/>
      <w:bookmarkEnd w:id="119"/>
      <w:r>
        <w:rPr>
          <w:b w:val="0"/>
        </w:rPr>
      </w:r>
      <w:bookmarkStart w:name="_bookmark18" w:id="120"/>
      <w:bookmarkEnd w:id="120"/>
      <w:r>
        <w:rPr>
          <w:b w:val="0"/>
        </w:rPr>
      </w:r>
      <w:bookmarkStart w:name="_bookmark18" w:id="121"/>
      <w:bookmarkEnd w:id="121"/>
      <w:r>
        <w:rPr/>
        <w:t>本工程</w:t>
      </w:r>
      <w:r>
        <w:rPr>
          <w:rFonts w:ascii="Times New Roman" w:hAnsi="Times New Roman" w:eastAsia="Times New Roman"/>
        </w:rPr>
        <w:t>“</w:t>
      </w:r>
      <w:r>
        <w:rPr/>
        <w:t>以新带老</w:t>
      </w:r>
      <w:r>
        <w:rPr>
          <w:rFonts w:ascii="Times New Roman" w:hAnsi="Times New Roman" w:eastAsia="Times New Roman"/>
        </w:rPr>
        <w:t>”</w:t>
      </w:r>
      <w:r>
        <w:rPr/>
        <w:t>环境保护措施</w:t>
      </w:r>
    </w:p>
    <w:p>
      <w:pPr>
        <w:pStyle w:val="BodyText"/>
        <w:spacing w:before="122"/>
        <w:ind w:left="1191"/>
      </w:pPr>
      <w:r>
        <w:rPr/>
        <w:t>本项目为生态类项目，性质属于改扩建，</w:t>
      </w:r>
      <w:r>
        <w:rPr>
          <w:rFonts w:ascii="Times New Roman" w:hAnsi="Times New Roman" w:eastAsia="Times New Roman"/>
        </w:rPr>
        <w:t>“</w:t>
      </w:r>
      <w:r>
        <w:rPr/>
        <w:t>以新带老</w:t>
      </w:r>
      <w:r>
        <w:rPr>
          <w:rFonts w:ascii="Times New Roman" w:hAnsi="Times New Roman" w:eastAsia="Times New Roman"/>
        </w:rPr>
        <w:t>”</w:t>
      </w:r>
      <w:r>
        <w:rPr/>
        <w:t>具体内容如下：</w:t>
      </w:r>
    </w:p>
    <w:p>
      <w:pPr>
        <w:pStyle w:val="BodyText"/>
        <w:spacing w:before="158"/>
        <w:ind w:left="1191"/>
      </w:pPr>
      <w:r>
        <w:rPr>
          <w:rFonts w:ascii="Times New Roman" w:eastAsia="Times New Roman"/>
        </w:rPr>
        <w:t>1</w:t>
      </w:r>
      <w:r>
        <w:rPr/>
        <w:t>、污废水资源化</w:t>
      </w:r>
    </w:p>
    <w:p>
      <w:pPr>
        <w:pStyle w:val="BodyText"/>
        <w:spacing w:before="9"/>
        <w:rPr>
          <w:sz w:val="18"/>
        </w:rPr>
      </w:pPr>
    </w:p>
    <w:p>
      <w:pPr>
        <w:pStyle w:val="BodyText"/>
        <w:spacing w:line="364" w:lineRule="auto"/>
        <w:ind w:left="711" w:right="1033" w:firstLine="420"/>
      </w:pPr>
      <w:r>
        <w:rPr>
          <w:spacing w:val="-6"/>
        </w:rPr>
        <w:t>新建一套处理能力为 </w:t>
      </w:r>
      <w:r>
        <w:rPr>
          <w:rFonts w:ascii="Times New Roman" w:eastAsia="Times New Roman"/>
        </w:rPr>
        <w:t>720m</w:t>
      </w:r>
      <w:r>
        <w:rPr>
          <w:rFonts w:ascii="Times New Roman" w:eastAsia="Times New Roman"/>
          <w:position w:val="8"/>
          <w:sz w:val="15"/>
        </w:rPr>
        <w:t>3</w:t>
      </w:r>
      <w:r>
        <w:rPr>
          <w:rFonts w:ascii="Times New Roman" w:eastAsia="Times New Roman"/>
        </w:rPr>
        <w:t>/d</w:t>
      </w:r>
      <w:r>
        <w:rPr>
          <w:rFonts w:ascii="Times New Roman" w:eastAsia="Times New Roman"/>
          <w:spacing w:val="1"/>
        </w:rPr>
        <w:t> </w:t>
      </w:r>
      <w:r>
        <w:rPr>
          <w:spacing w:val="-11"/>
        </w:rPr>
        <w:t>的井下水处理站；新建一座处理能力为 </w:t>
      </w:r>
      <w:r>
        <w:rPr>
          <w:rFonts w:ascii="Times New Roman" w:eastAsia="Times New Roman"/>
        </w:rPr>
        <w:t>120m</w:t>
      </w:r>
      <w:r>
        <w:rPr>
          <w:rFonts w:ascii="Times New Roman" w:eastAsia="Times New Roman"/>
          <w:position w:val="8"/>
          <w:sz w:val="15"/>
        </w:rPr>
        <w:t>3</w:t>
      </w:r>
      <w:r>
        <w:rPr>
          <w:rFonts w:ascii="Times New Roman" w:eastAsia="Times New Roman"/>
        </w:rPr>
        <w:t>/d </w:t>
      </w:r>
      <w:r>
        <w:rPr>
          <w:spacing w:val="-12"/>
        </w:rPr>
        <w:t>的生活污水处理设施。处理后的井下排水水质达到井下消防洒水用水的水质标准， </w:t>
      </w:r>
      <w:r>
        <w:rPr/>
        <w:t>回用于井下消防洒水、地面生产、消防、防尘洒水、绿化等用水，多余部分排放</w:t>
      </w:r>
    </w:p>
    <w:p>
      <w:pPr>
        <w:spacing w:after="0" w:line="364" w:lineRule="auto"/>
        <w:sectPr>
          <w:pgSz w:w="11910" w:h="16840"/>
          <w:pgMar w:header="0" w:footer="993" w:top="1420" w:bottom="1180" w:left="1040" w:right="600"/>
        </w:sectPr>
      </w:pPr>
    </w:p>
    <w:p>
      <w:pPr>
        <w:pStyle w:val="BodyText"/>
        <w:spacing w:line="364" w:lineRule="auto" w:before="42"/>
        <w:ind w:left="711" w:right="1153"/>
      </w:pPr>
      <w:r>
        <w:rPr/>
        <w:t>于附近自建鱼塘。处理后生活污水主要水质指标符合生产回用标准和一级排放的水质标准。经处理后作为生产、绿化等用水水源，全部回用不外排。</w:t>
      </w:r>
    </w:p>
    <w:p>
      <w:pPr>
        <w:pStyle w:val="BodyText"/>
        <w:spacing w:line="230" w:lineRule="exact"/>
        <w:ind w:left="1191"/>
      </w:pPr>
      <w:r>
        <w:rPr>
          <w:rFonts w:ascii="Times New Roman" w:eastAsia="Times New Roman"/>
        </w:rPr>
        <w:t>2</w:t>
      </w:r>
      <w:r>
        <w:rPr/>
        <w:t>、降尘</w:t>
      </w:r>
    </w:p>
    <w:p>
      <w:pPr>
        <w:pStyle w:val="ListParagraph"/>
        <w:numPr>
          <w:ilvl w:val="2"/>
          <w:numId w:val="33"/>
        </w:numPr>
        <w:tabs>
          <w:tab w:pos="1793" w:val="left" w:leader="none"/>
        </w:tabs>
        <w:spacing w:line="362" w:lineRule="auto" w:before="160" w:after="0"/>
        <w:ind w:left="711" w:right="1149" w:firstLine="480"/>
        <w:jc w:val="left"/>
        <w:rPr>
          <w:sz w:val="24"/>
        </w:rPr>
      </w:pPr>
      <w:r>
        <w:rPr>
          <w:spacing w:val="-7"/>
          <w:sz w:val="24"/>
        </w:rPr>
        <w:t>煤炭运输系统的转载楼、筛分处、装车点等产生扬尘的环节均设置喷</w:t>
      </w:r>
      <w:r>
        <w:rPr>
          <w:spacing w:val="-5"/>
          <w:sz w:val="24"/>
        </w:rPr>
        <w:t>雾除尘；</w:t>
      </w:r>
    </w:p>
    <w:p>
      <w:pPr>
        <w:pStyle w:val="ListParagraph"/>
        <w:numPr>
          <w:ilvl w:val="2"/>
          <w:numId w:val="33"/>
        </w:numPr>
        <w:tabs>
          <w:tab w:pos="1793" w:val="left" w:leader="none"/>
        </w:tabs>
        <w:spacing w:line="240" w:lineRule="auto" w:before="5" w:after="0"/>
        <w:ind w:left="1793" w:right="0" w:hanging="602"/>
        <w:jc w:val="left"/>
        <w:rPr>
          <w:sz w:val="24"/>
        </w:rPr>
      </w:pPr>
      <w:r>
        <w:rPr>
          <w:sz w:val="24"/>
        </w:rPr>
        <w:t>运输道路定期清扫和洒水降尘；</w:t>
      </w:r>
    </w:p>
    <w:p>
      <w:pPr>
        <w:pStyle w:val="ListParagraph"/>
        <w:numPr>
          <w:ilvl w:val="2"/>
          <w:numId w:val="33"/>
        </w:numPr>
        <w:tabs>
          <w:tab w:pos="1793" w:val="left" w:leader="none"/>
        </w:tabs>
        <w:spacing w:line="240" w:lineRule="auto" w:before="158" w:after="0"/>
        <w:ind w:left="1793" w:right="0" w:hanging="602"/>
        <w:jc w:val="left"/>
        <w:rPr>
          <w:sz w:val="24"/>
        </w:rPr>
      </w:pPr>
      <w:r>
        <w:rPr>
          <w:sz w:val="24"/>
        </w:rPr>
        <w:t>食堂安装油烟净化器；</w:t>
      </w:r>
    </w:p>
    <w:p>
      <w:pPr>
        <w:pStyle w:val="ListParagraph"/>
        <w:numPr>
          <w:ilvl w:val="2"/>
          <w:numId w:val="33"/>
        </w:numPr>
        <w:tabs>
          <w:tab w:pos="1793" w:val="left" w:leader="none"/>
        </w:tabs>
        <w:spacing w:line="362" w:lineRule="auto" w:before="161" w:after="0"/>
        <w:ind w:left="1191" w:right="1552" w:firstLine="0"/>
        <w:jc w:val="left"/>
        <w:rPr>
          <w:sz w:val="24"/>
        </w:rPr>
      </w:pPr>
      <w:r>
        <w:rPr>
          <w:spacing w:val="-3"/>
          <w:sz w:val="24"/>
        </w:rPr>
        <w:t>锅炉燃料均生物质燃料，并配套布袋除尘器，除尘效率为 </w:t>
      </w:r>
      <w:r>
        <w:rPr>
          <w:rFonts w:ascii="Times New Roman" w:eastAsia="Times New Roman"/>
          <w:sz w:val="24"/>
        </w:rPr>
        <w:t>99.9%</w:t>
      </w:r>
      <w:r>
        <w:rPr>
          <w:spacing w:val="-16"/>
          <w:sz w:val="24"/>
        </w:rPr>
        <w:t>。</w:t>
      </w:r>
      <w:r>
        <w:rPr>
          <w:rFonts w:ascii="Times New Roman" w:eastAsia="Times New Roman"/>
          <w:sz w:val="24"/>
        </w:rPr>
        <w:t>3</w:t>
      </w:r>
      <w:r>
        <w:rPr>
          <w:sz w:val="24"/>
        </w:rPr>
        <w:t>、固体废物</w:t>
      </w:r>
    </w:p>
    <w:p>
      <w:pPr>
        <w:pStyle w:val="ListParagraph"/>
        <w:numPr>
          <w:ilvl w:val="0"/>
          <w:numId w:val="34"/>
        </w:numPr>
        <w:tabs>
          <w:tab w:pos="1793" w:val="left" w:leader="none"/>
        </w:tabs>
        <w:spacing w:line="240" w:lineRule="auto" w:before="84" w:after="0"/>
        <w:ind w:left="1793" w:right="0" w:hanging="602"/>
        <w:jc w:val="left"/>
        <w:rPr>
          <w:sz w:val="24"/>
        </w:rPr>
      </w:pPr>
      <w:r>
        <w:rPr>
          <w:sz w:val="24"/>
        </w:rPr>
        <w:t>本项目矸石用于平整工业场地、公路的路基石料、或用于填沟造田等。</w:t>
      </w:r>
    </w:p>
    <w:p>
      <w:pPr>
        <w:pStyle w:val="ListParagraph"/>
        <w:numPr>
          <w:ilvl w:val="0"/>
          <w:numId w:val="34"/>
        </w:numPr>
        <w:tabs>
          <w:tab w:pos="1793" w:val="left" w:leader="none"/>
        </w:tabs>
        <w:spacing w:line="240" w:lineRule="auto" w:before="161" w:after="0"/>
        <w:ind w:left="1793" w:right="0" w:hanging="602"/>
        <w:jc w:val="left"/>
        <w:rPr>
          <w:sz w:val="24"/>
        </w:rPr>
      </w:pPr>
      <w:r>
        <w:rPr>
          <w:sz w:val="24"/>
        </w:rPr>
        <w:t>灰渣作为农肥原料外售综合利用。</w:t>
      </w:r>
    </w:p>
    <w:p>
      <w:pPr>
        <w:pStyle w:val="ListParagraph"/>
        <w:numPr>
          <w:ilvl w:val="0"/>
          <w:numId w:val="34"/>
        </w:numPr>
        <w:tabs>
          <w:tab w:pos="1793" w:val="left" w:leader="none"/>
        </w:tabs>
        <w:spacing w:line="240" w:lineRule="auto" w:before="160" w:after="0"/>
        <w:ind w:left="1793" w:right="0" w:hanging="602"/>
        <w:jc w:val="left"/>
        <w:rPr>
          <w:sz w:val="24"/>
        </w:rPr>
      </w:pPr>
      <w:r>
        <w:rPr>
          <w:sz w:val="24"/>
        </w:rPr>
        <w:t>污水处理站产生的污泥污泥浓，生活垃圾定期委托环卫部门处理。</w:t>
      </w:r>
    </w:p>
    <w:p>
      <w:pPr>
        <w:pStyle w:val="ListParagraph"/>
        <w:numPr>
          <w:ilvl w:val="0"/>
          <w:numId w:val="34"/>
        </w:numPr>
        <w:tabs>
          <w:tab w:pos="1793" w:val="left" w:leader="none"/>
        </w:tabs>
        <w:spacing w:line="240" w:lineRule="auto" w:before="161" w:after="0"/>
        <w:ind w:left="1793" w:right="0" w:hanging="602"/>
        <w:jc w:val="left"/>
        <w:rPr>
          <w:sz w:val="24"/>
        </w:rPr>
      </w:pPr>
      <w:r>
        <w:rPr>
          <w:sz w:val="24"/>
        </w:rPr>
        <w:t>废机油暂存于危废暂存间，定期委托有资质单位处置。</w:t>
      </w:r>
    </w:p>
    <w:p>
      <w:pPr>
        <w:pStyle w:val="BodyText"/>
        <w:spacing w:before="81"/>
        <w:ind w:left="1191"/>
      </w:pPr>
      <w:r>
        <w:rPr>
          <w:rFonts w:ascii="Times New Roman" w:eastAsia="Times New Roman"/>
        </w:rPr>
        <w:t>4</w:t>
      </w:r>
      <w:r>
        <w:rPr/>
        <w:t>、噪声</w:t>
      </w:r>
    </w:p>
    <w:p>
      <w:pPr>
        <w:pStyle w:val="BodyText"/>
        <w:spacing w:before="9"/>
        <w:rPr>
          <w:sz w:val="18"/>
        </w:rPr>
      </w:pPr>
    </w:p>
    <w:p>
      <w:pPr>
        <w:pStyle w:val="ListParagraph"/>
        <w:numPr>
          <w:ilvl w:val="0"/>
          <w:numId w:val="35"/>
        </w:numPr>
        <w:tabs>
          <w:tab w:pos="1793" w:val="left" w:leader="none"/>
        </w:tabs>
        <w:spacing w:line="364" w:lineRule="auto" w:before="0" w:after="0"/>
        <w:ind w:left="711" w:right="1153" w:firstLine="480"/>
        <w:jc w:val="both"/>
        <w:rPr>
          <w:sz w:val="24"/>
        </w:rPr>
      </w:pPr>
      <w:r>
        <w:rPr>
          <w:spacing w:val="-6"/>
          <w:sz w:val="24"/>
        </w:rPr>
        <w:t>在满足工艺设计的前提下，尽量选用低噪声型号的产品。设备定货时</w:t>
      </w:r>
      <w:r>
        <w:rPr>
          <w:spacing w:val="-4"/>
          <w:sz w:val="24"/>
        </w:rPr>
        <w:t>可向厂家提出要求，或者根据厂家提供的设备噪声值进行选择使用。选型还必须</w:t>
      </w:r>
      <w:r>
        <w:rPr>
          <w:spacing w:val="-5"/>
          <w:sz w:val="24"/>
        </w:rPr>
        <w:t>考虑产品具备良好的声学特性</w:t>
      </w:r>
      <w:r>
        <w:rPr>
          <w:sz w:val="24"/>
        </w:rPr>
        <w:t>（高效低噪），向供货制造设备厂方提出限制噪声</w:t>
      </w:r>
      <w:r>
        <w:rPr>
          <w:spacing w:val="-5"/>
          <w:sz w:val="24"/>
        </w:rPr>
        <w:t>要求。对于噪声较高的设备应与厂方协商提供相配套的降噪设施。</w:t>
      </w:r>
    </w:p>
    <w:p>
      <w:pPr>
        <w:pStyle w:val="ListParagraph"/>
        <w:numPr>
          <w:ilvl w:val="0"/>
          <w:numId w:val="35"/>
        </w:numPr>
        <w:tabs>
          <w:tab w:pos="1793" w:val="left" w:leader="none"/>
        </w:tabs>
        <w:spacing w:line="364" w:lineRule="auto" w:before="2" w:after="0"/>
        <w:ind w:left="711" w:right="1153" w:firstLine="480"/>
        <w:jc w:val="left"/>
        <w:rPr>
          <w:sz w:val="24"/>
        </w:rPr>
      </w:pPr>
      <w:r>
        <w:rPr>
          <w:spacing w:val="-5"/>
          <w:sz w:val="24"/>
        </w:rPr>
        <w:t>锅炉房鼓风机进出风口处均安装消音器。风机与其它设备隔绝，墙体</w:t>
      </w:r>
      <w:r>
        <w:rPr>
          <w:spacing w:val="-4"/>
          <w:sz w:val="24"/>
        </w:rPr>
        <w:t>采用吸音隔音材料。</w:t>
      </w:r>
    </w:p>
    <w:p>
      <w:pPr>
        <w:pStyle w:val="ListParagraph"/>
        <w:numPr>
          <w:ilvl w:val="0"/>
          <w:numId w:val="35"/>
        </w:numPr>
        <w:tabs>
          <w:tab w:pos="1793" w:val="left" w:leader="none"/>
        </w:tabs>
        <w:spacing w:line="240" w:lineRule="auto" w:before="2" w:after="0"/>
        <w:ind w:left="1793" w:right="0" w:hanging="602"/>
        <w:jc w:val="left"/>
        <w:rPr>
          <w:sz w:val="24"/>
        </w:rPr>
      </w:pPr>
      <w:r>
        <w:rPr>
          <w:sz w:val="24"/>
        </w:rPr>
        <w:t>提高设备安装精度，并在基础设隔振垫。对各种泵必要时加装隔音罩。</w:t>
      </w:r>
    </w:p>
    <w:p>
      <w:pPr>
        <w:pStyle w:val="ListParagraph"/>
        <w:numPr>
          <w:ilvl w:val="0"/>
          <w:numId w:val="35"/>
        </w:numPr>
        <w:tabs>
          <w:tab w:pos="1793" w:val="left" w:leader="none"/>
        </w:tabs>
        <w:spacing w:line="364" w:lineRule="auto" w:before="160" w:after="0"/>
        <w:ind w:left="711" w:right="1033" w:firstLine="480"/>
        <w:jc w:val="left"/>
        <w:rPr>
          <w:sz w:val="24"/>
        </w:rPr>
      </w:pPr>
      <w:r>
        <w:rPr>
          <w:spacing w:val="-8"/>
          <w:sz w:val="24"/>
        </w:rPr>
        <w:t>风机及泵类设置单独基础或减震措施，强振设备与管道间采取柔性连接</w:t>
      </w:r>
      <w:r>
        <w:rPr>
          <w:spacing w:val="-5"/>
          <w:sz w:val="24"/>
        </w:rPr>
        <w:t>，防止振动造成的危害。</w:t>
      </w:r>
    </w:p>
    <w:p>
      <w:pPr>
        <w:pStyle w:val="ListParagraph"/>
        <w:numPr>
          <w:ilvl w:val="0"/>
          <w:numId w:val="35"/>
        </w:numPr>
        <w:tabs>
          <w:tab w:pos="1793" w:val="left" w:leader="none"/>
        </w:tabs>
        <w:spacing w:line="364" w:lineRule="auto" w:before="1" w:after="0"/>
        <w:ind w:left="711" w:right="1033" w:firstLine="480"/>
        <w:jc w:val="left"/>
        <w:rPr>
          <w:sz w:val="24"/>
        </w:rPr>
      </w:pPr>
      <w:r>
        <w:rPr>
          <w:spacing w:val="-9"/>
          <w:sz w:val="24"/>
        </w:rPr>
        <w:t>设计将噪声较大的设备置于室内隔声，并采用隔声、吸声材料制作门窗</w:t>
      </w:r>
      <w:r>
        <w:rPr>
          <w:spacing w:val="-4"/>
          <w:sz w:val="24"/>
        </w:rPr>
        <w:t>、砌体等，降低噪声的影响，防止噪声的扩散和传播。</w:t>
      </w:r>
    </w:p>
    <w:p>
      <w:pPr>
        <w:pStyle w:val="ListParagraph"/>
        <w:numPr>
          <w:ilvl w:val="0"/>
          <w:numId w:val="35"/>
        </w:numPr>
        <w:tabs>
          <w:tab w:pos="1793" w:val="left" w:leader="none"/>
        </w:tabs>
        <w:spacing w:line="364" w:lineRule="auto" w:before="1" w:after="0"/>
        <w:ind w:left="711" w:right="1033" w:firstLine="480"/>
        <w:jc w:val="left"/>
        <w:rPr>
          <w:sz w:val="24"/>
        </w:rPr>
      </w:pPr>
      <w:r>
        <w:rPr>
          <w:spacing w:val="-5"/>
          <w:sz w:val="24"/>
        </w:rPr>
        <w:t>从工业场地总平面布置着手，在总体布置及建设过程时已考虑工业场地内厂房产生高噪声源的特点，工业场地总平面尽量按功能区布置，将产生高噪声</w:t>
      </w:r>
      <w:r>
        <w:rPr>
          <w:spacing w:val="-14"/>
          <w:sz w:val="24"/>
        </w:rPr>
        <w:t>的设施相对集中布置，布置在远离生活区、办公楼、宿舍等环境要求较高的区域。</w:t>
      </w:r>
      <w:r>
        <w:rPr>
          <w:sz w:val="24"/>
        </w:rPr>
        <w:t>同时充分利用地形地物和增设辅助车间、厂界围墙等对噪声传播起到遮挡作用。</w:t>
      </w:r>
    </w:p>
    <w:p>
      <w:pPr>
        <w:pStyle w:val="ListParagraph"/>
        <w:numPr>
          <w:ilvl w:val="0"/>
          <w:numId w:val="35"/>
        </w:numPr>
        <w:tabs>
          <w:tab w:pos="1793" w:val="left" w:leader="none"/>
        </w:tabs>
        <w:spacing w:line="240" w:lineRule="auto" w:before="3" w:after="0"/>
        <w:ind w:left="1793" w:right="0" w:hanging="602"/>
        <w:jc w:val="left"/>
        <w:rPr>
          <w:sz w:val="24"/>
        </w:rPr>
      </w:pPr>
      <w:r>
        <w:rPr>
          <w:spacing w:val="-3"/>
          <w:sz w:val="24"/>
        </w:rPr>
        <w:t>本工程运煤车辆进出工业场地的交通线路临近环境敏感点，评价要求对</w:t>
      </w:r>
    </w:p>
    <w:p>
      <w:pPr>
        <w:spacing w:after="0" w:line="240" w:lineRule="auto"/>
        <w:jc w:val="left"/>
        <w:rPr>
          <w:sz w:val="24"/>
        </w:rPr>
        <w:sectPr>
          <w:pgSz w:w="11910" w:h="16840"/>
          <w:pgMar w:header="0" w:footer="993" w:top="1460" w:bottom="1180" w:left="1040" w:right="600"/>
        </w:sectPr>
      </w:pPr>
    </w:p>
    <w:p>
      <w:pPr>
        <w:pStyle w:val="BodyText"/>
        <w:spacing w:line="364" w:lineRule="auto" w:before="42"/>
        <w:ind w:left="711" w:right="1153"/>
        <w:jc w:val="both"/>
      </w:pPr>
      <w:r>
        <w:rPr/>
        <w:t>运输道路要经常维护，保证路面完好，并在道路两侧加强绿化，降低车辆通过时的噪声；同时要求运输车辆经过矿山村时禁止鸣笛、降低车速；车辆进出应尽量安排在白天进行。</w:t>
      </w:r>
    </w:p>
    <w:p>
      <w:pPr>
        <w:pStyle w:val="ListParagraph"/>
        <w:numPr>
          <w:ilvl w:val="0"/>
          <w:numId w:val="35"/>
        </w:numPr>
        <w:tabs>
          <w:tab w:pos="1793" w:val="left" w:leader="none"/>
        </w:tabs>
        <w:spacing w:line="240" w:lineRule="auto" w:before="2" w:after="0"/>
        <w:ind w:left="1793" w:right="0" w:hanging="602"/>
        <w:jc w:val="both"/>
        <w:rPr>
          <w:sz w:val="24"/>
        </w:rPr>
      </w:pPr>
      <w:r>
        <w:rPr>
          <w:spacing w:val="-3"/>
          <w:sz w:val="24"/>
        </w:rPr>
        <w:t>推土机要求加强车辆维护和管理，严禁在夜间 </w:t>
      </w:r>
      <w:r>
        <w:rPr>
          <w:rFonts w:ascii="Times New Roman" w:eastAsia="Times New Roman"/>
          <w:sz w:val="24"/>
        </w:rPr>
        <w:t>22</w:t>
      </w:r>
      <w:r>
        <w:rPr>
          <w:sz w:val="24"/>
        </w:rPr>
        <w:t>：</w:t>
      </w:r>
      <w:r>
        <w:rPr>
          <w:rFonts w:ascii="Times New Roman" w:eastAsia="Times New Roman"/>
          <w:sz w:val="24"/>
        </w:rPr>
        <w:t>00 </w:t>
      </w:r>
      <w:r>
        <w:rPr>
          <w:sz w:val="24"/>
        </w:rPr>
        <w:t>以后工作。</w:t>
      </w:r>
    </w:p>
    <w:p>
      <w:pPr>
        <w:pStyle w:val="ListParagraph"/>
        <w:numPr>
          <w:ilvl w:val="0"/>
          <w:numId w:val="35"/>
        </w:numPr>
        <w:tabs>
          <w:tab w:pos="1793" w:val="left" w:leader="none"/>
        </w:tabs>
        <w:spacing w:line="240" w:lineRule="auto" w:before="160" w:after="0"/>
        <w:ind w:left="1793" w:right="0" w:hanging="602"/>
        <w:jc w:val="left"/>
        <w:rPr>
          <w:sz w:val="24"/>
        </w:rPr>
      </w:pPr>
      <w:r>
        <w:rPr>
          <w:sz w:val="24"/>
        </w:rPr>
        <w:t>在厂区周围种植树木，在厂区空地种植绿草，降低噪声。</w:t>
      </w:r>
    </w:p>
    <w:p>
      <w:pPr>
        <w:spacing w:after="0" w:line="240" w:lineRule="auto"/>
        <w:jc w:val="left"/>
        <w:rPr>
          <w:sz w:val="24"/>
        </w:rPr>
        <w:sectPr>
          <w:pgSz w:w="11910" w:h="16840"/>
          <w:pgMar w:header="0" w:footer="993" w:top="1460" w:bottom="1180" w:left="1040" w:right="600"/>
        </w:sectPr>
      </w:pPr>
    </w:p>
    <w:p>
      <w:pPr>
        <w:pStyle w:val="Heading1"/>
        <w:numPr>
          <w:ilvl w:val="0"/>
          <w:numId w:val="5"/>
        </w:numPr>
        <w:tabs>
          <w:tab w:pos="3244" w:val="left" w:leader="none"/>
        </w:tabs>
        <w:spacing w:line="240" w:lineRule="auto" w:before="43" w:after="0"/>
        <w:ind w:left="3244" w:right="435" w:hanging="3244"/>
        <w:jc w:val="left"/>
      </w:pPr>
      <w:bookmarkStart w:name="4.项目所在区域环境概况" w:id="122"/>
      <w:bookmarkEnd w:id="122"/>
      <w:r>
        <w:rPr>
          <w:b w:val="0"/>
        </w:rPr>
      </w:r>
      <w:bookmarkStart w:name="_bookmark19" w:id="123"/>
      <w:bookmarkEnd w:id="123"/>
      <w:r>
        <w:rPr>
          <w:b w:val="0"/>
        </w:rPr>
      </w:r>
      <w:bookmarkStart w:name="_bookmark19" w:id="124"/>
      <w:bookmarkEnd w:id="124"/>
      <w:r>
        <w:rPr/>
        <w:t>项目所在区域环境概况</w:t>
      </w:r>
    </w:p>
    <w:p>
      <w:pPr>
        <w:pStyle w:val="Heading2"/>
        <w:numPr>
          <w:ilvl w:val="1"/>
          <w:numId w:val="36"/>
        </w:numPr>
        <w:tabs>
          <w:tab w:pos="1161" w:val="left" w:leader="none"/>
        </w:tabs>
        <w:spacing w:line="240" w:lineRule="auto" w:before="357" w:after="0"/>
        <w:ind w:left="1160" w:right="0" w:hanging="450"/>
        <w:jc w:val="left"/>
      </w:pPr>
      <w:bookmarkStart w:name="4.1自然环境概况" w:id="125"/>
      <w:bookmarkEnd w:id="125"/>
      <w:r>
        <w:rPr>
          <w:b w:val="0"/>
        </w:rPr>
      </w:r>
      <w:bookmarkStart w:name="_bookmark20" w:id="126"/>
      <w:bookmarkEnd w:id="126"/>
      <w:r>
        <w:rPr>
          <w:b w:val="0"/>
        </w:rPr>
      </w:r>
      <w:bookmarkStart w:name="_bookmark20" w:id="127"/>
      <w:bookmarkEnd w:id="127"/>
      <w:r>
        <w:rPr/>
        <w:t>自然环境概况</w:t>
      </w:r>
    </w:p>
    <w:p>
      <w:pPr>
        <w:pStyle w:val="Heading3"/>
        <w:numPr>
          <w:ilvl w:val="2"/>
          <w:numId w:val="36"/>
        </w:numPr>
        <w:tabs>
          <w:tab w:pos="1341" w:val="left" w:leader="none"/>
        </w:tabs>
        <w:spacing w:line="240" w:lineRule="auto" w:before="123" w:after="0"/>
        <w:ind w:left="1340" w:right="0" w:hanging="630"/>
        <w:jc w:val="left"/>
      </w:pPr>
      <w:bookmarkStart w:name="4.1.1地理位置" w:id="128"/>
      <w:bookmarkEnd w:id="128"/>
      <w:r>
        <w:rPr>
          <w:b w:val="0"/>
        </w:rPr>
      </w:r>
      <w:bookmarkStart w:name="4.1.1地理位置" w:id="129"/>
      <w:bookmarkEnd w:id="129"/>
      <w:r>
        <w:rPr/>
        <w:t>地理位置</w:t>
      </w:r>
    </w:p>
    <w:p>
      <w:pPr>
        <w:pStyle w:val="BodyText"/>
        <w:spacing w:line="364" w:lineRule="auto" w:before="185"/>
        <w:ind w:left="711" w:right="1144" w:firstLine="480"/>
        <w:jc w:val="both"/>
      </w:pPr>
      <w:r>
        <w:rPr/>
        <w:t>双鸭山市位于黑龙江省东北部，完达山北麓三江平原，地理位置在东经</w:t>
      </w:r>
      <w:r>
        <w:rPr>
          <w:rFonts w:ascii="Times New Roman" w:hAnsi="Times New Roman" w:eastAsia="Times New Roman"/>
        </w:rPr>
        <w:t>130°39′</w:t>
      </w:r>
      <w:r>
        <w:rPr/>
        <w:t>～</w:t>
      </w:r>
      <w:r>
        <w:rPr>
          <w:rFonts w:ascii="Times New Roman" w:hAnsi="Times New Roman" w:eastAsia="Times New Roman"/>
        </w:rPr>
        <w:t>134°20′</w:t>
      </w:r>
      <w:r>
        <w:rPr/>
        <w:t>，北纬 </w:t>
      </w:r>
      <w:r>
        <w:rPr>
          <w:rFonts w:ascii="Times New Roman" w:hAnsi="Times New Roman" w:eastAsia="Times New Roman"/>
        </w:rPr>
        <w:t>45°39′</w:t>
      </w:r>
      <w:r>
        <w:rPr/>
        <w:t>～</w:t>
      </w:r>
      <w:r>
        <w:rPr>
          <w:rFonts w:ascii="Times New Roman" w:hAnsi="Times New Roman" w:eastAsia="Times New Roman"/>
        </w:rPr>
        <w:t>47°34′</w:t>
      </w:r>
      <w:r>
        <w:rPr/>
        <w:t>之间。双鸭山市距省会哈尔滨市 </w:t>
      </w:r>
      <w:r>
        <w:rPr>
          <w:rFonts w:ascii="Times New Roman" w:hAnsi="Times New Roman" w:eastAsia="Times New Roman"/>
        </w:rPr>
        <w:t>430km</w:t>
      </w:r>
      <w:r>
        <w:rPr/>
        <w:t>， 东隔乌苏里江与俄罗斯比金市相望，南与虎林市、密山市、桦南县毗邻，西与佳木斯市相连，北与富锦市、同江市、扶远县、桦川县接壤。本项目位于双鸭山市岭东区长胜乡东兴村南 </w:t>
      </w:r>
      <w:r>
        <w:rPr>
          <w:rFonts w:ascii="Times New Roman" w:hAnsi="Times New Roman" w:eastAsia="Times New Roman"/>
        </w:rPr>
        <w:t>2.5km</w:t>
      </w:r>
      <w:r>
        <w:rPr/>
        <w:t>。</w:t>
      </w:r>
    </w:p>
    <w:p>
      <w:pPr>
        <w:pStyle w:val="BodyText"/>
        <w:spacing w:line="306" w:lineRule="exact"/>
        <w:ind w:left="1191"/>
        <w:jc w:val="both"/>
      </w:pPr>
      <w:r>
        <w:rPr/>
        <w:t>本项目地理位置图见图 </w:t>
      </w:r>
      <w:r>
        <w:rPr>
          <w:rFonts w:ascii="Times New Roman" w:eastAsia="Times New Roman"/>
        </w:rPr>
        <w:t>4.1-1</w:t>
      </w:r>
      <w:r>
        <w:rPr/>
        <w:t>。</w:t>
      </w:r>
    </w:p>
    <w:p>
      <w:pPr>
        <w:pStyle w:val="BodyText"/>
        <w:rPr>
          <w:sz w:val="20"/>
        </w:rPr>
      </w:pPr>
    </w:p>
    <w:p>
      <w:pPr>
        <w:pStyle w:val="BodyText"/>
        <w:spacing w:before="11"/>
      </w:pPr>
      <w:r>
        <w:rPr/>
        <w:pict>
          <v:group style="position:absolute;margin-left:90.677002pt;margin-top:17.902740pt;width:438.95pt;height:279.650pt;mso-position-horizontal-relative:page;mso-position-vertical-relative:paragraph;z-index:-251553792;mso-wrap-distance-left:0;mso-wrap-distance-right:0" coordorigin="1814,358" coordsize="8779,5593">
            <v:rect style="position:absolute;left:2120;top:640;width:8159;height:5043" filled="false" stroked="true" strokeweight="0pt" strokecolor="#000000">
              <v:stroke dashstyle="solid"/>
            </v:rect>
            <v:rect style="position:absolute;left:1813;top:358;width:8779;height:5593" filled="false" stroked="true" strokeweight="0pt" strokecolor="#000000">
              <v:stroke dashstyle="solid"/>
            </v:rect>
            <v:shape style="position:absolute;left:2119;top:643;width:8074;height:5044" type="#_x0000_t75" stroked="false">
              <v:imagedata r:id="rId32" o:title=""/>
            </v:shape>
            <v:shape style="position:absolute;left:6538;top:5326;width:538;height:114" type="#_x0000_t202" filled="false" stroked="false">
              <v:textbox inset="0,0,0,0">
                <w:txbxContent>
                  <w:p>
                    <w:pPr>
                      <w:spacing w:line="113" w:lineRule="exact" w:before="0"/>
                      <w:ind w:left="0" w:right="0" w:firstLine="0"/>
                      <w:jc w:val="left"/>
                      <w:rPr>
                        <w:sz w:val="11"/>
                      </w:rPr>
                    </w:pPr>
                    <w:bookmarkStart w:name="图4.1-" w:id="130"/>
                    <w:bookmarkEnd w:id="130"/>
                    <w:r>
                      <w:rPr/>
                    </w:r>
                    <w:r>
                      <w:rPr>
                        <w:w w:val="105"/>
                        <w:sz w:val="11"/>
                      </w:rPr>
                      <w:t>小兴凯湖</w:t>
                    </w:r>
                  </w:p>
                </w:txbxContent>
              </v:textbox>
              <w10:wrap type="none"/>
            </v:shape>
            <v:shape style="position:absolute;left:4626;top:5369;width:501;height:143" type="#_x0000_t202" filled="false" stroked="false">
              <v:textbox inset="0,0,0,0">
                <w:txbxContent>
                  <w:p>
                    <w:pPr>
                      <w:spacing w:line="142" w:lineRule="exact" w:before="0"/>
                      <w:ind w:left="0" w:right="0" w:firstLine="0"/>
                      <w:jc w:val="left"/>
                      <w:rPr>
                        <w:sz w:val="14"/>
                      </w:rPr>
                    </w:pPr>
                    <w:r>
                      <w:rPr>
                        <w:sz w:val="14"/>
                      </w:rPr>
                      <w:t>鸡西市</w:t>
                    </w:r>
                  </w:p>
                </w:txbxContent>
              </v:textbox>
              <w10:wrap type="none"/>
            </v:shape>
            <v:shape style="position:absolute;left:9528;top:5278;width:269;height:114" type="#_x0000_t202" filled="false" stroked="false">
              <v:textbox inset="0,0,0,0">
                <w:txbxContent>
                  <w:p>
                    <w:pPr>
                      <w:spacing w:line="113" w:lineRule="exact" w:before="0"/>
                      <w:ind w:left="0" w:right="0" w:firstLine="0"/>
                      <w:jc w:val="left"/>
                      <w:rPr>
                        <w:sz w:val="11"/>
                      </w:rPr>
                    </w:pPr>
                    <w:r>
                      <w:rPr>
                        <w:w w:val="105"/>
                        <w:sz w:val="11"/>
                      </w:rPr>
                      <w:t>河流</w:t>
                    </w:r>
                  </w:p>
                </w:txbxContent>
              </v:textbox>
              <w10:wrap type="none"/>
            </v:shape>
            <v:shape style="position:absolute;left:6352;top:5152;width:134;height:114" type="#_x0000_t202" filled="false" stroked="false">
              <v:textbox inset="0,0,0,0">
                <w:txbxContent>
                  <w:p>
                    <w:pPr>
                      <w:spacing w:line="113" w:lineRule="exact" w:before="0"/>
                      <w:ind w:left="0" w:right="0" w:firstLine="0"/>
                      <w:jc w:val="left"/>
                      <w:rPr>
                        <w:sz w:val="11"/>
                      </w:rPr>
                    </w:pPr>
                    <w:r>
                      <w:rPr>
                        <w:w w:val="103"/>
                        <w:sz w:val="11"/>
                      </w:rPr>
                      <w:t>穆</w:t>
                    </w:r>
                  </w:p>
                </w:txbxContent>
              </v:textbox>
              <w10:wrap type="none"/>
            </v:shape>
            <v:shape style="position:absolute;left:9539;top:5042;width:269;height:114" type="#_x0000_t202" filled="false" stroked="false">
              <v:textbox inset="0,0,0,0">
                <w:txbxContent>
                  <w:p>
                    <w:pPr>
                      <w:spacing w:line="113" w:lineRule="exact" w:before="0"/>
                      <w:ind w:left="0" w:right="0" w:firstLine="0"/>
                      <w:jc w:val="left"/>
                      <w:rPr>
                        <w:sz w:val="11"/>
                      </w:rPr>
                    </w:pPr>
                    <w:r>
                      <w:rPr>
                        <w:w w:val="105"/>
                        <w:sz w:val="11"/>
                      </w:rPr>
                      <w:t>铁路</w:t>
                    </w:r>
                  </w:p>
                </w:txbxContent>
              </v:textbox>
              <w10:wrap type="none"/>
            </v:shape>
            <v:shape style="position:absolute;left:6992;top:5018;width:163;height:143" type="#_x0000_t202" filled="false" stroked="false">
              <v:textbox inset="0,0,0,0">
                <w:txbxContent>
                  <w:p>
                    <w:pPr>
                      <w:spacing w:line="142" w:lineRule="exact" w:before="0"/>
                      <w:ind w:left="0" w:right="0" w:firstLine="0"/>
                      <w:jc w:val="left"/>
                      <w:rPr>
                        <w:sz w:val="14"/>
                      </w:rPr>
                    </w:pPr>
                    <w:r>
                      <w:rPr>
                        <w:w w:val="101"/>
                        <w:sz w:val="14"/>
                      </w:rPr>
                      <w:t>棱</w:t>
                    </w:r>
                  </w:p>
                </w:txbxContent>
              </v:textbox>
              <w10:wrap type="none"/>
            </v:shape>
            <v:shape style="position:absolute;left:5419;top:5091;width:501;height:143" type="#_x0000_t202" filled="false" stroked="false">
              <v:textbox inset="0,0,0,0">
                <w:txbxContent>
                  <w:p>
                    <w:pPr>
                      <w:spacing w:line="142" w:lineRule="exact" w:before="0"/>
                      <w:ind w:left="0" w:right="0" w:firstLine="0"/>
                      <w:jc w:val="left"/>
                      <w:rPr>
                        <w:sz w:val="14"/>
                      </w:rPr>
                    </w:pPr>
                    <w:r>
                      <w:rPr>
                        <w:sz w:val="14"/>
                      </w:rPr>
                      <w:t>密山市</w:t>
                    </w:r>
                  </w:p>
                </w:txbxContent>
              </v:textbox>
              <w10:wrap type="none"/>
            </v:shape>
            <v:shape style="position:absolute;left:3082;top:5089;width:163;height:143" type="#_x0000_t202" filled="false" stroked="false">
              <v:textbox inset="0,0,0,0">
                <w:txbxContent>
                  <w:p>
                    <w:pPr>
                      <w:spacing w:line="142" w:lineRule="exact" w:before="0"/>
                      <w:ind w:left="0" w:right="0" w:firstLine="0"/>
                      <w:jc w:val="left"/>
                      <w:rPr>
                        <w:sz w:val="14"/>
                      </w:rPr>
                    </w:pPr>
                    <w:r>
                      <w:rPr>
                        <w:w w:val="101"/>
                        <w:sz w:val="14"/>
                      </w:rPr>
                      <w:t>江</w:t>
                    </w:r>
                  </w:p>
                </w:txbxContent>
              </v:textbox>
              <w10:wrap type="none"/>
            </v:shape>
            <v:shape style="position:absolute;left:9529;top:4790;width:269;height:114" type="#_x0000_t202" filled="false" stroked="false">
              <v:textbox inset="0,0,0,0">
                <w:txbxContent>
                  <w:p>
                    <w:pPr>
                      <w:spacing w:line="113" w:lineRule="exact" w:before="0"/>
                      <w:ind w:left="0" w:right="0" w:firstLine="0"/>
                      <w:jc w:val="left"/>
                      <w:rPr>
                        <w:sz w:val="11"/>
                      </w:rPr>
                    </w:pPr>
                    <w:r>
                      <w:rPr>
                        <w:w w:val="105"/>
                        <w:sz w:val="11"/>
                      </w:rPr>
                      <w:t>公路</w:t>
                    </w:r>
                  </w:p>
                </w:txbxContent>
              </v:textbox>
              <w10:wrap type="none"/>
            </v:shape>
            <v:shape style="position:absolute;left:7343;top:4699;width:416;height:350" type="#_x0000_t202" filled="false" stroked="false">
              <v:textbox inset="0,0,0,0">
                <w:txbxContent>
                  <w:p>
                    <w:pPr>
                      <w:spacing w:line="128" w:lineRule="exact" w:before="0"/>
                      <w:ind w:left="0" w:right="0" w:firstLine="0"/>
                      <w:jc w:val="left"/>
                      <w:rPr>
                        <w:sz w:val="11"/>
                      </w:rPr>
                    </w:pPr>
                    <w:r>
                      <w:rPr>
                        <w:w w:val="105"/>
                        <w:sz w:val="11"/>
                      </w:rPr>
                      <w:t>虎 林</w:t>
                    </w:r>
                  </w:p>
                  <w:p>
                    <w:pPr>
                      <w:spacing w:line="160" w:lineRule="exact" w:before="61"/>
                      <w:ind w:left="253" w:right="0" w:firstLine="0"/>
                      <w:jc w:val="left"/>
                      <w:rPr>
                        <w:sz w:val="14"/>
                      </w:rPr>
                    </w:pPr>
                    <w:r>
                      <w:rPr>
                        <w:w w:val="101"/>
                        <w:sz w:val="14"/>
                      </w:rPr>
                      <w:t>河</w:t>
                    </w:r>
                  </w:p>
                </w:txbxContent>
              </v:textbox>
              <w10:wrap type="none"/>
            </v:shape>
            <v:shape style="position:absolute;left:6162;top:4827;width:269;height:114" type="#_x0000_t202" filled="false" stroked="false">
              <v:textbox inset="0,0,0,0">
                <w:txbxContent>
                  <w:p>
                    <w:pPr>
                      <w:spacing w:line="113" w:lineRule="exact" w:before="0"/>
                      <w:ind w:left="0" w:right="0" w:firstLine="0"/>
                      <w:jc w:val="left"/>
                      <w:rPr>
                        <w:sz w:val="11"/>
                      </w:rPr>
                    </w:pPr>
                    <w:r>
                      <w:rPr>
                        <w:w w:val="105"/>
                        <w:sz w:val="11"/>
                      </w:rPr>
                      <w:t>兴凯</w:t>
                    </w:r>
                  </w:p>
                </w:txbxContent>
              </v:textbox>
              <w10:wrap type="none"/>
            </v:shape>
            <v:shape style="position:absolute;left:3961;top:4783;width:269;height:114" type="#_x0000_t202" filled="false" stroked="false">
              <v:textbox inset="0,0,0,0">
                <w:txbxContent>
                  <w:p>
                    <w:pPr>
                      <w:spacing w:line="113" w:lineRule="exact" w:before="0"/>
                      <w:ind w:left="0" w:right="0" w:firstLine="0"/>
                      <w:jc w:val="left"/>
                      <w:rPr>
                        <w:sz w:val="11"/>
                      </w:rPr>
                    </w:pPr>
                    <w:r>
                      <w:rPr>
                        <w:w w:val="105"/>
                        <w:sz w:val="11"/>
                      </w:rPr>
                      <w:t>勃利</w:t>
                    </w:r>
                  </w:p>
                </w:txbxContent>
              </v:textbox>
              <w10:wrap type="none"/>
            </v:shape>
            <v:shape style="position:absolute;left:3029;top:4808;width:163;height:143" type="#_x0000_t202" filled="false" stroked="false">
              <v:textbox inset="0,0,0,0">
                <w:txbxContent>
                  <w:p>
                    <w:pPr>
                      <w:spacing w:line="142" w:lineRule="exact" w:before="0"/>
                      <w:ind w:left="0" w:right="0" w:firstLine="0"/>
                      <w:jc w:val="left"/>
                      <w:rPr>
                        <w:sz w:val="14"/>
                      </w:rPr>
                    </w:pPr>
                    <w:r>
                      <w:rPr>
                        <w:w w:val="101"/>
                        <w:sz w:val="14"/>
                      </w:rPr>
                      <w:t>丹</w:t>
                    </w:r>
                  </w:p>
                </w:txbxContent>
              </v:textbox>
              <w10:wrap type="none"/>
            </v:shape>
            <v:shape style="position:absolute;left:7042;top:4699;width:134;height:114" type="#_x0000_t202" filled="false" stroked="false">
              <v:textbox inset="0,0,0,0">
                <w:txbxContent>
                  <w:p>
                    <w:pPr>
                      <w:spacing w:line="113" w:lineRule="exact" w:before="0"/>
                      <w:ind w:left="0" w:right="0" w:firstLine="0"/>
                      <w:jc w:val="left"/>
                      <w:rPr>
                        <w:sz w:val="11"/>
                      </w:rPr>
                    </w:pPr>
                    <w:r>
                      <w:rPr>
                        <w:w w:val="103"/>
                        <w:sz w:val="11"/>
                      </w:rPr>
                      <w:t>七</w:t>
                    </w:r>
                  </w:p>
                </w:txbxContent>
              </v:textbox>
              <w10:wrap type="none"/>
            </v:shape>
            <v:shape style="position:absolute;left:9499;top:4562;width:404;height:114" type="#_x0000_t202" filled="false" stroked="false">
              <v:textbox inset="0,0,0,0">
                <w:txbxContent>
                  <w:p>
                    <w:pPr>
                      <w:spacing w:line="113" w:lineRule="exact" w:before="0"/>
                      <w:ind w:left="0" w:right="0" w:firstLine="0"/>
                      <w:jc w:val="left"/>
                      <w:rPr>
                        <w:sz w:val="11"/>
                      </w:rPr>
                    </w:pPr>
                    <w:r>
                      <w:rPr>
                        <w:w w:val="105"/>
                        <w:sz w:val="11"/>
                      </w:rPr>
                      <w:t>比例尺</w:t>
                    </w:r>
                  </w:p>
                </w:txbxContent>
              </v:textbox>
              <w10:wrap type="none"/>
            </v:shape>
            <v:shape style="position:absolute;left:8811;top:4457;width:694;height:111" type="#_x0000_t202" filled="false" stroked="false">
              <v:textbox inset="0,0,0,0">
                <w:txbxContent>
                  <w:p>
                    <w:pPr>
                      <w:spacing w:line="110" w:lineRule="exact" w:before="0"/>
                      <w:ind w:left="0" w:right="0" w:firstLine="0"/>
                      <w:jc w:val="left"/>
                      <w:rPr>
                        <w:sz w:val="11"/>
                      </w:rPr>
                    </w:pPr>
                    <w:r>
                      <w:rPr>
                        <w:sz w:val="11"/>
                      </w:rPr>
                      <w:t>0 20 40 km</w:t>
                    </w:r>
                  </w:p>
                </w:txbxContent>
              </v:textbox>
              <w10:wrap type="none"/>
            </v:shape>
            <v:shape style="position:absolute;left:7853;top:4287;width:536;height:296" type="#_x0000_t202" filled="false" stroked="false">
              <v:textbox inset="0,0,0,0">
                <w:txbxContent>
                  <w:p>
                    <w:pPr>
                      <w:spacing w:line="128" w:lineRule="exact" w:before="0"/>
                      <w:ind w:left="0" w:right="100" w:firstLine="0"/>
                      <w:jc w:val="center"/>
                      <w:rPr>
                        <w:sz w:val="11"/>
                      </w:rPr>
                    </w:pPr>
                    <w:r>
                      <w:rPr>
                        <w:w w:val="103"/>
                        <w:sz w:val="11"/>
                      </w:rPr>
                      <w:t>河</w:t>
                    </w:r>
                  </w:p>
                  <w:p>
                    <w:pPr>
                      <w:spacing w:line="136" w:lineRule="exact" w:before="31"/>
                      <w:ind w:left="8" w:right="26" w:firstLine="0"/>
                      <w:jc w:val="center"/>
                      <w:rPr>
                        <w:sz w:val="11"/>
                      </w:rPr>
                    </w:pPr>
                    <w:r>
                      <w:rPr>
                        <w:w w:val="105"/>
                        <w:position w:val="1"/>
                        <w:sz w:val="11"/>
                      </w:rPr>
                      <w:t>河 </w:t>
                    </w:r>
                    <w:r>
                      <w:rPr>
                        <w:w w:val="105"/>
                        <w:sz w:val="11"/>
                      </w:rPr>
                      <w:t>虎 头</w:t>
                    </w:r>
                  </w:p>
                </w:txbxContent>
              </v:textbox>
              <w10:wrap type="none"/>
            </v:shape>
            <v:shape style="position:absolute;left:7551;top:4479;width:134;height:114" type="#_x0000_t202" filled="false" stroked="false">
              <v:textbox inset="0,0,0,0">
                <w:txbxContent>
                  <w:p>
                    <w:pPr>
                      <w:spacing w:line="113" w:lineRule="exact" w:before="0"/>
                      <w:ind w:left="0" w:right="0" w:firstLine="0"/>
                      <w:jc w:val="left"/>
                      <w:rPr>
                        <w:sz w:val="11"/>
                      </w:rPr>
                    </w:pPr>
                    <w:r>
                      <w:rPr>
                        <w:w w:val="103"/>
                        <w:sz w:val="11"/>
                      </w:rPr>
                      <w:t>林</w:t>
                    </w:r>
                  </w:p>
                </w:txbxContent>
              </v:textbox>
              <w10:wrap type="none"/>
            </v:shape>
            <v:shape style="position:absolute;left:7152;top:4337;width:269;height:309" type="#_x0000_t202" filled="false" stroked="false">
              <v:textbox inset="0,0,0,0">
                <w:txbxContent>
                  <w:p>
                    <w:pPr>
                      <w:spacing w:line="128" w:lineRule="exact" w:before="0"/>
                      <w:ind w:left="0" w:right="18" w:firstLine="0"/>
                      <w:jc w:val="right"/>
                      <w:rPr>
                        <w:sz w:val="11"/>
                      </w:rPr>
                    </w:pPr>
                    <w:r>
                      <w:rPr>
                        <w:sz w:val="11"/>
                      </w:rPr>
                      <w:t>迎春</w:t>
                    </w:r>
                  </w:p>
                  <w:p>
                    <w:pPr>
                      <w:spacing w:line="126" w:lineRule="exact" w:before="54"/>
                      <w:ind w:left="0" w:right="24" w:firstLine="0"/>
                      <w:jc w:val="right"/>
                      <w:rPr>
                        <w:sz w:val="11"/>
                      </w:rPr>
                    </w:pPr>
                    <w:r>
                      <w:rPr>
                        <w:w w:val="103"/>
                        <w:sz w:val="11"/>
                      </w:rPr>
                      <w:t>虎</w:t>
                    </w:r>
                  </w:p>
                </w:txbxContent>
              </v:textbox>
              <w10:wrap type="none"/>
            </v:shape>
            <v:shape style="position:absolute;left:4381;top:4389;width:1031;height:523" type="#_x0000_t202" filled="false" stroked="false">
              <v:textbox inset="0,0,0,0">
                <w:txbxContent>
                  <w:p>
                    <w:pPr>
                      <w:spacing w:line="160" w:lineRule="exact" w:before="0"/>
                      <w:ind w:left="49" w:right="0" w:firstLine="0"/>
                      <w:jc w:val="left"/>
                      <w:rPr>
                        <w:sz w:val="14"/>
                      </w:rPr>
                    </w:pPr>
                    <w:r>
                      <w:rPr>
                        <w:w w:val="101"/>
                        <w:sz w:val="14"/>
                      </w:rPr>
                      <w:t>河</w:t>
                    </w:r>
                  </w:p>
                  <w:p>
                    <w:pPr>
                      <w:spacing w:line="178" w:lineRule="exact" w:before="0"/>
                      <w:ind w:left="0" w:right="0" w:firstLine="0"/>
                      <w:jc w:val="left"/>
                      <w:rPr>
                        <w:sz w:val="14"/>
                      </w:rPr>
                    </w:pPr>
                    <w:r>
                      <w:rPr>
                        <w:sz w:val="14"/>
                      </w:rPr>
                      <w:t>七台河市</w:t>
                    </w:r>
                  </w:p>
                  <w:p>
                    <w:pPr>
                      <w:spacing w:line="126" w:lineRule="exact" w:before="58"/>
                      <w:ind w:left="627" w:right="0" w:firstLine="0"/>
                      <w:jc w:val="left"/>
                      <w:rPr>
                        <w:sz w:val="11"/>
                      </w:rPr>
                    </w:pPr>
                    <w:r>
                      <w:rPr>
                        <w:w w:val="105"/>
                        <w:sz w:val="11"/>
                      </w:rPr>
                      <w:t>茄子河</w:t>
                    </w:r>
                  </w:p>
                </w:txbxContent>
              </v:textbox>
              <w10:wrap type="none"/>
            </v:shape>
            <v:shape style="position:absolute;left:3005;top:4473;width:163;height:143" type="#_x0000_t202" filled="false" stroked="false">
              <v:textbox inset="0,0,0,0">
                <w:txbxContent>
                  <w:p>
                    <w:pPr>
                      <w:spacing w:line="142" w:lineRule="exact" w:before="0"/>
                      <w:ind w:left="0" w:right="0" w:firstLine="0"/>
                      <w:jc w:val="left"/>
                      <w:rPr>
                        <w:sz w:val="14"/>
                      </w:rPr>
                    </w:pPr>
                    <w:r>
                      <w:rPr>
                        <w:w w:val="101"/>
                        <w:sz w:val="14"/>
                      </w:rPr>
                      <w:t>牡</w:t>
                    </w:r>
                  </w:p>
                </w:txbxContent>
              </v:textbox>
              <w10:wrap type="none"/>
            </v:shape>
            <v:shape style="position:absolute;left:7650;top:4096;width:888;height:240" type="#_x0000_t202" filled="false" stroked="false">
              <v:textbox inset="0,0,0,0">
                <w:txbxContent>
                  <w:p>
                    <w:pPr>
                      <w:tabs>
                        <w:tab w:pos="754" w:val="left" w:leader="none"/>
                      </w:tabs>
                      <w:spacing w:line="189" w:lineRule="auto" w:before="15"/>
                      <w:ind w:left="0" w:right="18" w:firstLine="106"/>
                      <w:jc w:val="left"/>
                      <w:rPr>
                        <w:sz w:val="11"/>
                      </w:rPr>
                    </w:pPr>
                    <w:r>
                      <w:rPr>
                        <w:spacing w:val="21"/>
                        <w:w w:val="105"/>
                        <w:position w:val="1"/>
                        <w:sz w:val="11"/>
                      </w:rPr>
                      <w:t>东方</w:t>
                    </w:r>
                    <w:r>
                      <w:rPr>
                        <w:w w:val="105"/>
                        <w:position w:val="1"/>
                        <w:sz w:val="11"/>
                      </w:rPr>
                      <w:t>红</w:t>
                      <w:tab/>
                    </w:r>
                    <w:r>
                      <w:rPr>
                        <w:spacing w:val="-18"/>
                        <w:w w:val="105"/>
                        <w:sz w:val="11"/>
                      </w:rPr>
                      <w:t>江</w:t>
                    </w:r>
                    <w:r>
                      <w:rPr>
                        <w:w w:val="105"/>
                        <w:sz w:val="11"/>
                      </w:rPr>
                      <w:t>沁</w:t>
                    </w:r>
                  </w:p>
                </w:txbxContent>
              </v:textbox>
              <w10:wrap type="none"/>
            </v:shape>
            <v:shape style="position:absolute;left:6587;top:4165;width:292;height:117" type="#_x0000_t202" filled="false" stroked="false">
              <v:textbox inset="0,0,0,0">
                <w:txbxContent>
                  <w:p>
                    <w:pPr>
                      <w:spacing w:line="117" w:lineRule="exact" w:before="0"/>
                      <w:ind w:left="0" w:right="0" w:firstLine="0"/>
                      <w:jc w:val="left"/>
                      <w:rPr>
                        <w:sz w:val="11"/>
                      </w:rPr>
                    </w:pPr>
                    <w:r>
                      <w:rPr>
                        <w:w w:val="105"/>
                        <w:sz w:val="11"/>
                      </w:rPr>
                      <w:t>朝 阳</w:t>
                    </w:r>
                  </w:p>
                </w:txbxContent>
              </v:textbox>
              <w10:wrap type="none"/>
            </v:shape>
            <v:shape style="position:absolute;left:5779;top:4163;width:269;height:114" type="#_x0000_t202" filled="false" stroked="false">
              <v:textbox inset="0,0,0,0">
                <w:txbxContent>
                  <w:p>
                    <w:pPr>
                      <w:spacing w:line="113" w:lineRule="exact" w:before="0"/>
                      <w:ind w:left="0" w:right="0" w:firstLine="0"/>
                      <w:jc w:val="left"/>
                      <w:rPr>
                        <w:sz w:val="11"/>
                      </w:rPr>
                    </w:pPr>
                    <w:r>
                      <w:rPr>
                        <w:w w:val="105"/>
                        <w:sz w:val="11"/>
                      </w:rPr>
                      <w:t>岚峰</w:t>
                    </w:r>
                  </w:p>
                </w:txbxContent>
              </v:textbox>
              <w10:wrap type="none"/>
            </v:shape>
            <v:shape style="position:absolute;left:4101;top:4160;width:163;height:143" type="#_x0000_t202" filled="false" stroked="false">
              <v:textbox inset="0,0,0,0">
                <w:txbxContent>
                  <w:p>
                    <w:pPr>
                      <w:spacing w:line="142" w:lineRule="exact" w:before="0"/>
                      <w:ind w:left="0" w:right="0" w:firstLine="0"/>
                      <w:jc w:val="left"/>
                      <w:rPr>
                        <w:sz w:val="14"/>
                      </w:rPr>
                    </w:pPr>
                    <w:r>
                      <w:rPr>
                        <w:w w:val="101"/>
                        <w:sz w:val="14"/>
                      </w:rPr>
                      <w:t>肯</w:t>
                    </w:r>
                  </w:p>
                </w:txbxContent>
              </v:textbox>
              <w10:wrap type="none"/>
            </v:shape>
            <v:shape style="position:absolute;left:3309;top:4189;width:403;height:114" type="#_x0000_t202" filled="false" stroked="false">
              <v:textbox inset="0,0,0,0">
                <w:txbxContent>
                  <w:p>
                    <w:pPr>
                      <w:spacing w:line="113" w:lineRule="exact" w:before="0"/>
                      <w:ind w:left="0" w:right="0" w:firstLine="0"/>
                      <w:jc w:val="left"/>
                      <w:rPr>
                        <w:sz w:val="11"/>
                      </w:rPr>
                    </w:pPr>
                    <w:r>
                      <w:rPr>
                        <w:w w:val="105"/>
                        <w:sz w:val="11"/>
                      </w:rPr>
                      <w:t>三道岗</w:t>
                    </w:r>
                  </w:p>
                </w:txbxContent>
              </v:textbox>
              <w10:wrap type="none"/>
            </v:shape>
            <v:shape style="position:absolute;left:4401;top:4043;width:332;height:143" type="#_x0000_t202" filled="false" stroked="false">
              <v:textbox inset="0,0,0,0">
                <w:txbxContent>
                  <w:p>
                    <w:pPr>
                      <w:spacing w:line="142" w:lineRule="exact" w:before="0"/>
                      <w:ind w:left="0" w:right="0" w:firstLine="0"/>
                      <w:jc w:val="left"/>
                      <w:rPr>
                        <w:sz w:val="14"/>
                      </w:rPr>
                    </w:pPr>
                    <w:r>
                      <w:rPr>
                        <w:sz w:val="14"/>
                      </w:rPr>
                      <w:t>桦南</w:t>
                    </w:r>
                  </w:p>
                </w:txbxContent>
              </v:textbox>
              <w10:wrap type="none"/>
            </v:shape>
            <v:shape style="position:absolute;left:7600;top:3954;width:134;height:114" type="#_x0000_t202" filled="false" stroked="false">
              <v:textbox inset="0,0,0,0">
                <w:txbxContent>
                  <w:p>
                    <w:pPr>
                      <w:spacing w:line="113" w:lineRule="exact" w:before="0"/>
                      <w:ind w:left="0" w:right="0" w:firstLine="0"/>
                      <w:jc w:val="left"/>
                      <w:rPr>
                        <w:sz w:val="11"/>
                      </w:rPr>
                    </w:pPr>
                    <w:r>
                      <w:rPr>
                        <w:w w:val="103"/>
                        <w:sz w:val="11"/>
                      </w:rPr>
                      <w:t>布</w:t>
                    </w:r>
                  </w:p>
                </w:txbxContent>
              </v:textbox>
              <w10:wrap type="none"/>
            </v:shape>
            <v:shape style="position:absolute;left:6101;top:3865;width:332;height:143" type="#_x0000_t202" filled="false" stroked="false">
              <v:textbox inset="0,0,0,0">
                <w:txbxContent>
                  <w:p>
                    <w:pPr>
                      <w:spacing w:line="142" w:lineRule="exact" w:before="0"/>
                      <w:ind w:left="0" w:right="0" w:firstLine="0"/>
                      <w:jc w:val="left"/>
                      <w:rPr>
                        <w:sz w:val="14"/>
                      </w:rPr>
                    </w:pPr>
                    <w:r>
                      <w:rPr>
                        <w:sz w:val="14"/>
                      </w:rPr>
                      <w:t>宝清</w:t>
                    </w:r>
                  </w:p>
                </w:txbxContent>
              </v:textbox>
              <w10:wrap type="none"/>
            </v:shape>
            <v:shape style="position:absolute;left:3752;top:3913;width:163;height:143" type="#_x0000_t202" filled="false" stroked="false">
              <v:textbox inset="0,0,0,0">
                <w:txbxContent>
                  <w:p>
                    <w:pPr>
                      <w:spacing w:line="142" w:lineRule="exact" w:before="0"/>
                      <w:ind w:left="0" w:right="0" w:firstLine="0"/>
                      <w:jc w:val="left"/>
                      <w:rPr>
                        <w:sz w:val="14"/>
                      </w:rPr>
                    </w:pPr>
                    <w:r>
                      <w:rPr>
                        <w:w w:val="101"/>
                        <w:sz w:val="14"/>
                      </w:rPr>
                      <w:t>倭</w:t>
                    </w:r>
                  </w:p>
                </w:txbxContent>
              </v:textbox>
              <w10:wrap type="none"/>
            </v:shape>
            <v:shape style="position:absolute;left:2414;top:3996;width:269;height:114" type="#_x0000_t202" filled="false" stroked="false">
              <v:textbox inset="0,0,0,0">
                <w:txbxContent>
                  <w:p>
                    <w:pPr>
                      <w:spacing w:line="113" w:lineRule="exact" w:before="0"/>
                      <w:ind w:left="0" w:right="0" w:firstLine="0"/>
                      <w:jc w:val="left"/>
                      <w:rPr>
                        <w:sz w:val="11"/>
                      </w:rPr>
                    </w:pPr>
                    <w:r>
                      <w:rPr>
                        <w:w w:val="105"/>
                        <w:sz w:val="11"/>
                      </w:rPr>
                      <w:t>清河</w:t>
                    </w:r>
                  </w:p>
                </w:txbxContent>
              </v:textbox>
              <w10:wrap type="none"/>
            </v:shape>
            <v:shape style="position:absolute;left:3131;top:3920;width:269;height:114" type="#_x0000_t202" filled="false" stroked="false">
              <v:textbox inset="0,0,0,0">
                <w:txbxContent>
                  <w:p>
                    <w:pPr>
                      <w:spacing w:line="113" w:lineRule="exact" w:before="0"/>
                      <w:ind w:left="0" w:right="0" w:firstLine="0"/>
                      <w:jc w:val="left"/>
                      <w:rPr>
                        <w:sz w:val="11"/>
                      </w:rPr>
                    </w:pPr>
                    <w:r>
                      <w:rPr>
                        <w:w w:val="105"/>
                        <w:sz w:val="11"/>
                      </w:rPr>
                      <w:t>依兰</w:t>
                    </w:r>
                  </w:p>
                </w:txbxContent>
              </v:textbox>
              <w10:wrap type="none"/>
            </v:shape>
            <v:shape style="position:absolute;left:3955;top:3816;width:403;height:114" type="#_x0000_t202" filled="false" stroked="false">
              <v:textbox inset="0,0,0,0">
                <w:txbxContent>
                  <w:p>
                    <w:pPr>
                      <w:spacing w:line="113" w:lineRule="exact" w:before="0"/>
                      <w:ind w:left="0" w:right="0" w:firstLine="0"/>
                      <w:jc w:val="left"/>
                      <w:rPr>
                        <w:sz w:val="11"/>
                      </w:rPr>
                    </w:pPr>
                    <w:r>
                      <w:rPr>
                        <w:w w:val="105"/>
                        <w:sz w:val="11"/>
                      </w:rPr>
                      <w:t>土龙山</w:t>
                    </w:r>
                  </w:p>
                </w:txbxContent>
              </v:textbox>
              <w10:wrap type="none"/>
            </v:shape>
            <v:shape style="position:absolute;left:4575;top:3696;width:404;height:114" type="#_x0000_t202" filled="false" stroked="false">
              <v:textbox inset="0,0,0,0">
                <w:txbxContent>
                  <w:p>
                    <w:pPr>
                      <w:spacing w:line="113" w:lineRule="exact" w:before="0"/>
                      <w:ind w:left="0" w:right="0" w:firstLine="0"/>
                      <w:jc w:val="left"/>
                      <w:rPr>
                        <w:sz w:val="11"/>
                      </w:rPr>
                    </w:pPr>
                    <w:r>
                      <w:rPr>
                        <w:w w:val="105"/>
                        <w:sz w:val="11"/>
                      </w:rPr>
                      <w:t>孟家岗</w:t>
                    </w:r>
                  </w:p>
                </w:txbxContent>
              </v:textbox>
              <w10:wrap type="none"/>
            </v:shape>
            <v:shape style="position:absolute;left:8494;top:3585;width:134;height:114" type="#_x0000_t202" filled="false" stroked="false">
              <v:textbox inset="0,0,0,0">
                <w:txbxContent>
                  <w:p>
                    <w:pPr>
                      <w:spacing w:line="113" w:lineRule="exact" w:before="0"/>
                      <w:ind w:left="0" w:right="0" w:firstLine="0"/>
                      <w:jc w:val="left"/>
                      <w:rPr>
                        <w:sz w:val="11"/>
                      </w:rPr>
                    </w:pPr>
                    <w:r>
                      <w:rPr>
                        <w:w w:val="103"/>
                        <w:sz w:val="11"/>
                      </w:rPr>
                      <w:t>里</w:t>
                    </w:r>
                  </w:p>
                </w:txbxContent>
              </v:textbox>
              <w10:wrap type="none"/>
            </v:shape>
            <v:shape style="position:absolute;left:7677;top:3577;width:403;height:239" type="#_x0000_t202" filled="false" stroked="false">
              <v:textbox inset="0,0,0,0">
                <w:txbxContent>
                  <w:p>
                    <w:pPr>
                      <w:spacing w:line="213" w:lineRule="auto" w:before="0"/>
                      <w:ind w:left="73" w:right="18" w:hanging="74"/>
                      <w:jc w:val="left"/>
                      <w:rPr>
                        <w:sz w:val="11"/>
                      </w:rPr>
                    </w:pPr>
                    <w:r>
                      <w:rPr>
                        <w:w w:val="105"/>
                        <w:sz w:val="11"/>
                      </w:rPr>
                      <w:t>大和镇阿</w:t>
                    </w:r>
                  </w:p>
                </w:txbxContent>
              </v:textbox>
              <w10:wrap type="none"/>
            </v:shape>
            <v:shape style="position:absolute;left:7149;top:3499;width:134;height:114" type="#_x0000_t202" filled="false" stroked="false">
              <v:textbox inset="0,0,0,0">
                <w:txbxContent>
                  <w:p>
                    <w:pPr>
                      <w:spacing w:line="113" w:lineRule="exact" w:before="0"/>
                      <w:ind w:left="0" w:right="0" w:firstLine="0"/>
                      <w:jc w:val="left"/>
                      <w:rPr>
                        <w:sz w:val="11"/>
                      </w:rPr>
                    </w:pPr>
                    <w:r>
                      <w:rPr>
                        <w:w w:val="103"/>
                        <w:sz w:val="11"/>
                      </w:rPr>
                      <w:t>河</w:t>
                    </w:r>
                  </w:p>
                </w:txbxContent>
              </v:textbox>
              <w10:wrap type="none"/>
            </v:shape>
            <v:shape style="position:absolute;left:5339;top:3420;width:830;height:344" type="#_x0000_t202" filled="false" stroked="false">
              <v:textbox inset="0,0,0,0">
                <w:txbxContent>
                  <w:p>
                    <w:pPr>
                      <w:spacing w:line="162" w:lineRule="exact" w:before="0"/>
                      <w:ind w:left="0" w:right="0" w:firstLine="0"/>
                      <w:jc w:val="left"/>
                      <w:rPr>
                        <w:sz w:val="14"/>
                      </w:rPr>
                    </w:pPr>
                    <w:r>
                      <w:rPr>
                        <w:sz w:val="14"/>
                      </w:rPr>
                      <w:t>双鸭山市</w:t>
                    </w:r>
                  </w:p>
                  <w:p>
                    <w:pPr>
                      <w:spacing w:line="126" w:lineRule="exact" w:before="56"/>
                      <w:ind w:left="426" w:right="0" w:firstLine="0"/>
                      <w:jc w:val="left"/>
                      <w:rPr>
                        <w:sz w:val="11"/>
                      </w:rPr>
                    </w:pPr>
                    <w:r>
                      <w:rPr>
                        <w:w w:val="105"/>
                        <w:sz w:val="11"/>
                      </w:rPr>
                      <w:t>七星泡</w:t>
                    </w:r>
                  </w:p>
                </w:txbxContent>
              </v:textbox>
              <w10:wrap type="none"/>
            </v:shape>
            <v:shape style="position:absolute;left:7510;top:3315;width:403;height:114" type="#_x0000_t202" filled="false" stroked="false">
              <v:textbox inset="0,0,0,0">
                <w:txbxContent>
                  <w:p>
                    <w:pPr>
                      <w:spacing w:line="113" w:lineRule="exact" w:before="0"/>
                      <w:ind w:left="0" w:right="0" w:firstLine="0"/>
                      <w:jc w:val="left"/>
                      <w:rPr>
                        <w:sz w:val="11"/>
                      </w:rPr>
                    </w:pPr>
                    <w:r>
                      <w:rPr>
                        <w:w w:val="105"/>
                        <w:sz w:val="11"/>
                      </w:rPr>
                      <w:t>雁窝岛</w:t>
                    </w:r>
                  </w:p>
                </w:txbxContent>
              </v:textbox>
              <w10:wrap type="none"/>
            </v:shape>
            <v:shape style="position:absolute;left:4756;top:3288;width:269;height:114" type="#_x0000_t202" filled="false" stroked="false">
              <v:textbox inset="0,0,0,0">
                <w:txbxContent>
                  <w:p>
                    <w:pPr>
                      <w:spacing w:line="113" w:lineRule="exact" w:before="0"/>
                      <w:ind w:left="0" w:right="0" w:firstLine="0"/>
                      <w:jc w:val="left"/>
                      <w:rPr>
                        <w:sz w:val="11"/>
                      </w:rPr>
                    </w:pPr>
                    <w:r>
                      <w:rPr>
                        <w:w w:val="105"/>
                        <w:sz w:val="11"/>
                      </w:rPr>
                      <w:t>集贤</w:t>
                    </w:r>
                  </w:p>
                </w:txbxContent>
              </v:textbox>
              <w10:wrap type="none"/>
            </v:shape>
            <v:shape style="position:absolute;left:3785;top:3300;width:670;height:143" type="#_x0000_t202" filled="false" stroked="false">
              <v:textbox inset="0,0,0,0">
                <w:txbxContent>
                  <w:p>
                    <w:pPr>
                      <w:spacing w:line="142" w:lineRule="exact" w:before="0"/>
                      <w:ind w:left="0" w:right="0" w:firstLine="0"/>
                      <w:jc w:val="left"/>
                      <w:rPr>
                        <w:sz w:val="14"/>
                      </w:rPr>
                    </w:pPr>
                    <w:r>
                      <w:rPr>
                        <w:sz w:val="14"/>
                      </w:rPr>
                      <w:t>佳木斯市</w:t>
                    </w:r>
                  </w:p>
                </w:txbxContent>
              </v:textbox>
              <w10:wrap type="none"/>
            </v:shape>
            <v:shape style="position:absolute;left:8460;top:3192;width:332;height:143" type="#_x0000_t202" filled="false" stroked="false">
              <v:textbox inset="0,0,0,0">
                <w:txbxContent>
                  <w:p>
                    <w:pPr>
                      <w:spacing w:line="142" w:lineRule="exact" w:before="0"/>
                      <w:ind w:left="0" w:right="0" w:firstLine="0"/>
                      <w:jc w:val="left"/>
                      <w:rPr>
                        <w:sz w:val="14"/>
                      </w:rPr>
                    </w:pPr>
                    <w:r>
                      <w:rPr>
                        <w:sz w:val="14"/>
                      </w:rPr>
                      <w:t>饶河</w:t>
                    </w:r>
                  </w:p>
                </w:txbxContent>
              </v:textbox>
              <w10:wrap type="none"/>
            </v:shape>
            <v:shape style="position:absolute;left:6042;top:3128;width:269;height:114" type="#_x0000_t202" filled="false" stroked="false">
              <v:textbox inset="0,0,0,0">
                <w:txbxContent>
                  <w:p>
                    <w:pPr>
                      <w:spacing w:line="113" w:lineRule="exact" w:before="0"/>
                      <w:ind w:left="0" w:right="0" w:firstLine="0"/>
                      <w:jc w:val="left"/>
                      <w:rPr>
                        <w:sz w:val="11"/>
                      </w:rPr>
                    </w:pPr>
                    <w:r>
                      <w:rPr>
                        <w:w w:val="105"/>
                        <w:sz w:val="11"/>
                      </w:rPr>
                      <w:t>友谊</w:t>
                    </w:r>
                  </w:p>
                </w:txbxContent>
              </v:textbox>
              <w10:wrap type="none"/>
            </v:shape>
            <v:shape style="position:absolute;left:5602;top:3186;width:269;height:114" type="#_x0000_t202" filled="false" stroked="false">
              <v:textbox inset="0,0,0,0">
                <w:txbxContent>
                  <w:p>
                    <w:pPr>
                      <w:spacing w:line="113" w:lineRule="exact" w:before="0"/>
                      <w:ind w:left="0" w:right="0" w:firstLine="0"/>
                      <w:jc w:val="left"/>
                      <w:rPr>
                        <w:sz w:val="11"/>
                      </w:rPr>
                    </w:pPr>
                    <w:r>
                      <w:rPr>
                        <w:w w:val="105"/>
                        <w:sz w:val="11"/>
                      </w:rPr>
                      <w:t>兴隆</w:t>
                    </w:r>
                  </w:p>
                </w:txbxContent>
              </v:textbox>
              <w10:wrap type="none"/>
            </v:shape>
            <v:shape style="position:absolute;left:7757;top:3085;width:134;height:114" type="#_x0000_t202" filled="false" stroked="false">
              <v:textbox inset="0,0,0,0">
                <w:txbxContent>
                  <w:p>
                    <w:pPr>
                      <w:spacing w:line="113" w:lineRule="exact" w:before="0"/>
                      <w:ind w:left="0" w:right="0" w:firstLine="0"/>
                      <w:jc w:val="left"/>
                      <w:rPr>
                        <w:sz w:val="11"/>
                      </w:rPr>
                    </w:pPr>
                    <w:r>
                      <w:rPr>
                        <w:w w:val="103"/>
                        <w:sz w:val="11"/>
                      </w:rPr>
                      <w:t>力</w:t>
                    </w:r>
                  </w:p>
                </w:txbxContent>
              </v:textbox>
              <w10:wrap type="none"/>
            </v:shape>
            <v:shape style="position:absolute;left:6441;top:3087;width:134;height:114" type="#_x0000_t202" filled="false" stroked="false">
              <v:textbox inset="0,0,0,0">
                <w:txbxContent>
                  <w:p>
                    <w:pPr>
                      <w:spacing w:line="113" w:lineRule="exact" w:before="0"/>
                      <w:ind w:left="0" w:right="0" w:firstLine="0"/>
                      <w:jc w:val="left"/>
                      <w:rPr>
                        <w:sz w:val="11"/>
                      </w:rPr>
                    </w:pPr>
                    <w:r>
                      <w:rPr>
                        <w:w w:val="103"/>
                        <w:sz w:val="11"/>
                      </w:rPr>
                      <w:t>七</w:t>
                    </w:r>
                  </w:p>
                </w:txbxContent>
              </v:textbox>
              <w10:wrap type="none"/>
            </v:shape>
            <v:shape style="position:absolute;left:5051;top:3109;width:403;height:114" type="#_x0000_t202" filled="false" stroked="false">
              <v:textbox inset="0,0,0,0">
                <w:txbxContent>
                  <w:p>
                    <w:pPr>
                      <w:spacing w:line="113" w:lineRule="exact" w:before="0"/>
                      <w:ind w:left="0" w:right="0" w:firstLine="0"/>
                      <w:jc w:val="left"/>
                      <w:rPr>
                        <w:sz w:val="11"/>
                      </w:rPr>
                    </w:pPr>
                    <w:r>
                      <w:rPr>
                        <w:w w:val="105"/>
                        <w:sz w:val="11"/>
                      </w:rPr>
                      <w:t>腰屯区</w:t>
                    </w:r>
                  </w:p>
                </w:txbxContent>
              </v:textbox>
              <w10:wrap type="none"/>
            </v:shape>
            <v:shape style="position:absolute;left:3319;top:3122;width:269;height:114" type="#_x0000_t202" filled="false" stroked="false">
              <v:textbox inset="0,0,0,0">
                <w:txbxContent>
                  <w:p>
                    <w:pPr>
                      <w:spacing w:line="113" w:lineRule="exact" w:before="0"/>
                      <w:ind w:left="0" w:right="0" w:firstLine="0"/>
                      <w:jc w:val="left"/>
                      <w:rPr>
                        <w:sz w:val="11"/>
                      </w:rPr>
                    </w:pPr>
                    <w:r>
                      <w:rPr>
                        <w:w w:val="105"/>
                        <w:sz w:val="11"/>
                      </w:rPr>
                      <w:t>汤原</w:t>
                    </w:r>
                  </w:p>
                </w:txbxContent>
              </v:textbox>
              <w10:wrap type="none"/>
            </v:shape>
            <v:shape style="position:absolute;left:2683;top:3184;width:403;height:114" type="#_x0000_t202" filled="false" stroked="false">
              <v:textbox inset="0,0,0,0">
                <w:txbxContent>
                  <w:p>
                    <w:pPr>
                      <w:spacing w:line="113" w:lineRule="exact" w:before="0"/>
                      <w:ind w:left="0" w:right="0" w:firstLine="0"/>
                      <w:jc w:val="left"/>
                      <w:rPr>
                        <w:sz w:val="11"/>
                      </w:rPr>
                    </w:pPr>
                    <w:r>
                      <w:rPr>
                        <w:w w:val="105"/>
                        <w:sz w:val="11"/>
                      </w:rPr>
                      <w:t>浩良河</w:t>
                    </w:r>
                  </w:p>
                </w:txbxContent>
              </v:textbox>
              <w10:wrap type="none"/>
            </v:shape>
            <v:shape style="position:absolute;left:8598;top:2615;width:403;height:302" type="#_x0000_t202" filled="false" stroked="false">
              <v:textbox inset="0,0,0,0">
                <w:txbxContent>
                  <w:p>
                    <w:pPr>
                      <w:spacing w:line="128" w:lineRule="exact" w:before="0"/>
                      <w:ind w:left="0" w:right="18" w:firstLine="0"/>
                      <w:jc w:val="right"/>
                      <w:rPr>
                        <w:sz w:val="11"/>
                      </w:rPr>
                    </w:pPr>
                    <w:r>
                      <w:rPr>
                        <w:sz w:val="11"/>
                      </w:rPr>
                      <w:t>小佳河</w:t>
                    </w:r>
                  </w:p>
                  <w:p>
                    <w:pPr>
                      <w:spacing w:line="126" w:lineRule="exact" w:before="47"/>
                      <w:ind w:left="0" w:right="84" w:firstLine="0"/>
                      <w:jc w:val="right"/>
                      <w:rPr>
                        <w:sz w:val="11"/>
                      </w:rPr>
                    </w:pPr>
                    <w:r>
                      <w:rPr>
                        <w:w w:val="103"/>
                        <w:sz w:val="11"/>
                      </w:rPr>
                      <w:t>苏</w:t>
                    </w:r>
                  </w:p>
                </w:txbxContent>
              </v:textbox>
              <w10:wrap type="none"/>
            </v:shape>
            <v:shape style="position:absolute;left:7025;top:2789;width:134;height:114" type="#_x0000_t202" filled="false" stroked="false">
              <v:textbox inset="0,0,0,0">
                <w:txbxContent>
                  <w:p>
                    <w:pPr>
                      <w:spacing w:line="113" w:lineRule="exact" w:before="0"/>
                      <w:ind w:left="0" w:right="0" w:firstLine="0"/>
                      <w:jc w:val="left"/>
                      <w:rPr>
                        <w:sz w:val="11"/>
                      </w:rPr>
                    </w:pPr>
                    <w:r>
                      <w:rPr>
                        <w:w w:val="103"/>
                        <w:sz w:val="11"/>
                      </w:rPr>
                      <w:t>星</w:t>
                    </w:r>
                  </w:p>
                </w:txbxContent>
              </v:textbox>
              <w10:wrap type="none"/>
            </v:shape>
            <v:shape style="position:absolute;left:4488;top:2703;width:363;height:335" type="#_x0000_t202" filled="false" stroked="false">
              <v:textbox inset="0,0,0,0">
                <w:txbxContent>
                  <w:p>
                    <w:pPr>
                      <w:spacing w:line="162" w:lineRule="exact" w:before="0"/>
                      <w:ind w:left="200" w:right="0" w:firstLine="0"/>
                      <w:jc w:val="left"/>
                      <w:rPr>
                        <w:sz w:val="14"/>
                      </w:rPr>
                    </w:pPr>
                    <w:r>
                      <w:rPr>
                        <w:w w:val="101"/>
                        <w:sz w:val="14"/>
                      </w:rPr>
                      <w:t>松</w:t>
                    </w:r>
                  </w:p>
                  <w:p>
                    <w:pPr>
                      <w:spacing w:line="126" w:lineRule="exact" w:before="46"/>
                      <w:ind w:left="0" w:right="0" w:firstLine="0"/>
                      <w:jc w:val="left"/>
                      <w:rPr>
                        <w:sz w:val="11"/>
                      </w:rPr>
                    </w:pPr>
                    <w:r>
                      <w:rPr>
                        <w:w w:val="105"/>
                        <w:sz w:val="11"/>
                      </w:rPr>
                      <w:t>桦川</w:t>
                    </w:r>
                  </w:p>
                </w:txbxContent>
              </v:textbox>
              <w10:wrap type="none"/>
            </v:shape>
            <v:shape style="position:absolute;left:3744;top:2760;width:269;height:114" type="#_x0000_t202" filled="false" stroked="false">
              <v:textbox inset="0,0,0,0">
                <w:txbxContent>
                  <w:p>
                    <w:pPr>
                      <w:spacing w:line="113" w:lineRule="exact" w:before="0"/>
                      <w:ind w:left="0" w:right="0" w:firstLine="0"/>
                      <w:jc w:val="left"/>
                      <w:rPr>
                        <w:sz w:val="11"/>
                      </w:rPr>
                    </w:pPr>
                    <w:r>
                      <w:rPr>
                        <w:w w:val="105"/>
                        <w:sz w:val="11"/>
                      </w:rPr>
                      <w:t>鹤立</w:t>
                    </w:r>
                  </w:p>
                </w:txbxContent>
              </v:textbox>
              <w10:wrap type="none"/>
            </v:shape>
            <v:shape style="position:absolute;left:3158;top:2829;width:134;height:114" type="#_x0000_t202" filled="false" stroked="false">
              <v:textbox inset="0,0,0,0">
                <w:txbxContent>
                  <w:p>
                    <w:pPr>
                      <w:spacing w:line="113" w:lineRule="exact" w:before="0"/>
                      <w:ind w:left="0" w:right="0" w:firstLine="0"/>
                      <w:jc w:val="left"/>
                      <w:rPr>
                        <w:sz w:val="11"/>
                      </w:rPr>
                    </w:pPr>
                    <w:r>
                      <w:rPr>
                        <w:w w:val="103"/>
                        <w:sz w:val="11"/>
                      </w:rPr>
                      <w:t>河</w:t>
                    </w:r>
                  </w:p>
                </w:txbxContent>
              </v:textbox>
              <w10:wrap type="none"/>
            </v:shape>
            <v:shape style="position:absolute;left:8155;top:2660;width:134;height:114" type="#_x0000_t202" filled="false" stroked="false">
              <v:textbox inset="0,0,0,0">
                <w:txbxContent>
                  <w:p>
                    <w:pPr>
                      <w:spacing w:line="113" w:lineRule="exact" w:before="0"/>
                      <w:ind w:left="0" w:right="0" w:firstLine="0"/>
                      <w:jc w:val="left"/>
                      <w:rPr>
                        <w:sz w:val="11"/>
                      </w:rPr>
                    </w:pPr>
                    <w:r>
                      <w:rPr>
                        <w:w w:val="103"/>
                        <w:sz w:val="11"/>
                      </w:rPr>
                      <w:t>挠</w:t>
                    </w:r>
                  </w:p>
                </w:txbxContent>
              </v:textbox>
              <w10:wrap type="none"/>
            </v:shape>
            <v:shape style="position:absolute;left:7667;top:2594;width:134;height:114" type="#_x0000_t202" filled="false" stroked="false">
              <v:textbox inset="0,0,0,0">
                <w:txbxContent>
                  <w:p>
                    <w:pPr>
                      <w:spacing w:line="113" w:lineRule="exact" w:before="0"/>
                      <w:ind w:left="0" w:right="0" w:firstLine="0"/>
                      <w:jc w:val="left"/>
                      <w:rPr>
                        <w:sz w:val="11"/>
                      </w:rPr>
                    </w:pPr>
                    <w:r>
                      <w:rPr>
                        <w:w w:val="103"/>
                        <w:sz w:val="11"/>
                      </w:rPr>
                      <w:t>河</w:t>
                    </w:r>
                  </w:p>
                </w:txbxContent>
              </v:textbox>
              <w10:wrap type="none"/>
            </v:shape>
            <v:shape style="position:absolute;left:6447;top:2592;width:501;height:143" type="#_x0000_t202" filled="false" stroked="false">
              <v:textbox inset="0,0,0,0">
                <w:txbxContent>
                  <w:p>
                    <w:pPr>
                      <w:spacing w:line="142" w:lineRule="exact" w:before="0"/>
                      <w:ind w:left="0" w:right="0" w:firstLine="0"/>
                      <w:jc w:val="left"/>
                      <w:rPr>
                        <w:sz w:val="14"/>
                      </w:rPr>
                    </w:pPr>
                    <w:r>
                      <w:rPr>
                        <w:sz w:val="14"/>
                      </w:rPr>
                      <w:t>富锦市</w:t>
                    </w:r>
                  </w:p>
                </w:txbxContent>
              </v:textbox>
              <w10:wrap type="none"/>
            </v:shape>
            <v:shape style="position:absolute;left:5692;top:2383;width:410;height:499" type="#_x0000_t202" filled="false" stroked="false">
              <v:textbox inset="0,0,0,0">
                <w:txbxContent>
                  <w:p>
                    <w:pPr>
                      <w:spacing w:line="162" w:lineRule="exact" w:before="0"/>
                      <w:ind w:left="0" w:right="27" w:firstLine="0"/>
                      <w:jc w:val="right"/>
                      <w:rPr>
                        <w:sz w:val="14"/>
                      </w:rPr>
                    </w:pPr>
                    <w:r>
                      <w:rPr>
                        <w:sz w:val="14"/>
                      </w:rPr>
                      <w:t>绥滨</w:t>
                    </w:r>
                  </w:p>
                  <w:p>
                    <w:pPr>
                      <w:spacing w:before="13"/>
                      <w:ind w:left="0" w:right="18" w:firstLine="0"/>
                      <w:jc w:val="right"/>
                      <w:rPr>
                        <w:sz w:val="14"/>
                      </w:rPr>
                    </w:pPr>
                    <w:r>
                      <w:rPr>
                        <w:w w:val="101"/>
                        <w:sz w:val="14"/>
                      </w:rPr>
                      <w:t>江</w:t>
                    </w:r>
                  </w:p>
                  <w:p>
                    <w:pPr>
                      <w:spacing w:line="126" w:lineRule="exact" w:before="19"/>
                      <w:ind w:left="0" w:right="0" w:firstLine="0"/>
                      <w:jc w:val="left"/>
                      <w:rPr>
                        <w:sz w:val="11"/>
                      </w:rPr>
                    </w:pPr>
                    <w:r>
                      <w:rPr>
                        <w:w w:val="105"/>
                        <w:sz w:val="11"/>
                      </w:rPr>
                      <w:t>花月</w:t>
                    </w:r>
                  </w:p>
                </w:txbxContent>
              </v:textbox>
              <w10:wrap type="none"/>
            </v:shape>
            <v:shape style="position:absolute;left:5312;top:2665;width:163;height:143" type="#_x0000_t202" filled="false" stroked="false">
              <v:textbox inset="0,0,0,0">
                <w:txbxContent>
                  <w:p>
                    <w:pPr>
                      <w:spacing w:line="142" w:lineRule="exact" w:before="0"/>
                      <w:ind w:left="0" w:right="0" w:firstLine="0"/>
                      <w:jc w:val="left"/>
                      <w:rPr>
                        <w:sz w:val="14"/>
                      </w:rPr>
                    </w:pPr>
                    <w:r>
                      <w:rPr>
                        <w:w w:val="101"/>
                        <w:sz w:val="14"/>
                      </w:rPr>
                      <w:t>花</w:t>
                    </w:r>
                  </w:p>
                </w:txbxContent>
              </v:textbox>
              <w10:wrap type="none"/>
            </v:shape>
            <v:shape style="position:absolute;left:2321;top:2599;width:269;height:114" type="#_x0000_t202" filled="false" stroked="false">
              <v:textbox inset="0,0,0,0">
                <w:txbxContent>
                  <w:p>
                    <w:pPr>
                      <w:spacing w:line="113" w:lineRule="exact" w:before="0"/>
                      <w:ind w:left="0" w:right="0" w:firstLine="0"/>
                      <w:jc w:val="left"/>
                      <w:rPr>
                        <w:sz w:val="11"/>
                      </w:rPr>
                    </w:pPr>
                    <w:r>
                      <w:rPr>
                        <w:w w:val="105"/>
                        <w:sz w:val="11"/>
                      </w:rPr>
                      <w:t>带领</w:t>
                    </w:r>
                  </w:p>
                </w:txbxContent>
              </v:textbox>
              <w10:wrap type="none"/>
            </v:shape>
            <v:shape style="position:absolute;left:5073;top:2395;width:403;height:114" type="#_x0000_t202" filled="false" stroked="false">
              <v:textbox inset="0,0,0,0">
                <w:txbxContent>
                  <w:p>
                    <w:pPr>
                      <w:spacing w:line="113" w:lineRule="exact" w:before="0"/>
                      <w:ind w:left="0" w:right="0" w:firstLine="0"/>
                      <w:jc w:val="left"/>
                      <w:rPr>
                        <w:sz w:val="11"/>
                      </w:rPr>
                    </w:pPr>
                    <w:r>
                      <w:rPr>
                        <w:w w:val="105"/>
                        <w:sz w:val="11"/>
                      </w:rPr>
                      <w:t>普阳镇</w:t>
                    </w:r>
                  </w:p>
                </w:txbxContent>
              </v:textbox>
              <w10:wrap type="none"/>
            </v:shape>
            <v:shape style="position:absolute;left:4355;top:2264;width:692;height:292" type="#_x0000_t202" filled="false" stroked="false">
              <v:textbox inset="0,0,0,0">
                <w:txbxContent>
                  <w:p>
                    <w:pPr>
                      <w:spacing w:line="133" w:lineRule="exact" w:before="0"/>
                      <w:ind w:left="86" w:right="0" w:firstLine="0"/>
                      <w:jc w:val="left"/>
                      <w:rPr>
                        <w:sz w:val="11"/>
                      </w:rPr>
                    </w:pPr>
                    <w:r>
                      <w:rPr>
                        <w:w w:val="105"/>
                        <w:sz w:val="11"/>
                      </w:rPr>
                      <w:t>宝泉岭 河</w:t>
                    </w:r>
                  </w:p>
                  <w:p>
                    <w:pPr>
                      <w:spacing w:line="126" w:lineRule="exact" w:before="32"/>
                      <w:ind w:left="0" w:right="0" w:firstLine="0"/>
                      <w:jc w:val="left"/>
                      <w:rPr>
                        <w:sz w:val="11"/>
                      </w:rPr>
                    </w:pPr>
                    <w:r>
                      <w:rPr>
                        <w:w w:val="103"/>
                        <w:sz w:val="11"/>
                      </w:rPr>
                      <w:t>河</w:t>
                    </w:r>
                  </w:p>
                </w:txbxContent>
              </v:textbox>
              <w10:wrap type="none"/>
            </v:shape>
            <v:shape style="position:absolute;left:2946;top:2413;width:134;height:114" type="#_x0000_t202" filled="false" stroked="false">
              <v:textbox inset="0,0,0,0">
                <w:txbxContent>
                  <w:p>
                    <w:pPr>
                      <w:spacing w:line="113" w:lineRule="exact" w:before="0"/>
                      <w:ind w:left="0" w:right="0" w:firstLine="0"/>
                      <w:jc w:val="left"/>
                      <w:rPr>
                        <w:sz w:val="11"/>
                      </w:rPr>
                    </w:pPr>
                    <w:r>
                      <w:rPr>
                        <w:w w:val="103"/>
                        <w:sz w:val="11"/>
                      </w:rPr>
                      <w:t>旺</w:t>
                    </w:r>
                  </w:p>
                </w:txbxContent>
              </v:textbox>
              <w10:wrap type="none"/>
            </v:shape>
            <v:shape style="position:absolute;left:9227;top:2167;width:134;height:114" type="#_x0000_t202" filled="false" stroked="false">
              <v:textbox inset="0,0,0,0">
                <w:txbxContent>
                  <w:p>
                    <w:pPr>
                      <w:spacing w:line="113" w:lineRule="exact" w:before="0"/>
                      <w:ind w:left="0" w:right="0" w:firstLine="0"/>
                      <w:jc w:val="left"/>
                      <w:rPr>
                        <w:sz w:val="11"/>
                      </w:rPr>
                    </w:pPr>
                    <w:r>
                      <w:rPr>
                        <w:w w:val="103"/>
                        <w:sz w:val="11"/>
                      </w:rPr>
                      <w:t>乌</w:t>
                    </w:r>
                  </w:p>
                </w:txbxContent>
              </v:textbox>
              <w10:wrap type="none"/>
            </v:shape>
            <v:shape style="position:absolute;left:7806;top:2074;width:269;height:114" type="#_x0000_t202" filled="false" stroked="false">
              <v:textbox inset="0,0,0,0">
                <w:txbxContent>
                  <w:p>
                    <w:pPr>
                      <w:spacing w:line="113" w:lineRule="exact" w:before="0"/>
                      <w:ind w:left="0" w:right="0" w:firstLine="0"/>
                      <w:jc w:val="left"/>
                      <w:rPr>
                        <w:sz w:val="11"/>
                      </w:rPr>
                    </w:pPr>
                    <w:r>
                      <w:rPr>
                        <w:w w:val="105"/>
                        <w:sz w:val="11"/>
                      </w:rPr>
                      <w:t>前进</w:t>
                    </w:r>
                  </w:p>
                </w:txbxContent>
              </v:textbox>
              <w10:wrap type="none"/>
            </v:shape>
            <v:shape style="position:absolute;left:6271;top:1912;width:356;height:372" type="#_x0000_t202" filled="false" stroked="false">
              <v:textbox inset="0,0,0,0">
                <w:txbxContent>
                  <w:p>
                    <w:pPr>
                      <w:spacing w:line="162" w:lineRule="exact" w:before="0"/>
                      <w:ind w:left="193" w:right="0" w:firstLine="0"/>
                      <w:jc w:val="left"/>
                      <w:rPr>
                        <w:sz w:val="14"/>
                      </w:rPr>
                    </w:pPr>
                    <w:r>
                      <w:rPr>
                        <w:w w:val="101"/>
                        <w:sz w:val="14"/>
                      </w:rPr>
                      <w:t>黑</w:t>
                    </w:r>
                  </w:p>
                  <w:p>
                    <w:pPr>
                      <w:spacing w:line="126" w:lineRule="exact" w:before="84"/>
                      <w:ind w:left="0" w:right="0" w:firstLine="0"/>
                      <w:jc w:val="left"/>
                      <w:rPr>
                        <w:sz w:val="11"/>
                      </w:rPr>
                    </w:pPr>
                    <w:r>
                      <w:rPr>
                        <w:w w:val="105"/>
                        <w:sz w:val="11"/>
                      </w:rPr>
                      <w:t>绥东</w:t>
                    </w:r>
                  </w:p>
                </w:txbxContent>
              </v:textbox>
              <w10:wrap type="none"/>
            </v:shape>
            <v:shape style="position:absolute;left:3138;top:2151;width:967;height:199" type="#_x0000_t202" filled="false" stroked="false">
              <v:textbox inset="0,0,0,0">
                <w:txbxContent>
                  <w:p>
                    <w:pPr>
                      <w:spacing w:line="165" w:lineRule="auto" w:before="5"/>
                      <w:ind w:left="0" w:right="0" w:firstLine="0"/>
                      <w:jc w:val="left"/>
                      <w:rPr>
                        <w:sz w:val="14"/>
                      </w:rPr>
                    </w:pPr>
                    <w:r>
                      <w:rPr>
                        <w:sz w:val="11"/>
                      </w:rPr>
                      <w:t>金山屯 </w:t>
                    </w:r>
                    <w:r>
                      <w:rPr>
                        <w:position w:val="-7"/>
                        <w:sz w:val="14"/>
                      </w:rPr>
                      <w:t>鹤岗市</w:t>
                    </w:r>
                  </w:p>
                </w:txbxContent>
              </v:textbox>
              <w10:wrap type="none"/>
            </v:shape>
            <v:shape style="position:absolute;left:4555;top:2029;width:436;height:154" type="#_x0000_t202" filled="false" stroked="false">
              <v:textbox inset="0,0,0,0">
                <w:txbxContent>
                  <w:p>
                    <w:pPr>
                      <w:spacing w:line="154" w:lineRule="exact" w:before="0"/>
                      <w:ind w:left="0" w:right="0" w:firstLine="0"/>
                      <w:jc w:val="left"/>
                      <w:rPr>
                        <w:sz w:val="11"/>
                      </w:rPr>
                    </w:pPr>
                    <w:r>
                      <w:rPr>
                        <w:w w:val="105"/>
                        <w:position w:val="4"/>
                        <w:sz w:val="11"/>
                      </w:rPr>
                      <w:t>鲁 </w:t>
                    </w:r>
                    <w:r>
                      <w:rPr>
                        <w:w w:val="105"/>
                        <w:sz w:val="11"/>
                      </w:rPr>
                      <w:t>萝北</w:t>
                    </w:r>
                  </w:p>
                </w:txbxContent>
              </v:textbox>
              <w10:wrap type="none"/>
            </v:shape>
            <v:shape style="position:absolute;left:7075;top:1892;width:501;height:143" type="#_x0000_t202" filled="false" stroked="false">
              <v:textbox inset="0,0,0,0">
                <w:txbxContent>
                  <w:p>
                    <w:pPr>
                      <w:spacing w:line="142" w:lineRule="exact" w:before="0"/>
                      <w:ind w:left="0" w:right="0" w:firstLine="0"/>
                      <w:jc w:val="left"/>
                      <w:rPr>
                        <w:sz w:val="14"/>
                      </w:rPr>
                    </w:pPr>
                    <w:r>
                      <w:rPr>
                        <w:sz w:val="14"/>
                      </w:rPr>
                      <w:t>同江市</w:t>
                    </w:r>
                  </w:p>
                </w:txbxContent>
              </v:textbox>
              <w10:wrap type="none"/>
            </v:shape>
            <v:shape style="position:absolute;left:5339;top:1883;width:269;height:114" type="#_x0000_t202" filled="false" stroked="false">
              <v:textbox inset="0,0,0,0">
                <w:txbxContent>
                  <w:p>
                    <w:pPr>
                      <w:spacing w:line="113" w:lineRule="exact" w:before="0"/>
                      <w:ind w:left="0" w:right="0" w:firstLine="0"/>
                      <w:jc w:val="left"/>
                      <w:rPr>
                        <w:sz w:val="11"/>
                      </w:rPr>
                    </w:pPr>
                    <w:r>
                      <w:rPr>
                        <w:w w:val="105"/>
                        <w:sz w:val="11"/>
                      </w:rPr>
                      <w:t>肇兴</w:t>
                    </w:r>
                  </w:p>
                </w:txbxContent>
              </v:textbox>
              <w10:wrap type="none"/>
            </v:shape>
            <v:shape style="position:absolute;left:4178;top:1923;width:376;height:245" type="#_x0000_t202" filled="false" stroked="false">
              <v:textbox inset="0,0,0,0">
                <w:txbxContent>
                  <w:p>
                    <w:pPr>
                      <w:spacing w:line="223" w:lineRule="auto" w:before="0"/>
                      <w:ind w:left="0" w:right="18" w:firstLine="107"/>
                      <w:jc w:val="left"/>
                      <w:rPr>
                        <w:sz w:val="11"/>
                      </w:rPr>
                    </w:pPr>
                    <w:r>
                      <w:rPr>
                        <w:w w:val="105"/>
                        <w:sz w:val="11"/>
                      </w:rPr>
                      <w:t>鹤北桐</w:t>
                    </w:r>
                  </w:p>
                </w:txbxContent>
              </v:textbox>
              <w10:wrap type="none"/>
            </v:shape>
            <v:shape style="position:absolute;left:3907;top:1794;width:134;height:114" type="#_x0000_t202" filled="false" stroked="false">
              <v:textbox inset="0,0,0,0">
                <w:txbxContent>
                  <w:p>
                    <w:pPr>
                      <w:spacing w:line="113" w:lineRule="exact" w:before="0"/>
                      <w:ind w:left="0" w:right="0" w:firstLine="0"/>
                      <w:jc w:val="left"/>
                      <w:rPr>
                        <w:sz w:val="11"/>
                      </w:rPr>
                    </w:pPr>
                    <w:r>
                      <w:rPr>
                        <w:w w:val="103"/>
                        <w:sz w:val="11"/>
                      </w:rPr>
                      <w:t>梧</w:t>
                    </w:r>
                  </w:p>
                </w:txbxContent>
              </v:textbox>
              <w10:wrap type="none"/>
            </v:shape>
            <v:shape style="position:absolute;left:5065;top:1675;width:269;height:114" type="#_x0000_t202" filled="false" stroked="false">
              <v:textbox inset="0,0,0,0">
                <w:txbxContent>
                  <w:p>
                    <w:pPr>
                      <w:spacing w:line="113" w:lineRule="exact" w:before="0"/>
                      <w:ind w:left="0" w:right="0" w:firstLine="0"/>
                      <w:jc w:val="left"/>
                      <w:rPr>
                        <w:sz w:val="11"/>
                      </w:rPr>
                    </w:pPr>
                    <w:r>
                      <w:rPr>
                        <w:w w:val="105"/>
                        <w:sz w:val="11"/>
                      </w:rPr>
                      <w:t>延兴</w:t>
                    </w:r>
                  </w:p>
                </w:txbxContent>
              </v:textbox>
              <w10:wrap type="none"/>
            </v:shape>
            <v:shape style="position:absolute;left:4378;top:1550;width:134;height:114" type="#_x0000_t202" filled="false" stroked="false">
              <v:textbox inset="0,0,0,0">
                <w:txbxContent>
                  <w:p>
                    <w:pPr>
                      <w:spacing w:line="113" w:lineRule="exact" w:before="0"/>
                      <w:ind w:left="0" w:right="0" w:firstLine="0"/>
                      <w:jc w:val="left"/>
                      <w:rPr>
                        <w:sz w:val="11"/>
                      </w:rPr>
                    </w:pPr>
                    <w:r>
                      <w:rPr>
                        <w:w w:val="103"/>
                        <w:sz w:val="11"/>
                      </w:rPr>
                      <w:t>都</w:t>
                    </w:r>
                  </w:p>
                </w:txbxContent>
              </v:textbox>
              <w10:wrap type="none"/>
            </v:shape>
            <v:shape style="position:absolute;left:2462;top:1587;width:501;height:328" type="#_x0000_t202" filled="false" stroked="false">
              <v:textbox inset="0,0,0,0">
                <w:txbxContent>
                  <w:p>
                    <w:pPr>
                      <w:spacing w:line="162" w:lineRule="exact" w:before="0"/>
                      <w:ind w:left="0" w:right="0" w:firstLine="0"/>
                      <w:jc w:val="left"/>
                      <w:rPr>
                        <w:sz w:val="14"/>
                      </w:rPr>
                    </w:pPr>
                    <w:r>
                      <w:rPr>
                        <w:sz w:val="14"/>
                      </w:rPr>
                      <w:t>伊春市</w:t>
                    </w:r>
                  </w:p>
                  <w:p>
                    <w:pPr>
                      <w:spacing w:line="126" w:lineRule="exact" w:before="40"/>
                      <w:ind w:left="0" w:right="43" w:firstLine="0"/>
                      <w:jc w:val="right"/>
                      <w:rPr>
                        <w:sz w:val="11"/>
                      </w:rPr>
                    </w:pPr>
                    <w:r>
                      <w:rPr>
                        <w:w w:val="103"/>
                        <w:sz w:val="11"/>
                      </w:rPr>
                      <w:t>汤</w:t>
                    </w:r>
                  </w:p>
                </w:txbxContent>
              </v:textbox>
              <w10:wrap type="none"/>
            </v:shape>
            <v:shape style="position:absolute;left:8081;top:1316;width:607;height:311" type="#_x0000_t202" filled="false" stroked="false">
              <v:textbox inset="0,0,0,0">
                <w:txbxContent>
                  <w:p>
                    <w:pPr>
                      <w:spacing w:line="128" w:lineRule="exact" w:before="0"/>
                      <w:ind w:left="0" w:right="0" w:firstLine="0"/>
                      <w:jc w:val="left"/>
                      <w:rPr>
                        <w:sz w:val="11"/>
                      </w:rPr>
                    </w:pPr>
                    <w:r>
                      <w:rPr>
                        <w:w w:val="105"/>
                        <w:sz w:val="11"/>
                      </w:rPr>
                      <w:t>勤得利</w:t>
                    </w:r>
                  </w:p>
                  <w:p>
                    <w:pPr>
                      <w:spacing w:line="126" w:lineRule="exact" w:before="56"/>
                      <w:ind w:left="338" w:right="0" w:firstLine="0"/>
                      <w:jc w:val="left"/>
                      <w:rPr>
                        <w:sz w:val="11"/>
                      </w:rPr>
                    </w:pPr>
                    <w:r>
                      <w:rPr>
                        <w:w w:val="105"/>
                        <w:sz w:val="11"/>
                      </w:rPr>
                      <w:t>联防</w:t>
                    </w:r>
                  </w:p>
                </w:txbxContent>
              </v:textbox>
              <w10:wrap type="none"/>
            </v:shape>
            <v:shape style="position:absolute;left:4582;top:1462;width:269;height:114" type="#_x0000_t202" filled="false" stroked="false">
              <v:textbox inset="0,0,0,0">
                <w:txbxContent>
                  <w:p>
                    <w:pPr>
                      <w:spacing w:line="113" w:lineRule="exact" w:before="0"/>
                      <w:ind w:left="0" w:right="0" w:firstLine="0"/>
                      <w:jc w:val="left"/>
                      <w:rPr>
                        <w:sz w:val="11"/>
                      </w:rPr>
                    </w:pPr>
                    <w:r>
                      <w:rPr>
                        <w:w w:val="105"/>
                        <w:sz w:val="11"/>
                      </w:rPr>
                      <w:t>兴东</w:t>
                    </w:r>
                  </w:p>
                </w:txbxContent>
              </v:textbox>
              <w10:wrap type="none"/>
            </v:shape>
            <v:shape style="position:absolute;left:7730;top:1307;width:163;height:143" type="#_x0000_t202" filled="false" stroked="false">
              <v:textbox inset="0,0,0,0">
                <w:txbxContent>
                  <w:p>
                    <w:pPr>
                      <w:spacing w:line="142" w:lineRule="exact" w:before="0"/>
                      <w:ind w:left="0" w:right="0" w:firstLine="0"/>
                      <w:jc w:val="left"/>
                      <w:rPr>
                        <w:sz w:val="14"/>
                      </w:rPr>
                    </w:pPr>
                    <w:r>
                      <w:rPr>
                        <w:w w:val="101"/>
                        <w:sz w:val="14"/>
                      </w:rPr>
                      <w:t>龙</w:t>
                    </w:r>
                  </w:p>
                </w:txbxContent>
              </v:textbox>
              <w10:wrap type="none"/>
            </v:shape>
            <v:shape style="position:absolute;left:8857;top:998;width:163;height:143" type="#_x0000_t202" filled="false" stroked="false">
              <v:textbox inset="0,0,0,0">
                <w:txbxContent>
                  <w:p>
                    <w:pPr>
                      <w:spacing w:line="142" w:lineRule="exact" w:before="0"/>
                      <w:ind w:left="0" w:right="0" w:firstLine="0"/>
                      <w:jc w:val="left"/>
                      <w:rPr>
                        <w:sz w:val="14"/>
                      </w:rPr>
                    </w:pPr>
                    <w:r>
                      <w:rPr>
                        <w:w w:val="101"/>
                        <w:sz w:val="14"/>
                      </w:rPr>
                      <w:t>江</w:t>
                    </w:r>
                  </w:p>
                </w:txbxContent>
              </v:textbox>
              <w10:wrap type="none"/>
            </v:shape>
            <v:shape style="position:absolute;left:4146;top:1056;width:403;height:114" type="#_x0000_t202" filled="false" stroked="false">
              <v:textbox inset="0,0,0,0">
                <w:txbxContent>
                  <w:p>
                    <w:pPr>
                      <w:spacing w:line="113" w:lineRule="exact" w:before="0"/>
                      <w:ind w:left="0" w:right="0" w:firstLine="0"/>
                      <w:jc w:val="left"/>
                      <w:rPr>
                        <w:sz w:val="11"/>
                      </w:rPr>
                    </w:pPr>
                    <w:r>
                      <w:rPr>
                        <w:w w:val="105"/>
                        <w:sz w:val="11"/>
                      </w:rPr>
                      <w:t>太平沟</w:t>
                    </w:r>
                  </w:p>
                </w:txbxContent>
              </v:textbox>
              <w10:wrap type="none"/>
            </v:shape>
            <v:shape style="position:absolute;left:9296;top:897;width:269;height:114" type="#_x0000_t202" filled="false" stroked="false">
              <v:textbox inset="0,0,0,0">
                <w:txbxContent>
                  <w:p>
                    <w:pPr>
                      <w:spacing w:line="113" w:lineRule="exact" w:before="0"/>
                      <w:ind w:left="0" w:right="0" w:firstLine="0"/>
                      <w:jc w:val="left"/>
                      <w:rPr>
                        <w:sz w:val="11"/>
                      </w:rPr>
                    </w:pPr>
                    <w:r>
                      <w:rPr>
                        <w:w w:val="105"/>
                        <w:sz w:val="11"/>
                      </w:rPr>
                      <w:t>抚远</w:t>
                    </w:r>
                  </w:p>
                </w:txbxContent>
              </v:textbox>
              <w10:wrap type="none"/>
            </v:shape>
            <w10:wrap type="topAndBottom"/>
          </v:group>
        </w:pict>
      </w:r>
    </w:p>
    <w:p>
      <w:pPr>
        <w:pStyle w:val="BodyText"/>
        <w:spacing w:before="5"/>
        <w:rPr>
          <w:sz w:val="11"/>
        </w:rPr>
      </w:pPr>
    </w:p>
    <w:p>
      <w:pPr>
        <w:pStyle w:val="Heading4"/>
        <w:spacing w:before="74"/>
        <w:ind w:right="432"/>
        <w:jc w:val="center"/>
      </w:pPr>
      <w:r>
        <w:rPr/>
        <w:t>图 </w:t>
      </w:r>
      <w:r>
        <w:rPr>
          <w:rFonts w:ascii="Times New Roman" w:eastAsia="Times New Roman"/>
        </w:rPr>
        <w:t>4.1-1 </w:t>
      </w:r>
      <w:r>
        <w:rPr/>
        <w:t>项目地理位置图</w:t>
      </w:r>
    </w:p>
    <w:p>
      <w:pPr>
        <w:pStyle w:val="BodyText"/>
        <w:rPr>
          <w:b/>
          <w:sz w:val="30"/>
        </w:rPr>
      </w:pPr>
    </w:p>
    <w:p>
      <w:pPr>
        <w:pStyle w:val="ListParagraph"/>
        <w:numPr>
          <w:ilvl w:val="2"/>
          <w:numId w:val="36"/>
        </w:numPr>
        <w:tabs>
          <w:tab w:pos="1341" w:val="left" w:leader="none"/>
        </w:tabs>
        <w:spacing w:line="240" w:lineRule="auto" w:before="0" w:after="0"/>
        <w:ind w:left="1340" w:right="0" w:hanging="630"/>
        <w:jc w:val="left"/>
        <w:rPr>
          <w:b/>
          <w:sz w:val="28"/>
        </w:rPr>
      </w:pPr>
      <w:bookmarkStart w:name="4.1.2地形地貌" w:id="131"/>
      <w:bookmarkEnd w:id="131"/>
      <w:r>
        <w:rPr/>
      </w:r>
      <w:bookmarkStart w:name="4.1.2地形地貌" w:id="132"/>
      <w:bookmarkEnd w:id="132"/>
      <w:r>
        <w:rPr>
          <w:b/>
          <w:sz w:val="28"/>
        </w:rPr>
        <w:t>地形地貌</w:t>
      </w:r>
    </w:p>
    <w:p>
      <w:pPr>
        <w:pStyle w:val="BodyText"/>
        <w:spacing w:line="364" w:lineRule="auto" w:before="183"/>
        <w:ind w:left="711" w:right="1033" w:firstLine="480"/>
      </w:pPr>
      <w:r>
        <w:rPr/>
        <w:t>双鸭山市地处黑龙江省的东部，属低山丘陵区，其东北部为三江平原，南部为丘陵区。区域内水系较发育，主要有安邦河、七星河及其支流。安邦河向北注</w:t>
      </w:r>
      <w:r>
        <w:rPr>
          <w:spacing w:val="-11"/>
        </w:rPr>
        <w:t>入松花江，属松花江水系。丘陵区地势相对较高，地形起伏较大，山间沟谷发育； </w:t>
      </w:r>
      <w:r>
        <w:rPr/>
        <w:t>台地区，地势相对低平，地形呈垄岗状展布；河谷平原区沿安邦河谷分布，地势</w:t>
      </w:r>
    </w:p>
    <w:p>
      <w:pPr>
        <w:spacing w:after="0" w:line="364" w:lineRule="auto"/>
        <w:sectPr>
          <w:pgSz w:w="11910" w:h="16840"/>
          <w:pgMar w:header="0" w:footer="993" w:top="1380" w:bottom="1180" w:left="1040" w:right="600"/>
        </w:sectPr>
      </w:pPr>
    </w:p>
    <w:p>
      <w:pPr>
        <w:pStyle w:val="BodyText"/>
        <w:spacing w:before="43"/>
        <w:ind w:left="711"/>
      </w:pPr>
      <w:r>
        <w:rPr/>
        <w:t>低洼。</w:t>
      </w:r>
    </w:p>
    <w:p>
      <w:pPr>
        <w:pStyle w:val="BodyText"/>
        <w:spacing w:line="364" w:lineRule="auto" w:before="160"/>
        <w:ind w:left="711" w:right="1153" w:firstLine="480"/>
        <w:jc w:val="both"/>
      </w:pPr>
      <w:r>
        <w:rPr>
          <w:spacing w:val="-6"/>
        </w:rPr>
        <w:t>该矿区地处低山丘陵地区，地形东南高西北低，地面标高 </w:t>
      </w:r>
      <w:r>
        <w:rPr>
          <w:rFonts w:ascii="Times New Roman" w:eastAsia="Times New Roman"/>
        </w:rPr>
        <w:t>160</w:t>
      </w:r>
      <w:r>
        <w:rPr/>
        <w:t>～</w:t>
      </w:r>
      <w:r>
        <w:rPr>
          <w:rFonts w:ascii="Times New Roman" w:eastAsia="Times New Roman"/>
        </w:rPr>
        <w:t>240 m</w:t>
      </w:r>
      <w:r>
        <w:rPr>
          <w:spacing w:val="-14"/>
        </w:rPr>
        <w:t>。井区</w:t>
      </w:r>
      <w:r>
        <w:rPr>
          <w:spacing w:val="-1"/>
        </w:rPr>
        <w:t>地面有人工松林，无居民区、建筑物及地表水体。处于历年来最高洪水位标高以</w:t>
      </w:r>
      <w:r>
        <w:rPr/>
        <w:t>上（最高洪水位为</w:t>
      </w:r>
      <w:r>
        <w:rPr>
          <w:rFonts w:ascii="Times New Roman" w:eastAsia="Times New Roman"/>
        </w:rPr>
        <w:t>+139.33m</w:t>
      </w:r>
      <w:r>
        <w:rPr/>
        <w:t>）。</w:t>
      </w:r>
    </w:p>
    <w:p>
      <w:pPr>
        <w:pStyle w:val="Heading3"/>
        <w:numPr>
          <w:ilvl w:val="2"/>
          <w:numId w:val="36"/>
        </w:numPr>
        <w:tabs>
          <w:tab w:pos="1341" w:val="left" w:leader="none"/>
        </w:tabs>
        <w:spacing w:line="357" w:lineRule="exact" w:before="0" w:after="0"/>
        <w:ind w:left="1340" w:right="0" w:hanging="630"/>
        <w:jc w:val="left"/>
      </w:pPr>
      <w:bookmarkStart w:name="4.1.3气候气象" w:id="133"/>
      <w:bookmarkEnd w:id="133"/>
      <w:r>
        <w:rPr>
          <w:b w:val="0"/>
        </w:rPr>
      </w:r>
      <w:bookmarkStart w:name="4.1.3气候气象" w:id="134"/>
      <w:bookmarkEnd w:id="134"/>
      <w:r>
        <w:rPr/>
        <w:t>气候气象</w:t>
      </w:r>
    </w:p>
    <w:p>
      <w:pPr>
        <w:pStyle w:val="BodyText"/>
        <w:spacing w:line="364" w:lineRule="auto" w:before="185"/>
        <w:ind w:left="711" w:right="1153" w:firstLine="480"/>
        <w:jc w:val="both"/>
      </w:pPr>
      <w:r>
        <w:rPr/>
        <w:t>双鸭山市地处北半球中高纬度地区，属湿润寒温带大陆性季风气候，冬季漫长而寒冷，常受西伯利亚寒流影响，夏季短促而温暖，春秋两季气候多变，且昼夜温差较大，春季回暖快而多风、干旱，秋季时有暴雨霜冻。</w:t>
      </w:r>
    </w:p>
    <w:p>
      <w:pPr>
        <w:pStyle w:val="BodyText"/>
        <w:spacing w:line="364" w:lineRule="auto"/>
        <w:ind w:left="711" w:right="1024" w:firstLine="480"/>
      </w:pPr>
      <w:r>
        <w:rPr>
          <w:spacing w:val="-6"/>
        </w:rPr>
        <w:t>双鸭山市属中温带大陆季风气候。受极地大陆气团和季风的影响，四季分明， 冬季寒冷干燥，夏短温热多雨。由于季风交替，春秋两季短暂，气候变化急剧， </w:t>
      </w:r>
      <w:r>
        <w:rPr>
          <w:spacing w:val="-4"/>
        </w:rPr>
        <w:t>年温差较大。年平均气温 </w:t>
      </w:r>
      <w:r>
        <w:rPr>
          <w:rFonts w:ascii="Times New Roman" w:hAnsi="Times New Roman" w:eastAsia="Times New Roman"/>
        </w:rPr>
        <w:t>3.3</w:t>
      </w:r>
      <w:r>
        <w:rPr>
          <w:spacing w:val="-7"/>
        </w:rPr>
        <w:t>℃，最高气温为 </w:t>
      </w:r>
      <w:r>
        <w:rPr>
          <w:rFonts w:ascii="Times New Roman" w:hAnsi="Times New Roman" w:eastAsia="Times New Roman"/>
        </w:rPr>
        <w:t>35.4</w:t>
      </w:r>
      <w:r>
        <w:rPr/>
        <w:t>℃，最低气温为</w:t>
      </w:r>
      <w:r>
        <w:rPr>
          <w:rFonts w:ascii="Times New Roman" w:hAnsi="Times New Roman" w:eastAsia="Times New Roman"/>
        </w:rPr>
        <w:t>-35.6</w:t>
      </w:r>
      <w:r>
        <w:rPr/>
        <w:t>℃；极端</w:t>
      </w:r>
      <w:r>
        <w:rPr>
          <w:spacing w:val="-13"/>
        </w:rPr>
        <w:t>最高气温 </w:t>
      </w:r>
      <w:r>
        <w:rPr>
          <w:rFonts w:ascii="Times New Roman" w:hAnsi="Times New Roman" w:eastAsia="Times New Roman"/>
        </w:rPr>
        <w:t>38.5</w:t>
      </w:r>
      <w:r>
        <w:rPr>
          <w:spacing w:val="-11"/>
        </w:rPr>
        <w:t>℃，出现在 </w:t>
      </w:r>
      <w:r>
        <w:rPr>
          <w:rFonts w:ascii="Times New Roman" w:hAnsi="Times New Roman" w:eastAsia="Times New Roman"/>
        </w:rPr>
        <w:t>6</w:t>
      </w:r>
      <w:r>
        <w:rPr>
          <w:rFonts w:ascii="Times New Roman" w:hAnsi="Times New Roman" w:eastAsia="Times New Roman"/>
          <w:spacing w:val="-1"/>
        </w:rPr>
        <w:t> </w:t>
      </w:r>
      <w:r>
        <w:rPr>
          <w:spacing w:val="-2"/>
        </w:rPr>
        <w:t>月份；极端最低气温</w:t>
      </w:r>
      <w:r>
        <w:rPr>
          <w:rFonts w:ascii="Times New Roman" w:hAnsi="Times New Roman" w:eastAsia="Times New Roman"/>
        </w:rPr>
        <w:t>-37.1</w:t>
      </w:r>
      <w:r>
        <w:rPr>
          <w:spacing w:val="-11"/>
        </w:rPr>
        <w:t>℃，出现在 </w:t>
      </w:r>
      <w:r>
        <w:rPr>
          <w:rFonts w:ascii="Times New Roman" w:hAnsi="Times New Roman" w:eastAsia="Times New Roman"/>
        </w:rPr>
        <w:t>1</w:t>
      </w:r>
      <w:r>
        <w:rPr>
          <w:rFonts w:ascii="Times New Roman" w:hAnsi="Times New Roman" w:eastAsia="Times New Roman"/>
          <w:spacing w:val="-2"/>
        </w:rPr>
        <w:t> </w:t>
      </w:r>
      <w:r>
        <w:rPr>
          <w:spacing w:val="-2"/>
        </w:rPr>
        <w:t>月份。年平均</w:t>
      </w:r>
      <w:r>
        <w:rPr>
          <w:spacing w:val="-14"/>
        </w:rPr>
        <w:t>降雨量为 </w:t>
      </w:r>
      <w:r>
        <w:rPr>
          <w:rFonts w:ascii="Times New Roman" w:hAnsi="Times New Roman" w:eastAsia="Times New Roman"/>
        </w:rPr>
        <w:t>540m</w:t>
      </w:r>
      <w:r>
        <w:rPr>
          <w:rFonts w:ascii="Times New Roman" w:hAnsi="Times New Roman" w:eastAsia="Times New Roman"/>
          <w:spacing w:val="-2"/>
        </w:rPr>
        <w:t>m</w:t>
      </w:r>
      <w:r>
        <w:rPr>
          <w:spacing w:val="-24"/>
        </w:rPr>
        <w:t>，降雨期集中在 </w:t>
      </w:r>
      <w:r>
        <w:rPr>
          <w:rFonts w:ascii="Times New Roman" w:hAnsi="Times New Roman" w:eastAsia="Times New Roman"/>
        </w:rPr>
        <w:t>7</w:t>
      </w:r>
      <w:r>
        <w:rPr>
          <w:rFonts w:ascii="Times New Roman" w:hAnsi="Times New Roman" w:eastAsia="Times New Roman"/>
          <w:spacing w:val="1"/>
        </w:rPr>
        <w:t>-</w:t>
      </w:r>
      <w:r>
        <w:rPr>
          <w:rFonts w:ascii="Times New Roman" w:hAnsi="Times New Roman" w:eastAsia="Times New Roman"/>
        </w:rPr>
        <w:t>8</w:t>
      </w:r>
      <w:r>
        <w:rPr>
          <w:rFonts w:ascii="Times New Roman" w:hAnsi="Times New Roman" w:eastAsia="Times New Roman"/>
          <w:spacing w:val="-3"/>
        </w:rPr>
        <w:t> </w:t>
      </w:r>
      <w:r>
        <w:rPr>
          <w:spacing w:val="-20"/>
        </w:rPr>
        <w:t>月份；多年平均风速 </w:t>
      </w:r>
      <w:r>
        <w:rPr>
          <w:rFonts w:ascii="Times New Roman" w:hAnsi="Times New Roman" w:eastAsia="Times New Roman"/>
        </w:rPr>
        <w:t>4.3m/</w:t>
      </w:r>
      <w:r>
        <w:rPr>
          <w:rFonts w:ascii="Times New Roman" w:hAnsi="Times New Roman" w:eastAsia="Times New Roman"/>
          <w:spacing w:val="-3"/>
        </w:rPr>
        <w:t>s</w:t>
      </w:r>
      <w:r>
        <w:rPr>
          <w:spacing w:val="-20"/>
        </w:rPr>
        <w:t>，最大风速 </w:t>
      </w:r>
      <w:r>
        <w:rPr>
          <w:rFonts w:ascii="Times New Roman" w:hAnsi="Times New Roman" w:eastAsia="Times New Roman"/>
        </w:rPr>
        <w:t>34m/</w:t>
      </w:r>
      <w:r>
        <w:rPr>
          <w:rFonts w:ascii="Times New Roman" w:hAnsi="Times New Roman" w:eastAsia="Times New Roman"/>
          <w:spacing w:val="-3"/>
        </w:rPr>
        <w:t>s</w:t>
      </w:r>
      <w:r>
        <w:rPr/>
        <w:t>，</w:t>
      </w:r>
      <w:r>
        <w:rPr>
          <w:spacing w:val="-10"/>
        </w:rPr>
        <w:t>主导风向为 </w:t>
      </w:r>
      <w:r>
        <w:rPr>
          <w:rFonts w:ascii="Times New Roman" w:hAnsi="Times New Roman" w:eastAsia="Times New Roman"/>
          <w:spacing w:val="-6"/>
        </w:rPr>
        <w:t>SW</w:t>
      </w:r>
      <w:r>
        <w:rPr>
          <w:spacing w:val="-8"/>
        </w:rPr>
        <w:t>；多年平均降水量为 </w:t>
      </w:r>
      <w:r>
        <w:rPr>
          <w:rFonts w:ascii="Times New Roman" w:hAnsi="Times New Roman" w:eastAsia="Times New Roman"/>
          <w:spacing w:val="-3"/>
        </w:rPr>
        <w:t>523.4mm</w:t>
      </w:r>
      <w:r>
        <w:rPr>
          <w:spacing w:val="-10"/>
        </w:rPr>
        <w:t>，主要集中在 </w:t>
      </w:r>
      <w:r>
        <w:rPr>
          <w:rFonts w:ascii="Times New Roman" w:hAnsi="Times New Roman" w:eastAsia="Times New Roman"/>
        </w:rPr>
        <w:t>7</w:t>
      </w:r>
      <w:r>
        <w:rPr>
          <w:spacing w:val="-17"/>
        </w:rPr>
        <w:t>、</w:t>
      </w:r>
      <w:r>
        <w:rPr>
          <w:rFonts w:ascii="Times New Roman" w:hAnsi="Times New Roman" w:eastAsia="Times New Roman"/>
        </w:rPr>
        <w:t>8</w:t>
      </w:r>
      <w:r>
        <w:rPr>
          <w:rFonts w:ascii="Times New Roman" w:hAnsi="Times New Roman" w:eastAsia="Times New Roman"/>
          <w:spacing w:val="1"/>
        </w:rPr>
        <w:t> </w:t>
      </w:r>
      <w:r>
        <w:rPr>
          <w:spacing w:val="-5"/>
        </w:rPr>
        <w:t>月份，约占全年</w:t>
      </w:r>
      <w:r>
        <w:rPr>
          <w:spacing w:val="-33"/>
        </w:rPr>
        <w:t>的 </w:t>
      </w:r>
      <w:r>
        <w:rPr>
          <w:rFonts w:ascii="Times New Roman" w:hAnsi="Times New Roman" w:eastAsia="Times New Roman"/>
          <w:spacing w:val="-7"/>
        </w:rPr>
        <w:t>44%</w:t>
      </w:r>
      <w:r>
        <w:rPr>
          <w:spacing w:val="-10"/>
        </w:rPr>
        <w:t>，最大降水量为 </w:t>
      </w:r>
      <w:r>
        <w:rPr>
          <w:rFonts w:ascii="Times New Roman" w:hAnsi="Times New Roman" w:eastAsia="Times New Roman"/>
          <w:spacing w:val="-5"/>
        </w:rPr>
        <w:t>873mm</w:t>
      </w:r>
      <w:r>
        <w:rPr>
          <w:spacing w:val="-14"/>
        </w:rPr>
        <w:t>，最小为 </w:t>
      </w:r>
      <w:r>
        <w:rPr>
          <w:rFonts w:ascii="Times New Roman" w:hAnsi="Times New Roman" w:eastAsia="Times New Roman"/>
        </w:rPr>
        <w:t>336mm</w:t>
      </w:r>
      <w:r>
        <w:rPr>
          <w:spacing w:val="-13"/>
        </w:rPr>
        <w:t>。年平均日照在 </w:t>
      </w:r>
      <w:r>
        <w:rPr>
          <w:rFonts w:ascii="Times New Roman" w:hAnsi="Times New Roman" w:eastAsia="Times New Roman"/>
          <w:spacing w:val="-5"/>
        </w:rPr>
        <w:t>2500h</w:t>
      </w:r>
      <w:r>
        <w:rPr>
          <w:spacing w:val="-2"/>
        </w:rPr>
        <w:t>，无霜期平</w:t>
      </w:r>
      <w:r>
        <w:rPr>
          <w:spacing w:val="-28"/>
        </w:rPr>
        <w:t>均 </w:t>
      </w:r>
      <w:r>
        <w:rPr>
          <w:rFonts w:ascii="Times New Roman" w:hAnsi="Times New Roman" w:eastAsia="Times New Roman"/>
        </w:rPr>
        <w:t>147d</w:t>
      </w:r>
      <w:r>
        <w:rPr>
          <w:spacing w:val="3"/>
        </w:rPr>
        <w:t>，最大冻深 </w:t>
      </w:r>
      <w:r>
        <w:rPr>
          <w:rFonts w:ascii="Times New Roman" w:hAnsi="Times New Roman" w:eastAsia="Times New Roman"/>
        </w:rPr>
        <w:t>228cm</w:t>
      </w:r>
      <w:r>
        <w:rPr>
          <w:spacing w:val="-8"/>
        </w:rPr>
        <w:t>。年积温 </w:t>
      </w:r>
      <w:r>
        <w:rPr>
          <w:rFonts w:ascii="Times New Roman" w:hAnsi="Times New Roman" w:eastAsia="Times New Roman"/>
        </w:rPr>
        <w:t>2718</w:t>
      </w:r>
      <w:r>
        <w:rPr>
          <w:spacing w:val="-8"/>
        </w:rPr>
        <w:t>℃，年日照约 </w:t>
      </w:r>
      <w:r>
        <w:rPr>
          <w:rFonts w:ascii="Times New Roman" w:hAnsi="Times New Roman" w:eastAsia="Times New Roman"/>
        </w:rPr>
        <w:t>2617h</w:t>
      </w:r>
      <w:r>
        <w:rPr>
          <w:spacing w:val="3"/>
        </w:rPr>
        <w:t>。最大冻土深度为</w:t>
      </w:r>
      <w:r>
        <w:rPr>
          <w:rFonts w:ascii="Times New Roman" w:hAnsi="Times New Roman" w:eastAsia="Times New Roman"/>
          <w:spacing w:val="3"/>
        </w:rPr>
        <w:t>2m</w:t>
      </w:r>
      <w:r>
        <w:rPr>
          <w:rFonts w:ascii="Times New Roman" w:hAnsi="Times New Roman" w:eastAsia="Times New Roman"/>
          <w:spacing w:val="55"/>
        </w:rPr>
        <w:t> </w:t>
      </w:r>
      <w:r>
        <w:rPr>
          <w:spacing w:val="-10"/>
        </w:rPr>
        <w:t>左右。多年平均蒸发量 </w:t>
      </w:r>
      <w:r>
        <w:rPr>
          <w:rFonts w:ascii="Times New Roman" w:hAnsi="Times New Roman" w:eastAsia="Times New Roman"/>
        </w:rPr>
        <w:t>1290mm</w:t>
      </w:r>
      <w:r>
        <w:rPr/>
        <w:t>（</w:t>
      </w:r>
      <w:r>
        <w:rPr>
          <w:rFonts w:ascii="Times New Roman" w:hAnsi="Times New Roman" w:eastAsia="Times New Roman"/>
        </w:rPr>
        <w:t>20cm  </w:t>
      </w:r>
      <w:r>
        <w:rPr/>
        <w:t>蒸发皿</w:t>
      </w:r>
      <w:r>
        <w:rPr>
          <w:spacing w:val="-15"/>
        </w:rPr>
        <w:t>）</w:t>
      </w:r>
      <w:r>
        <w:rPr>
          <w:spacing w:val="-4"/>
        </w:rPr>
        <w:t>。日照平均时数 </w:t>
      </w:r>
      <w:r>
        <w:rPr>
          <w:rFonts w:ascii="Times New Roman" w:hAnsi="Times New Roman" w:eastAsia="Times New Roman"/>
          <w:spacing w:val="-3"/>
        </w:rPr>
        <w:t>2605h</w:t>
      </w:r>
      <w:r>
        <w:rPr>
          <w:spacing w:val="-2"/>
        </w:rPr>
        <w:t>，年</w:t>
      </w:r>
      <w:r>
        <w:rPr>
          <w:spacing w:val="-15"/>
        </w:rPr>
        <w:t>平均气压 </w:t>
      </w:r>
      <w:r>
        <w:rPr>
          <w:rFonts w:ascii="Times New Roman" w:hAnsi="Times New Roman" w:eastAsia="Times New Roman"/>
        </w:rPr>
        <w:t>1001.9Pa</w:t>
      </w:r>
      <w:r>
        <w:rPr>
          <w:spacing w:val="-10"/>
        </w:rPr>
        <w:t>，冬季高，夏季低，无霜期 </w:t>
      </w:r>
      <w:r>
        <w:rPr>
          <w:rFonts w:ascii="Times New Roman" w:hAnsi="Times New Roman" w:eastAsia="Times New Roman"/>
        </w:rPr>
        <w:t>147d</w:t>
      </w:r>
      <w:r>
        <w:rPr>
          <w:spacing w:val="-4"/>
        </w:rPr>
        <w:t>。双鸭山市各季风向玫瑰图情</w:t>
      </w:r>
      <w:r>
        <w:rPr>
          <w:spacing w:val="-18"/>
        </w:rPr>
        <w:t>况见图 </w:t>
      </w:r>
      <w:r>
        <w:rPr>
          <w:rFonts w:ascii="Times New Roman" w:hAnsi="Times New Roman" w:eastAsia="Times New Roman"/>
        </w:rPr>
        <w:t>4.1-2</w:t>
      </w:r>
      <w:r>
        <w:rPr/>
        <w:t>。</w:t>
      </w:r>
    </w:p>
    <w:p>
      <w:pPr>
        <w:pStyle w:val="BodyText"/>
        <w:spacing w:line="364" w:lineRule="auto"/>
        <w:ind w:left="711" w:right="1033" w:firstLine="480"/>
        <w:jc w:val="both"/>
      </w:pPr>
      <w:r>
        <w:rPr>
          <w:spacing w:val="-6"/>
        </w:rPr>
        <w:t>矿井处在寒温带，属大陆性气候，冬夏温差大，冬季最低温度</w:t>
      </w:r>
      <w:r>
        <w:rPr>
          <w:rFonts w:ascii="Times New Roman" w:hAnsi="Times New Roman" w:eastAsia="Times New Roman"/>
          <w:spacing w:val="-5"/>
        </w:rPr>
        <w:t>-37</w:t>
      </w:r>
      <w:r>
        <w:rPr>
          <w:spacing w:val="-3"/>
        </w:rPr>
        <w:t>℃，夏季最</w:t>
      </w:r>
      <w:r>
        <w:rPr>
          <w:spacing w:val="-18"/>
        </w:rPr>
        <w:t>高温度 </w:t>
      </w:r>
      <w:r>
        <w:rPr>
          <w:rFonts w:ascii="Times New Roman" w:hAnsi="Times New Roman" w:eastAsia="Times New Roman"/>
        </w:rPr>
        <w:t>37</w:t>
      </w:r>
      <w:r>
        <w:rPr>
          <w:spacing w:val="-8"/>
        </w:rPr>
        <w:t>℃，年平均温度 </w:t>
      </w:r>
      <w:r>
        <w:rPr>
          <w:rFonts w:ascii="Times New Roman" w:hAnsi="Times New Roman" w:eastAsia="Times New Roman"/>
        </w:rPr>
        <w:t>5</w:t>
      </w:r>
      <w:r>
        <w:rPr>
          <w:spacing w:val="-10"/>
        </w:rPr>
        <w:t>℃，无霜期 </w:t>
      </w:r>
      <w:r>
        <w:rPr>
          <w:rFonts w:ascii="Times New Roman" w:hAnsi="Times New Roman" w:eastAsia="Times New Roman"/>
        </w:rPr>
        <w:t>100</w:t>
      </w:r>
      <w:r>
        <w:rPr/>
        <w:t>～</w:t>
      </w:r>
      <w:r>
        <w:rPr>
          <w:rFonts w:ascii="Times New Roman" w:hAnsi="Times New Roman" w:eastAsia="Times New Roman"/>
        </w:rPr>
        <w:t>120 d</w:t>
      </w:r>
      <w:r>
        <w:rPr>
          <w:spacing w:val="-15"/>
        </w:rPr>
        <w:t>，每年 </w:t>
      </w:r>
      <w:r>
        <w:rPr>
          <w:rFonts w:ascii="Times New Roman" w:hAnsi="Times New Roman" w:eastAsia="Times New Roman"/>
        </w:rPr>
        <w:t>7</w:t>
      </w:r>
      <w:r>
        <w:rPr/>
        <w:t>、</w:t>
      </w:r>
      <w:r>
        <w:rPr>
          <w:rFonts w:ascii="Times New Roman" w:hAnsi="Times New Roman" w:eastAsia="Times New Roman"/>
        </w:rPr>
        <w:t>8</w:t>
      </w:r>
      <w:r>
        <w:rPr/>
        <w:t>、</w:t>
      </w:r>
      <w:r>
        <w:rPr>
          <w:rFonts w:ascii="Times New Roman" w:hAnsi="Times New Roman" w:eastAsia="Times New Roman"/>
        </w:rPr>
        <w:t>9 </w:t>
      </w:r>
      <w:r>
        <w:rPr/>
        <w:t>月是雨季，年</w:t>
      </w:r>
      <w:r>
        <w:rPr>
          <w:spacing w:val="-8"/>
        </w:rPr>
        <w:t>降水量平均在 </w:t>
      </w:r>
      <w:r>
        <w:rPr>
          <w:rFonts w:ascii="Times New Roman" w:hAnsi="Times New Roman" w:eastAsia="Times New Roman"/>
        </w:rPr>
        <w:t>550 mm</w:t>
      </w:r>
      <w:r>
        <w:rPr>
          <w:spacing w:val="-8"/>
        </w:rPr>
        <w:t>，最大年份达 </w:t>
      </w:r>
      <w:r>
        <w:rPr>
          <w:rFonts w:ascii="Times New Roman" w:hAnsi="Times New Roman" w:eastAsia="Times New Roman"/>
        </w:rPr>
        <w:t>750 mm</w:t>
      </w:r>
      <w:r>
        <w:rPr>
          <w:spacing w:val="-11"/>
        </w:rPr>
        <w:t>。每年的 </w:t>
      </w:r>
      <w:r>
        <w:rPr>
          <w:rFonts w:ascii="Times New Roman" w:hAnsi="Times New Roman" w:eastAsia="Times New Roman"/>
        </w:rPr>
        <w:t>10 </w:t>
      </w:r>
      <w:r>
        <w:rPr/>
        <w:t>月中、下旬开始封冻到</w:t>
      </w:r>
      <w:r>
        <w:rPr>
          <w:spacing w:val="-15"/>
        </w:rPr>
        <w:t>翌年的 </w:t>
      </w:r>
      <w:r>
        <w:rPr>
          <w:rFonts w:ascii="Times New Roman" w:hAnsi="Times New Roman" w:eastAsia="Times New Roman"/>
        </w:rPr>
        <w:t>4 </w:t>
      </w:r>
      <w:r>
        <w:rPr>
          <w:spacing w:val="-14"/>
        </w:rPr>
        <w:t>月中、下旬解冻，冻土层最大深度 </w:t>
      </w:r>
      <w:r>
        <w:rPr>
          <w:rFonts w:ascii="Times New Roman" w:hAnsi="Times New Roman" w:eastAsia="Times New Roman"/>
        </w:rPr>
        <w:t>2.0 </w:t>
      </w:r>
      <w:r>
        <w:rPr>
          <w:rFonts w:ascii="Times New Roman" w:hAnsi="Times New Roman" w:eastAsia="Times New Roman"/>
          <w:spacing w:val="-25"/>
        </w:rPr>
        <w:t>m</w:t>
      </w:r>
      <w:r>
        <w:rPr>
          <w:spacing w:val="-18"/>
        </w:rPr>
        <w:t>，一般在 </w:t>
      </w:r>
      <w:r>
        <w:rPr>
          <w:rFonts w:ascii="Times New Roman" w:hAnsi="Times New Roman" w:eastAsia="Times New Roman"/>
        </w:rPr>
        <w:t>1.6</w:t>
      </w:r>
      <w:r>
        <w:rPr/>
        <w:t>～</w:t>
      </w:r>
      <w:r>
        <w:rPr>
          <w:rFonts w:ascii="Times New Roman" w:hAnsi="Times New Roman" w:eastAsia="Times New Roman"/>
        </w:rPr>
        <w:t>1.8 </w:t>
      </w:r>
      <w:r>
        <w:rPr>
          <w:rFonts w:ascii="Times New Roman" w:hAnsi="Times New Roman" w:eastAsia="Times New Roman"/>
          <w:spacing w:val="-24"/>
        </w:rPr>
        <w:t>m</w:t>
      </w:r>
      <w:r>
        <w:rPr>
          <w:spacing w:val="-8"/>
        </w:rPr>
        <w:t>，无永冻层。</w:t>
      </w:r>
    </w:p>
    <w:p>
      <w:pPr>
        <w:pStyle w:val="BodyText"/>
        <w:spacing w:line="362" w:lineRule="auto"/>
        <w:ind w:left="711" w:right="1153" w:firstLine="480"/>
        <w:jc w:val="both"/>
      </w:pPr>
      <w:r>
        <w:rPr>
          <w:spacing w:val="-15"/>
        </w:rPr>
        <w:t>每年的 </w:t>
      </w:r>
      <w:r>
        <w:rPr>
          <w:rFonts w:ascii="Times New Roman" w:hAnsi="Times New Roman" w:eastAsia="Times New Roman"/>
        </w:rPr>
        <w:t>4</w:t>
      </w:r>
      <w:r>
        <w:rPr/>
        <w:t>～</w:t>
      </w:r>
      <w:r>
        <w:rPr>
          <w:rFonts w:ascii="Times New Roman" w:hAnsi="Times New Roman" w:eastAsia="Times New Roman"/>
        </w:rPr>
        <w:t>10 </w:t>
      </w:r>
      <w:r>
        <w:rPr/>
        <w:t>月期间以东</w:t>
      </w:r>
      <w:r>
        <w:rPr>
          <w:rFonts w:ascii="Times New Roman" w:hAnsi="Times New Roman" w:eastAsia="Times New Roman"/>
        </w:rPr>
        <w:t>—</w:t>
      </w:r>
      <w:r>
        <w:rPr>
          <w:spacing w:val="-13"/>
        </w:rPr>
        <w:t>东南风为主，风力一般在 </w:t>
      </w:r>
      <w:r>
        <w:rPr>
          <w:rFonts w:ascii="Times New Roman" w:hAnsi="Times New Roman" w:eastAsia="Times New Roman"/>
        </w:rPr>
        <w:t>1—2 </w:t>
      </w:r>
      <w:r>
        <w:rPr>
          <w:spacing w:val="-20"/>
        </w:rPr>
        <w:t>级，有时有 </w:t>
      </w:r>
      <w:r>
        <w:rPr>
          <w:rFonts w:ascii="Times New Roman" w:hAnsi="Times New Roman" w:eastAsia="Times New Roman"/>
        </w:rPr>
        <w:t>5 </w:t>
      </w:r>
      <w:r>
        <w:rPr>
          <w:spacing w:val="-9"/>
        </w:rPr>
        <w:t>级大</w:t>
      </w:r>
      <w:r>
        <w:rPr/>
        <w:t>风天。冬季以西</w:t>
      </w:r>
      <w:r>
        <w:rPr>
          <w:rFonts w:ascii="Times New Roman" w:hAnsi="Times New Roman" w:eastAsia="Times New Roman"/>
        </w:rPr>
        <w:t>—</w:t>
      </w:r>
      <w:r>
        <w:rPr>
          <w:spacing w:val="-5"/>
        </w:rPr>
        <w:t>西北风 为主，风力一般在 </w:t>
      </w:r>
      <w:r>
        <w:rPr>
          <w:rFonts w:ascii="Times New Roman" w:hAnsi="Times New Roman" w:eastAsia="Times New Roman"/>
        </w:rPr>
        <w:t>2 </w:t>
      </w:r>
      <w:r>
        <w:rPr/>
        <w:t>级左右，时有暴风雪天气。</w:t>
      </w:r>
    </w:p>
    <w:p>
      <w:pPr>
        <w:spacing w:after="0" w:line="362" w:lineRule="auto"/>
        <w:jc w:val="both"/>
        <w:sectPr>
          <w:pgSz w:w="11910" w:h="16840"/>
          <w:pgMar w:header="0" w:footer="993" w:top="1380" w:bottom="1180" w:left="1040" w:right="600"/>
        </w:sectPr>
      </w:pPr>
    </w:p>
    <w:p>
      <w:pPr>
        <w:pStyle w:val="BodyText"/>
        <w:ind w:left="712"/>
        <w:rPr>
          <w:sz w:val="20"/>
        </w:rPr>
      </w:pPr>
      <w:r>
        <w:rPr>
          <w:sz w:val="20"/>
        </w:rPr>
        <w:drawing>
          <wp:inline distT="0" distB="0" distL="0" distR="0">
            <wp:extent cx="5301824" cy="3593782"/>
            <wp:effectExtent l="0" t="0" r="0" b="0"/>
            <wp:docPr id="29" name="image18.jpeg"/>
            <wp:cNvGraphicFramePr>
              <a:graphicFrameLocks noChangeAspect="1"/>
            </wp:cNvGraphicFramePr>
            <a:graphic>
              <a:graphicData uri="http://schemas.openxmlformats.org/drawingml/2006/picture">
                <pic:pic>
                  <pic:nvPicPr>
                    <pic:cNvPr id="30" name="image18.jpeg"/>
                    <pic:cNvPicPr/>
                  </pic:nvPicPr>
                  <pic:blipFill>
                    <a:blip r:embed="rId33" cstate="print"/>
                    <a:stretch>
                      <a:fillRect/>
                    </a:stretch>
                  </pic:blipFill>
                  <pic:spPr>
                    <a:xfrm>
                      <a:off x="0" y="0"/>
                      <a:ext cx="5301824" cy="3593782"/>
                    </a:xfrm>
                    <a:prstGeom prst="rect">
                      <a:avLst/>
                    </a:prstGeom>
                  </pic:spPr>
                </pic:pic>
              </a:graphicData>
            </a:graphic>
          </wp:inline>
        </w:drawing>
      </w:r>
      <w:r>
        <w:rPr>
          <w:sz w:val="20"/>
        </w:rPr>
      </w:r>
    </w:p>
    <w:p>
      <w:pPr>
        <w:pStyle w:val="BodyText"/>
        <w:spacing w:before="5"/>
        <w:rPr>
          <w:sz w:val="5"/>
        </w:rPr>
      </w:pPr>
    </w:p>
    <w:p>
      <w:pPr>
        <w:spacing w:after="0"/>
        <w:rPr>
          <w:sz w:val="5"/>
        </w:rPr>
        <w:sectPr>
          <w:pgSz w:w="11910" w:h="16840"/>
          <w:pgMar w:header="0" w:footer="993" w:top="1420" w:bottom="1180" w:left="1040" w:right="600"/>
        </w:sectPr>
      </w:pPr>
    </w:p>
    <w:p>
      <w:pPr>
        <w:pStyle w:val="BodyText"/>
        <w:spacing w:before="4"/>
        <w:rPr>
          <w:sz w:val="29"/>
        </w:rPr>
      </w:pPr>
    </w:p>
    <w:p>
      <w:pPr>
        <w:pStyle w:val="Heading3"/>
        <w:numPr>
          <w:ilvl w:val="2"/>
          <w:numId w:val="36"/>
        </w:numPr>
        <w:tabs>
          <w:tab w:pos="1341" w:val="left" w:leader="none"/>
        </w:tabs>
        <w:spacing w:line="240" w:lineRule="auto" w:before="0" w:after="0"/>
        <w:ind w:left="1340" w:right="0" w:hanging="630"/>
        <w:jc w:val="left"/>
      </w:pPr>
      <w:bookmarkStart w:name="4.1.4水文地质" w:id="135"/>
      <w:bookmarkEnd w:id="135"/>
      <w:r>
        <w:rPr>
          <w:b w:val="0"/>
        </w:rPr>
      </w:r>
      <w:bookmarkStart w:name="4.1.4水文地质" w:id="136"/>
      <w:bookmarkEnd w:id="136"/>
      <w:r>
        <w:rPr>
          <w:spacing w:val="-4"/>
        </w:rPr>
        <w:t>水文地质</w:t>
      </w:r>
    </w:p>
    <w:p>
      <w:pPr>
        <w:pStyle w:val="Heading4"/>
        <w:spacing w:before="63"/>
        <w:ind w:left="418"/>
      </w:pPr>
      <w:r>
        <w:rPr>
          <w:b w:val="0"/>
        </w:rPr>
        <w:br w:type="column"/>
      </w:r>
      <w:r>
        <w:rPr/>
        <w:t>图 </w:t>
      </w:r>
      <w:r>
        <w:rPr>
          <w:rFonts w:ascii="Times New Roman" w:eastAsia="Times New Roman"/>
        </w:rPr>
        <w:t>4.1-2 </w:t>
      </w:r>
      <w:r>
        <w:rPr/>
        <w:t>双鸭山市各季风向玫瑰图情况</w:t>
      </w:r>
    </w:p>
    <w:p>
      <w:pPr>
        <w:spacing w:after="0"/>
        <w:sectPr>
          <w:type w:val="continuous"/>
          <w:pgSz w:w="11910" w:h="16840"/>
          <w:pgMar w:top="1580" w:bottom="280" w:left="1040" w:right="600"/>
          <w:cols w:num="2" w:equalWidth="0">
            <w:col w:w="2465" w:space="40"/>
            <w:col w:w="7765"/>
          </w:cols>
        </w:sectPr>
      </w:pPr>
    </w:p>
    <w:p>
      <w:pPr>
        <w:pStyle w:val="BodyText"/>
        <w:spacing w:before="4"/>
        <w:rPr>
          <w:b/>
          <w:sz w:val="9"/>
        </w:rPr>
      </w:pPr>
    </w:p>
    <w:p>
      <w:pPr>
        <w:pStyle w:val="BodyText"/>
        <w:spacing w:line="364" w:lineRule="auto" w:before="66"/>
        <w:ind w:left="711" w:right="1029" w:firstLine="480"/>
      </w:pPr>
      <w:r>
        <w:rPr>
          <w:spacing w:val="-8"/>
        </w:rPr>
        <w:t>双鸭山煤田属低山丘陵地带，地形切割较为剧烈，起伏较大，中间低两侧高， </w:t>
      </w:r>
      <w:r>
        <w:rPr/>
        <w:t>整个煤田内地表水系较为发育。地表水绝大部分排泄到煤田之外，有少量渗入第四系松散岩层中及煤系地层中。</w:t>
      </w:r>
    </w:p>
    <w:p>
      <w:pPr>
        <w:pStyle w:val="BodyText"/>
        <w:spacing w:line="307" w:lineRule="exact"/>
        <w:ind w:left="1191"/>
      </w:pPr>
      <w:r>
        <w:rPr>
          <w:rFonts w:ascii="Times New Roman" w:eastAsia="Times New Roman"/>
        </w:rPr>
        <w:t>1</w:t>
      </w:r>
      <w:r>
        <w:rPr/>
        <w:t>、地表水</w:t>
      </w:r>
    </w:p>
    <w:p>
      <w:pPr>
        <w:pStyle w:val="BodyText"/>
        <w:spacing w:line="364" w:lineRule="auto" w:before="158"/>
        <w:ind w:left="711" w:right="1153" w:firstLine="475"/>
        <w:jc w:val="both"/>
      </w:pPr>
      <w:r>
        <w:rPr/>
        <w:t>双鸭山市境内有大小河流百条，大都属于老龄期河道，河床窄小，无自然湖泊，主要河流有安邦河、二道河、小黄河、（外）七星河、挠力河。安邦河属松花江水系，由南向北注入松花江；二道河、小黄河、七星河、挠力河属于乌苏里江水系，由西向东流入乌苏里江。</w:t>
      </w:r>
    </w:p>
    <w:p>
      <w:pPr>
        <w:pStyle w:val="BodyText"/>
        <w:spacing w:line="364" w:lineRule="auto"/>
        <w:ind w:left="711" w:right="1093" w:firstLine="475"/>
        <w:jc w:val="both"/>
      </w:pPr>
      <w:r>
        <w:rPr/>
        <w:t>安邦河是松花江下游右岸一级支流，属季节性河流。发源于完达山余脉，七星砬子东分水岭北麓，自南向北流经双鸭山市、集贤县福利镇至桦川县境内，由</w:t>
      </w:r>
      <w:r>
        <w:rPr>
          <w:spacing w:val="-4"/>
        </w:rPr>
        <w:t>桦川县新河宫汇入松花江。干流全长 </w:t>
      </w:r>
      <w:r>
        <w:rPr>
          <w:rFonts w:ascii="Times New Roman" w:eastAsia="Times New Roman"/>
        </w:rPr>
        <w:t>167km</w:t>
      </w:r>
      <w:r>
        <w:rPr>
          <w:spacing w:val="-1"/>
        </w:rPr>
        <w:t>，主要支流有马蹄河、柳树河、小安</w:t>
      </w:r>
      <w:r>
        <w:rPr>
          <w:spacing w:val="-9"/>
        </w:rPr>
        <w:t>邦河、哈达密河 </w:t>
      </w:r>
      <w:r>
        <w:rPr>
          <w:rFonts w:ascii="Times New Roman" w:eastAsia="Times New Roman"/>
        </w:rPr>
        <w:t>4 </w:t>
      </w:r>
      <w:r>
        <w:rPr/>
        <w:t>条。安邦河干流福利镇以上为山丘区河流，属完达山北麓之低山丘陵区，大部分为森林植被；在福利镇以下进入平原区，主要是山前平原及松花江滩地，大部分被开垦为耕地，地势平缓，自然河道衰老，河道窄浅，无明显河槽，形成无尾河，汛期常洪水泛滥。</w:t>
      </w:r>
      <w:r>
        <w:rPr>
          <w:rFonts w:ascii="Times New Roman" w:eastAsia="Times New Roman"/>
        </w:rPr>
        <w:t>80 </w:t>
      </w:r>
      <w:r>
        <w:rPr>
          <w:spacing w:val="-2"/>
        </w:rPr>
        <w:t>年代后进行了大规模整治，开挖新河，</w:t>
      </w:r>
    </w:p>
    <w:p>
      <w:pPr>
        <w:spacing w:after="0" w:line="364" w:lineRule="auto"/>
        <w:jc w:val="both"/>
        <w:sectPr>
          <w:type w:val="continuous"/>
          <w:pgSz w:w="11910" w:h="16840"/>
          <w:pgMar w:top="1580" w:bottom="280" w:left="1040" w:right="600"/>
        </w:sectPr>
      </w:pPr>
    </w:p>
    <w:p>
      <w:pPr>
        <w:pStyle w:val="BodyText"/>
        <w:spacing w:line="364" w:lineRule="auto" w:before="63"/>
        <w:ind w:left="711" w:right="1147"/>
        <w:jc w:val="both"/>
      </w:pPr>
      <w:r>
        <w:rPr>
          <w:spacing w:val="-2"/>
        </w:rPr>
        <w:t>就近流入松花江，两岸筑堤，成为灌溉河流。安邦河流域总面积原为 </w:t>
      </w:r>
      <w:r>
        <w:rPr>
          <w:rFonts w:ascii="Times New Roman" w:eastAsia="Times New Roman"/>
        </w:rPr>
        <w:t>2755km</w:t>
      </w:r>
      <w:r>
        <w:rPr>
          <w:rFonts w:ascii="Times New Roman" w:eastAsia="Times New Roman"/>
          <w:position w:val="8"/>
          <w:sz w:val="15"/>
        </w:rPr>
        <w:t>2</w:t>
      </w:r>
      <w:r>
        <w:rPr/>
        <w:t>， </w:t>
      </w:r>
      <w:r>
        <w:rPr>
          <w:spacing w:val="-6"/>
        </w:rPr>
        <w:t>经治理后集水面积变为 </w:t>
      </w:r>
      <w:r>
        <w:rPr>
          <w:rFonts w:ascii="Times New Roman" w:eastAsia="Times New Roman"/>
          <w:spacing w:val="-8"/>
        </w:rPr>
        <w:t>1679km</w:t>
      </w:r>
      <w:r>
        <w:rPr>
          <w:rFonts w:ascii="Times New Roman" w:eastAsia="Times New Roman"/>
          <w:spacing w:val="-8"/>
          <w:position w:val="8"/>
          <w:sz w:val="15"/>
        </w:rPr>
        <w:t>2</w:t>
      </w:r>
      <w:r>
        <w:rPr>
          <w:spacing w:val="-7"/>
        </w:rPr>
        <w:t>，福利屯水文站以上山丘集水面积 </w:t>
      </w:r>
      <w:r>
        <w:rPr>
          <w:rFonts w:ascii="Times New Roman" w:eastAsia="Times New Roman"/>
        </w:rPr>
        <w:t>547kmkm</w:t>
      </w:r>
      <w:r>
        <w:rPr>
          <w:rFonts w:ascii="Times New Roman" w:eastAsia="Times New Roman"/>
          <w:position w:val="8"/>
          <w:sz w:val="15"/>
        </w:rPr>
        <w:t>2</w:t>
      </w:r>
      <w:r>
        <w:rPr>
          <w:spacing w:val="-35"/>
        </w:rPr>
        <w:t>。安</w:t>
      </w:r>
      <w:r>
        <w:rPr>
          <w:spacing w:val="-1"/>
        </w:rPr>
        <w:t>邦河干流中上游段经由定国山水库、双鸭山岭东区、尖山区过滚兔岭进入集贤县</w:t>
      </w:r>
      <w:r>
        <w:rPr>
          <w:spacing w:val="-4"/>
        </w:rPr>
        <w:t>境内的福利镇，主河道长约 </w:t>
      </w:r>
      <w:r>
        <w:rPr>
          <w:rFonts w:ascii="Times New Roman" w:eastAsia="Times New Roman"/>
        </w:rPr>
        <w:t>20km</w:t>
      </w:r>
      <w:r>
        <w:rPr>
          <w:spacing w:val="-4"/>
        </w:rPr>
        <w:t>，双鸭山市以上控制面积为 </w:t>
      </w:r>
      <w:r>
        <w:rPr>
          <w:rFonts w:ascii="Times New Roman" w:eastAsia="Times New Roman"/>
        </w:rPr>
        <w:t>455km</w:t>
      </w:r>
      <w:r>
        <w:rPr>
          <w:rFonts w:ascii="Times New Roman" w:eastAsia="Times New Roman"/>
          <w:position w:val="8"/>
          <w:sz w:val="15"/>
        </w:rPr>
        <w:t>2</w:t>
      </w:r>
      <w:r>
        <w:rPr/>
        <w:t>。项目区地</w:t>
      </w:r>
      <w:r>
        <w:rPr>
          <w:spacing w:val="-8"/>
        </w:rPr>
        <w:t>表水系分布见图 </w:t>
      </w:r>
      <w:r>
        <w:rPr>
          <w:rFonts w:ascii="Times New Roman" w:eastAsia="Times New Roman"/>
        </w:rPr>
        <w:t>4.1-4</w:t>
      </w:r>
      <w:r>
        <w:rPr/>
        <w:t>。</w:t>
      </w:r>
    </w:p>
    <w:p>
      <w:pPr>
        <w:pStyle w:val="BodyText"/>
        <w:spacing w:before="77"/>
        <w:ind w:left="1191"/>
      </w:pPr>
      <w:r>
        <w:rPr>
          <w:rFonts w:ascii="Times New Roman" w:eastAsia="Times New Roman"/>
        </w:rPr>
        <w:t>2</w:t>
      </w:r>
      <w:r>
        <w:rPr/>
        <w:t>、地下水</w:t>
      </w:r>
    </w:p>
    <w:p>
      <w:pPr>
        <w:pStyle w:val="BodyText"/>
        <w:spacing w:line="364" w:lineRule="auto" w:before="161"/>
        <w:ind w:left="711" w:right="966" w:firstLine="480"/>
      </w:pPr>
      <w:r>
        <w:rPr/>
        <w:t>①、第四系孔隙水：主要分布在河床两侧，宽度一般在 </w:t>
      </w:r>
      <w:r>
        <w:rPr>
          <w:rFonts w:ascii="Times New Roman" w:hAnsi="Times New Roman" w:eastAsia="Times New Roman"/>
        </w:rPr>
        <w:t>1500</w:t>
      </w:r>
      <w:r>
        <w:rPr/>
        <w:t>～</w:t>
      </w:r>
      <w:r>
        <w:rPr>
          <w:rFonts w:ascii="Times New Roman" w:hAnsi="Times New Roman" w:eastAsia="Times New Roman"/>
        </w:rPr>
        <w:t>2000 </w:t>
      </w:r>
      <w:r>
        <w:rPr/>
        <w:t>米之间， 含水丰富。</w:t>
      </w:r>
    </w:p>
    <w:p>
      <w:pPr>
        <w:pStyle w:val="BodyText"/>
        <w:spacing w:line="364" w:lineRule="auto" w:before="1"/>
        <w:ind w:left="711" w:right="1086" w:firstLine="480"/>
      </w:pPr>
      <w:r>
        <w:rPr/>
        <w:t>②、基岩风化裂隙水：基岩风化裂隙含水带一般在第四系地层之下至 </w:t>
      </w:r>
      <w:r>
        <w:rPr>
          <w:rFonts w:ascii="Times New Roman" w:hAnsi="Times New Roman" w:eastAsia="Times New Roman"/>
        </w:rPr>
        <w:t>100 </w:t>
      </w:r>
      <w:r>
        <w:rPr/>
        <w:t>米之间，风化裂隙较发育，含水丰富，是双鸭山地区主要含水层段。</w:t>
      </w:r>
    </w:p>
    <w:p>
      <w:pPr>
        <w:pStyle w:val="BodyText"/>
        <w:spacing w:line="229" w:lineRule="exact"/>
        <w:ind w:left="1187"/>
      </w:pPr>
      <w:r>
        <w:rPr/>
        <w:t>③、基岩孔隙裂隙水：在风化裂隙带含水层之下，主要砂岩层之内孔隙及构</w:t>
      </w:r>
    </w:p>
    <w:p>
      <w:pPr>
        <w:pStyle w:val="BodyText"/>
        <w:spacing w:before="158"/>
        <w:ind w:left="711"/>
      </w:pPr>
      <w:r>
        <w:rPr/>
        <w:t>造裂隙充水，该含水带含水弱。</w:t>
      </w:r>
    </w:p>
    <w:p>
      <w:pPr>
        <w:pStyle w:val="BodyText"/>
        <w:spacing w:before="160"/>
        <w:ind w:left="1191"/>
      </w:pPr>
      <w:r>
        <w:rPr>
          <w:rFonts w:ascii="Times New Roman" w:eastAsia="Times New Roman"/>
        </w:rPr>
        <w:t>3</w:t>
      </w:r>
      <w:r>
        <w:rPr/>
        <w:t>、评价区区域地层</w:t>
      </w:r>
    </w:p>
    <w:p>
      <w:pPr>
        <w:pStyle w:val="BodyText"/>
        <w:spacing w:before="161"/>
        <w:ind w:left="1191"/>
      </w:pPr>
      <w:r>
        <w:rPr/>
        <w:t>各组地层特征由下至上分别叙述如下：</w:t>
      </w:r>
    </w:p>
    <w:p>
      <w:pPr>
        <w:pStyle w:val="ListParagraph"/>
        <w:numPr>
          <w:ilvl w:val="3"/>
          <w:numId w:val="36"/>
        </w:numPr>
        <w:tabs>
          <w:tab w:pos="1793" w:val="left" w:leader="none"/>
        </w:tabs>
        <w:spacing w:line="240" w:lineRule="auto" w:before="158" w:after="0"/>
        <w:ind w:left="1793" w:right="0" w:hanging="602"/>
        <w:jc w:val="left"/>
        <w:rPr>
          <w:sz w:val="24"/>
        </w:rPr>
      </w:pPr>
      <w:r>
        <w:rPr>
          <w:sz w:val="24"/>
        </w:rPr>
        <w:t>下元古界大盘道组</w:t>
      </w:r>
    </w:p>
    <w:p>
      <w:pPr>
        <w:pStyle w:val="BodyText"/>
        <w:spacing w:line="364" w:lineRule="auto" w:before="158"/>
        <w:ind w:left="711" w:right="1149" w:firstLine="480"/>
        <w:jc w:val="both"/>
      </w:pPr>
      <w:r>
        <w:rPr/>
        <w:t>是一套海相陆源火山碎屑</w:t>
      </w:r>
      <w:r>
        <w:rPr>
          <w:rFonts w:ascii="Times New Roman" w:hAnsi="Times New Roman" w:eastAsia="Times New Roman"/>
        </w:rPr>
        <w:t>—</w:t>
      </w:r>
      <w:r>
        <w:rPr>
          <w:spacing w:val="-13"/>
        </w:rPr>
        <w:t>碳酸盐建造，厚度大于 </w:t>
      </w:r>
      <w:r>
        <w:rPr>
          <w:rFonts w:ascii="Times New Roman" w:hAnsi="Times New Roman" w:eastAsia="Times New Roman"/>
        </w:rPr>
        <w:t>4000 </w:t>
      </w:r>
      <w:r>
        <w:rPr>
          <w:spacing w:val="-9"/>
        </w:rPr>
        <w:t>米，是该地区煤系地</w:t>
      </w:r>
      <w:r>
        <w:rPr>
          <w:spacing w:val="-1"/>
        </w:rPr>
        <w:t>层基底。本组岩性主要由暗褐色黑云、斜长片麻岩，辉石麻粒岩，石墨片岩，透</w:t>
      </w:r>
      <w:r>
        <w:rPr/>
        <w:t>辉大理岩，磁铁石英岩等组成，遭受强烈混合岩化。</w:t>
      </w:r>
    </w:p>
    <w:p>
      <w:pPr>
        <w:pStyle w:val="ListParagraph"/>
        <w:numPr>
          <w:ilvl w:val="3"/>
          <w:numId w:val="36"/>
        </w:numPr>
        <w:tabs>
          <w:tab w:pos="1793" w:val="left" w:leader="none"/>
        </w:tabs>
        <w:spacing w:line="307" w:lineRule="exact" w:before="0" w:after="0"/>
        <w:ind w:left="1793" w:right="0" w:hanging="602"/>
        <w:jc w:val="left"/>
        <w:rPr>
          <w:sz w:val="24"/>
        </w:rPr>
      </w:pPr>
      <w:r>
        <w:rPr>
          <w:sz w:val="24"/>
        </w:rPr>
        <w:t>古生界泥盆系中统黑山组</w:t>
      </w:r>
    </w:p>
    <w:p>
      <w:pPr>
        <w:pStyle w:val="BodyText"/>
        <w:spacing w:line="362" w:lineRule="auto" w:before="161"/>
        <w:ind w:left="711" w:right="1084" w:firstLine="480"/>
      </w:pPr>
      <w:r>
        <w:rPr/>
        <w:t>厚度大于 </w:t>
      </w:r>
      <w:r>
        <w:rPr>
          <w:rFonts w:ascii="Times New Roman" w:eastAsia="Times New Roman"/>
        </w:rPr>
        <w:t>250 </w:t>
      </w:r>
      <w:r>
        <w:rPr/>
        <w:t>米，岩性为凝灰质砂页岩、砂岩。结晶灰岩，夹有中酸性火山角砾岩等组成。</w:t>
      </w:r>
    </w:p>
    <w:p>
      <w:pPr>
        <w:pStyle w:val="ListParagraph"/>
        <w:numPr>
          <w:ilvl w:val="3"/>
          <w:numId w:val="36"/>
        </w:numPr>
        <w:tabs>
          <w:tab w:pos="1793" w:val="left" w:leader="none"/>
        </w:tabs>
        <w:spacing w:line="240" w:lineRule="auto" w:before="5" w:after="0"/>
        <w:ind w:left="1793" w:right="0" w:hanging="602"/>
        <w:jc w:val="left"/>
        <w:rPr>
          <w:sz w:val="24"/>
        </w:rPr>
      </w:pPr>
      <w:r>
        <w:rPr>
          <w:sz w:val="24"/>
        </w:rPr>
        <w:t>中生界侏罗系中统绥缤组</w:t>
      </w:r>
    </w:p>
    <w:p>
      <w:pPr>
        <w:pStyle w:val="BodyText"/>
        <w:spacing w:before="158"/>
        <w:ind w:left="1191"/>
        <w:rPr>
          <w:rFonts w:ascii="Times New Roman" w:eastAsia="Times New Roman"/>
        </w:rPr>
      </w:pPr>
      <w:r>
        <w:rPr/>
        <w:t>是一套海相沉积建造，岩性主要由深灰色略带绿色粉砂岩，单层厚度达 </w:t>
      </w:r>
      <w:r>
        <w:rPr>
          <w:rFonts w:ascii="Times New Roman" w:eastAsia="Times New Roman"/>
        </w:rPr>
        <w:t>120</w:t>
      </w:r>
    </w:p>
    <w:p>
      <w:pPr>
        <w:pStyle w:val="BodyText"/>
        <w:spacing w:line="362" w:lineRule="auto" w:before="160"/>
        <w:ind w:left="711" w:right="1086"/>
      </w:pPr>
      <w:r>
        <w:rPr/>
        <w:t>余米，夹有薄层细砂岩，控制厚度 </w:t>
      </w:r>
      <w:r>
        <w:rPr>
          <w:rFonts w:ascii="Times New Roman" w:eastAsia="Times New Roman"/>
        </w:rPr>
        <w:t>480 </w:t>
      </w:r>
      <w:r>
        <w:rPr/>
        <w:t>米，该组地层中富含双壳类海相化石及沟鞭藻类化石。</w:t>
      </w:r>
    </w:p>
    <w:p>
      <w:pPr>
        <w:pStyle w:val="ListParagraph"/>
        <w:numPr>
          <w:ilvl w:val="3"/>
          <w:numId w:val="36"/>
        </w:numPr>
        <w:tabs>
          <w:tab w:pos="1793" w:val="left" w:leader="none"/>
        </w:tabs>
        <w:spacing w:line="240" w:lineRule="auto" w:before="5" w:after="0"/>
        <w:ind w:left="1793" w:right="0" w:hanging="602"/>
        <w:jc w:val="left"/>
        <w:rPr>
          <w:sz w:val="24"/>
        </w:rPr>
      </w:pPr>
      <w:r>
        <w:rPr>
          <w:sz w:val="24"/>
        </w:rPr>
        <w:t>侏罗系上统东荣组</w:t>
      </w:r>
    </w:p>
    <w:p>
      <w:pPr>
        <w:pStyle w:val="BodyText"/>
        <w:spacing w:line="364" w:lineRule="auto" w:before="158"/>
        <w:ind w:left="711" w:right="1149" w:firstLine="480"/>
        <w:jc w:val="both"/>
      </w:pPr>
      <w:r>
        <w:rPr>
          <w:spacing w:val="-1"/>
        </w:rPr>
        <w:t>同下伏绥滨组为整合接触，是一套滨海相沉积，岩性主要由厚层深灰色粉砂</w:t>
      </w:r>
      <w:r>
        <w:rPr>
          <w:spacing w:val="-5"/>
        </w:rPr>
        <w:t>岩及黑色泥岩为主，最大厚度 </w:t>
      </w:r>
      <w:r>
        <w:rPr>
          <w:rFonts w:ascii="Times New Roman" w:eastAsia="Times New Roman"/>
        </w:rPr>
        <w:t>450 </w:t>
      </w:r>
      <w:r>
        <w:rPr>
          <w:spacing w:val="-1"/>
        </w:rPr>
        <w:t>米，夹有薄层细砂岩组成。含有丰富的各门类</w:t>
      </w:r>
      <w:r>
        <w:rPr/>
        <w:t>化石。</w:t>
      </w:r>
    </w:p>
    <w:p>
      <w:pPr>
        <w:pStyle w:val="ListParagraph"/>
        <w:numPr>
          <w:ilvl w:val="3"/>
          <w:numId w:val="36"/>
        </w:numPr>
        <w:tabs>
          <w:tab w:pos="1793" w:val="left" w:leader="none"/>
        </w:tabs>
        <w:spacing w:line="307" w:lineRule="exact" w:before="0" w:after="0"/>
        <w:ind w:left="1793" w:right="0" w:hanging="602"/>
        <w:jc w:val="left"/>
        <w:rPr>
          <w:sz w:val="24"/>
        </w:rPr>
      </w:pPr>
      <w:r>
        <w:rPr>
          <w:sz w:val="24"/>
        </w:rPr>
        <w:t>白垩系下统城子河组</w:t>
      </w:r>
    </w:p>
    <w:p>
      <w:pPr>
        <w:spacing w:after="0" w:line="307" w:lineRule="exact"/>
        <w:jc w:val="left"/>
        <w:rPr>
          <w:sz w:val="24"/>
        </w:rPr>
        <w:sectPr>
          <w:pgSz w:w="11910" w:h="16840"/>
          <w:pgMar w:header="0" w:footer="993" w:top="1360" w:bottom="1180" w:left="1040" w:right="600"/>
        </w:sectPr>
      </w:pPr>
    </w:p>
    <w:p>
      <w:pPr>
        <w:pStyle w:val="BodyText"/>
        <w:spacing w:before="63"/>
        <w:ind w:left="1191"/>
        <w:jc w:val="both"/>
      </w:pPr>
      <w:r>
        <w:rPr/>
        <w:t>是双鸭山地区的主要含煤地层，控制厚度在安邦河地区 </w:t>
      </w:r>
      <w:r>
        <w:rPr>
          <w:rFonts w:ascii="Times New Roman" w:eastAsia="Times New Roman"/>
        </w:rPr>
        <w:t>550 </w:t>
      </w:r>
      <w:r>
        <w:rPr/>
        <w:t>米，而往东到七</w:t>
      </w:r>
    </w:p>
    <w:p>
      <w:pPr>
        <w:pStyle w:val="BodyText"/>
        <w:spacing w:line="364" w:lineRule="auto" w:before="160"/>
        <w:ind w:left="711" w:right="1149"/>
        <w:jc w:val="both"/>
      </w:pPr>
      <w:r>
        <w:rPr>
          <w:spacing w:val="-12"/>
        </w:rPr>
        <w:t>星河地区，最厚达 </w:t>
      </w:r>
      <w:r>
        <w:rPr>
          <w:rFonts w:ascii="Times New Roman" w:eastAsia="Times New Roman"/>
        </w:rPr>
        <w:t>850 </w:t>
      </w:r>
      <w:r>
        <w:rPr>
          <w:spacing w:val="-11"/>
        </w:rPr>
        <w:t>余米，是一套非海相碎屑岩组。含煤 </w:t>
      </w:r>
      <w:r>
        <w:rPr>
          <w:rFonts w:ascii="Times New Roman" w:eastAsia="Times New Roman"/>
        </w:rPr>
        <w:t>40 </w:t>
      </w:r>
      <w:r>
        <w:rPr>
          <w:spacing w:val="-7"/>
        </w:rPr>
        <w:t>余层，其中可采煤</w:t>
      </w:r>
      <w:r>
        <w:rPr>
          <w:spacing w:val="-1"/>
        </w:rPr>
        <w:t>层发育由西往东逐渐增多，岩性主要由深灰色粉砂岩、灰白色中细砂岩组成，夹</w:t>
      </w:r>
      <w:r>
        <w:rPr>
          <w:spacing w:val="-30"/>
        </w:rPr>
        <w:t>有 </w:t>
      </w:r>
      <w:r>
        <w:rPr>
          <w:rFonts w:ascii="Times New Roman" w:eastAsia="Times New Roman"/>
        </w:rPr>
        <w:t>10 </w:t>
      </w:r>
      <w:r>
        <w:rPr/>
        <w:t>多层绿色凝灰岩。</w:t>
      </w:r>
    </w:p>
    <w:p>
      <w:pPr>
        <w:pStyle w:val="ListParagraph"/>
        <w:numPr>
          <w:ilvl w:val="3"/>
          <w:numId w:val="36"/>
        </w:numPr>
        <w:tabs>
          <w:tab w:pos="1793" w:val="left" w:leader="none"/>
        </w:tabs>
        <w:spacing w:line="304" w:lineRule="exact" w:before="0" w:after="0"/>
        <w:ind w:left="1793" w:right="0" w:hanging="602"/>
        <w:jc w:val="left"/>
        <w:rPr>
          <w:sz w:val="24"/>
        </w:rPr>
      </w:pPr>
      <w:r>
        <w:rPr>
          <w:sz w:val="24"/>
        </w:rPr>
        <w:t>白垩系下统穆棱组</w:t>
      </w:r>
    </w:p>
    <w:p>
      <w:pPr>
        <w:pStyle w:val="BodyText"/>
        <w:spacing w:before="161"/>
        <w:ind w:left="1191"/>
        <w:jc w:val="both"/>
      </w:pPr>
      <w:r>
        <w:rPr/>
        <w:t>是一套深水湖泊相沉积地层，控制厚度 </w:t>
      </w:r>
      <w:r>
        <w:rPr>
          <w:rFonts w:ascii="Times New Roman" w:eastAsia="Times New Roman"/>
        </w:rPr>
        <w:t>700 </w:t>
      </w:r>
      <w:r>
        <w:rPr/>
        <w:t>余米，岩性主要由厚层深灰色粉</w:t>
      </w:r>
    </w:p>
    <w:p>
      <w:pPr>
        <w:pStyle w:val="BodyText"/>
        <w:spacing w:before="158"/>
        <w:ind w:left="711"/>
        <w:jc w:val="both"/>
      </w:pPr>
      <w:r>
        <w:rPr/>
        <w:t>砂岩与厚层黑灰色泥岩为主，夹有薄层细砂岩组成，含有 </w:t>
      </w:r>
      <w:r>
        <w:rPr>
          <w:rFonts w:ascii="Times New Roman" w:hAnsi="Times New Roman" w:eastAsia="Times New Roman"/>
        </w:rPr>
        <w:t>3—4 </w:t>
      </w:r>
      <w:r>
        <w:rPr/>
        <w:t>层薄煤，均不可采。</w:t>
      </w:r>
    </w:p>
    <w:p>
      <w:pPr>
        <w:pStyle w:val="ListParagraph"/>
        <w:numPr>
          <w:ilvl w:val="3"/>
          <w:numId w:val="36"/>
        </w:numPr>
        <w:tabs>
          <w:tab w:pos="1793" w:val="left" w:leader="none"/>
        </w:tabs>
        <w:spacing w:line="240" w:lineRule="auto" w:before="160" w:after="0"/>
        <w:ind w:left="1793" w:right="0" w:hanging="602"/>
        <w:jc w:val="left"/>
        <w:rPr>
          <w:sz w:val="24"/>
        </w:rPr>
      </w:pPr>
      <w:r>
        <w:rPr>
          <w:sz w:val="24"/>
        </w:rPr>
        <w:t>白垩系下统东山组</w:t>
      </w:r>
    </w:p>
    <w:p>
      <w:pPr>
        <w:pStyle w:val="BodyText"/>
        <w:spacing w:line="362" w:lineRule="auto" w:before="161"/>
        <w:ind w:left="711" w:right="1149" w:firstLine="480"/>
      </w:pPr>
      <w:r>
        <w:rPr/>
        <w:t>岩性主要由安山角砾凝灰岩、凝灰角砾岩、厚层粉砂岩、泥岩等组成，控制最大厚度 </w:t>
      </w:r>
      <w:r>
        <w:rPr>
          <w:rFonts w:ascii="Times New Roman" w:eastAsia="Times New Roman"/>
        </w:rPr>
        <w:t>650 </w:t>
      </w:r>
      <w:r>
        <w:rPr/>
        <w:t>余米。不整合覆于穆棱组、城子河组之上。</w:t>
      </w:r>
    </w:p>
    <w:p>
      <w:pPr>
        <w:pStyle w:val="ListParagraph"/>
        <w:numPr>
          <w:ilvl w:val="3"/>
          <w:numId w:val="36"/>
        </w:numPr>
        <w:tabs>
          <w:tab w:pos="1793" w:val="left" w:leader="none"/>
        </w:tabs>
        <w:spacing w:line="240" w:lineRule="auto" w:before="2" w:after="0"/>
        <w:ind w:left="1793" w:right="0" w:hanging="602"/>
        <w:jc w:val="left"/>
        <w:rPr>
          <w:sz w:val="24"/>
        </w:rPr>
      </w:pPr>
      <w:r>
        <w:rPr>
          <w:sz w:val="24"/>
        </w:rPr>
        <w:t>白垩系上统松木河组</w:t>
      </w:r>
    </w:p>
    <w:p>
      <w:pPr>
        <w:pStyle w:val="BodyText"/>
        <w:spacing w:line="364" w:lineRule="auto" w:before="161"/>
        <w:ind w:left="711" w:right="1149" w:firstLine="480"/>
      </w:pPr>
      <w:r>
        <w:rPr>
          <w:spacing w:val="-1"/>
        </w:rPr>
        <w:t>不整合覆于城子河组穆棱组之上，岩性主要由灰绿色、紫红色安山玢岩、凝</w:t>
      </w:r>
      <w:r>
        <w:rPr>
          <w:spacing w:val="-3"/>
        </w:rPr>
        <w:t>灰质熔岩、米黄色流纹岩等组成，厚度大于 </w:t>
      </w:r>
      <w:r>
        <w:rPr>
          <w:rFonts w:ascii="Times New Roman" w:eastAsia="Times New Roman"/>
        </w:rPr>
        <w:t>250 </w:t>
      </w:r>
      <w:r>
        <w:rPr/>
        <w:t>米。</w:t>
      </w:r>
    </w:p>
    <w:p>
      <w:pPr>
        <w:pStyle w:val="ListParagraph"/>
        <w:numPr>
          <w:ilvl w:val="3"/>
          <w:numId w:val="36"/>
        </w:numPr>
        <w:tabs>
          <w:tab w:pos="1793" w:val="left" w:leader="none"/>
        </w:tabs>
        <w:spacing w:line="306" w:lineRule="exact" w:before="0" w:after="0"/>
        <w:ind w:left="1793" w:right="0" w:hanging="602"/>
        <w:jc w:val="left"/>
        <w:rPr>
          <w:sz w:val="24"/>
        </w:rPr>
      </w:pPr>
      <w:r>
        <w:rPr>
          <w:sz w:val="24"/>
        </w:rPr>
        <w:t>新生界下新近系宝泉岭组</w:t>
      </w:r>
    </w:p>
    <w:p>
      <w:pPr>
        <w:pStyle w:val="BodyText"/>
        <w:spacing w:line="362" w:lineRule="auto" w:before="160"/>
        <w:ind w:left="711" w:right="1084" w:firstLine="480"/>
      </w:pPr>
      <w:r>
        <w:rPr/>
        <w:t>钻孔控制厚度 </w:t>
      </w:r>
      <w:r>
        <w:rPr>
          <w:rFonts w:ascii="Times New Roman" w:eastAsia="Times New Roman"/>
        </w:rPr>
        <w:t>380 </w:t>
      </w:r>
      <w:r>
        <w:rPr/>
        <w:t>余米，含多层可采褐煤，岩性以黑褐色泥岩，粉砂岩含砾粗砂岩等组成。</w:t>
      </w:r>
    </w:p>
    <w:p>
      <w:pPr>
        <w:pStyle w:val="ListParagraph"/>
        <w:numPr>
          <w:ilvl w:val="3"/>
          <w:numId w:val="36"/>
        </w:numPr>
        <w:tabs>
          <w:tab w:pos="1913" w:val="left" w:leader="none"/>
        </w:tabs>
        <w:spacing w:line="240" w:lineRule="auto" w:before="5" w:after="0"/>
        <w:ind w:left="1913" w:right="0" w:hanging="722"/>
        <w:jc w:val="left"/>
        <w:rPr>
          <w:sz w:val="24"/>
        </w:rPr>
      </w:pPr>
      <w:r>
        <w:rPr>
          <w:sz w:val="24"/>
        </w:rPr>
        <w:t>新生界上第三系富锦组</w:t>
      </w:r>
    </w:p>
    <w:p>
      <w:pPr>
        <w:pStyle w:val="BodyText"/>
        <w:spacing w:line="364" w:lineRule="auto" w:before="158"/>
        <w:ind w:left="711" w:right="1149" w:firstLine="480"/>
      </w:pPr>
      <w:r>
        <w:rPr/>
        <w:t>不整合于穆棱组、城子河组地层之上，岩性以细砂岩、中砂岩、泥岩为主， 控制最大厚度达 </w:t>
      </w:r>
      <w:r>
        <w:rPr>
          <w:rFonts w:ascii="Times New Roman" w:eastAsia="Times New Roman"/>
        </w:rPr>
        <w:t>500 </w:t>
      </w:r>
      <w:r>
        <w:rPr/>
        <w:t>余米，含有褐煤多层均未达到可采厚度。</w:t>
      </w:r>
    </w:p>
    <w:p>
      <w:pPr>
        <w:pStyle w:val="ListParagraph"/>
        <w:numPr>
          <w:ilvl w:val="3"/>
          <w:numId w:val="36"/>
        </w:numPr>
        <w:tabs>
          <w:tab w:pos="1904" w:val="left" w:leader="none"/>
        </w:tabs>
        <w:spacing w:line="306" w:lineRule="exact" w:before="0" w:after="0"/>
        <w:ind w:left="1903" w:right="0" w:hanging="713"/>
        <w:jc w:val="left"/>
        <w:rPr>
          <w:sz w:val="24"/>
        </w:rPr>
      </w:pPr>
      <w:r>
        <w:rPr>
          <w:sz w:val="24"/>
        </w:rPr>
        <w:t>第四系全新统地层</w:t>
      </w:r>
    </w:p>
    <w:p>
      <w:pPr>
        <w:pStyle w:val="BodyText"/>
        <w:spacing w:before="161"/>
        <w:ind w:left="1191"/>
      </w:pPr>
      <w:r>
        <w:rPr>
          <w:rFonts w:ascii="Times New Roman" w:eastAsia="Times New Roman"/>
        </w:rPr>
        <w:t>4</w:t>
      </w:r>
      <w:r>
        <w:rPr/>
        <w:t>、评价区区域构造</w:t>
      </w:r>
    </w:p>
    <w:p>
      <w:pPr>
        <w:pStyle w:val="BodyText"/>
        <w:spacing w:before="6"/>
        <w:rPr>
          <w:sz w:val="18"/>
        </w:rPr>
      </w:pPr>
    </w:p>
    <w:p>
      <w:pPr>
        <w:pStyle w:val="BodyText"/>
        <w:spacing w:line="364" w:lineRule="auto" w:before="1"/>
        <w:ind w:left="711" w:right="1153" w:firstLine="480"/>
        <w:jc w:val="both"/>
      </w:pPr>
      <w:r>
        <w:rPr/>
        <w:t>双鸭山煤田位于三江—穆棱河聚煤区的西南部。三江—穆棱河聚煤区属新华夏系第二隆起带上的一个拗折带，东邻那丹哈达岭燕山期褶皱带，西侧是林口— 悦来镇海西期凸起，是从印支期发育起来的一个中生代弧形拗折带，从下白垩世开始沉积城子河组和穆棱组含煤地层。</w:t>
      </w:r>
    </w:p>
    <w:p>
      <w:pPr>
        <w:pStyle w:val="BodyText"/>
        <w:spacing w:line="364" w:lineRule="auto" w:before="2"/>
        <w:ind w:left="711" w:right="1153" w:firstLine="559"/>
        <w:jc w:val="both"/>
      </w:pPr>
      <w:r>
        <w:rPr>
          <w:spacing w:val="-7"/>
        </w:rPr>
        <w:t>双鸭山煤田总体形态，处于安邦河—七星河弧形复式向斜的中段，南侧为双</w:t>
      </w:r>
      <w:r>
        <w:rPr>
          <w:spacing w:val="-1"/>
        </w:rPr>
        <w:t>桦煤田，北侧为集贤煤田。双鸭山煤田是一个东西向展布的弧形向斜构造，地层</w:t>
      </w:r>
      <w:r>
        <w:rPr/>
        <w:t>倾角南翼陡、北翼缓，被后期的双鸭山—宝清七星镇弧形逆冲断层（</w:t>
      </w:r>
      <w:r>
        <w:rPr>
          <w:spacing w:val="-4"/>
        </w:rPr>
        <w:t>双鸭山煤田</w:t>
      </w:r>
      <w:r>
        <w:rPr/>
        <w:t>南部断层）切割破坏，是改造双鸭山煤田现存格局的主干断裂。</w:t>
      </w:r>
    </w:p>
    <w:p>
      <w:pPr>
        <w:pStyle w:val="BodyText"/>
        <w:spacing w:line="231" w:lineRule="exact"/>
        <w:ind w:left="1191"/>
      </w:pPr>
      <w:r>
        <w:rPr>
          <w:rFonts w:ascii="Times New Roman" w:eastAsia="Times New Roman"/>
        </w:rPr>
        <w:t>5</w:t>
      </w:r>
      <w:r>
        <w:rPr/>
        <w:t>、评价区水文地质特征</w:t>
      </w:r>
    </w:p>
    <w:p>
      <w:pPr>
        <w:spacing w:after="0" w:line="231" w:lineRule="exact"/>
        <w:sectPr>
          <w:pgSz w:w="11910" w:h="16840"/>
          <w:pgMar w:header="0" w:footer="993" w:top="1360" w:bottom="1180" w:left="1040" w:right="600"/>
        </w:sectPr>
      </w:pPr>
    </w:p>
    <w:p>
      <w:pPr>
        <w:pStyle w:val="BodyText"/>
        <w:spacing w:line="364" w:lineRule="auto" w:before="42"/>
        <w:ind w:left="711" w:right="1033" w:firstLine="559"/>
      </w:pPr>
      <w:r>
        <w:rPr>
          <w:spacing w:val="-5"/>
        </w:rPr>
        <w:t>东盛煤矿整合区属七星河冲积平原，沿七星河东南部呈长条带分布，上覆第</w:t>
      </w:r>
      <w:r>
        <w:rPr>
          <w:spacing w:val="-13"/>
        </w:rPr>
        <w:t>四系地层较厚，平均 </w:t>
      </w:r>
      <w:r>
        <w:rPr>
          <w:rFonts w:ascii="Times New Roman" w:eastAsia="Times New Roman"/>
        </w:rPr>
        <w:t>30</w:t>
      </w:r>
      <w:r>
        <w:rPr/>
        <w:t>～</w:t>
      </w:r>
      <w:r>
        <w:rPr>
          <w:rFonts w:ascii="Times New Roman" w:eastAsia="Times New Roman"/>
        </w:rPr>
        <w:t>60 m</w:t>
      </w:r>
      <w:r>
        <w:rPr>
          <w:spacing w:val="-7"/>
        </w:rPr>
        <w:t>。在矿区的南部以粘土为主，在北部以河谷平原区</w:t>
      </w:r>
      <w:r>
        <w:rPr>
          <w:spacing w:val="-13"/>
        </w:rPr>
        <w:t>以砂层为主。本区地表标高在 </w:t>
      </w:r>
      <w:r>
        <w:rPr>
          <w:rFonts w:ascii="Times New Roman" w:eastAsia="Times New Roman"/>
        </w:rPr>
        <w:t>100 m </w:t>
      </w:r>
      <w:r>
        <w:rPr>
          <w:spacing w:val="-11"/>
        </w:rPr>
        <w:t>左右，地势南高北低，由南向北开阔而平坦。</w:t>
      </w:r>
      <w:r>
        <w:rPr/>
        <w:t>第四系砂层是煤系地层的直接充水因素，强裂隙含水带是煤层开采的直接充水水源。</w:t>
      </w:r>
    </w:p>
    <w:p>
      <w:pPr>
        <w:pStyle w:val="ListParagraph"/>
        <w:numPr>
          <w:ilvl w:val="0"/>
          <w:numId w:val="37"/>
        </w:numPr>
        <w:tabs>
          <w:tab w:pos="1873" w:val="left" w:leader="none"/>
        </w:tabs>
        <w:spacing w:line="240" w:lineRule="auto" w:before="3" w:after="0"/>
        <w:ind w:left="1872" w:right="0" w:hanging="602"/>
        <w:jc w:val="left"/>
        <w:rPr>
          <w:sz w:val="24"/>
        </w:rPr>
      </w:pPr>
      <w:r>
        <w:rPr>
          <w:sz w:val="24"/>
        </w:rPr>
        <w:t>含水层</w:t>
      </w:r>
    </w:p>
    <w:p>
      <w:pPr>
        <w:pStyle w:val="BodyText"/>
        <w:spacing w:before="160"/>
        <w:ind w:left="1271"/>
      </w:pPr>
      <w:r>
        <w:rPr/>
        <w:t>本区分为孔隙含水层和基岩裂隙含水带。</w:t>
      </w:r>
    </w:p>
    <w:p>
      <w:pPr>
        <w:pStyle w:val="BodyText"/>
        <w:spacing w:before="161"/>
        <w:ind w:left="1271"/>
      </w:pPr>
      <w:r>
        <w:rPr/>
        <w:t>①孔隙含水层</w:t>
      </w:r>
    </w:p>
    <w:p>
      <w:pPr>
        <w:pStyle w:val="BodyText"/>
        <w:spacing w:line="364" w:lineRule="auto" w:before="160"/>
        <w:ind w:left="711" w:right="1152" w:firstLine="559"/>
      </w:pPr>
      <w:r>
        <w:rPr/>
        <w:t>主要为第四系孔隙含水层，全区发育，厚度一般在 </w:t>
      </w:r>
      <w:r>
        <w:rPr>
          <w:rFonts w:ascii="Times New Roman" w:eastAsia="Times New Roman"/>
        </w:rPr>
        <w:t>30</w:t>
      </w:r>
      <w:r>
        <w:rPr/>
        <w:t>～</w:t>
      </w:r>
      <w:r>
        <w:rPr>
          <w:rFonts w:ascii="Times New Roman" w:eastAsia="Times New Roman"/>
        </w:rPr>
        <w:t>45 m</w:t>
      </w:r>
      <w:r>
        <w:rPr/>
        <w:t>，由东往西逐渐增厚，依据成因类型分山前河流冲积含水层和七星河冲积含水层。</w:t>
      </w:r>
    </w:p>
    <w:p>
      <w:pPr>
        <w:pStyle w:val="BodyText"/>
        <w:spacing w:line="364" w:lineRule="auto" w:before="2"/>
        <w:ind w:left="711" w:right="1074" w:firstLine="559"/>
      </w:pPr>
      <w:r>
        <w:rPr/>
        <w:t>山前河流冲积潜水含水层分布于西部，岩性主要由砂、砾、卵石等组成，为灰黄及黄色，厚度 </w:t>
      </w:r>
      <w:r>
        <w:rPr>
          <w:rFonts w:ascii="Times New Roman" w:eastAsia="Times New Roman"/>
        </w:rPr>
        <w:t>30</w:t>
      </w:r>
      <w:r>
        <w:rPr/>
        <w:t>～</w:t>
      </w:r>
      <w:r>
        <w:rPr>
          <w:rFonts w:ascii="Times New Roman" w:eastAsia="Times New Roman"/>
        </w:rPr>
        <w:t>40 m</w:t>
      </w:r>
      <w:r>
        <w:rPr/>
        <w:t>。</w:t>
      </w:r>
    </w:p>
    <w:p>
      <w:pPr>
        <w:pStyle w:val="BodyText"/>
        <w:spacing w:line="364" w:lineRule="auto" w:before="1"/>
        <w:ind w:left="711" w:right="1153" w:firstLine="559"/>
      </w:pPr>
      <w:r>
        <w:rPr/>
        <w:t>山前河流冲积承压水含层分布于矿区以南，岩性多以粗砂为主，厚度 </w:t>
      </w:r>
      <w:r>
        <w:rPr>
          <w:rFonts w:ascii="Times New Roman" w:eastAsia="Times New Roman"/>
        </w:rPr>
        <w:t>20</w:t>
      </w:r>
      <w:r>
        <w:rPr/>
        <w:t>～ </w:t>
      </w:r>
      <w:r>
        <w:rPr>
          <w:rFonts w:ascii="Times New Roman" w:eastAsia="Times New Roman"/>
        </w:rPr>
        <w:t>30 m</w:t>
      </w:r>
      <w:r>
        <w:rPr/>
        <w:t>。</w:t>
      </w:r>
    </w:p>
    <w:p>
      <w:pPr>
        <w:pStyle w:val="BodyText"/>
        <w:spacing w:line="364" w:lineRule="auto" w:before="1"/>
        <w:ind w:left="711" w:right="1033" w:firstLine="559"/>
      </w:pPr>
      <w:r>
        <w:rPr>
          <w:spacing w:val="-10"/>
        </w:rPr>
        <w:t>七星河冲积含水层主要分布于北部及东南部，北部岩性主要由中砂岩、粗砂、</w:t>
      </w:r>
      <w:r>
        <w:rPr/>
        <w:t>砾砂岩，富水性强，渗透性好。东南部岩性以细砂、粉砂等组成，厚度不均，由</w:t>
      </w:r>
      <w:r>
        <w:rPr>
          <w:spacing w:val="-12"/>
        </w:rPr>
        <w:t>北往南逐渐减少。单位涌水量 </w:t>
      </w:r>
      <w:r>
        <w:rPr>
          <w:rFonts w:ascii="Times New Roman" w:eastAsia="Times New Roman"/>
        </w:rPr>
        <w:t>0.17-0.184 </w:t>
      </w:r>
      <w:r>
        <w:rPr/>
        <w:t>升</w:t>
      </w:r>
      <w:r>
        <w:rPr>
          <w:rFonts w:ascii="Times New Roman" w:eastAsia="Times New Roman"/>
        </w:rPr>
        <w:t>/</w:t>
      </w:r>
      <w:r>
        <w:rPr>
          <w:spacing w:val="-31"/>
        </w:rPr>
        <w:t>秒 </w:t>
      </w:r>
      <w:r>
        <w:rPr>
          <w:rFonts w:ascii="Times New Roman" w:eastAsia="Times New Roman"/>
          <w:spacing w:val="-33"/>
        </w:rPr>
        <w:t>m</w:t>
      </w:r>
      <w:r>
        <w:rPr>
          <w:spacing w:val="-15"/>
        </w:rPr>
        <w:t>，渗透系数为 </w:t>
      </w:r>
      <w:r>
        <w:rPr>
          <w:rFonts w:ascii="Times New Roman" w:eastAsia="Times New Roman"/>
        </w:rPr>
        <w:t>1.160-25.515 m/</w:t>
      </w:r>
      <w:r>
        <w:rPr>
          <w:spacing w:val="-7"/>
        </w:rPr>
        <w:t>日。</w:t>
      </w:r>
    </w:p>
    <w:p>
      <w:pPr>
        <w:pStyle w:val="BodyText"/>
        <w:spacing w:before="2"/>
        <w:ind w:left="1271"/>
      </w:pPr>
      <w:r>
        <w:rPr/>
        <w:t>②基岩裂隙含水层</w:t>
      </w:r>
    </w:p>
    <w:p>
      <w:pPr>
        <w:pStyle w:val="BodyText"/>
        <w:spacing w:before="160"/>
        <w:ind w:left="1271"/>
      </w:pPr>
      <w:r>
        <w:rPr/>
        <w:t>本区分为煤系裂隙含水带和煤系基底裂隙含水带。</w:t>
      </w:r>
    </w:p>
    <w:p>
      <w:pPr>
        <w:pStyle w:val="BodyText"/>
        <w:spacing w:line="364" w:lineRule="auto" w:before="161"/>
        <w:ind w:left="711" w:right="1149" w:firstLine="559"/>
        <w:jc w:val="both"/>
      </w:pPr>
      <w:r>
        <w:rPr>
          <w:spacing w:val="-3"/>
        </w:rPr>
        <w:t>煤系裂隙含水带：浅部裂隙发育，厚度 </w:t>
      </w:r>
      <w:r>
        <w:rPr>
          <w:rFonts w:ascii="Times New Roman" w:eastAsia="Times New Roman"/>
        </w:rPr>
        <w:t>30</w:t>
      </w:r>
      <w:r>
        <w:rPr/>
        <w:t>～</w:t>
      </w:r>
      <w:r>
        <w:rPr>
          <w:rFonts w:ascii="Times New Roman" w:eastAsia="Times New Roman"/>
        </w:rPr>
        <w:t>150 m</w:t>
      </w:r>
      <w:r>
        <w:rPr>
          <w:spacing w:val="-8"/>
        </w:rPr>
        <w:t>，埋藏深度 </w:t>
      </w:r>
      <w:r>
        <w:rPr>
          <w:rFonts w:ascii="Times New Roman" w:eastAsia="Times New Roman"/>
        </w:rPr>
        <w:t>50</w:t>
      </w:r>
      <w:r>
        <w:rPr/>
        <w:t>～</w:t>
      </w:r>
      <w:r>
        <w:rPr>
          <w:rFonts w:ascii="Times New Roman" w:eastAsia="Times New Roman"/>
        </w:rPr>
        <w:t>250m</w:t>
      </w:r>
      <w:r>
        <w:rPr/>
        <w:t>， </w:t>
      </w:r>
      <w:r>
        <w:rPr>
          <w:spacing w:val="-11"/>
        </w:rPr>
        <w:t>单位涌水量 </w:t>
      </w:r>
      <w:r>
        <w:rPr>
          <w:rFonts w:ascii="Times New Roman" w:eastAsia="Times New Roman"/>
        </w:rPr>
        <w:t>0.089</w:t>
      </w:r>
      <w:r>
        <w:rPr/>
        <w:t>～</w:t>
      </w:r>
      <w:r>
        <w:rPr>
          <w:rFonts w:ascii="Times New Roman" w:eastAsia="Times New Roman"/>
        </w:rPr>
        <w:t>0.095 </w:t>
      </w:r>
      <w:r>
        <w:rPr/>
        <w:t>升</w:t>
      </w:r>
      <w:r>
        <w:rPr>
          <w:rFonts w:ascii="Times New Roman" w:eastAsia="Times New Roman"/>
        </w:rPr>
        <w:t>/</w:t>
      </w:r>
      <w:r>
        <w:rPr>
          <w:spacing w:val="-30"/>
        </w:rPr>
        <w:t>秒 </w:t>
      </w:r>
      <w:r>
        <w:rPr>
          <w:rFonts w:ascii="Times New Roman" w:eastAsia="Times New Roman"/>
        </w:rPr>
        <w:t>m</w:t>
      </w:r>
      <w:r>
        <w:rPr>
          <w:spacing w:val="-10"/>
        </w:rPr>
        <w:t>，渗透系数 </w:t>
      </w:r>
      <w:r>
        <w:rPr>
          <w:rFonts w:ascii="Times New Roman" w:eastAsia="Times New Roman"/>
        </w:rPr>
        <w:t>0.0624</w:t>
      </w:r>
      <w:r>
        <w:rPr/>
        <w:t>～</w:t>
      </w:r>
      <w:r>
        <w:rPr>
          <w:rFonts w:ascii="Times New Roman" w:eastAsia="Times New Roman"/>
        </w:rPr>
        <w:t>0.106m/</w:t>
      </w:r>
      <w:r>
        <w:rPr/>
        <w:t>日。</w:t>
      </w:r>
    </w:p>
    <w:p>
      <w:pPr>
        <w:pStyle w:val="BodyText"/>
        <w:spacing w:line="364" w:lineRule="auto" w:before="1"/>
        <w:ind w:left="711" w:right="1153" w:firstLine="559"/>
        <w:jc w:val="both"/>
      </w:pPr>
      <w:r>
        <w:rPr>
          <w:spacing w:val="-7"/>
        </w:rPr>
        <w:t>煤系基底裂隙含水带：主要分布于本区的北部及南部基底隆起部分，由花岗</w:t>
      </w:r>
      <w:r>
        <w:rPr>
          <w:spacing w:val="-1"/>
        </w:rPr>
        <w:t>岩组成，表面风化强烈，岩石破碎，裂隙不发育，不利于地下水的补给，地表出露处为潜水，低处为承压水，出露面积小，补给条件不好，含水微弱。通过副井</w:t>
      </w:r>
      <w:r>
        <w:rPr>
          <w:spacing w:val="-6"/>
        </w:rPr>
        <w:t>井筒，在井筒门往下 </w:t>
      </w:r>
      <w:r>
        <w:rPr>
          <w:rFonts w:ascii="Times New Roman" w:eastAsia="Times New Roman"/>
        </w:rPr>
        <w:t>120 m </w:t>
      </w:r>
      <w:r>
        <w:rPr/>
        <w:t>揭露了土黄色的花岗岩。</w:t>
      </w:r>
    </w:p>
    <w:p>
      <w:pPr>
        <w:pStyle w:val="ListParagraph"/>
        <w:numPr>
          <w:ilvl w:val="0"/>
          <w:numId w:val="37"/>
        </w:numPr>
        <w:tabs>
          <w:tab w:pos="1873" w:val="left" w:leader="none"/>
        </w:tabs>
        <w:spacing w:line="240" w:lineRule="auto" w:before="2" w:after="0"/>
        <w:ind w:left="1872" w:right="0" w:hanging="602"/>
        <w:jc w:val="left"/>
        <w:rPr>
          <w:sz w:val="24"/>
        </w:rPr>
      </w:pPr>
      <w:r>
        <w:rPr>
          <w:sz w:val="24"/>
        </w:rPr>
        <w:t>隔水层</w:t>
      </w:r>
    </w:p>
    <w:p>
      <w:pPr>
        <w:pStyle w:val="BodyText"/>
        <w:spacing w:before="161"/>
        <w:ind w:left="1271"/>
      </w:pPr>
      <w:r>
        <w:rPr/>
        <w:t>分为第四系隔水层和第三系隔水层</w:t>
      </w:r>
    </w:p>
    <w:p>
      <w:pPr>
        <w:pStyle w:val="BodyText"/>
        <w:spacing w:before="160"/>
        <w:ind w:left="1271"/>
      </w:pPr>
      <w:r>
        <w:rPr/>
        <w:t>①第四系隔水层</w:t>
      </w:r>
    </w:p>
    <w:p>
      <w:pPr>
        <w:pStyle w:val="BodyText"/>
        <w:spacing w:before="161"/>
        <w:ind w:left="1271"/>
      </w:pPr>
      <w:r>
        <w:rPr/>
        <w:t>第四系隔水层全区发育，由西往东逐渐增厚，岩性为粘土和亚粘土，颜色为</w:t>
      </w:r>
    </w:p>
    <w:p>
      <w:pPr>
        <w:spacing w:after="0"/>
        <w:sectPr>
          <w:footerReference w:type="default" r:id="rId34"/>
          <w:pgSz w:w="11910" w:h="16840"/>
          <w:pgMar w:footer="993" w:header="0" w:top="1460" w:bottom="1180" w:left="1040" w:right="600"/>
          <w:pgNumType w:start="70"/>
        </w:sectPr>
      </w:pPr>
    </w:p>
    <w:p>
      <w:pPr>
        <w:pStyle w:val="BodyText"/>
        <w:spacing w:line="364" w:lineRule="auto" w:before="62"/>
        <w:ind w:left="711" w:right="1082"/>
      </w:pPr>
      <w:r>
        <w:rPr/>
        <w:t>黑褐色、黄色、浅黄色，质较纯粘土塑性强，干后坚硬，厚度 </w:t>
      </w:r>
      <w:r>
        <w:rPr>
          <w:rFonts w:ascii="Times New Roman" w:eastAsia="Times New Roman"/>
        </w:rPr>
        <w:t>30</w:t>
      </w:r>
      <w:r>
        <w:rPr/>
        <w:t>～</w:t>
      </w:r>
      <w:r>
        <w:rPr>
          <w:rFonts w:ascii="Times New Roman" w:eastAsia="Times New Roman"/>
        </w:rPr>
        <w:t>50m</w:t>
      </w:r>
      <w:r>
        <w:rPr/>
        <w:t>，具有良好的隔水性。</w:t>
      </w:r>
    </w:p>
    <w:p>
      <w:pPr>
        <w:pStyle w:val="BodyText"/>
        <w:spacing w:before="1"/>
        <w:ind w:left="1271"/>
      </w:pPr>
      <w:r>
        <w:rPr/>
        <w:t>②第三系隔水层</w:t>
      </w:r>
    </w:p>
    <w:p>
      <w:pPr>
        <w:pStyle w:val="BodyText"/>
        <w:spacing w:line="364" w:lineRule="auto" w:before="161"/>
        <w:ind w:left="711" w:right="1072" w:firstLine="559"/>
      </w:pPr>
      <w:r>
        <w:rPr/>
        <w:t>第三系隔水层在本区不是普遍发育，只有在南部零星出现，第三系为泥岩， 半胶结，紫黄色，致密具有滑感，具有良好的隔水性，厚度 </w:t>
      </w:r>
      <w:r>
        <w:rPr>
          <w:rFonts w:ascii="Times New Roman" w:eastAsia="Times New Roman"/>
        </w:rPr>
        <w:t>3</w:t>
      </w:r>
      <w:r>
        <w:rPr/>
        <w:t>～</w:t>
      </w:r>
      <w:r>
        <w:rPr>
          <w:rFonts w:ascii="Times New Roman" w:eastAsia="Times New Roman"/>
        </w:rPr>
        <w:t>10 m</w:t>
      </w:r>
      <w:r>
        <w:rPr/>
        <w:t>。</w:t>
      </w:r>
    </w:p>
    <w:p>
      <w:pPr>
        <w:pStyle w:val="ListParagraph"/>
        <w:numPr>
          <w:ilvl w:val="0"/>
          <w:numId w:val="37"/>
        </w:numPr>
        <w:tabs>
          <w:tab w:pos="1873" w:val="left" w:leader="none"/>
        </w:tabs>
        <w:spacing w:line="240" w:lineRule="auto" w:before="1" w:after="0"/>
        <w:ind w:left="1872" w:right="0" w:hanging="602"/>
        <w:jc w:val="left"/>
        <w:rPr>
          <w:sz w:val="24"/>
        </w:rPr>
      </w:pPr>
      <w:r>
        <w:rPr>
          <w:sz w:val="24"/>
        </w:rPr>
        <w:t>断层及钻孔导水情况</w:t>
      </w:r>
    </w:p>
    <w:p>
      <w:pPr>
        <w:pStyle w:val="BodyText"/>
        <w:spacing w:line="364" w:lineRule="auto" w:before="160"/>
        <w:ind w:left="711" w:right="1149" w:firstLine="559"/>
        <w:jc w:val="both"/>
      </w:pPr>
      <w:r>
        <w:rPr>
          <w:spacing w:val="3"/>
        </w:rPr>
        <w:t>本矿井整合矿区范围内实际揭露的断层，多为正断层，导水性不强，只在</w:t>
      </w:r>
      <w:r>
        <w:rPr>
          <w:rFonts w:ascii="Times New Roman" w:eastAsia="Times New Roman"/>
          <w:spacing w:val="3"/>
        </w:rPr>
        <w:t>F6 </w:t>
      </w:r>
      <w:r>
        <w:rPr>
          <w:spacing w:val="-8"/>
        </w:rPr>
        <w:t>断层附近出现涌水，这说明落差大的断层具有一定的导水性，而落差较小的断</w:t>
      </w:r>
      <w:r>
        <w:rPr/>
        <w:t>层导水性差。</w:t>
      </w:r>
    </w:p>
    <w:p>
      <w:pPr>
        <w:pStyle w:val="BodyText"/>
        <w:spacing w:line="364" w:lineRule="auto" w:before="2"/>
        <w:ind w:left="711" w:right="1149" w:firstLine="559"/>
        <w:jc w:val="both"/>
      </w:pPr>
      <w:r>
        <w:rPr>
          <w:spacing w:val="-5"/>
        </w:rPr>
        <w:t>井田范围内的钻孔按要求进行了封闭，封闭所使用的材料为水泥、江砂、谷</w:t>
      </w:r>
      <w:r>
        <w:rPr>
          <w:spacing w:val="-1"/>
        </w:rPr>
        <w:t>草，封闭的长度符合要求，封孔质量较好。矿井在实际生产过程中亦未发现钻孔</w:t>
      </w:r>
      <w:r>
        <w:rPr/>
        <w:t>导水情况。</w:t>
      </w:r>
    </w:p>
    <w:p>
      <w:pPr>
        <w:pStyle w:val="Heading3"/>
        <w:numPr>
          <w:ilvl w:val="2"/>
          <w:numId w:val="36"/>
        </w:numPr>
        <w:tabs>
          <w:tab w:pos="1341" w:val="left" w:leader="none"/>
        </w:tabs>
        <w:spacing w:line="282" w:lineRule="exact" w:before="0" w:after="0"/>
        <w:ind w:left="1340" w:right="0" w:hanging="630"/>
        <w:jc w:val="left"/>
      </w:pPr>
      <w:bookmarkStart w:name="4.1.5土壤" w:id="137"/>
      <w:bookmarkEnd w:id="137"/>
      <w:r>
        <w:rPr>
          <w:b w:val="0"/>
        </w:rPr>
      </w:r>
      <w:bookmarkStart w:name="4.1.5土壤" w:id="138"/>
      <w:bookmarkEnd w:id="138"/>
      <w:r>
        <w:rPr/>
        <w:t>土壤</w:t>
      </w:r>
    </w:p>
    <w:p>
      <w:pPr>
        <w:pStyle w:val="BodyText"/>
        <w:spacing w:line="364" w:lineRule="auto" w:before="185"/>
        <w:ind w:left="711" w:right="1027" w:firstLine="480"/>
      </w:pPr>
      <w:r>
        <w:rPr>
          <w:spacing w:val="-9"/>
        </w:rPr>
        <w:t>双鸭山市有 </w:t>
      </w:r>
      <w:r>
        <w:rPr>
          <w:rFonts w:ascii="Times New Roman" w:eastAsia="Times New Roman"/>
        </w:rPr>
        <w:t>8</w:t>
      </w:r>
      <w:r>
        <w:rPr>
          <w:rFonts w:ascii="Times New Roman" w:eastAsia="Times New Roman"/>
          <w:spacing w:val="7"/>
        </w:rPr>
        <w:t> </w:t>
      </w:r>
      <w:r>
        <w:rPr/>
        <w:t>种土类、</w:t>
      </w:r>
      <w:r>
        <w:rPr>
          <w:rFonts w:ascii="Times New Roman" w:eastAsia="Times New Roman"/>
        </w:rPr>
        <w:t>19</w:t>
      </w:r>
      <w:r>
        <w:rPr>
          <w:rFonts w:ascii="Times New Roman" w:eastAsia="Times New Roman"/>
          <w:spacing w:val="7"/>
        </w:rPr>
        <w:t> </w:t>
      </w:r>
      <w:r>
        <w:rPr/>
        <w:t>个亚类、</w:t>
      </w:r>
      <w:r>
        <w:rPr>
          <w:rFonts w:ascii="Times New Roman" w:eastAsia="Times New Roman"/>
        </w:rPr>
        <w:t>15</w:t>
      </w:r>
      <w:r>
        <w:rPr>
          <w:rFonts w:ascii="Times New Roman" w:eastAsia="Times New Roman"/>
          <w:spacing w:val="7"/>
        </w:rPr>
        <w:t> </w:t>
      </w:r>
      <w:r>
        <w:rPr>
          <w:spacing w:val="1"/>
        </w:rPr>
        <w:t>个土属、</w:t>
      </w:r>
      <w:r>
        <w:rPr>
          <w:rFonts w:ascii="Times New Roman" w:eastAsia="Times New Roman"/>
        </w:rPr>
        <w:t>44</w:t>
      </w:r>
      <w:r>
        <w:rPr>
          <w:rFonts w:ascii="Times New Roman" w:eastAsia="Times New Roman"/>
          <w:spacing w:val="6"/>
        </w:rPr>
        <w:t> </w:t>
      </w:r>
      <w:r>
        <w:rPr/>
        <w:t>个土种。按面积大小排次</w:t>
      </w:r>
      <w:r>
        <w:rPr>
          <w:spacing w:val="-14"/>
        </w:rPr>
        <w:t>为：草甸土，分布在北部和南部的平原区，占全区土地面积的 </w:t>
      </w:r>
      <w:r>
        <w:rPr>
          <w:rFonts w:ascii="Times New Roman" w:eastAsia="Times New Roman"/>
          <w:spacing w:val="-7"/>
        </w:rPr>
        <w:t>43.2%</w:t>
      </w:r>
      <w:r>
        <w:rPr>
          <w:spacing w:val="-17"/>
        </w:rPr>
        <w:t>，其中 </w:t>
      </w:r>
      <w:r>
        <w:rPr>
          <w:rFonts w:ascii="Times New Roman" w:eastAsia="Times New Roman"/>
        </w:rPr>
        <w:t>78.8% </w:t>
      </w:r>
      <w:r>
        <w:rPr>
          <w:spacing w:val="-11"/>
        </w:rPr>
        <w:t>开垦成耕地；黑土，分布在中和中南部缓坡漫岗地带，占全区土地面积的 </w:t>
      </w:r>
      <w:r>
        <w:rPr>
          <w:rFonts w:ascii="Times New Roman" w:eastAsia="Times New Roman"/>
          <w:spacing w:val="-3"/>
        </w:rPr>
        <w:t>32.6%</w:t>
      </w:r>
      <w:r>
        <w:rPr>
          <w:spacing w:val="-3"/>
        </w:rPr>
        <w:t>， </w:t>
      </w:r>
      <w:r>
        <w:rPr>
          <w:spacing w:val="-17"/>
        </w:rPr>
        <w:t>其中 </w:t>
      </w:r>
      <w:r>
        <w:rPr>
          <w:rFonts w:ascii="Times New Roman" w:eastAsia="Times New Roman"/>
        </w:rPr>
        <w:t>78.8%</w:t>
      </w:r>
      <w:r>
        <w:rPr/>
        <w:t>开垦成耕地；暗棕土壤，分布在西和西南部低山丘区，占全区土地面</w:t>
      </w:r>
      <w:r>
        <w:rPr>
          <w:spacing w:val="-21"/>
        </w:rPr>
        <w:t>积的 </w:t>
      </w:r>
      <w:r>
        <w:rPr>
          <w:rFonts w:ascii="Times New Roman" w:eastAsia="Times New Roman"/>
        </w:rPr>
        <w:t>18.8%</w:t>
      </w:r>
      <w:r>
        <w:rPr>
          <w:spacing w:val="-15"/>
        </w:rPr>
        <w:t>，其中 </w:t>
      </w:r>
      <w:r>
        <w:rPr>
          <w:rFonts w:ascii="Times New Roman" w:eastAsia="Times New Roman"/>
        </w:rPr>
        <w:t>4.4%</w:t>
      </w:r>
      <w:r>
        <w:rPr>
          <w:spacing w:val="-4"/>
        </w:rPr>
        <w:t>开垦成耕地；白浆土，分布在山下缓坡漫岗地带，占全区</w:t>
      </w:r>
      <w:r>
        <w:rPr>
          <w:spacing w:val="-14"/>
        </w:rPr>
        <w:t>土地面积的 </w:t>
      </w:r>
      <w:r>
        <w:rPr>
          <w:rFonts w:ascii="Times New Roman" w:eastAsia="Times New Roman"/>
        </w:rPr>
        <w:t>1.0%</w:t>
      </w:r>
      <w:r>
        <w:rPr>
          <w:spacing w:val="-16"/>
        </w:rPr>
        <w:t>，其中 </w:t>
      </w:r>
      <w:r>
        <w:rPr>
          <w:rFonts w:ascii="Times New Roman" w:eastAsia="Times New Roman"/>
        </w:rPr>
        <w:t>50.0%</w:t>
      </w:r>
      <w:r>
        <w:rPr>
          <w:spacing w:val="-4"/>
        </w:rPr>
        <w:t>开垦成耕地；沼泽地，分布在低湿沼泽地，占全区</w:t>
      </w:r>
      <w:r>
        <w:rPr>
          <w:spacing w:val="-15"/>
        </w:rPr>
        <w:t>土地面积的 </w:t>
      </w:r>
      <w:r>
        <w:rPr>
          <w:rFonts w:ascii="Times New Roman" w:eastAsia="Times New Roman"/>
        </w:rPr>
        <w:t>0.31%</w:t>
      </w:r>
      <w:r>
        <w:rPr>
          <w:spacing w:val="-7"/>
        </w:rPr>
        <w:t>；泥炭土，分布在沼泽地，占全区土地面积的 </w:t>
      </w:r>
      <w:r>
        <w:rPr>
          <w:rFonts w:ascii="Times New Roman" w:eastAsia="Times New Roman"/>
        </w:rPr>
        <w:t>0.30%</w:t>
      </w:r>
      <w:r>
        <w:rPr>
          <w:spacing w:val="-3"/>
        </w:rPr>
        <w:t>；水稻土， </w:t>
      </w:r>
      <w:r>
        <w:rPr>
          <w:spacing w:val="-7"/>
        </w:rPr>
        <w:t>占全区土地面积的 </w:t>
      </w:r>
      <w:r>
        <w:rPr>
          <w:rFonts w:ascii="Times New Roman" w:eastAsia="Times New Roman"/>
        </w:rPr>
        <w:t>1.0%</w:t>
      </w:r>
      <w:r>
        <w:rPr/>
        <w:t>。</w:t>
      </w:r>
    </w:p>
    <w:p>
      <w:pPr>
        <w:pStyle w:val="Heading3"/>
        <w:numPr>
          <w:ilvl w:val="2"/>
          <w:numId w:val="36"/>
        </w:numPr>
        <w:tabs>
          <w:tab w:pos="1341" w:val="left" w:leader="none"/>
        </w:tabs>
        <w:spacing w:line="355" w:lineRule="exact" w:before="0" w:after="0"/>
        <w:ind w:left="1340" w:right="0" w:hanging="630"/>
        <w:jc w:val="left"/>
      </w:pPr>
      <w:bookmarkStart w:name="4.1.6植物植被" w:id="139"/>
      <w:bookmarkEnd w:id="139"/>
      <w:r>
        <w:rPr>
          <w:b w:val="0"/>
        </w:rPr>
      </w:r>
      <w:bookmarkStart w:name="4.1.6植物植被" w:id="140"/>
      <w:bookmarkEnd w:id="140"/>
      <w:r>
        <w:rPr/>
        <w:t>植物植被</w:t>
      </w:r>
    </w:p>
    <w:p>
      <w:pPr>
        <w:pStyle w:val="BodyText"/>
        <w:spacing w:line="364" w:lineRule="auto" w:before="186"/>
        <w:ind w:left="711" w:right="1149" w:firstLine="480"/>
        <w:jc w:val="both"/>
      </w:pPr>
      <w:r>
        <w:rPr>
          <w:spacing w:val="-1"/>
        </w:rPr>
        <w:t>双鸭山市属长白植物区系，为低湿平原区以低山丘陵区，分布有森林植被。</w:t>
      </w:r>
      <w:r>
        <w:rPr>
          <w:spacing w:val="-7"/>
        </w:rPr>
        <w:t>双鸭山市森林覆盖率 </w:t>
      </w:r>
      <w:r>
        <w:rPr>
          <w:rFonts w:ascii="Times New Roman" w:eastAsia="Times New Roman"/>
        </w:rPr>
        <w:t>40%</w:t>
      </w:r>
      <w:r>
        <w:rPr>
          <w:spacing w:val="-13"/>
        </w:rPr>
        <w:t>。地方林业系统共有 </w:t>
      </w:r>
      <w:r>
        <w:rPr>
          <w:rFonts w:ascii="Times New Roman" w:eastAsia="Times New Roman"/>
        </w:rPr>
        <w:t>23 </w:t>
      </w:r>
      <w:r>
        <w:rPr>
          <w:spacing w:val="-11"/>
        </w:rPr>
        <w:t>个国有林场，森林面积 </w:t>
      </w:r>
      <w:r>
        <w:rPr>
          <w:rFonts w:ascii="Times New Roman" w:eastAsia="Times New Roman"/>
        </w:rPr>
        <w:t>26.37 </w:t>
      </w:r>
      <w:r>
        <w:rPr>
          <w:spacing w:val="-15"/>
        </w:rPr>
        <w:t>万</w:t>
      </w:r>
    </w:p>
    <w:p>
      <w:pPr>
        <w:pStyle w:val="BodyText"/>
        <w:spacing w:line="364" w:lineRule="auto" w:before="1"/>
        <w:ind w:left="711" w:right="1149"/>
        <w:jc w:val="both"/>
      </w:pPr>
      <w:r>
        <w:rPr>
          <w:spacing w:val="-4"/>
        </w:rPr>
        <w:t>公顷，活立木总蓄积量 </w:t>
      </w:r>
      <w:r>
        <w:rPr>
          <w:rFonts w:ascii="Times New Roman" w:eastAsia="Times New Roman"/>
        </w:rPr>
        <w:t>1761.53</w:t>
      </w:r>
      <w:r>
        <w:rPr>
          <w:rFonts w:ascii="Times New Roman" w:eastAsia="Times New Roman"/>
          <w:spacing w:val="23"/>
        </w:rPr>
        <w:t> </w:t>
      </w:r>
      <w:r>
        <w:rPr/>
        <w:t>万立方米。植被类型为温带针阔叶混交林，主要</w:t>
      </w:r>
      <w:r>
        <w:rPr>
          <w:spacing w:val="-1"/>
        </w:rPr>
        <w:t>树种有落叶松、樟子松、红松、云杉、槭树、色树、椴树、榆树、桦树、杨树、胡桃楸、水曲柳、黄菠萝等。食用的真菌类有黑木耳，猴头蘑、元蘑、榛蘑等； 山野菜类有蕨菜、黄花菜、黄瓜香、剌嫩芽；山产品有榛子、橡子、松树籽、山葡萄、猕猴桃、黑加伦、山核桃。野生药用植物主要有五味子、山花、龙胆草、</w:t>
      </w:r>
    </w:p>
    <w:p>
      <w:pPr>
        <w:spacing w:after="0" w:line="364" w:lineRule="auto"/>
        <w:jc w:val="both"/>
        <w:sectPr>
          <w:pgSz w:w="11910" w:h="16840"/>
          <w:pgMar w:header="0" w:footer="993" w:top="1440" w:bottom="1180" w:left="1040" w:right="600"/>
        </w:sectPr>
      </w:pPr>
    </w:p>
    <w:p>
      <w:pPr>
        <w:pStyle w:val="BodyText"/>
        <w:spacing w:line="364" w:lineRule="auto" w:before="43"/>
        <w:ind w:left="711" w:right="1027"/>
        <w:jc w:val="both"/>
      </w:pPr>
      <w:r>
        <w:rPr>
          <w:spacing w:val="-13"/>
        </w:rPr>
        <w:t>人参、平贝、剌五加、满山红、黄柏、赤芍、升麻、桔梗、白鲜皮、苍术、贯仲、</w:t>
      </w:r>
      <w:r>
        <w:rPr>
          <w:spacing w:val="-15"/>
        </w:rPr>
        <w:t>木贼等 </w:t>
      </w:r>
      <w:r>
        <w:rPr>
          <w:rFonts w:ascii="Times New Roman" w:eastAsia="Times New Roman"/>
        </w:rPr>
        <w:t>150 </w:t>
      </w:r>
      <w:r>
        <w:rPr>
          <w:spacing w:val="-8"/>
        </w:rPr>
        <w:t>余种，常用的有 </w:t>
      </w:r>
      <w:r>
        <w:rPr>
          <w:rFonts w:ascii="Times New Roman" w:eastAsia="Times New Roman"/>
        </w:rPr>
        <w:t>60 </w:t>
      </w:r>
      <w:r>
        <w:rPr/>
        <w:t>余种。</w:t>
      </w:r>
    </w:p>
    <w:p>
      <w:pPr>
        <w:pStyle w:val="Heading2"/>
        <w:numPr>
          <w:ilvl w:val="1"/>
          <w:numId w:val="36"/>
        </w:numPr>
        <w:tabs>
          <w:tab w:pos="1161" w:val="left" w:leader="none"/>
        </w:tabs>
        <w:spacing w:line="240" w:lineRule="auto" w:before="116" w:after="0"/>
        <w:ind w:left="1160" w:right="0" w:hanging="450"/>
        <w:jc w:val="left"/>
      </w:pPr>
      <w:bookmarkStart w:name="4.2敏感目标调查" w:id="141"/>
      <w:bookmarkEnd w:id="141"/>
      <w:r>
        <w:rPr>
          <w:b w:val="0"/>
        </w:rPr>
      </w:r>
      <w:bookmarkStart w:name="_bookmark21" w:id="142"/>
      <w:bookmarkEnd w:id="142"/>
      <w:r>
        <w:rPr>
          <w:b w:val="0"/>
        </w:rPr>
      </w:r>
      <w:bookmarkStart w:name="_bookmark21" w:id="143"/>
      <w:bookmarkEnd w:id="143"/>
      <w:r>
        <w:rPr/>
        <w:t>敏感目标调查</w:t>
      </w:r>
    </w:p>
    <w:p>
      <w:pPr>
        <w:pStyle w:val="BodyText"/>
        <w:spacing w:line="364" w:lineRule="auto" w:before="122"/>
        <w:ind w:left="711" w:right="1149" w:firstLine="480"/>
        <w:jc w:val="right"/>
      </w:pPr>
      <w:r>
        <w:rPr/>
        <w:t>调查过程：根据《建设项目环境影响评价技术导则总纲》（</w:t>
      </w:r>
      <w:r>
        <w:rPr>
          <w:rFonts w:ascii="Times New Roman" w:eastAsia="Times New Roman"/>
        </w:rPr>
        <w:t>HJ2.1-2016</w:t>
      </w:r>
      <w:r>
        <w:rPr/>
        <w:t>）， 环境保护目标调查应调查评价范围内的环境功能区划和主要的环境敏感区，详细了解环境保护目标的地理位置、服务功能、四至范围、保护对象和保护要求等。本评价区内无国家、省、市级自然保护区，但为了保护本项目所在区域环境</w:t>
      </w:r>
    </w:p>
    <w:p>
      <w:pPr>
        <w:pStyle w:val="BodyText"/>
        <w:spacing w:line="364" w:lineRule="auto"/>
        <w:ind w:left="711" w:right="1147"/>
        <w:jc w:val="both"/>
      </w:pPr>
      <w:r>
        <w:rPr>
          <w:spacing w:val="-8"/>
        </w:rPr>
        <w:t>空气、生态、地下水质量及地表水体安邦河，应贯彻污染源治理</w:t>
      </w:r>
      <w:r>
        <w:rPr>
          <w:rFonts w:ascii="Times New Roman" w:hAnsi="Times New Roman" w:eastAsia="Times New Roman"/>
        </w:rPr>
        <w:t>“</w:t>
      </w:r>
      <w:r>
        <w:rPr/>
        <w:t>达标排放</w:t>
      </w:r>
      <w:r>
        <w:rPr>
          <w:rFonts w:ascii="Times New Roman" w:hAnsi="Times New Roman" w:eastAsia="Times New Roman"/>
        </w:rPr>
        <w:t>”</w:t>
      </w:r>
      <w:r>
        <w:rPr>
          <w:spacing w:val="-20"/>
        </w:rPr>
        <w:t>、</w:t>
      </w:r>
      <w:r>
        <w:rPr>
          <w:rFonts w:ascii="Times New Roman" w:hAnsi="Times New Roman" w:eastAsia="Times New Roman"/>
        </w:rPr>
        <w:t>“</w:t>
      </w:r>
      <w:r>
        <w:rPr>
          <w:spacing w:val="-13"/>
        </w:rPr>
        <w:t>总</w:t>
      </w:r>
      <w:r>
        <w:rPr/>
        <w:t>量控制</w:t>
      </w:r>
      <w:r>
        <w:rPr>
          <w:rFonts w:ascii="Times New Roman" w:hAnsi="Times New Roman" w:eastAsia="Times New Roman"/>
        </w:rPr>
        <w:t>”</w:t>
      </w:r>
      <w:r>
        <w:rPr>
          <w:spacing w:val="-27"/>
        </w:rPr>
        <w:t>、</w:t>
      </w:r>
      <w:r>
        <w:rPr>
          <w:rFonts w:ascii="Times New Roman" w:hAnsi="Times New Roman" w:eastAsia="Times New Roman"/>
        </w:rPr>
        <w:t>“</w:t>
      </w:r>
      <w:r>
        <w:rPr/>
        <w:t>清洁生产</w:t>
      </w:r>
      <w:r>
        <w:rPr>
          <w:rFonts w:ascii="Times New Roman" w:hAnsi="Times New Roman" w:eastAsia="Times New Roman"/>
        </w:rPr>
        <w:t>”</w:t>
      </w:r>
      <w:r>
        <w:rPr>
          <w:spacing w:val="-8"/>
        </w:rPr>
        <w:t>的原则，提出切实可行的污染防治方案，以减少对纳污环境</w:t>
      </w:r>
      <w:r>
        <w:rPr/>
        <w:t>的污染负荷。</w:t>
      </w:r>
    </w:p>
    <w:p>
      <w:pPr>
        <w:pStyle w:val="ListParagraph"/>
        <w:numPr>
          <w:ilvl w:val="0"/>
          <w:numId w:val="38"/>
        </w:numPr>
        <w:tabs>
          <w:tab w:pos="1793" w:val="left" w:leader="none"/>
        </w:tabs>
        <w:spacing w:line="362" w:lineRule="auto" w:before="0" w:after="0"/>
        <w:ind w:left="711" w:right="1149" w:firstLine="480"/>
        <w:jc w:val="left"/>
        <w:rPr>
          <w:sz w:val="24"/>
        </w:rPr>
      </w:pPr>
      <w:r>
        <w:rPr>
          <w:spacing w:val="-3"/>
          <w:sz w:val="24"/>
        </w:rPr>
        <w:t>本项目位于于双鸭山市岭东区长胜乡东兴村南 </w:t>
      </w:r>
      <w:r>
        <w:rPr>
          <w:rFonts w:ascii="Times New Roman" w:eastAsia="Times New Roman"/>
          <w:spacing w:val="-6"/>
          <w:sz w:val="24"/>
        </w:rPr>
        <w:t>2.5km</w:t>
      </w:r>
      <w:r>
        <w:rPr>
          <w:spacing w:val="-2"/>
          <w:sz w:val="24"/>
        </w:rPr>
        <w:t>，项目厂址周围</w:t>
      </w:r>
      <w:r>
        <w:rPr>
          <w:spacing w:val="-4"/>
          <w:sz w:val="24"/>
        </w:rPr>
        <w:t>为林地、农田。</w:t>
      </w:r>
    </w:p>
    <w:p>
      <w:pPr>
        <w:pStyle w:val="ListParagraph"/>
        <w:numPr>
          <w:ilvl w:val="0"/>
          <w:numId w:val="38"/>
        </w:numPr>
        <w:tabs>
          <w:tab w:pos="1793" w:val="left" w:leader="none"/>
        </w:tabs>
        <w:spacing w:line="364" w:lineRule="auto" w:before="2" w:after="0"/>
        <w:ind w:left="711" w:right="1149" w:firstLine="480"/>
        <w:jc w:val="left"/>
        <w:rPr>
          <w:sz w:val="24"/>
        </w:rPr>
      </w:pPr>
      <w:r>
        <w:rPr>
          <w:spacing w:val="-4"/>
          <w:sz w:val="24"/>
        </w:rPr>
        <w:t>本项目不涉及重要湿地和重要水生生物的自然产卵场、索饵场、越冬场和洄游通道。</w:t>
      </w:r>
    </w:p>
    <w:p>
      <w:pPr>
        <w:pStyle w:val="ListParagraph"/>
        <w:numPr>
          <w:ilvl w:val="0"/>
          <w:numId w:val="38"/>
        </w:numPr>
        <w:tabs>
          <w:tab w:pos="1793" w:val="left" w:leader="none"/>
        </w:tabs>
        <w:spacing w:line="306" w:lineRule="exact" w:before="0" w:after="0"/>
        <w:ind w:left="1793" w:right="0" w:hanging="602"/>
        <w:jc w:val="left"/>
        <w:rPr>
          <w:sz w:val="24"/>
        </w:rPr>
      </w:pPr>
      <w:r>
        <w:rPr>
          <w:sz w:val="24"/>
        </w:rPr>
        <w:t>本项目评价范围内无森林公园、地质公园等。</w:t>
      </w:r>
    </w:p>
    <w:p>
      <w:pPr>
        <w:pStyle w:val="ListParagraph"/>
        <w:numPr>
          <w:ilvl w:val="0"/>
          <w:numId w:val="38"/>
        </w:numPr>
        <w:tabs>
          <w:tab w:pos="1793" w:val="left" w:leader="none"/>
        </w:tabs>
        <w:spacing w:line="364" w:lineRule="auto" w:before="161" w:after="0"/>
        <w:ind w:left="711" w:right="1149" w:firstLine="480"/>
        <w:jc w:val="both"/>
        <w:rPr>
          <w:sz w:val="24"/>
        </w:rPr>
      </w:pPr>
      <w:r>
        <w:rPr>
          <w:spacing w:val="-2"/>
          <w:sz w:val="24"/>
        </w:rPr>
        <w:t>本项目环境保护目标主要为评价区范围内受本项目影响的环境空气、</w:t>
      </w:r>
      <w:r>
        <w:rPr>
          <w:spacing w:val="-4"/>
          <w:sz w:val="24"/>
        </w:rPr>
        <w:t>水环境、声环境。同时，通过对评价范围内环境及人群分布情况的调查，确定本</w:t>
      </w:r>
      <w:r>
        <w:rPr>
          <w:spacing w:val="-8"/>
          <w:sz w:val="24"/>
        </w:rPr>
        <w:t>项目的环境保护目标，具体见表 </w:t>
      </w:r>
      <w:r>
        <w:rPr>
          <w:rFonts w:ascii="Times New Roman" w:eastAsia="Times New Roman"/>
          <w:sz w:val="24"/>
        </w:rPr>
        <w:t>2.5-1</w:t>
      </w:r>
      <w:r>
        <w:rPr>
          <w:sz w:val="24"/>
        </w:rPr>
        <w:t>。</w:t>
      </w:r>
    </w:p>
    <w:p>
      <w:pPr>
        <w:spacing w:after="0" w:line="364" w:lineRule="auto"/>
        <w:jc w:val="both"/>
        <w:rPr>
          <w:sz w:val="24"/>
        </w:rPr>
        <w:sectPr>
          <w:pgSz w:w="11910" w:h="16840"/>
          <w:pgMar w:header="0" w:footer="993" w:top="1380" w:bottom="1180" w:left="1040" w:right="600"/>
        </w:sectPr>
      </w:pPr>
    </w:p>
    <w:p>
      <w:pPr>
        <w:pStyle w:val="BodyText"/>
        <w:spacing w:before="6"/>
        <w:rPr>
          <w:sz w:val="19"/>
        </w:rPr>
      </w:pPr>
    </w:p>
    <w:p>
      <w:pPr>
        <w:pStyle w:val="Heading1"/>
        <w:numPr>
          <w:ilvl w:val="0"/>
          <w:numId w:val="5"/>
        </w:numPr>
        <w:tabs>
          <w:tab w:pos="2342" w:val="left" w:leader="none"/>
        </w:tabs>
        <w:spacing w:line="240" w:lineRule="auto" w:before="61" w:after="0"/>
        <w:ind w:left="2341" w:right="435" w:hanging="2342"/>
        <w:jc w:val="left"/>
      </w:pPr>
      <w:bookmarkStart w:name="5.地表沉陷预测及生态环境影响评价" w:id="144"/>
      <w:bookmarkEnd w:id="144"/>
      <w:r>
        <w:rPr>
          <w:b w:val="0"/>
        </w:rPr>
      </w:r>
      <w:bookmarkStart w:name="_bookmark22" w:id="145"/>
      <w:bookmarkEnd w:id="145"/>
      <w:r>
        <w:rPr>
          <w:b w:val="0"/>
        </w:rPr>
      </w:r>
      <w:bookmarkStart w:name="_bookmark22" w:id="146"/>
      <w:bookmarkEnd w:id="146"/>
      <w:r>
        <w:rPr/>
        <w:t>地表沉陷预测及生态环境影响评价</w:t>
      </w:r>
    </w:p>
    <w:p>
      <w:pPr>
        <w:pStyle w:val="Heading2"/>
        <w:numPr>
          <w:ilvl w:val="1"/>
          <w:numId w:val="39"/>
        </w:numPr>
        <w:tabs>
          <w:tab w:pos="1161" w:val="left" w:leader="none"/>
        </w:tabs>
        <w:spacing w:line="240" w:lineRule="auto" w:before="357" w:after="0"/>
        <w:ind w:left="1160" w:right="0" w:hanging="450"/>
        <w:jc w:val="left"/>
      </w:pPr>
      <w:bookmarkStart w:name="5.1生态环境现状调查与评价" w:id="147"/>
      <w:bookmarkEnd w:id="147"/>
      <w:r>
        <w:rPr>
          <w:b w:val="0"/>
        </w:rPr>
      </w:r>
      <w:bookmarkStart w:name="_bookmark23" w:id="148"/>
      <w:bookmarkEnd w:id="148"/>
      <w:r>
        <w:rPr>
          <w:b w:val="0"/>
        </w:rPr>
      </w:r>
      <w:bookmarkStart w:name="_bookmark23" w:id="149"/>
      <w:bookmarkEnd w:id="149"/>
      <w:r>
        <w:rPr/>
        <w:t>生态环境现状调查与评价</w:t>
      </w:r>
    </w:p>
    <w:p>
      <w:pPr>
        <w:pStyle w:val="Heading3"/>
        <w:numPr>
          <w:ilvl w:val="2"/>
          <w:numId w:val="39"/>
        </w:numPr>
        <w:tabs>
          <w:tab w:pos="1341" w:val="left" w:leader="none"/>
        </w:tabs>
        <w:spacing w:line="240" w:lineRule="auto" w:before="123" w:after="0"/>
        <w:ind w:left="1340" w:right="0" w:hanging="630"/>
        <w:jc w:val="left"/>
      </w:pPr>
      <w:bookmarkStart w:name="5.1.1植被现状" w:id="150"/>
      <w:bookmarkEnd w:id="150"/>
      <w:r>
        <w:rPr>
          <w:b w:val="0"/>
        </w:rPr>
      </w:r>
      <w:bookmarkStart w:name="5.1.1植被现状" w:id="151"/>
      <w:bookmarkEnd w:id="151"/>
      <w:r>
        <w:rPr/>
        <w:t>植被现状</w:t>
      </w:r>
    </w:p>
    <w:p>
      <w:pPr>
        <w:pStyle w:val="Heading4"/>
        <w:numPr>
          <w:ilvl w:val="3"/>
          <w:numId w:val="39"/>
        </w:numPr>
        <w:tabs>
          <w:tab w:pos="1492" w:val="left" w:leader="none"/>
        </w:tabs>
        <w:spacing w:line="240" w:lineRule="auto" w:before="265" w:after="0"/>
        <w:ind w:left="1492" w:right="0" w:hanging="781"/>
        <w:jc w:val="left"/>
      </w:pPr>
      <w:r>
        <w:rPr/>
        <w:t>植被类型与分布</w:t>
      </w:r>
    </w:p>
    <w:p>
      <w:pPr>
        <w:pStyle w:val="BodyText"/>
        <w:spacing w:line="362" w:lineRule="auto" w:before="81"/>
        <w:ind w:left="711" w:right="1149" w:firstLine="482"/>
      </w:pPr>
      <w:r>
        <w:rPr/>
        <w:t>矿区多被植被覆盖。森林以针叶为主，部分为人工林，耕地多种植玉米和大豆。项目区典型植被见图 </w:t>
      </w:r>
      <w:r>
        <w:rPr>
          <w:rFonts w:ascii="Times New Roman" w:eastAsia="Times New Roman"/>
        </w:rPr>
        <w:t>5.1-1</w:t>
      </w:r>
      <w:r>
        <w:rPr/>
        <w:t>。</w:t>
      </w:r>
    </w:p>
    <w:p>
      <w:pPr>
        <w:pStyle w:val="BodyText"/>
        <w:rPr>
          <w:sz w:val="19"/>
        </w:rPr>
      </w:pPr>
      <w:r>
        <w:rPr/>
        <w:drawing>
          <wp:anchor distT="0" distB="0" distL="0" distR="0" allowOverlap="1" layoutInCell="1" locked="0" behindDoc="0" simplePos="0" relativeHeight="103">
            <wp:simplePos x="0" y="0"/>
            <wp:positionH relativeFrom="page">
              <wp:posOffset>1493519</wp:posOffset>
            </wp:positionH>
            <wp:positionV relativeFrom="paragraph">
              <wp:posOffset>179474</wp:posOffset>
            </wp:positionV>
            <wp:extent cx="4542064" cy="2557843"/>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35" cstate="print"/>
                    <a:stretch>
                      <a:fillRect/>
                    </a:stretch>
                  </pic:blipFill>
                  <pic:spPr>
                    <a:xfrm>
                      <a:off x="0" y="0"/>
                      <a:ext cx="4542064" cy="2557843"/>
                    </a:xfrm>
                    <a:prstGeom prst="rect">
                      <a:avLst/>
                    </a:prstGeom>
                  </pic:spPr>
                </pic:pic>
              </a:graphicData>
            </a:graphic>
          </wp:anchor>
        </w:drawing>
      </w:r>
    </w:p>
    <w:p>
      <w:pPr>
        <w:pStyle w:val="BodyText"/>
        <w:spacing w:before="11"/>
        <w:rPr>
          <w:sz w:val="16"/>
        </w:rPr>
      </w:pPr>
    </w:p>
    <w:p>
      <w:pPr>
        <w:pStyle w:val="Heading4"/>
        <w:spacing w:before="76"/>
        <w:ind w:right="432"/>
        <w:jc w:val="center"/>
      </w:pPr>
      <w:r>
        <w:rPr/>
        <w:t>图 </w:t>
      </w:r>
      <w:r>
        <w:rPr>
          <w:rFonts w:ascii="Times New Roman" w:eastAsia="Times New Roman"/>
        </w:rPr>
        <w:t>5.1-1 </w:t>
      </w:r>
      <w:r>
        <w:rPr/>
        <w:t>项目区典型植被</w:t>
      </w:r>
    </w:p>
    <w:p>
      <w:pPr>
        <w:pStyle w:val="ListParagraph"/>
        <w:numPr>
          <w:ilvl w:val="3"/>
          <w:numId w:val="39"/>
        </w:numPr>
        <w:tabs>
          <w:tab w:pos="1492" w:val="left" w:leader="none"/>
        </w:tabs>
        <w:spacing w:line="240" w:lineRule="auto" w:before="82" w:after="0"/>
        <w:ind w:left="1492" w:right="0" w:hanging="781"/>
        <w:jc w:val="left"/>
        <w:rPr>
          <w:b/>
          <w:sz w:val="24"/>
        </w:rPr>
      </w:pPr>
      <w:r>
        <w:rPr>
          <w:b/>
          <w:sz w:val="24"/>
        </w:rPr>
        <w:t>植被资源</w:t>
      </w:r>
    </w:p>
    <w:p>
      <w:pPr>
        <w:pStyle w:val="BodyText"/>
        <w:spacing w:line="364" w:lineRule="auto" w:before="160"/>
        <w:ind w:left="711" w:right="1149" w:firstLine="480"/>
      </w:pPr>
      <w:r>
        <w:rPr>
          <w:spacing w:val="-1"/>
        </w:rPr>
        <w:t>双鸭山市属长白植物区系，为低湿平原区以低山丘陵区，分布有森林植被。</w:t>
      </w:r>
      <w:r>
        <w:rPr>
          <w:spacing w:val="-7"/>
        </w:rPr>
        <w:t>双鸭山市森林覆盖率 </w:t>
      </w:r>
      <w:r>
        <w:rPr>
          <w:rFonts w:ascii="Times New Roman" w:eastAsia="Times New Roman"/>
        </w:rPr>
        <w:t>40%</w:t>
      </w:r>
      <w:r>
        <w:rPr>
          <w:spacing w:val="-13"/>
        </w:rPr>
        <w:t>。地方林业系统共有 </w:t>
      </w:r>
      <w:r>
        <w:rPr>
          <w:rFonts w:ascii="Times New Roman" w:eastAsia="Times New Roman"/>
        </w:rPr>
        <w:t>23 </w:t>
      </w:r>
      <w:r>
        <w:rPr>
          <w:spacing w:val="-11"/>
        </w:rPr>
        <w:t>个国有林场，森林面积 </w:t>
      </w:r>
      <w:r>
        <w:rPr>
          <w:rFonts w:ascii="Times New Roman" w:eastAsia="Times New Roman"/>
        </w:rPr>
        <w:t>26.37 </w:t>
      </w:r>
      <w:r>
        <w:rPr>
          <w:spacing w:val="-15"/>
        </w:rPr>
        <w:t>万</w:t>
      </w:r>
    </w:p>
    <w:p>
      <w:pPr>
        <w:pStyle w:val="BodyText"/>
        <w:spacing w:line="364" w:lineRule="auto" w:before="1"/>
        <w:ind w:left="711" w:right="1033"/>
      </w:pPr>
      <w:r>
        <w:rPr>
          <w:spacing w:val="-5"/>
        </w:rPr>
        <w:t>公顷，活立木总蓄积量 </w:t>
      </w:r>
      <w:r>
        <w:rPr>
          <w:rFonts w:ascii="Times New Roman" w:eastAsia="Times New Roman"/>
        </w:rPr>
        <w:t>1761.53 </w:t>
      </w:r>
      <w:r>
        <w:rPr/>
        <w:t>万立方米。植被类型为温带针阔叶混交林，主要树种有落叶松、樟子松、红松、云杉、槭树、色树、椴树、榆树、桦树、杨树、胡桃楸、水曲柳、黄菠萝等。食用的真菌类有黑木耳，猴头蘑、元蘑、榛蘑等； 山野菜类有蕨菜、黄花菜、黄瓜香、剌嫩芽；山产品有榛子、橡子、松树籽、山葡萄、猕猴桃、黑加伦、山核桃。野生药用植物主要有五味子、山花、龙胆草、</w:t>
      </w:r>
      <w:r>
        <w:rPr>
          <w:spacing w:val="-13"/>
        </w:rPr>
        <w:t>人参、平贝、剌五加、满山红、黄柏、赤芍、升麻、桔梗、白鲜皮、苍术、贯仲、</w:t>
      </w:r>
      <w:r>
        <w:rPr>
          <w:spacing w:val="-15"/>
        </w:rPr>
        <w:t>木贼等 </w:t>
      </w:r>
      <w:r>
        <w:rPr>
          <w:rFonts w:ascii="Times New Roman" w:eastAsia="Times New Roman"/>
        </w:rPr>
        <w:t>150 </w:t>
      </w:r>
      <w:r>
        <w:rPr>
          <w:spacing w:val="-8"/>
        </w:rPr>
        <w:t>余种，常用的有 </w:t>
      </w:r>
      <w:r>
        <w:rPr>
          <w:rFonts w:ascii="Times New Roman" w:eastAsia="Times New Roman"/>
        </w:rPr>
        <w:t>60 </w:t>
      </w:r>
      <w:r>
        <w:rPr/>
        <w:t>余种。</w:t>
      </w:r>
    </w:p>
    <w:p>
      <w:pPr>
        <w:spacing w:after="0" w:line="364" w:lineRule="auto"/>
        <w:sectPr>
          <w:pgSz w:w="11910" w:h="16840"/>
          <w:pgMar w:header="0" w:footer="993" w:top="1580" w:bottom="1180" w:left="1040" w:right="600"/>
        </w:sectPr>
      </w:pPr>
    </w:p>
    <w:p>
      <w:pPr>
        <w:pStyle w:val="Heading3"/>
        <w:numPr>
          <w:ilvl w:val="2"/>
          <w:numId w:val="39"/>
        </w:numPr>
        <w:tabs>
          <w:tab w:pos="1413" w:val="left" w:leader="none"/>
        </w:tabs>
        <w:spacing w:line="240" w:lineRule="auto" w:before="44" w:after="0"/>
        <w:ind w:left="1412" w:right="0" w:hanging="702"/>
        <w:jc w:val="left"/>
      </w:pPr>
      <w:bookmarkStart w:name="5.1.2 野生动物资源" w:id="152"/>
      <w:bookmarkEnd w:id="152"/>
      <w:r>
        <w:rPr>
          <w:b w:val="0"/>
        </w:rPr>
      </w:r>
      <w:bookmarkStart w:name="5.1.2 野生动物资源" w:id="153"/>
      <w:bookmarkEnd w:id="153"/>
      <w:r>
        <w:rPr/>
        <w:t>野生动物资源</w:t>
      </w:r>
    </w:p>
    <w:p>
      <w:pPr>
        <w:pStyle w:val="BodyText"/>
        <w:spacing w:before="1"/>
        <w:rPr>
          <w:b/>
          <w:sz w:val="28"/>
        </w:rPr>
      </w:pPr>
    </w:p>
    <w:p>
      <w:pPr>
        <w:pStyle w:val="BodyText"/>
        <w:spacing w:line="405" w:lineRule="auto"/>
        <w:ind w:left="711" w:right="1153" w:firstLine="480"/>
        <w:jc w:val="both"/>
      </w:pPr>
      <w:r>
        <w:rPr/>
        <w:t>区域受人类活动干扰，适宜野生动物栖的环境有限，动物区系结构组成较简单，在此生态境域中，动物种类比较贫乏。因此，本次调查主要采取资料查阅、并与现场调查访问相结合的方式进行调查。</w:t>
      </w:r>
    </w:p>
    <w:p>
      <w:pPr>
        <w:pStyle w:val="BodyText"/>
        <w:spacing w:before="1"/>
        <w:ind w:left="1191"/>
      </w:pPr>
      <w:r>
        <w:rPr/>
        <w:t>根据现场调查，并参照现行《中华人民共和国野生动物保护法（</w:t>
      </w:r>
      <w:r>
        <w:rPr>
          <w:rFonts w:ascii="Times New Roman" w:eastAsia="Times New Roman"/>
        </w:rPr>
        <w:t>2004</w:t>
      </w:r>
      <w:r>
        <w:rPr/>
        <w:t>）》、</w:t>
      </w:r>
    </w:p>
    <w:p>
      <w:pPr>
        <w:pStyle w:val="BodyText"/>
        <w:spacing w:line="520" w:lineRule="atLeast" w:before="1"/>
        <w:ind w:left="711" w:right="1153"/>
      </w:pPr>
      <w:r>
        <w:rPr/>
        <w:t>《国家重点保护野生动物名录（</w:t>
      </w:r>
      <w:r>
        <w:rPr>
          <w:rFonts w:ascii="Times New Roman" w:eastAsia="Times New Roman"/>
        </w:rPr>
        <w:t>1998</w:t>
      </w:r>
      <w:r>
        <w:rPr/>
        <w:t>）》，评价区内未发现国家级、省、市级珍稀濒危和重点保护野生动物分布，也未发现有其栖息地和繁衍地。</w:t>
      </w:r>
    </w:p>
    <w:p>
      <w:pPr>
        <w:pStyle w:val="Heading3"/>
        <w:numPr>
          <w:ilvl w:val="2"/>
          <w:numId w:val="39"/>
        </w:numPr>
        <w:tabs>
          <w:tab w:pos="1413" w:val="left" w:leader="none"/>
        </w:tabs>
        <w:spacing w:line="240" w:lineRule="auto" w:before="37" w:after="0"/>
        <w:ind w:left="1412" w:right="0" w:hanging="702"/>
        <w:jc w:val="left"/>
      </w:pPr>
      <w:bookmarkStart w:name="5.1.3 土壤状况" w:id="154"/>
      <w:bookmarkEnd w:id="154"/>
      <w:r>
        <w:rPr>
          <w:b w:val="0"/>
        </w:rPr>
      </w:r>
      <w:bookmarkStart w:name="5.1.3 土壤状况" w:id="155"/>
      <w:bookmarkEnd w:id="155"/>
      <w:r>
        <w:rPr/>
        <w:t>土壤状况</w:t>
      </w:r>
    </w:p>
    <w:p>
      <w:pPr>
        <w:pStyle w:val="BodyText"/>
        <w:spacing w:line="364" w:lineRule="auto" w:before="265"/>
        <w:ind w:left="711" w:right="1153" w:firstLine="480"/>
        <w:jc w:val="both"/>
      </w:pPr>
      <w:r>
        <w:rPr>
          <w:spacing w:val="-1"/>
        </w:rPr>
        <w:t>矿区内土壤类型主要为暗棕壤及黑土，暗棕壤类型属砂石质暗棕壤，这种土</w:t>
      </w:r>
      <w:r>
        <w:rPr>
          <w:spacing w:val="-10"/>
        </w:rPr>
        <w:t>壤多分布在低山缓坡地带，因土壤坡度较大，土壤肥力不断下降。黑土层 </w:t>
      </w:r>
      <w:r>
        <w:rPr>
          <w:rFonts w:ascii="Times New Roman" w:eastAsia="Times New Roman"/>
        </w:rPr>
        <w:t>15 </w:t>
      </w:r>
      <w:r>
        <w:rPr>
          <w:spacing w:val="-9"/>
        </w:rPr>
        <w:t>厘米</w:t>
      </w:r>
      <w:r>
        <w:rPr/>
        <w:t>左右，其母质是岩石风化的残积物和坡积物。</w:t>
      </w:r>
    </w:p>
    <w:p>
      <w:pPr>
        <w:pStyle w:val="BodyText"/>
        <w:spacing w:line="364" w:lineRule="auto" w:before="2"/>
        <w:ind w:left="711" w:right="1027" w:firstLine="480"/>
      </w:pPr>
      <w:r>
        <w:rPr>
          <w:spacing w:val="-6"/>
        </w:rPr>
        <w:t>该土壤表层养分含量较高，有机质含量达 </w:t>
      </w:r>
      <w:r>
        <w:rPr>
          <w:rFonts w:ascii="Times New Roman" w:eastAsia="Times New Roman"/>
          <w:spacing w:val="-7"/>
        </w:rPr>
        <w:t>4.8%</w:t>
      </w:r>
      <w:r>
        <w:rPr>
          <w:spacing w:val="-23"/>
        </w:rPr>
        <w:t>，全 </w:t>
      </w:r>
      <w:r>
        <w:rPr>
          <w:rFonts w:ascii="Times New Roman" w:eastAsia="Times New Roman"/>
        </w:rPr>
        <w:t>N</w:t>
      </w:r>
      <w:r>
        <w:rPr>
          <w:rFonts w:ascii="Times New Roman" w:eastAsia="Times New Roman"/>
          <w:spacing w:val="1"/>
        </w:rPr>
        <w:t> </w:t>
      </w:r>
      <w:r>
        <w:rPr>
          <w:spacing w:val="-15"/>
        </w:rPr>
        <w:t>含量为 </w:t>
      </w:r>
      <w:r>
        <w:rPr>
          <w:rFonts w:ascii="Times New Roman" w:eastAsia="Times New Roman"/>
        </w:rPr>
        <w:t>2.01%</w:t>
      </w:r>
      <w:r>
        <w:rPr>
          <w:spacing w:val="-9"/>
        </w:rPr>
        <w:t>。往下养分含量迅速减少。</w:t>
      </w:r>
      <w:r>
        <w:rPr>
          <w:rFonts w:ascii="Times New Roman" w:eastAsia="Times New Roman"/>
          <w:spacing w:val="-9"/>
        </w:rPr>
        <w:t>PH</w:t>
      </w:r>
      <w:r>
        <w:rPr>
          <w:rFonts w:ascii="Times New Roman" w:eastAsia="Times New Roman"/>
          <w:spacing w:val="13"/>
        </w:rPr>
        <w:t> </w:t>
      </w:r>
      <w:r>
        <w:rPr/>
        <w:t>值上下变化不大，均属于微酸性。从机械分析看质地较轻</w:t>
      </w:r>
      <w:r>
        <w:rPr>
          <w:rFonts w:ascii="Times New Roman" w:eastAsia="Times New Roman"/>
        </w:rPr>
        <w:t>, </w:t>
      </w:r>
      <w:r>
        <w:rPr>
          <w:spacing w:val="-6"/>
        </w:rPr>
        <w:t>越往下含沙量越大，易于耕作通透性强，每昼夜渗造速度为 </w:t>
      </w:r>
      <w:r>
        <w:rPr>
          <w:rFonts w:ascii="Times New Roman" w:eastAsia="Times New Roman"/>
        </w:rPr>
        <w:t>0.45-071</w:t>
      </w:r>
      <w:r>
        <w:rPr>
          <w:rFonts w:ascii="Times New Roman" w:eastAsia="Times New Roman"/>
          <w:spacing w:val="2"/>
        </w:rPr>
        <w:t> </w:t>
      </w:r>
      <w:r>
        <w:rPr/>
        <w:t>米大雨过后</w:t>
      </w:r>
      <w:r>
        <w:rPr>
          <w:spacing w:val="-7"/>
        </w:rPr>
        <w:t>即可耕种。保水供肥能力低</w:t>
      </w:r>
      <w:r>
        <w:rPr>
          <w:rFonts w:ascii="Times New Roman" w:eastAsia="Times New Roman"/>
        </w:rPr>
        <w:t>:</w:t>
      </w:r>
      <w:r>
        <w:rPr>
          <w:spacing w:val="-13"/>
        </w:rPr>
        <w:t>所以易受千旱威胁，土温较高，热潮，生物活动旺盛， </w:t>
      </w:r>
      <w:r>
        <w:rPr/>
        <w:t>养分转化快。作物前期生长迅速，后期又感到养分不足，所以般应做林地用地。</w:t>
      </w:r>
    </w:p>
    <w:p>
      <w:pPr>
        <w:pStyle w:val="BodyText"/>
        <w:spacing w:before="3"/>
        <w:ind w:left="1191"/>
        <w:rPr>
          <w:rFonts w:ascii="Times New Roman" w:eastAsia="Times New Roman"/>
        </w:rPr>
      </w:pPr>
      <w:r>
        <w:rPr/>
        <w:t>现以矿区内一土壤剖面为例，其坡面特征如下</w:t>
      </w:r>
      <w:r>
        <w:rPr>
          <w:rFonts w:ascii="Times New Roman" w:eastAsia="Times New Roman"/>
        </w:rPr>
        <w:t>:</w:t>
      </w:r>
    </w:p>
    <w:p>
      <w:pPr>
        <w:pStyle w:val="BodyText"/>
        <w:spacing w:line="364" w:lineRule="auto" w:before="160"/>
        <w:ind w:left="711" w:right="1147" w:firstLine="480"/>
      </w:pPr>
      <w:r>
        <w:rPr/>
        <w:t>黑土层</w:t>
      </w:r>
      <w:r>
        <w:rPr>
          <w:rFonts w:ascii="Times New Roman" w:eastAsia="Times New Roman"/>
        </w:rPr>
        <w:t>:(A)0-15 </w:t>
      </w:r>
      <w:r>
        <w:rPr/>
        <w:t>厘米，灰色，团块状结构，砂壤。植物根系较多，松、层次过度不明显。</w:t>
      </w:r>
    </w:p>
    <w:p>
      <w:pPr>
        <w:pStyle w:val="BodyText"/>
        <w:spacing w:line="364" w:lineRule="auto" w:before="1"/>
        <w:ind w:left="711" w:right="1027" w:firstLine="480"/>
      </w:pPr>
      <w:r>
        <w:rPr/>
        <w:t>过渡层</w:t>
      </w:r>
      <w:r>
        <w:rPr>
          <w:rFonts w:ascii="Times New Roman" w:eastAsia="Times New Roman"/>
        </w:rPr>
        <w:t>:(AB)15-31 </w:t>
      </w:r>
      <w:r>
        <w:rPr>
          <w:spacing w:val="-10"/>
        </w:rPr>
        <w:t>厘米，灰棕色，结构不明显，砂壤，稍紧，植物根系很少， 层次过度不明显。</w:t>
      </w:r>
    </w:p>
    <w:p>
      <w:pPr>
        <w:pStyle w:val="BodyText"/>
        <w:spacing w:line="364" w:lineRule="auto" w:before="1"/>
        <w:ind w:left="711" w:right="1024" w:firstLine="480"/>
      </w:pPr>
      <w:r>
        <w:rPr/>
        <w:t>淀积层</w:t>
      </w:r>
      <w:r>
        <w:rPr>
          <w:rFonts w:ascii="Times New Roman" w:eastAsia="Times New Roman"/>
        </w:rPr>
        <w:t>:(B)31-46 </w:t>
      </w:r>
      <w:r>
        <w:rPr>
          <w:spacing w:val="-15"/>
        </w:rPr>
        <w:t>厘米，较上层颜色稍暗，不明显的核块结构，松砂土、稍紧、</w:t>
      </w:r>
      <w:r>
        <w:rPr/>
        <w:t>植物根系极少，层次过度不明显。母质层</w:t>
      </w:r>
      <w:r>
        <w:rPr>
          <w:rFonts w:ascii="Times New Roman" w:eastAsia="Times New Roman"/>
        </w:rPr>
        <w:t>:(C)46-130 </w:t>
      </w:r>
      <w:r>
        <w:rPr/>
        <w:t>厘米，棕色，无结构，沙粒和砾石。</w:t>
      </w:r>
    </w:p>
    <w:p>
      <w:pPr>
        <w:spacing w:after="0" w:line="364" w:lineRule="auto"/>
        <w:sectPr>
          <w:pgSz w:w="11910" w:h="16840"/>
          <w:pgMar w:header="0" w:footer="993" w:top="1380" w:bottom="1180" w:left="1040" w:right="600"/>
        </w:sectPr>
      </w:pPr>
    </w:p>
    <w:p>
      <w:pPr>
        <w:pStyle w:val="BodyText"/>
        <w:ind w:left="2173"/>
        <w:rPr>
          <w:sz w:val="20"/>
        </w:rPr>
      </w:pPr>
      <w:r>
        <w:rPr>
          <w:sz w:val="20"/>
        </w:rPr>
        <w:drawing>
          <wp:inline distT="0" distB="0" distL="0" distR="0">
            <wp:extent cx="3762890" cy="3770471"/>
            <wp:effectExtent l="0" t="0" r="0" b="0"/>
            <wp:docPr id="33" name="image20.jpeg"/>
            <wp:cNvGraphicFramePr>
              <a:graphicFrameLocks noChangeAspect="1"/>
            </wp:cNvGraphicFramePr>
            <a:graphic>
              <a:graphicData uri="http://schemas.openxmlformats.org/drawingml/2006/picture">
                <pic:pic>
                  <pic:nvPicPr>
                    <pic:cNvPr id="34" name="image20.jpeg"/>
                    <pic:cNvPicPr/>
                  </pic:nvPicPr>
                  <pic:blipFill>
                    <a:blip r:embed="rId36" cstate="print"/>
                    <a:stretch>
                      <a:fillRect/>
                    </a:stretch>
                  </pic:blipFill>
                  <pic:spPr>
                    <a:xfrm>
                      <a:off x="0" y="0"/>
                      <a:ext cx="3762890" cy="3770471"/>
                    </a:xfrm>
                    <a:prstGeom prst="rect">
                      <a:avLst/>
                    </a:prstGeom>
                  </pic:spPr>
                </pic:pic>
              </a:graphicData>
            </a:graphic>
          </wp:inline>
        </w:drawing>
      </w:r>
      <w:r>
        <w:rPr>
          <w:sz w:val="20"/>
        </w:rPr>
      </w:r>
    </w:p>
    <w:p>
      <w:pPr>
        <w:pStyle w:val="BodyText"/>
        <w:spacing w:before="3"/>
        <w:rPr>
          <w:sz w:val="7"/>
        </w:rPr>
      </w:pPr>
    </w:p>
    <w:p>
      <w:pPr>
        <w:tabs>
          <w:tab w:pos="897" w:val="left" w:leader="none"/>
        </w:tabs>
        <w:spacing w:before="77"/>
        <w:ind w:left="0" w:right="427" w:firstLine="0"/>
        <w:jc w:val="center"/>
        <w:rPr>
          <w:rFonts w:ascii="黑体" w:eastAsia="黑体" w:hint="eastAsia"/>
          <w:b/>
          <w:sz w:val="21"/>
        </w:rPr>
      </w:pPr>
      <w:r>
        <w:rPr>
          <w:rFonts w:ascii="黑体" w:eastAsia="黑体" w:hint="eastAsia"/>
          <w:b/>
          <w:sz w:val="21"/>
        </w:rPr>
        <w:t>图</w:t>
      </w:r>
      <w:r>
        <w:rPr>
          <w:rFonts w:ascii="黑体" w:eastAsia="黑体" w:hint="eastAsia"/>
          <w:b/>
          <w:spacing w:val="-58"/>
          <w:sz w:val="21"/>
        </w:rPr>
        <w:t> </w:t>
      </w:r>
      <w:r>
        <w:rPr>
          <w:rFonts w:ascii="Times New Roman" w:eastAsia="Times New Roman"/>
          <w:b/>
          <w:sz w:val="21"/>
        </w:rPr>
        <w:t>5.1-2</w:t>
        <w:tab/>
      </w:r>
      <w:r>
        <w:rPr>
          <w:rFonts w:ascii="黑体" w:eastAsia="黑体" w:hint="eastAsia"/>
          <w:b/>
          <w:sz w:val="21"/>
        </w:rPr>
        <w:t>项目区土壤剖面图（暗棕壤）</w:t>
      </w:r>
    </w:p>
    <w:p>
      <w:pPr>
        <w:pStyle w:val="Heading3"/>
        <w:numPr>
          <w:ilvl w:val="2"/>
          <w:numId w:val="39"/>
        </w:numPr>
        <w:tabs>
          <w:tab w:pos="1413" w:val="left" w:leader="none"/>
        </w:tabs>
        <w:spacing w:line="240" w:lineRule="auto" w:before="141" w:after="0"/>
        <w:ind w:left="1412" w:right="0" w:hanging="702"/>
        <w:jc w:val="left"/>
      </w:pPr>
      <w:bookmarkStart w:name="5.1.4 土地利用现状" w:id="156"/>
      <w:bookmarkEnd w:id="156"/>
      <w:r>
        <w:rPr>
          <w:b w:val="0"/>
        </w:rPr>
      </w:r>
      <w:bookmarkStart w:name="5.1.4 土地利用现状" w:id="157"/>
      <w:bookmarkEnd w:id="157"/>
      <w:r>
        <w:rPr/>
        <w:t>土地利用现状</w:t>
      </w:r>
    </w:p>
    <w:p>
      <w:pPr>
        <w:pStyle w:val="BodyText"/>
        <w:spacing w:line="364" w:lineRule="auto" w:before="185"/>
        <w:ind w:left="711" w:right="1149" w:firstLine="482"/>
        <w:jc w:val="both"/>
      </w:pPr>
      <w:r>
        <w:rPr/>
        <w:t>根据双鸭山市国土资源局提供的项目区土地利用现状图，矿区范围内土地利用类型有耕地、林地、交通运输用地、城镇村及工矿用地。评价区土地利用及面积统计见表 </w:t>
      </w:r>
      <w:r>
        <w:rPr>
          <w:rFonts w:ascii="Times New Roman" w:eastAsia="Times New Roman"/>
        </w:rPr>
        <w:t>5.1-1</w:t>
      </w:r>
      <w:r>
        <w:rPr/>
        <w:t>。</w:t>
      </w:r>
    </w:p>
    <w:p>
      <w:pPr>
        <w:pStyle w:val="Heading4"/>
        <w:spacing w:before="119" w:after="3"/>
        <w:ind w:left="2833"/>
        <w:jc w:val="both"/>
      </w:pPr>
      <w:r>
        <w:rPr/>
        <w:t>表 </w:t>
      </w:r>
      <w:r>
        <w:rPr>
          <w:rFonts w:ascii="Times New Roman" w:eastAsia="Times New Roman"/>
        </w:rPr>
        <w:t>5.1-1  </w:t>
      </w:r>
      <w:r>
        <w:rPr/>
        <w:t>评价区土地利用及面积统计表</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0"/>
        <w:gridCol w:w="1566"/>
        <w:gridCol w:w="1274"/>
        <w:gridCol w:w="1244"/>
        <w:gridCol w:w="1439"/>
        <w:gridCol w:w="1579"/>
      </w:tblGrid>
      <w:tr>
        <w:trPr>
          <w:trHeight w:val="312" w:hRule="atLeast"/>
        </w:trPr>
        <w:tc>
          <w:tcPr>
            <w:tcW w:w="2986" w:type="dxa"/>
            <w:gridSpan w:val="2"/>
          </w:tcPr>
          <w:p>
            <w:pPr>
              <w:pStyle w:val="TableParagraph"/>
              <w:spacing w:before="28"/>
              <w:ind w:left="1172" w:right="1164"/>
              <w:rPr>
                <w:sz w:val="20"/>
              </w:rPr>
            </w:pPr>
            <w:r>
              <w:rPr>
                <w:sz w:val="20"/>
              </w:rPr>
              <w:t>一级类</w:t>
            </w:r>
          </w:p>
        </w:tc>
        <w:tc>
          <w:tcPr>
            <w:tcW w:w="2518" w:type="dxa"/>
            <w:gridSpan w:val="2"/>
          </w:tcPr>
          <w:p>
            <w:pPr>
              <w:pStyle w:val="TableParagraph"/>
              <w:spacing w:before="28"/>
              <w:ind w:left="939" w:right="929"/>
              <w:rPr>
                <w:sz w:val="20"/>
              </w:rPr>
            </w:pPr>
            <w:r>
              <w:rPr>
                <w:sz w:val="20"/>
              </w:rPr>
              <w:t>二级类</w:t>
            </w:r>
          </w:p>
        </w:tc>
        <w:tc>
          <w:tcPr>
            <w:tcW w:w="1439" w:type="dxa"/>
          </w:tcPr>
          <w:p>
            <w:pPr>
              <w:pStyle w:val="TableParagraph"/>
              <w:spacing w:before="28"/>
              <w:ind w:left="138" w:right="130"/>
              <w:rPr>
                <w:sz w:val="20"/>
              </w:rPr>
            </w:pPr>
            <w:r>
              <w:rPr>
                <w:sz w:val="20"/>
              </w:rPr>
              <w:t>面积（</w:t>
            </w:r>
            <w:r>
              <w:rPr>
                <w:rFonts w:ascii="Times New Roman" w:eastAsia="Times New Roman"/>
                <w:sz w:val="20"/>
              </w:rPr>
              <w:t>hm</w:t>
            </w:r>
            <w:r>
              <w:rPr>
                <w:rFonts w:ascii="Times New Roman" w:eastAsia="Times New Roman"/>
                <w:position w:val="7"/>
                <w:sz w:val="13"/>
              </w:rPr>
              <w:t>2</w:t>
            </w:r>
            <w:r>
              <w:rPr>
                <w:sz w:val="20"/>
              </w:rPr>
              <w:t>）</w:t>
            </w:r>
          </w:p>
        </w:tc>
        <w:tc>
          <w:tcPr>
            <w:tcW w:w="1579" w:type="dxa"/>
          </w:tcPr>
          <w:p>
            <w:pPr>
              <w:pStyle w:val="TableParagraph"/>
              <w:spacing w:before="28"/>
              <w:ind w:left="87" w:right="75"/>
              <w:rPr>
                <w:sz w:val="20"/>
              </w:rPr>
            </w:pPr>
            <w:r>
              <w:rPr>
                <w:sz w:val="20"/>
              </w:rPr>
              <w:t>所占比例（</w:t>
            </w:r>
            <w:r>
              <w:rPr>
                <w:rFonts w:ascii="Times New Roman" w:eastAsia="Times New Roman"/>
                <w:sz w:val="20"/>
              </w:rPr>
              <w:t>%</w:t>
            </w:r>
            <w:r>
              <w:rPr>
                <w:sz w:val="20"/>
              </w:rPr>
              <w:t>）</w:t>
            </w:r>
          </w:p>
        </w:tc>
      </w:tr>
      <w:tr>
        <w:trPr>
          <w:trHeight w:val="312" w:hRule="atLeast"/>
        </w:trPr>
        <w:tc>
          <w:tcPr>
            <w:tcW w:w="1420" w:type="dxa"/>
          </w:tcPr>
          <w:p>
            <w:pPr>
              <w:pStyle w:val="TableParagraph"/>
              <w:spacing w:before="40"/>
              <w:ind w:left="487" w:right="478"/>
              <w:rPr>
                <w:rFonts w:ascii="Times New Roman"/>
                <w:sz w:val="20"/>
              </w:rPr>
            </w:pPr>
            <w:r>
              <w:rPr>
                <w:rFonts w:ascii="Times New Roman"/>
                <w:sz w:val="20"/>
              </w:rPr>
              <w:t>01</w:t>
            </w:r>
          </w:p>
        </w:tc>
        <w:tc>
          <w:tcPr>
            <w:tcW w:w="1566" w:type="dxa"/>
          </w:tcPr>
          <w:p>
            <w:pPr>
              <w:pStyle w:val="TableParagraph"/>
              <w:spacing w:before="27"/>
              <w:ind w:left="162" w:right="153"/>
              <w:rPr>
                <w:sz w:val="20"/>
              </w:rPr>
            </w:pPr>
            <w:r>
              <w:rPr>
                <w:sz w:val="20"/>
              </w:rPr>
              <w:t>耕地</w:t>
            </w:r>
          </w:p>
        </w:tc>
        <w:tc>
          <w:tcPr>
            <w:tcW w:w="1274" w:type="dxa"/>
          </w:tcPr>
          <w:p>
            <w:pPr>
              <w:pStyle w:val="TableParagraph"/>
              <w:spacing w:before="40"/>
              <w:ind w:right="474"/>
              <w:jc w:val="right"/>
              <w:rPr>
                <w:rFonts w:ascii="Times New Roman"/>
                <w:sz w:val="20"/>
              </w:rPr>
            </w:pPr>
            <w:r>
              <w:rPr>
                <w:rFonts w:ascii="Times New Roman"/>
                <w:sz w:val="20"/>
              </w:rPr>
              <w:t>013</w:t>
            </w:r>
          </w:p>
        </w:tc>
        <w:tc>
          <w:tcPr>
            <w:tcW w:w="1244" w:type="dxa"/>
          </w:tcPr>
          <w:p>
            <w:pPr>
              <w:pStyle w:val="TableParagraph"/>
              <w:spacing w:before="27"/>
              <w:ind w:left="200" w:right="192"/>
              <w:rPr>
                <w:sz w:val="20"/>
              </w:rPr>
            </w:pPr>
            <w:r>
              <w:rPr>
                <w:sz w:val="20"/>
              </w:rPr>
              <w:t>旱地</w:t>
            </w:r>
          </w:p>
        </w:tc>
        <w:tc>
          <w:tcPr>
            <w:tcW w:w="1439" w:type="dxa"/>
          </w:tcPr>
          <w:p>
            <w:pPr>
              <w:pStyle w:val="TableParagraph"/>
              <w:spacing w:before="40"/>
              <w:ind w:left="137" w:right="130"/>
              <w:rPr>
                <w:rFonts w:ascii="Times New Roman"/>
                <w:sz w:val="20"/>
              </w:rPr>
            </w:pPr>
            <w:r>
              <w:rPr>
                <w:rFonts w:ascii="Times New Roman"/>
                <w:sz w:val="20"/>
              </w:rPr>
              <w:t>59.21</w:t>
            </w:r>
          </w:p>
        </w:tc>
        <w:tc>
          <w:tcPr>
            <w:tcW w:w="1579" w:type="dxa"/>
          </w:tcPr>
          <w:p>
            <w:pPr>
              <w:pStyle w:val="TableParagraph"/>
              <w:spacing w:before="40"/>
              <w:ind w:left="83" w:right="75"/>
              <w:rPr>
                <w:rFonts w:ascii="Times New Roman"/>
                <w:sz w:val="20"/>
              </w:rPr>
            </w:pPr>
            <w:r>
              <w:rPr>
                <w:rFonts w:ascii="Times New Roman"/>
                <w:sz w:val="20"/>
              </w:rPr>
              <w:t>10.01</w:t>
            </w:r>
          </w:p>
        </w:tc>
      </w:tr>
      <w:tr>
        <w:trPr>
          <w:trHeight w:val="312" w:hRule="atLeast"/>
        </w:trPr>
        <w:tc>
          <w:tcPr>
            <w:tcW w:w="1420" w:type="dxa"/>
          </w:tcPr>
          <w:p>
            <w:pPr>
              <w:pStyle w:val="TableParagraph"/>
              <w:spacing w:before="40"/>
              <w:ind w:left="487" w:right="478"/>
              <w:rPr>
                <w:rFonts w:ascii="Times New Roman"/>
                <w:sz w:val="20"/>
              </w:rPr>
            </w:pPr>
            <w:r>
              <w:rPr>
                <w:rFonts w:ascii="Times New Roman"/>
                <w:sz w:val="20"/>
              </w:rPr>
              <w:t>02</w:t>
            </w:r>
          </w:p>
        </w:tc>
        <w:tc>
          <w:tcPr>
            <w:tcW w:w="1566" w:type="dxa"/>
          </w:tcPr>
          <w:p>
            <w:pPr>
              <w:pStyle w:val="TableParagraph"/>
              <w:spacing w:before="27"/>
              <w:ind w:left="162" w:right="153"/>
              <w:rPr>
                <w:sz w:val="20"/>
              </w:rPr>
            </w:pPr>
            <w:r>
              <w:rPr>
                <w:sz w:val="20"/>
              </w:rPr>
              <w:t>园地</w:t>
            </w:r>
          </w:p>
        </w:tc>
        <w:tc>
          <w:tcPr>
            <w:tcW w:w="1274" w:type="dxa"/>
          </w:tcPr>
          <w:p>
            <w:pPr>
              <w:pStyle w:val="TableParagraph"/>
              <w:spacing w:before="40"/>
              <w:ind w:right="474"/>
              <w:jc w:val="right"/>
              <w:rPr>
                <w:rFonts w:ascii="Times New Roman"/>
                <w:sz w:val="20"/>
              </w:rPr>
            </w:pPr>
            <w:r>
              <w:rPr>
                <w:rFonts w:ascii="Times New Roman"/>
                <w:sz w:val="20"/>
              </w:rPr>
              <w:t>021</w:t>
            </w:r>
          </w:p>
        </w:tc>
        <w:tc>
          <w:tcPr>
            <w:tcW w:w="1244" w:type="dxa"/>
          </w:tcPr>
          <w:p>
            <w:pPr>
              <w:pStyle w:val="TableParagraph"/>
              <w:spacing w:before="27"/>
              <w:ind w:left="200" w:right="192"/>
              <w:rPr>
                <w:sz w:val="20"/>
              </w:rPr>
            </w:pPr>
            <w:r>
              <w:rPr>
                <w:sz w:val="20"/>
              </w:rPr>
              <w:t>果园</w:t>
            </w:r>
          </w:p>
        </w:tc>
        <w:tc>
          <w:tcPr>
            <w:tcW w:w="1439" w:type="dxa"/>
          </w:tcPr>
          <w:p>
            <w:pPr>
              <w:pStyle w:val="TableParagraph"/>
              <w:spacing w:before="40"/>
              <w:ind w:left="138" w:right="128"/>
              <w:rPr>
                <w:rFonts w:ascii="Times New Roman"/>
                <w:sz w:val="20"/>
              </w:rPr>
            </w:pPr>
            <w:r>
              <w:rPr>
                <w:rFonts w:ascii="Times New Roman"/>
                <w:sz w:val="20"/>
              </w:rPr>
              <w:t>0.59</w:t>
            </w:r>
          </w:p>
        </w:tc>
        <w:tc>
          <w:tcPr>
            <w:tcW w:w="1579" w:type="dxa"/>
          </w:tcPr>
          <w:p>
            <w:pPr>
              <w:pStyle w:val="TableParagraph"/>
              <w:spacing w:before="40"/>
              <w:ind w:left="83" w:right="75"/>
              <w:rPr>
                <w:rFonts w:ascii="Times New Roman"/>
                <w:sz w:val="20"/>
              </w:rPr>
            </w:pPr>
            <w:r>
              <w:rPr>
                <w:rFonts w:ascii="Times New Roman"/>
                <w:sz w:val="20"/>
              </w:rPr>
              <w:t>0.10</w:t>
            </w:r>
          </w:p>
        </w:tc>
      </w:tr>
      <w:tr>
        <w:trPr>
          <w:trHeight w:val="311" w:hRule="atLeast"/>
        </w:trPr>
        <w:tc>
          <w:tcPr>
            <w:tcW w:w="1420" w:type="dxa"/>
            <w:vMerge w:val="restart"/>
          </w:tcPr>
          <w:p>
            <w:pPr>
              <w:pStyle w:val="TableParagraph"/>
              <w:spacing w:before="2"/>
              <w:jc w:val="left"/>
              <w:rPr>
                <w:b/>
                <w:sz w:val="28"/>
              </w:rPr>
            </w:pPr>
          </w:p>
          <w:p>
            <w:pPr>
              <w:pStyle w:val="TableParagraph"/>
              <w:ind w:left="487" w:right="478"/>
              <w:rPr>
                <w:rFonts w:ascii="Times New Roman"/>
                <w:sz w:val="20"/>
              </w:rPr>
            </w:pPr>
            <w:r>
              <w:rPr>
                <w:rFonts w:ascii="Times New Roman"/>
                <w:sz w:val="20"/>
              </w:rPr>
              <w:t>03</w:t>
            </w:r>
          </w:p>
        </w:tc>
        <w:tc>
          <w:tcPr>
            <w:tcW w:w="1566" w:type="dxa"/>
            <w:vMerge w:val="restart"/>
          </w:tcPr>
          <w:p>
            <w:pPr>
              <w:pStyle w:val="TableParagraph"/>
              <w:spacing w:before="2"/>
              <w:jc w:val="left"/>
              <w:rPr>
                <w:b/>
                <w:sz w:val="27"/>
              </w:rPr>
            </w:pPr>
          </w:p>
          <w:p>
            <w:pPr>
              <w:pStyle w:val="TableParagraph"/>
              <w:ind w:left="162" w:right="153"/>
              <w:rPr>
                <w:sz w:val="20"/>
              </w:rPr>
            </w:pPr>
            <w:r>
              <w:rPr>
                <w:sz w:val="20"/>
              </w:rPr>
              <w:t>林地</w:t>
            </w:r>
          </w:p>
        </w:tc>
        <w:tc>
          <w:tcPr>
            <w:tcW w:w="1274" w:type="dxa"/>
          </w:tcPr>
          <w:p>
            <w:pPr>
              <w:pStyle w:val="TableParagraph"/>
              <w:spacing w:before="40"/>
              <w:ind w:right="474"/>
              <w:jc w:val="right"/>
              <w:rPr>
                <w:rFonts w:ascii="Times New Roman"/>
                <w:sz w:val="20"/>
              </w:rPr>
            </w:pPr>
            <w:r>
              <w:rPr>
                <w:rFonts w:ascii="Times New Roman"/>
                <w:sz w:val="20"/>
              </w:rPr>
              <w:t>031</w:t>
            </w:r>
          </w:p>
        </w:tc>
        <w:tc>
          <w:tcPr>
            <w:tcW w:w="1244" w:type="dxa"/>
          </w:tcPr>
          <w:p>
            <w:pPr>
              <w:pStyle w:val="TableParagraph"/>
              <w:spacing w:before="26"/>
              <w:ind w:left="200" w:right="192"/>
              <w:rPr>
                <w:sz w:val="20"/>
              </w:rPr>
            </w:pPr>
            <w:r>
              <w:rPr>
                <w:sz w:val="20"/>
              </w:rPr>
              <w:t>有林地</w:t>
            </w:r>
          </w:p>
        </w:tc>
        <w:tc>
          <w:tcPr>
            <w:tcW w:w="1439" w:type="dxa"/>
          </w:tcPr>
          <w:p>
            <w:pPr>
              <w:pStyle w:val="TableParagraph"/>
              <w:spacing w:before="40"/>
              <w:ind w:left="137" w:right="130"/>
              <w:rPr>
                <w:rFonts w:ascii="Times New Roman"/>
                <w:sz w:val="20"/>
              </w:rPr>
            </w:pPr>
            <w:r>
              <w:rPr>
                <w:rFonts w:ascii="Times New Roman"/>
                <w:sz w:val="20"/>
              </w:rPr>
              <w:t>513.99</w:t>
            </w:r>
          </w:p>
        </w:tc>
        <w:tc>
          <w:tcPr>
            <w:tcW w:w="1579" w:type="dxa"/>
          </w:tcPr>
          <w:p>
            <w:pPr>
              <w:pStyle w:val="TableParagraph"/>
              <w:spacing w:before="40"/>
              <w:ind w:left="83" w:right="75"/>
              <w:rPr>
                <w:rFonts w:ascii="Times New Roman"/>
                <w:sz w:val="20"/>
              </w:rPr>
            </w:pPr>
            <w:r>
              <w:rPr>
                <w:rFonts w:ascii="Times New Roman"/>
                <w:sz w:val="20"/>
              </w:rPr>
              <w:t>86.88</w:t>
            </w:r>
          </w:p>
        </w:tc>
      </w:tr>
      <w:tr>
        <w:trPr>
          <w:trHeight w:val="312" w:hRule="atLeast"/>
        </w:trPr>
        <w:tc>
          <w:tcPr>
            <w:tcW w:w="1420" w:type="dxa"/>
            <w:vMerge/>
            <w:tcBorders>
              <w:top w:val="nil"/>
            </w:tcBorders>
          </w:tcPr>
          <w:p>
            <w:pPr>
              <w:rPr>
                <w:sz w:val="2"/>
                <w:szCs w:val="2"/>
              </w:rPr>
            </w:pPr>
          </w:p>
        </w:tc>
        <w:tc>
          <w:tcPr>
            <w:tcW w:w="1566" w:type="dxa"/>
            <w:vMerge/>
            <w:tcBorders>
              <w:top w:val="nil"/>
            </w:tcBorders>
          </w:tcPr>
          <w:p>
            <w:pPr>
              <w:rPr>
                <w:sz w:val="2"/>
                <w:szCs w:val="2"/>
              </w:rPr>
            </w:pPr>
          </w:p>
        </w:tc>
        <w:tc>
          <w:tcPr>
            <w:tcW w:w="1274" w:type="dxa"/>
          </w:tcPr>
          <w:p>
            <w:pPr>
              <w:pStyle w:val="TableParagraph"/>
              <w:spacing w:before="39"/>
              <w:ind w:right="474"/>
              <w:jc w:val="right"/>
              <w:rPr>
                <w:rFonts w:ascii="Times New Roman"/>
                <w:sz w:val="20"/>
              </w:rPr>
            </w:pPr>
            <w:r>
              <w:rPr>
                <w:rFonts w:ascii="Times New Roman"/>
                <w:sz w:val="20"/>
              </w:rPr>
              <w:t>032</w:t>
            </w:r>
          </w:p>
        </w:tc>
        <w:tc>
          <w:tcPr>
            <w:tcW w:w="1244" w:type="dxa"/>
          </w:tcPr>
          <w:p>
            <w:pPr>
              <w:pStyle w:val="TableParagraph"/>
              <w:spacing w:before="26"/>
              <w:ind w:left="200" w:right="194"/>
              <w:rPr>
                <w:sz w:val="20"/>
              </w:rPr>
            </w:pPr>
            <w:r>
              <w:rPr>
                <w:sz w:val="20"/>
              </w:rPr>
              <w:t>灌木林地</w:t>
            </w:r>
          </w:p>
        </w:tc>
        <w:tc>
          <w:tcPr>
            <w:tcW w:w="1439" w:type="dxa"/>
          </w:tcPr>
          <w:p>
            <w:pPr>
              <w:pStyle w:val="TableParagraph"/>
              <w:spacing w:before="39"/>
              <w:ind w:left="138" w:right="128"/>
              <w:rPr>
                <w:rFonts w:ascii="Times New Roman"/>
                <w:sz w:val="20"/>
              </w:rPr>
            </w:pPr>
            <w:r>
              <w:rPr>
                <w:rFonts w:ascii="Times New Roman"/>
                <w:sz w:val="20"/>
              </w:rPr>
              <w:t>1.89</w:t>
            </w:r>
          </w:p>
        </w:tc>
        <w:tc>
          <w:tcPr>
            <w:tcW w:w="1579" w:type="dxa"/>
          </w:tcPr>
          <w:p>
            <w:pPr>
              <w:pStyle w:val="TableParagraph"/>
              <w:spacing w:before="39"/>
              <w:ind w:left="83" w:right="75"/>
              <w:rPr>
                <w:rFonts w:ascii="Times New Roman"/>
                <w:sz w:val="20"/>
              </w:rPr>
            </w:pPr>
            <w:r>
              <w:rPr>
                <w:rFonts w:ascii="Times New Roman"/>
                <w:sz w:val="20"/>
              </w:rPr>
              <w:t>0.32</w:t>
            </w:r>
          </w:p>
        </w:tc>
      </w:tr>
      <w:tr>
        <w:trPr>
          <w:trHeight w:val="312" w:hRule="atLeast"/>
        </w:trPr>
        <w:tc>
          <w:tcPr>
            <w:tcW w:w="1420" w:type="dxa"/>
            <w:vMerge/>
            <w:tcBorders>
              <w:top w:val="nil"/>
            </w:tcBorders>
          </w:tcPr>
          <w:p>
            <w:pPr>
              <w:rPr>
                <w:sz w:val="2"/>
                <w:szCs w:val="2"/>
              </w:rPr>
            </w:pPr>
          </w:p>
        </w:tc>
        <w:tc>
          <w:tcPr>
            <w:tcW w:w="1566" w:type="dxa"/>
            <w:vMerge/>
            <w:tcBorders>
              <w:top w:val="nil"/>
            </w:tcBorders>
          </w:tcPr>
          <w:p>
            <w:pPr>
              <w:rPr>
                <w:sz w:val="2"/>
                <w:szCs w:val="2"/>
              </w:rPr>
            </w:pPr>
          </w:p>
        </w:tc>
        <w:tc>
          <w:tcPr>
            <w:tcW w:w="1274" w:type="dxa"/>
          </w:tcPr>
          <w:p>
            <w:pPr>
              <w:pStyle w:val="TableParagraph"/>
              <w:spacing w:before="41"/>
              <w:ind w:right="474"/>
              <w:jc w:val="right"/>
              <w:rPr>
                <w:rFonts w:ascii="Times New Roman"/>
                <w:sz w:val="20"/>
              </w:rPr>
            </w:pPr>
            <w:r>
              <w:rPr>
                <w:rFonts w:ascii="Times New Roman"/>
                <w:sz w:val="20"/>
              </w:rPr>
              <w:t>033</w:t>
            </w:r>
          </w:p>
        </w:tc>
        <w:tc>
          <w:tcPr>
            <w:tcW w:w="1244" w:type="dxa"/>
          </w:tcPr>
          <w:p>
            <w:pPr>
              <w:pStyle w:val="TableParagraph"/>
              <w:spacing w:before="28"/>
              <w:ind w:left="200" w:right="194"/>
              <w:rPr>
                <w:sz w:val="20"/>
              </w:rPr>
            </w:pPr>
            <w:r>
              <w:rPr>
                <w:sz w:val="20"/>
              </w:rPr>
              <w:t>其他林地</w:t>
            </w:r>
          </w:p>
        </w:tc>
        <w:tc>
          <w:tcPr>
            <w:tcW w:w="1439" w:type="dxa"/>
          </w:tcPr>
          <w:p>
            <w:pPr>
              <w:pStyle w:val="TableParagraph"/>
              <w:spacing w:before="41"/>
              <w:ind w:left="138" w:right="128"/>
              <w:rPr>
                <w:rFonts w:ascii="Times New Roman"/>
                <w:sz w:val="20"/>
              </w:rPr>
            </w:pPr>
            <w:r>
              <w:rPr>
                <w:rFonts w:ascii="Times New Roman"/>
                <w:sz w:val="20"/>
              </w:rPr>
              <w:t>0.40</w:t>
            </w:r>
          </w:p>
        </w:tc>
        <w:tc>
          <w:tcPr>
            <w:tcW w:w="1579" w:type="dxa"/>
          </w:tcPr>
          <w:p>
            <w:pPr>
              <w:pStyle w:val="TableParagraph"/>
              <w:spacing w:before="41"/>
              <w:ind w:left="83" w:right="75"/>
              <w:rPr>
                <w:rFonts w:ascii="Times New Roman"/>
                <w:sz w:val="20"/>
              </w:rPr>
            </w:pPr>
            <w:r>
              <w:rPr>
                <w:rFonts w:ascii="Times New Roman"/>
                <w:sz w:val="20"/>
              </w:rPr>
              <w:t>0.07</w:t>
            </w:r>
          </w:p>
        </w:tc>
      </w:tr>
      <w:tr>
        <w:trPr>
          <w:trHeight w:val="312" w:hRule="atLeast"/>
        </w:trPr>
        <w:tc>
          <w:tcPr>
            <w:tcW w:w="1420" w:type="dxa"/>
          </w:tcPr>
          <w:p>
            <w:pPr>
              <w:pStyle w:val="TableParagraph"/>
              <w:spacing w:before="41"/>
              <w:ind w:left="487" w:right="478"/>
              <w:rPr>
                <w:rFonts w:ascii="Times New Roman"/>
                <w:sz w:val="20"/>
              </w:rPr>
            </w:pPr>
            <w:r>
              <w:rPr>
                <w:rFonts w:ascii="Times New Roman"/>
                <w:sz w:val="20"/>
              </w:rPr>
              <w:t>04</w:t>
            </w:r>
          </w:p>
        </w:tc>
        <w:tc>
          <w:tcPr>
            <w:tcW w:w="1566" w:type="dxa"/>
          </w:tcPr>
          <w:p>
            <w:pPr>
              <w:pStyle w:val="TableParagraph"/>
              <w:spacing w:before="27"/>
              <w:ind w:left="162" w:right="153"/>
              <w:rPr>
                <w:sz w:val="20"/>
              </w:rPr>
            </w:pPr>
            <w:r>
              <w:rPr>
                <w:sz w:val="20"/>
              </w:rPr>
              <w:t>草地</w:t>
            </w:r>
          </w:p>
        </w:tc>
        <w:tc>
          <w:tcPr>
            <w:tcW w:w="1274" w:type="dxa"/>
          </w:tcPr>
          <w:p>
            <w:pPr>
              <w:pStyle w:val="TableParagraph"/>
              <w:spacing w:before="41"/>
              <w:ind w:right="474"/>
              <w:jc w:val="right"/>
              <w:rPr>
                <w:rFonts w:ascii="Times New Roman"/>
                <w:sz w:val="20"/>
              </w:rPr>
            </w:pPr>
            <w:r>
              <w:rPr>
                <w:rFonts w:ascii="Times New Roman"/>
                <w:sz w:val="20"/>
              </w:rPr>
              <w:t>043</w:t>
            </w:r>
          </w:p>
        </w:tc>
        <w:tc>
          <w:tcPr>
            <w:tcW w:w="1244" w:type="dxa"/>
          </w:tcPr>
          <w:p>
            <w:pPr>
              <w:pStyle w:val="TableParagraph"/>
              <w:spacing w:before="27"/>
              <w:ind w:left="200" w:right="194"/>
              <w:rPr>
                <w:sz w:val="20"/>
              </w:rPr>
            </w:pPr>
            <w:r>
              <w:rPr>
                <w:sz w:val="20"/>
              </w:rPr>
              <w:t>其他草地</w:t>
            </w:r>
          </w:p>
        </w:tc>
        <w:tc>
          <w:tcPr>
            <w:tcW w:w="1439" w:type="dxa"/>
          </w:tcPr>
          <w:p>
            <w:pPr>
              <w:pStyle w:val="TableParagraph"/>
              <w:spacing w:before="41"/>
              <w:ind w:left="138" w:right="128"/>
              <w:rPr>
                <w:rFonts w:ascii="Times New Roman"/>
                <w:sz w:val="20"/>
              </w:rPr>
            </w:pPr>
            <w:r>
              <w:rPr>
                <w:rFonts w:ascii="Times New Roman"/>
                <w:sz w:val="20"/>
              </w:rPr>
              <w:t>3.24</w:t>
            </w:r>
          </w:p>
        </w:tc>
        <w:tc>
          <w:tcPr>
            <w:tcW w:w="1579" w:type="dxa"/>
          </w:tcPr>
          <w:p>
            <w:pPr>
              <w:pStyle w:val="TableParagraph"/>
              <w:spacing w:before="41"/>
              <w:ind w:left="83" w:right="75"/>
              <w:rPr>
                <w:rFonts w:ascii="Times New Roman"/>
                <w:sz w:val="20"/>
              </w:rPr>
            </w:pPr>
            <w:r>
              <w:rPr>
                <w:rFonts w:ascii="Times New Roman"/>
                <w:sz w:val="20"/>
              </w:rPr>
              <w:t>0.55</w:t>
            </w:r>
          </w:p>
        </w:tc>
      </w:tr>
      <w:tr>
        <w:trPr>
          <w:trHeight w:val="623" w:hRule="atLeast"/>
        </w:trPr>
        <w:tc>
          <w:tcPr>
            <w:tcW w:w="1420" w:type="dxa"/>
          </w:tcPr>
          <w:p>
            <w:pPr>
              <w:pStyle w:val="TableParagraph"/>
              <w:spacing w:before="196"/>
              <w:ind w:left="487" w:right="474"/>
              <w:rPr>
                <w:rFonts w:ascii="Times New Roman"/>
                <w:sz w:val="20"/>
              </w:rPr>
            </w:pPr>
            <w:r>
              <w:rPr>
                <w:rFonts w:ascii="Times New Roman"/>
                <w:sz w:val="20"/>
              </w:rPr>
              <w:t>11</w:t>
            </w:r>
          </w:p>
        </w:tc>
        <w:tc>
          <w:tcPr>
            <w:tcW w:w="1566" w:type="dxa"/>
          </w:tcPr>
          <w:p>
            <w:pPr>
              <w:pStyle w:val="TableParagraph"/>
              <w:spacing w:before="27"/>
              <w:ind w:left="162" w:right="153"/>
              <w:rPr>
                <w:sz w:val="20"/>
              </w:rPr>
            </w:pPr>
            <w:r>
              <w:rPr>
                <w:sz w:val="20"/>
              </w:rPr>
              <w:t>水域及水利设</w:t>
            </w:r>
          </w:p>
          <w:p>
            <w:pPr>
              <w:pStyle w:val="TableParagraph"/>
              <w:spacing w:before="56"/>
              <w:ind w:left="162" w:right="153"/>
              <w:rPr>
                <w:sz w:val="20"/>
              </w:rPr>
            </w:pPr>
            <w:r>
              <w:rPr>
                <w:sz w:val="20"/>
              </w:rPr>
              <w:t>施用地</w:t>
            </w:r>
          </w:p>
        </w:tc>
        <w:tc>
          <w:tcPr>
            <w:tcW w:w="1274" w:type="dxa"/>
          </w:tcPr>
          <w:p>
            <w:pPr>
              <w:pStyle w:val="TableParagraph"/>
              <w:spacing w:before="196"/>
              <w:ind w:right="476"/>
              <w:jc w:val="right"/>
              <w:rPr>
                <w:rFonts w:ascii="Times New Roman"/>
                <w:sz w:val="20"/>
              </w:rPr>
            </w:pPr>
            <w:r>
              <w:rPr>
                <w:rFonts w:ascii="Times New Roman"/>
                <w:w w:val="95"/>
                <w:sz w:val="20"/>
              </w:rPr>
              <w:t>114</w:t>
            </w:r>
          </w:p>
        </w:tc>
        <w:tc>
          <w:tcPr>
            <w:tcW w:w="1244" w:type="dxa"/>
          </w:tcPr>
          <w:p>
            <w:pPr>
              <w:pStyle w:val="TableParagraph"/>
              <w:spacing w:before="4"/>
              <w:jc w:val="left"/>
              <w:rPr>
                <w:b/>
                <w:sz w:val="14"/>
              </w:rPr>
            </w:pPr>
          </w:p>
          <w:p>
            <w:pPr>
              <w:pStyle w:val="TableParagraph"/>
              <w:ind w:left="200" w:right="194"/>
              <w:rPr>
                <w:sz w:val="20"/>
              </w:rPr>
            </w:pPr>
            <w:r>
              <w:rPr>
                <w:sz w:val="20"/>
              </w:rPr>
              <w:t>坑塘水面</w:t>
            </w:r>
          </w:p>
        </w:tc>
        <w:tc>
          <w:tcPr>
            <w:tcW w:w="1439" w:type="dxa"/>
          </w:tcPr>
          <w:p>
            <w:pPr>
              <w:pStyle w:val="TableParagraph"/>
              <w:spacing w:before="196"/>
              <w:ind w:left="138" w:right="128"/>
              <w:rPr>
                <w:rFonts w:ascii="Times New Roman"/>
                <w:sz w:val="20"/>
              </w:rPr>
            </w:pPr>
            <w:r>
              <w:rPr>
                <w:rFonts w:ascii="Times New Roman"/>
                <w:sz w:val="20"/>
              </w:rPr>
              <w:t>6.49</w:t>
            </w:r>
          </w:p>
        </w:tc>
        <w:tc>
          <w:tcPr>
            <w:tcW w:w="1579" w:type="dxa"/>
          </w:tcPr>
          <w:p>
            <w:pPr>
              <w:pStyle w:val="TableParagraph"/>
              <w:spacing w:before="196"/>
              <w:ind w:left="83" w:right="75"/>
              <w:rPr>
                <w:rFonts w:ascii="Times New Roman"/>
                <w:sz w:val="20"/>
              </w:rPr>
            </w:pPr>
            <w:r>
              <w:rPr>
                <w:rFonts w:ascii="Times New Roman"/>
                <w:sz w:val="20"/>
              </w:rPr>
              <w:t>1.10</w:t>
            </w:r>
          </w:p>
        </w:tc>
      </w:tr>
      <w:tr>
        <w:trPr>
          <w:trHeight w:val="312" w:hRule="atLeast"/>
        </w:trPr>
        <w:tc>
          <w:tcPr>
            <w:tcW w:w="1420" w:type="dxa"/>
            <w:vMerge w:val="restart"/>
          </w:tcPr>
          <w:p>
            <w:pPr>
              <w:pStyle w:val="TableParagraph"/>
              <w:spacing w:before="3"/>
              <w:jc w:val="left"/>
              <w:rPr>
                <w:b/>
                <w:sz w:val="28"/>
              </w:rPr>
            </w:pPr>
          </w:p>
          <w:p>
            <w:pPr>
              <w:pStyle w:val="TableParagraph"/>
              <w:ind w:left="487" w:right="478"/>
              <w:rPr>
                <w:rFonts w:ascii="Times New Roman"/>
                <w:sz w:val="20"/>
              </w:rPr>
            </w:pPr>
            <w:r>
              <w:rPr>
                <w:rFonts w:ascii="Times New Roman"/>
                <w:sz w:val="20"/>
              </w:rPr>
              <w:t>20</w:t>
            </w:r>
          </w:p>
        </w:tc>
        <w:tc>
          <w:tcPr>
            <w:tcW w:w="1566" w:type="dxa"/>
            <w:vMerge w:val="restart"/>
          </w:tcPr>
          <w:p>
            <w:pPr>
              <w:pStyle w:val="TableParagraph"/>
              <w:jc w:val="left"/>
              <w:rPr>
                <w:b/>
                <w:sz w:val="15"/>
              </w:rPr>
            </w:pPr>
          </w:p>
          <w:p>
            <w:pPr>
              <w:pStyle w:val="TableParagraph"/>
              <w:spacing w:line="292" w:lineRule="auto"/>
              <w:ind w:left="583" w:right="171" w:hanging="401"/>
              <w:jc w:val="left"/>
              <w:rPr>
                <w:sz w:val="20"/>
              </w:rPr>
            </w:pPr>
            <w:r>
              <w:rPr>
                <w:sz w:val="20"/>
              </w:rPr>
              <w:t>城镇村及工矿用地</w:t>
            </w:r>
          </w:p>
        </w:tc>
        <w:tc>
          <w:tcPr>
            <w:tcW w:w="1274" w:type="dxa"/>
          </w:tcPr>
          <w:p>
            <w:pPr>
              <w:pStyle w:val="TableParagraph"/>
              <w:spacing w:before="40"/>
              <w:ind w:right="474"/>
              <w:jc w:val="right"/>
              <w:rPr>
                <w:rFonts w:ascii="Times New Roman"/>
                <w:sz w:val="20"/>
              </w:rPr>
            </w:pPr>
            <w:r>
              <w:rPr>
                <w:rFonts w:ascii="Times New Roman"/>
                <w:sz w:val="20"/>
              </w:rPr>
              <w:t>201</w:t>
            </w:r>
          </w:p>
        </w:tc>
        <w:tc>
          <w:tcPr>
            <w:tcW w:w="1244" w:type="dxa"/>
          </w:tcPr>
          <w:p>
            <w:pPr>
              <w:pStyle w:val="TableParagraph"/>
              <w:spacing w:before="27"/>
              <w:ind w:left="200" w:right="192"/>
              <w:rPr>
                <w:sz w:val="20"/>
              </w:rPr>
            </w:pPr>
            <w:r>
              <w:rPr>
                <w:sz w:val="20"/>
              </w:rPr>
              <w:t>城市</w:t>
            </w:r>
          </w:p>
        </w:tc>
        <w:tc>
          <w:tcPr>
            <w:tcW w:w="1439" w:type="dxa"/>
          </w:tcPr>
          <w:p>
            <w:pPr>
              <w:pStyle w:val="TableParagraph"/>
              <w:spacing w:before="40"/>
              <w:ind w:left="138" w:right="128"/>
              <w:rPr>
                <w:rFonts w:ascii="Times New Roman"/>
                <w:sz w:val="20"/>
              </w:rPr>
            </w:pPr>
            <w:r>
              <w:rPr>
                <w:rFonts w:ascii="Times New Roman"/>
                <w:sz w:val="20"/>
              </w:rPr>
              <w:t>0.87</w:t>
            </w:r>
          </w:p>
        </w:tc>
        <w:tc>
          <w:tcPr>
            <w:tcW w:w="1579" w:type="dxa"/>
          </w:tcPr>
          <w:p>
            <w:pPr>
              <w:pStyle w:val="TableParagraph"/>
              <w:spacing w:before="40"/>
              <w:ind w:left="83" w:right="75"/>
              <w:rPr>
                <w:rFonts w:ascii="Times New Roman"/>
                <w:sz w:val="20"/>
              </w:rPr>
            </w:pPr>
            <w:r>
              <w:rPr>
                <w:rFonts w:ascii="Times New Roman"/>
                <w:sz w:val="20"/>
              </w:rPr>
              <w:t>0.15</w:t>
            </w:r>
          </w:p>
        </w:tc>
      </w:tr>
      <w:tr>
        <w:trPr>
          <w:trHeight w:val="312" w:hRule="atLeast"/>
        </w:trPr>
        <w:tc>
          <w:tcPr>
            <w:tcW w:w="1420" w:type="dxa"/>
            <w:vMerge/>
            <w:tcBorders>
              <w:top w:val="nil"/>
            </w:tcBorders>
          </w:tcPr>
          <w:p>
            <w:pPr>
              <w:rPr>
                <w:sz w:val="2"/>
                <w:szCs w:val="2"/>
              </w:rPr>
            </w:pPr>
          </w:p>
        </w:tc>
        <w:tc>
          <w:tcPr>
            <w:tcW w:w="1566" w:type="dxa"/>
            <w:vMerge/>
            <w:tcBorders>
              <w:top w:val="nil"/>
            </w:tcBorders>
          </w:tcPr>
          <w:p>
            <w:pPr>
              <w:rPr>
                <w:sz w:val="2"/>
                <w:szCs w:val="2"/>
              </w:rPr>
            </w:pPr>
          </w:p>
        </w:tc>
        <w:tc>
          <w:tcPr>
            <w:tcW w:w="1274" w:type="dxa"/>
          </w:tcPr>
          <w:p>
            <w:pPr>
              <w:pStyle w:val="TableParagraph"/>
              <w:spacing w:before="40"/>
              <w:ind w:right="474"/>
              <w:jc w:val="right"/>
              <w:rPr>
                <w:rFonts w:ascii="Times New Roman"/>
                <w:sz w:val="20"/>
              </w:rPr>
            </w:pPr>
            <w:r>
              <w:rPr>
                <w:rFonts w:ascii="Times New Roman"/>
                <w:sz w:val="20"/>
              </w:rPr>
              <w:t>203</w:t>
            </w:r>
          </w:p>
        </w:tc>
        <w:tc>
          <w:tcPr>
            <w:tcW w:w="1244" w:type="dxa"/>
          </w:tcPr>
          <w:p>
            <w:pPr>
              <w:pStyle w:val="TableParagraph"/>
              <w:spacing w:before="26"/>
              <w:ind w:left="200" w:right="192"/>
              <w:rPr>
                <w:sz w:val="20"/>
              </w:rPr>
            </w:pPr>
            <w:r>
              <w:rPr>
                <w:sz w:val="20"/>
              </w:rPr>
              <w:t>村庄</w:t>
            </w:r>
          </w:p>
        </w:tc>
        <w:tc>
          <w:tcPr>
            <w:tcW w:w="1439" w:type="dxa"/>
          </w:tcPr>
          <w:p>
            <w:pPr>
              <w:pStyle w:val="TableParagraph"/>
              <w:spacing w:before="40"/>
              <w:ind w:left="138" w:right="128"/>
              <w:rPr>
                <w:rFonts w:ascii="Times New Roman"/>
                <w:sz w:val="20"/>
              </w:rPr>
            </w:pPr>
            <w:r>
              <w:rPr>
                <w:rFonts w:ascii="Times New Roman"/>
                <w:sz w:val="20"/>
              </w:rPr>
              <w:t>1.16</w:t>
            </w:r>
          </w:p>
        </w:tc>
        <w:tc>
          <w:tcPr>
            <w:tcW w:w="1579" w:type="dxa"/>
          </w:tcPr>
          <w:p>
            <w:pPr>
              <w:pStyle w:val="TableParagraph"/>
              <w:spacing w:before="40"/>
              <w:ind w:left="83" w:right="75"/>
              <w:rPr>
                <w:rFonts w:ascii="Times New Roman"/>
                <w:sz w:val="20"/>
              </w:rPr>
            </w:pPr>
            <w:r>
              <w:rPr>
                <w:rFonts w:ascii="Times New Roman"/>
                <w:sz w:val="20"/>
              </w:rPr>
              <w:t>0.20</w:t>
            </w:r>
          </w:p>
        </w:tc>
      </w:tr>
      <w:tr>
        <w:trPr>
          <w:trHeight w:val="312" w:hRule="atLeast"/>
        </w:trPr>
        <w:tc>
          <w:tcPr>
            <w:tcW w:w="1420" w:type="dxa"/>
            <w:vMerge/>
            <w:tcBorders>
              <w:top w:val="nil"/>
            </w:tcBorders>
          </w:tcPr>
          <w:p>
            <w:pPr>
              <w:rPr>
                <w:sz w:val="2"/>
                <w:szCs w:val="2"/>
              </w:rPr>
            </w:pPr>
          </w:p>
        </w:tc>
        <w:tc>
          <w:tcPr>
            <w:tcW w:w="1566" w:type="dxa"/>
            <w:vMerge/>
            <w:tcBorders>
              <w:top w:val="nil"/>
            </w:tcBorders>
          </w:tcPr>
          <w:p>
            <w:pPr>
              <w:rPr>
                <w:sz w:val="2"/>
                <w:szCs w:val="2"/>
              </w:rPr>
            </w:pPr>
          </w:p>
        </w:tc>
        <w:tc>
          <w:tcPr>
            <w:tcW w:w="1274" w:type="dxa"/>
          </w:tcPr>
          <w:p>
            <w:pPr>
              <w:pStyle w:val="TableParagraph"/>
              <w:spacing w:before="39"/>
              <w:ind w:right="474"/>
              <w:jc w:val="right"/>
              <w:rPr>
                <w:rFonts w:ascii="Times New Roman"/>
                <w:sz w:val="20"/>
              </w:rPr>
            </w:pPr>
            <w:r>
              <w:rPr>
                <w:rFonts w:ascii="Times New Roman"/>
                <w:sz w:val="20"/>
              </w:rPr>
              <w:t>204</w:t>
            </w:r>
          </w:p>
        </w:tc>
        <w:tc>
          <w:tcPr>
            <w:tcW w:w="1244" w:type="dxa"/>
          </w:tcPr>
          <w:p>
            <w:pPr>
              <w:pStyle w:val="TableParagraph"/>
              <w:spacing w:before="26"/>
              <w:ind w:left="200" w:right="194"/>
              <w:rPr>
                <w:sz w:val="20"/>
              </w:rPr>
            </w:pPr>
            <w:r>
              <w:rPr>
                <w:sz w:val="20"/>
              </w:rPr>
              <w:t>采矿用地</w:t>
            </w:r>
          </w:p>
        </w:tc>
        <w:tc>
          <w:tcPr>
            <w:tcW w:w="1439" w:type="dxa"/>
          </w:tcPr>
          <w:p>
            <w:pPr>
              <w:pStyle w:val="TableParagraph"/>
              <w:spacing w:before="39"/>
              <w:ind w:left="138" w:right="128"/>
              <w:rPr>
                <w:rFonts w:ascii="Times New Roman"/>
                <w:sz w:val="20"/>
              </w:rPr>
            </w:pPr>
            <w:r>
              <w:rPr>
                <w:rFonts w:ascii="Times New Roman"/>
                <w:sz w:val="20"/>
              </w:rPr>
              <w:t>3.76</w:t>
            </w:r>
          </w:p>
        </w:tc>
        <w:tc>
          <w:tcPr>
            <w:tcW w:w="1579" w:type="dxa"/>
          </w:tcPr>
          <w:p>
            <w:pPr>
              <w:pStyle w:val="TableParagraph"/>
              <w:spacing w:before="39"/>
              <w:ind w:left="83" w:right="75"/>
              <w:rPr>
                <w:rFonts w:ascii="Times New Roman"/>
                <w:sz w:val="20"/>
              </w:rPr>
            </w:pPr>
            <w:r>
              <w:rPr>
                <w:rFonts w:ascii="Times New Roman"/>
                <w:sz w:val="20"/>
              </w:rPr>
              <w:t>0.64</w:t>
            </w:r>
          </w:p>
        </w:tc>
      </w:tr>
      <w:tr>
        <w:trPr>
          <w:trHeight w:val="312" w:hRule="atLeast"/>
        </w:trPr>
        <w:tc>
          <w:tcPr>
            <w:tcW w:w="1420" w:type="dxa"/>
          </w:tcPr>
          <w:p>
            <w:pPr>
              <w:pStyle w:val="TableParagraph"/>
              <w:spacing w:before="28"/>
              <w:ind w:left="487" w:right="482"/>
              <w:rPr>
                <w:sz w:val="20"/>
              </w:rPr>
            </w:pPr>
            <w:r>
              <w:rPr>
                <w:sz w:val="20"/>
              </w:rPr>
              <w:t>合计</w:t>
            </w:r>
          </w:p>
        </w:tc>
        <w:tc>
          <w:tcPr>
            <w:tcW w:w="1566" w:type="dxa"/>
          </w:tcPr>
          <w:p>
            <w:pPr>
              <w:pStyle w:val="TableParagraph"/>
              <w:jc w:val="left"/>
              <w:rPr>
                <w:rFonts w:ascii="Times New Roman"/>
                <w:sz w:val="20"/>
              </w:rPr>
            </w:pPr>
          </w:p>
        </w:tc>
        <w:tc>
          <w:tcPr>
            <w:tcW w:w="1274" w:type="dxa"/>
          </w:tcPr>
          <w:p>
            <w:pPr>
              <w:pStyle w:val="TableParagraph"/>
              <w:jc w:val="left"/>
              <w:rPr>
                <w:rFonts w:ascii="Times New Roman"/>
                <w:sz w:val="20"/>
              </w:rPr>
            </w:pPr>
          </w:p>
        </w:tc>
        <w:tc>
          <w:tcPr>
            <w:tcW w:w="1244" w:type="dxa"/>
          </w:tcPr>
          <w:p>
            <w:pPr>
              <w:pStyle w:val="TableParagraph"/>
              <w:jc w:val="left"/>
              <w:rPr>
                <w:rFonts w:ascii="Times New Roman"/>
                <w:sz w:val="20"/>
              </w:rPr>
            </w:pPr>
          </w:p>
        </w:tc>
        <w:tc>
          <w:tcPr>
            <w:tcW w:w="1439" w:type="dxa"/>
          </w:tcPr>
          <w:p>
            <w:pPr>
              <w:pStyle w:val="TableParagraph"/>
              <w:spacing w:before="41"/>
              <w:ind w:left="137" w:right="130"/>
              <w:rPr>
                <w:rFonts w:ascii="Times New Roman"/>
                <w:sz w:val="20"/>
              </w:rPr>
            </w:pPr>
            <w:r>
              <w:rPr>
                <w:rFonts w:ascii="Times New Roman"/>
                <w:sz w:val="20"/>
              </w:rPr>
              <w:t>591.60</w:t>
            </w:r>
          </w:p>
        </w:tc>
        <w:tc>
          <w:tcPr>
            <w:tcW w:w="1579" w:type="dxa"/>
          </w:tcPr>
          <w:p>
            <w:pPr>
              <w:pStyle w:val="TableParagraph"/>
              <w:spacing w:before="41"/>
              <w:ind w:left="83" w:right="75"/>
              <w:rPr>
                <w:rFonts w:ascii="Times New Roman"/>
                <w:sz w:val="20"/>
              </w:rPr>
            </w:pPr>
            <w:r>
              <w:rPr>
                <w:rFonts w:ascii="Times New Roman"/>
                <w:sz w:val="20"/>
              </w:rPr>
              <w:t>100.00</w:t>
            </w:r>
          </w:p>
        </w:tc>
      </w:tr>
    </w:tbl>
    <w:p>
      <w:pPr>
        <w:spacing w:after="0"/>
        <w:rPr>
          <w:rFonts w:ascii="Times New Roman"/>
          <w:sz w:val="20"/>
        </w:rPr>
        <w:sectPr>
          <w:pgSz w:w="11910" w:h="16840"/>
          <w:pgMar w:header="0" w:footer="993" w:top="1420" w:bottom="1180" w:left="1040" w:right="600"/>
        </w:sectPr>
      </w:pPr>
    </w:p>
    <w:p>
      <w:pPr>
        <w:pStyle w:val="ListParagraph"/>
        <w:numPr>
          <w:ilvl w:val="2"/>
          <w:numId w:val="39"/>
        </w:numPr>
        <w:tabs>
          <w:tab w:pos="1341" w:val="left" w:leader="none"/>
        </w:tabs>
        <w:spacing w:line="240" w:lineRule="auto" w:before="44" w:after="0"/>
        <w:ind w:left="1340" w:right="0" w:hanging="630"/>
        <w:jc w:val="left"/>
        <w:rPr>
          <w:b/>
          <w:sz w:val="28"/>
        </w:rPr>
      </w:pPr>
      <w:bookmarkStart w:name="5.1.5生态保护目标" w:id="158"/>
      <w:bookmarkEnd w:id="158"/>
      <w:r>
        <w:rPr/>
      </w:r>
      <w:bookmarkStart w:name="5.1.5生态保护目标" w:id="159"/>
      <w:bookmarkEnd w:id="159"/>
      <w:r>
        <w:rPr>
          <w:b/>
          <w:sz w:val="28"/>
        </w:rPr>
        <w:t>生态保护目标</w:t>
      </w:r>
    </w:p>
    <w:p>
      <w:pPr>
        <w:pStyle w:val="BodyText"/>
        <w:spacing w:line="364" w:lineRule="auto" w:before="264"/>
        <w:ind w:left="711" w:right="1153" w:firstLine="480"/>
      </w:pPr>
      <w:r>
        <w:rPr/>
        <w:t>根据本矿区的实际情况，确定本项目的生态保护目标为广泛分布于井田范围内的林地和旱地。</w:t>
      </w:r>
    </w:p>
    <w:p>
      <w:pPr>
        <w:pStyle w:val="Heading3"/>
        <w:numPr>
          <w:ilvl w:val="2"/>
          <w:numId w:val="39"/>
        </w:numPr>
        <w:tabs>
          <w:tab w:pos="1341" w:val="left" w:leader="none"/>
        </w:tabs>
        <w:spacing w:line="282" w:lineRule="exact" w:before="0" w:after="0"/>
        <w:ind w:left="1340" w:right="0" w:hanging="630"/>
        <w:jc w:val="left"/>
      </w:pPr>
      <w:bookmarkStart w:name="5.1.6评价区生态环境现状综合评价" w:id="160"/>
      <w:bookmarkEnd w:id="160"/>
      <w:r>
        <w:rPr>
          <w:b w:val="0"/>
        </w:rPr>
      </w:r>
      <w:bookmarkStart w:name="5.1.6评价区生态环境现状综合评价" w:id="161"/>
      <w:bookmarkEnd w:id="161"/>
      <w:r>
        <w:rPr/>
        <w:t>评价区生态环境现状综合评价</w:t>
      </w:r>
    </w:p>
    <w:p>
      <w:pPr>
        <w:pStyle w:val="BodyText"/>
        <w:spacing w:line="364" w:lineRule="auto" w:before="185"/>
        <w:ind w:left="711" w:right="1149" w:firstLine="480"/>
        <w:jc w:val="both"/>
      </w:pPr>
      <w:r>
        <w:rPr>
          <w:spacing w:val="-7"/>
        </w:rPr>
        <w:t>综合上述分析，林地生态系统以广泛分布于评价区，占评价区的 </w:t>
      </w:r>
      <w:r>
        <w:rPr>
          <w:rFonts w:ascii="Times New Roman" w:eastAsia="Times New Roman"/>
          <w:spacing w:val="-4"/>
        </w:rPr>
        <w:t>87.27%</w:t>
      </w:r>
      <w:r>
        <w:rPr>
          <w:spacing w:val="-9"/>
        </w:rPr>
        <w:t>；农</w:t>
      </w:r>
      <w:r>
        <w:rPr>
          <w:spacing w:val="-5"/>
        </w:rPr>
        <w:t>田生态系统占评价区总面积的 </w:t>
      </w:r>
      <w:r>
        <w:rPr>
          <w:rFonts w:ascii="Times New Roman" w:eastAsia="Times New Roman"/>
        </w:rPr>
        <w:t>10.01</w:t>
      </w:r>
      <w:r>
        <w:rPr>
          <w:spacing w:val="-13"/>
        </w:rPr>
        <w:t>％。如果减少区域的人为干扰，评价区域内的</w:t>
      </w:r>
      <w:r>
        <w:rPr/>
        <w:t>林地生态系统将会向更稳定、高产的良性方向发展。</w:t>
      </w:r>
    </w:p>
    <w:p>
      <w:pPr>
        <w:pStyle w:val="Heading2"/>
        <w:numPr>
          <w:ilvl w:val="1"/>
          <w:numId w:val="39"/>
        </w:numPr>
        <w:tabs>
          <w:tab w:pos="1238" w:val="left" w:leader="none"/>
        </w:tabs>
        <w:spacing w:line="240" w:lineRule="auto" w:before="117" w:after="0"/>
        <w:ind w:left="1237" w:right="0" w:hanging="527"/>
        <w:jc w:val="left"/>
      </w:pPr>
      <w:bookmarkStart w:name="5.2 建设期生态影响分析与保护措施" w:id="162"/>
      <w:bookmarkEnd w:id="162"/>
      <w:r>
        <w:rPr>
          <w:b w:val="0"/>
        </w:rPr>
      </w:r>
      <w:bookmarkStart w:name="_bookmark24" w:id="163"/>
      <w:bookmarkEnd w:id="163"/>
      <w:r>
        <w:rPr>
          <w:b w:val="0"/>
        </w:rPr>
      </w:r>
      <w:bookmarkStart w:name="_bookmark24" w:id="164"/>
      <w:bookmarkEnd w:id="164"/>
      <w:r>
        <w:rPr/>
        <w:t>建设期生态影响分析与保护措施</w:t>
      </w:r>
    </w:p>
    <w:p>
      <w:pPr>
        <w:pStyle w:val="BodyText"/>
        <w:spacing w:line="364" w:lineRule="auto" w:before="122"/>
        <w:ind w:left="711" w:right="1149" w:firstLine="480"/>
        <w:jc w:val="both"/>
      </w:pPr>
      <w:r>
        <w:rPr/>
        <w:t>项目的工业场地地面建设工程施工中，要平整场地、开挖地表，造成直接施工区域内地表植被的完全破坏和施工区域一定范围内植被不同程度的破坏堆放、施工人员践踏、临时占地、弃土、弃渣的堆放等，将破坏一定区域内的植被并造成水土流失。但由于项目用地占整个评价区域总面积的比例很小，且施工在一定范围内进行，建设期的影响持续时间较短，只要在施工各个阶段内做好各种防护措施，并且在施工完成时，及时做好恢复和补偿工作，加强绿化，在采取了的生态保护和水土保持措施后，对生态系统的影响是有限的；矿井在生产过程中的排污由于采取相对完善的治理措施，对生态体系的影响较小，而且是局部的。但项目在建设施工过程中必须高度重视对周围生态环境的保护，要在施工各个阶段内做好各种防护措施，并且在施工完成及，及时做好恢复和补偿工作，加强绿化， 在采取了的生态保护和水土保持措施后，可将施工期的生态环境影响降至最小程度。</w:t>
      </w:r>
    </w:p>
    <w:p>
      <w:pPr>
        <w:pStyle w:val="ListParagraph"/>
        <w:numPr>
          <w:ilvl w:val="0"/>
          <w:numId w:val="40"/>
        </w:numPr>
        <w:tabs>
          <w:tab w:pos="1793" w:val="left" w:leader="none"/>
        </w:tabs>
        <w:spacing w:line="364" w:lineRule="auto" w:before="0" w:after="0"/>
        <w:ind w:left="711" w:right="1149" w:firstLine="480"/>
        <w:jc w:val="left"/>
        <w:rPr>
          <w:sz w:val="24"/>
        </w:rPr>
      </w:pPr>
      <w:r>
        <w:rPr>
          <w:spacing w:val="-6"/>
          <w:sz w:val="24"/>
        </w:rPr>
        <w:t>本项目施工挖方、弃方材料堆放场都将占用土地，破坏土壤、植被， </w:t>
      </w:r>
      <w:r>
        <w:rPr>
          <w:spacing w:val="-4"/>
          <w:sz w:val="24"/>
        </w:rPr>
        <w:t>因此施工期间应严格划定施工范围，要尽可能保护施工区内、外的林地。</w:t>
      </w:r>
    </w:p>
    <w:p>
      <w:pPr>
        <w:pStyle w:val="ListParagraph"/>
        <w:numPr>
          <w:ilvl w:val="0"/>
          <w:numId w:val="40"/>
        </w:numPr>
        <w:tabs>
          <w:tab w:pos="1793" w:val="left" w:leader="none"/>
        </w:tabs>
        <w:spacing w:line="364" w:lineRule="auto" w:before="0" w:after="0"/>
        <w:ind w:left="711" w:right="1149" w:firstLine="480"/>
        <w:jc w:val="left"/>
        <w:rPr>
          <w:sz w:val="24"/>
        </w:rPr>
      </w:pPr>
      <w:r>
        <w:rPr>
          <w:spacing w:val="-2"/>
          <w:sz w:val="24"/>
        </w:rPr>
        <w:t>施工单位应向施工人员宣传环保知识及国家对动植物的保护法规，严</w:t>
      </w:r>
      <w:r>
        <w:rPr>
          <w:spacing w:val="-4"/>
          <w:sz w:val="24"/>
        </w:rPr>
        <w:t>禁施工人员毁坏林木及捕杀野生动物。</w:t>
      </w:r>
    </w:p>
    <w:p>
      <w:pPr>
        <w:pStyle w:val="ListParagraph"/>
        <w:numPr>
          <w:ilvl w:val="0"/>
          <w:numId w:val="40"/>
        </w:numPr>
        <w:tabs>
          <w:tab w:pos="1793" w:val="left" w:leader="none"/>
        </w:tabs>
        <w:spacing w:line="364" w:lineRule="auto" w:before="0" w:after="0"/>
        <w:ind w:left="711" w:right="1033" w:firstLine="480"/>
        <w:jc w:val="left"/>
        <w:rPr>
          <w:sz w:val="24"/>
        </w:rPr>
      </w:pPr>
      <w:r>
        <w:rPr>
          <w:spacing w:val="-1"/>
          <w:sz w:val="24"/>
        </w:rPr>
        <w:t>严禁施工人员及施工机械超范围活动，避免在大范围内发生人为践踏、</w:t>
      </w:r>
      <w:r>
        <w:rPr>
          <w:sz w:val="24"/>
        </w:rPr>
        <w:t>机械碾压植被的现象，尽量减轻对生态环境的不利影响。</w:t>
      </w:r>
    </w:p>
    <w:p>
      <w:pPr>
        <w:pStyle w:val="ListParagraph"/>
        <w:numPr>
          <w:ilvl w:val="0"/>
          <w:numId w:val="40"/>
        </w:numPr>
        <w:tabs>
          <w:tab w:pos="1793" w:val="left" w:leader="none"/>
        </w:tabs>
        <w:spacing w:line="364" w:lineRule="auto" w:before="0" w:after="0"/>
        <w:ind w:left="711" w:right="1149" w:firstLine="480"/>
        <w:jc w:val="left"/>
        <w:rPr>
          <w:sz w:val="24"/>
        </w:rPr>
      </w:pPr>
      <w:r>
        <w:rPr>
          <w:spacing w:val="-3"/>
          <w:sz w:val="24"/>
        </w:rPr>
        <w:t>大型施工机械的噪声对林地内的动物也会产生较大的影响，所以施工</w:t>
      </w:r>
      <w:r>
        <w:rPr>
          <w:spacing w:val="-4"/>
          <w:sz w:val="24"/>
        </w:rPr>
        <w:t>期大型机械应减少使用次数，缩短工期，减少影响。</w:t>
      </w:r>
    </w:p>
    <w:p>
      <w:pPr>
        <w:pStyle w:val="ListParagraph"/>
        <w:numPr>
          <w:ilvl w:val="0"/>
          <w:numId w:val="40"/>
        </w:numPr>
        <w:tabs>
          <w:tab w:pos="1793" w:val="left" w:leader="none"/>
        </w:tabs>
        <w:spacing w:line="306" w:lineRule="exact" w:before="0" w:after="0"/>
        <w:ind w:left="1793" w:right="0" w:hanging="602"/>
        <w:jc w:val="left"/>
        <w:rPr>
          <w:sz w:val="24"/>
        </w:rPr>
      </w:pPr>
      <w:r>
        <w:rPr>
          <w:spacing w:val="-5"/>
          <w:sz w:val="24"/>
        </w:rPr>
        <w:t>做好施工期的水土保持工作，对有坡度及容易发生水土流失的地方应采</w:t>
      </w:r>
    </w:p>
    <w:p>
      <w:pPr>
        <w:spacing w:after="0" w:line="306" w:lineRule="exact"/>
        <w:jc w:val="left"/>
        <w:rPr>
          <w:sz w:val="24"/>
        </w:rPr>
        <w:sectPr>
          <w:pgSz w:w="11910" w:h="16840"/>
          <w:pgMar w:header="0" w:footer="993" w:top="1380" w:bottom="1180" w:left="1040" w:right="600"/>
        </w:sectPr>
      </w:pPr>
    </w:p>
    <w:p>
      <w:pPr>
        <w:pStyle w:val="BodyText"/>
        <w:spacing w:line="364" w:lineRule="auto" w:before="43"/>
        <w:ind w:left="711" w:right="1149"/>
      </w:pPr>
      <w:r>
        <w:rPr/>
        <w:t>取网格护坡、条石护坡、草皮护坡等方法，来减少水土流失，降低对生态环境的影响。</w:t>
      </w:r>
    </w:p>
    <w:p>
      <w:pPr>
        <w:pStyle w:val="Heading2"/>
        <w:numPr>
          <w:ilvl w:val="1"/>
          <w:numId w:val="39"/>
        </w:numPr>
        <w:tabs>
          <w:tab w:pos="1238" w:val="left" w:leader="none"/>
        </w:tabs>
        <w:spacing w:line="240" w:lineRule="auto" w:before="116" w:after="0"/>
        <w:ind w:left="1237" w:right="0" w:hanging="527"/>
        <w:jc w:val="both"/>
      </w:pPr>
      <w:bookmarkStart w:name="5.3 地表沉陷预测与影响分析" w:id="165"/>
      <w:bookmarkEnd w:id="165"/>
      <w:r>
        <w:rPr>
          <w:b w:val="0"/>
        </w:rPr>
      </w:r>
      <w:bookmarkStart w:name="_bookmark25" w:id="166"/>
      <w:bookmarkEnd w:id="166"/>
      <w:r>
        <w:rPr>
          <w:b w:val="0"/>
        </w:rPr>
      </w:r>
      <w:bookmarkStart w:name="_bookmark25" w:id="167"/>
      <w:bookmarkEnd w:id="167"/>
      <w:r>
        <w:rPr/>
        <w:t>地表沉陷预测与影响分析</w:t>
      </w:r>
    </w:p>
    <w:p>
      <w:pPr>
        <w:pStyle w:val="Heading3"/>
        <w:numPr>
          <w:ilvl w:val="2"/>
          <w:numId w:val="39"/>
        </w:numPr>
        <w:tabs>
          <w:tab w:pos="1413" w:val="left" w:leader="none"/>
        </w:tabs>
        <w:spacing w:line="240" w:lineRule="auto" w:before="123" w:after="0"/>
        <w:ind w:left="1412" w:right="0" w:hanging="702"/>
        <w:jc w:val="both"/>
      </w:pPr>
      <w:bookmarkStart w:name="5.3.1 井田开拓与开采" w:id="168"/>
      <w:bookmarkEnd w:id="168"/>
      <w:r>
        <w:rPr>
          <w:b w:val="0"/>
        </w:rPr>
      </w:r>
      <w:bookmarkStart w:name="5.3.1 井田开拓与开采" w:id="169"/>
      <w:bookmarkEnd w:id="169"/>
      <w:r>
        <w:rPr/>
        <w:t>井田开拓与开采</w:t>
      </w:r>
    </w:p>
    <w:p>
      <w:pPr>
        <w:pStyle w:val="BodyText"/>
        <w:spacing w:line="364" w:lineRule="auto" w:before="264"/>
        <w:ind w:left="711" w:right="1033" w:firstLine="480"/>
      </w:pPr>
      <w:r>
        <w:rPr>
          <w:spacing w:val="-6"/>
        </w:rPr>
        <w:t>关于双鸭山市东盛矿业集团有限公司的开拓开采方式、开采水平、盘区划分、</w:t>
      </w:r>
      <w:r>
        <w:rPr/>
        <w:t>煤炭开采顺序以及开采工艺等内容在前面第三章中已进行了十分详细的论述，此处不再赘述。</w:t>
      </w:r>
    </w:p>
    <w:p>
      <w:pPr>
        <w:pStyle w:val="Heading3"/>
        <w:numPr>
          <w:ilvl w:val="2"/>
          <w:numId w:val="39"/>
        </w:numPr>
        <w:tabs>
          <w:tab w:pos="1413" w:val="left" w:leader="none"/>
        </w:tabs>
        <w:spacing w:line="282" w:lineRule="exact" w:before="0" w:after="0"/>
        <w:ind w:left="1412" w:right="0" w:hanging="702"/>
        <w:jc w:val="both"/>
      </w:pPr>
      <w:bookmarkStart w:name="5.3.2 地表沉陷预测模式及参数选取" w:id="170"/>
      <w:bookmarkEnd w:id="170"/>
      <w:r>
        <w:rPr>
          <w:b w:val="0"/>
        </w:rPr>
      </w:r>
      <w:bookmarkStart w:name="5.3.2 地表沉陷预测模式及参数选取" w:id="171"/>
      <w:bookmarkEnd w:id="171"/>
      <w:r>
        <w:rPr/>
        <w:t>地表沉陷预测模式及参数选取</w:t>
      </w:r>
    </w:p>
    <w:p>
      <w:pPr>
        <w:pStyle w:val="Heading4"/>
        <w:numPr>
          <w:ilvl w:val="3"/>
          <w:numId w:val="39"/>
        </w:numPr>
        <w:tabs>
          <w:tab w:pos="1492" w:val="left" w:leader="none"/>
        </w:tabs>
        <w:spacing w:line="240" w:lineRule="auto" w:before="265" w:after="0"/>
        <w:ind w:left="1492" w:right="0" w:hanging="781"/>
        <w:jc w:val="both"/>
      </w:pPr>
      <w:r>
        <w:rPr/>
        <w:t>地表沉陷预测模型</w:t>
      </w:r>
    </w:p>
    <w:p>
      <w:pPr>
        <w:pStyle w:val="BodyText"/>
        <w:spacing w:line="364" w:lineRule="auto" w:before="81"/>
        <w:ind w:left="711" w:right="1153" w:firstLine="480"/>
        <w:jc w:val="both"/>
      </w:pPr>
      <w:r>
        <w:rPr/>
        <w:t>随着矿山的生产，有可能诱发地面塌陷地质灾害，但是由于矿山开采可能产生的地面塌陷将是一个缓慢的过程，而且这种地质灾害的影响存在着未知性和不确定性，由于该矿未建立地表移动观测站，因此，矿山采煤地表塌陷范围与沉陷程度无实测数据，经野外现场调查采空区地表以耕地为主，地表未见明显塌陷、地裂缝地质灾害迹象，未影响地表植被。</w:t>
      </w:r>
    </w:p>
    <w:p>
      <w:pPr>
        <w:pStyle w:val="BodyText"/>
        <w:spacing w:line="364" w:lineRule="auto"/>
        <w:ind w:left="711" w:right="1147" w:firstLine="482"/>
        <w:jc w:val="both"/>
      </w:pPr>
      <w:r>
        <w:rPr>
          <w:spacing w:val="-2"/>
        </w:rPr>
        <w:t>双鸭山市东盛矿业集团集团有限公司项目区面积 </w:t>
      </w:r>
      <w:r>
        <w:rPr>
          <w:rFonts w:ascii="Times New Roman" w:eastAsia="Times New Roman"/>
        </w:rPr>
        <w:t>591.60hm</w:t>
      </w:r>
      <w:r>
        <w:rPr>
          <w:rFonts w:ascii="Times New Roman" w:eastAsia="Times New Roman"/>
          <w:position w:val="8"/>
          <w:sz w:val="15"/>
        </w:rPr>
        <w:t>2</w:t>
      </w:r>
      <w:r>
        <w:rPr/>
        <w:t>，设计矿山生产</w:t>
      </w:r>
      <w:r>
        <w:rPr>
          <w:spacing w:val="-20"/>
        </w:rPr>
        <w:t>能力 </w:t>
      </w:r>
      <w:r>
        <w:rPr>
          <w:rFonts w:ascii="Times New Roman" w:eastAsia="Times New Roman"/>
        </w:rPr>
        <w:t>30 </w:t>
      </w:r>
      <w:r>
        <w:rPr/>
        <w:t>万吨</w:t>
      </w:r>
      <w:r>
        <w:rPr>
          <w:rFonts w:ascii="Times New Roman" w:eastAsia="Times New Roman"/>
        </w:rPr>
        <w:t>/</w:t>
      </w:r>
      <w:r>
        <w:rPr>
          <w:spacing w:val="-9"/>
        </w:rPr>
        <w:t>年，开采层位为 </w:t>
      </w:r>
      <w:r>
        <w:rPr>
          <w:rFonts w:ascii="Times New Roman" w:eastAsia="Times New Roman"/>
        </w:rPr>
        <w:t>10#</w:t>
      </w:r>
      <w:r>
        <w:rPr>
          <w:spacing w:val="-3"/>
        </w:rPr>
        <w:t>、</w:t>
      </w:r>
      <w:r>
        <w:rPr>
          <w:rFonts w:ascii="Times New Roman" w:eastAsia="Times New Roman"/>
        </w:rPr>
        <w:t>20#</w:t>
      </w:r>
      <w:r>
        <w:rPr>
          <w:spacing w:val="-1"/>
        </w:rPr>
        <w:t>煤层，矿山服务年限结束后，全矿井内预</w:t>
      </w:r>
      <w:r>
        <w:rPr/>
        <w:t>计会产生一个采空区。</w:t>
      </w:r>
    </w:p>
    <w:p>
      <w:pPr>
        <w:pStyle w:val="BodyText"/>
        <w:spacing w:line="364" w:lineRule="auto"/>
        <w:ind w:left="711" w:right="1149" w:firstLine="482"/>
        <w:jc w:val="both"/>
      </w:pPr>
      <w:r>
        <w:rPr/>
        <w:t>地下煤层开采引起的地表破坏范围和破坏程度可用地表沉陷产生的移动和变形值的大小来圈定和评价。平坦地区地表移动变形值的计算，可按其开采条件选用《建筑物、水体、铁路及主要井巷煤柱留设与压煤开采规程》中推荐的概率积分法。</w:t>
      </w:r>
    </w:p>
    <w:p>
      <w:pPr>
        <w:pStyle w:val="BodyText"/>
        <w:spacing w:line="364" w:lineRule="auto"/>
        <w:ind w:left="711" w:right="1149" w:firstLine="482"/>
      </w:pPr>
      <w:r>
        <w:rPr/>
        <w:t>概率积分法是以正态分布函数为影响函数，用积分式表示地表下沉盆地的方法，适用于常规的地表移动与变形计算。</w:t>
      </w:r>
    </w:p>
    <w:p>
      <w:pPr>
        <w:pStyle w:val="BodyText"/>
        <w:ind w:left="1194"/>
      </w:pPr>
      <w:r>
        <w:rPr>
          <w:rFonts w:ascii="Times New Roman" w:eastAsia="Times New Roman"/>
        </w:rPr>
        <w:t>1</w:t>
      </w:r>
      <w:r>
        <w:rPr/>
        <w:t>、移动盆地走向主断面上的移动与变形最大值</w:t>
      </w:r>
    </w:p>
    <w:p>
      <w:pPr>
        <w:spacing w:before="140"/>
        <w:ind w:left="1205" w:right="0" w:firstLine="0"/>
        <w:jc w:val="left"/>
        <w:rPr>
          <w:rFonts w:ascii="Symbol" w:hAnsi="Symbol"/>
          <w:i/>
          <w:sz w:val="25"/>
        </w:rPr>
      </w:pPr>
      <w:r>
        <w:rPr>
          <w:rFonts w:ascii="Times New Roman" w:hAnsi="Times New Roman"/>
          <w:i/>
          <w:spacing w:val="-1"/>
          <w:w w:val="99"/>
          <w:sz w:val="24"/>
        </w:rPr>
        <w:t>W</w:t>
      </w:r>
      <w:r>
        <w:rPr>
          <w:rFonts w:ascii="Times New Roman" w:hAnsi="Times New Roman"/>
          <w:spacing w:val="-1"/>
          <w:w w:val="99"/>
          <w:position w:val="-5"/>
          <w:sz w:val="14"/>
        </w:rPr>
        <w:t>ma</w:t>
      </w:r>
      <w:r>
        <w:rPr>
          <w:rFonts w:ascii="Times New Roman" w:hAnsi="Times New Roman"/>
          <w:spacing w:val="-10"/>
          <w:w w:val="99"/>
          <w:position w:val="-5"/>
          <w:sz w:val="14"/>
        </w:rPr>
        <w:t>x</w:t>
      </w:r>
      <w:r>
        <w:rPr>
          <w:spacing w:val="-16"/>
          <w:w w:val="99"/>
          <w:sz w:val="24"/>
        </w:rPr>
        <w:t>＝</w:t>
      </w:r>
      <w:r>
        <w:rPr>
          <w:rFonts w:ascii="Symbol" w:hAnsi="Symbol"/>
          <w:i/>
          <w:spacing w:val="-51"/>
          <w:w w:val="95"/>
          <w:sz w:val="25"/>
        </w:rPr>
        <w:t></w:t>
      </w:r>
      <w:r>
        <w:rPr>
          <w:rFonts w:ascii="Symbol" w:hAnsi="Symbol"/>
          <w:spacing w:val="12"/>
          <w:w w:val="99"/>
          <w:sz w:val="24"/>
        </w:rPr>
        <w:t></w:t>
      </w:r>
      <w:r>
        <w:rPr>
          <w:rFonts w:ascii="Times New Roman" w:hAnsi="Times New Roman"/>
          <w:i/>
          <w:spacing w:val="16"/>
          <w:w w:val="99"/>
          <w:sz w:val="24"/>
        </w:rPr>
        <w:t>m</w:t>
      </w:r>
      <w:r>
        <w:rPr>
          <w:rFonts w:ascii="Symbol" w:hAnsi="Symbol"/>
          <w:spacing w:val="9"/>
          <w:w w:val="99"/>
          <w:sz w:val="24"/>
        </w:rPr>
        <w:t></w:t>
      </w:r>
      <w:r>
        <w:rPr>
          <w:rFonts w:ascii="Times New Roman" w:hAnsi="Times New Roman"/>
          <w:spacing w:val="-1"/>
          <w:w w:val="99"/>
          <w:sz w:val="24"/>
        </w:rPr>
        <w:t>c</w:t>
      </w:r>
      <w:r>
        <w:rPr>
          <w:rFonts w:ascii="Times New Roman" w:hAnsi="Times New Roman"/>
          <w:w w:val="99"/>
          <w:sz w:val="24"/>
        </w:rPr>
        <w:t>o</w:t>
      </w:r>
      <w:r>
        <w:rPr>
          <w:rFonts w:ascii="Times New Roman" w:hAnsi="Times New Roman"/>
          <w:spacing w:val="-27"/>
          <w:w w:val="99"/>
          <w:sz w:val="24"/>
        </w:rPr>
        <w:t>s</w:t>
      </w:r>
      <w:r>
        <w:rPr>
          <w:rFonts w:ascii="Symbol" w:hAnsi="Symbol"/>
          <w:i/>
          <w:w w:val="95"/>
          <w:sz w:val="25"/>
        </w:rPr>
        <w:t></w:t>
      </w:r>
    </w:p>
    <w:p>
      <w:pPr>
        <w:tabs>
          <w:tab w:pos="1742" w:val="left" w:leader="none"/>
        </w:tabs>
        <w:spacing w:line="170" w:lineRule="exact" w:before="172"/>
        <w:ind w:left="1220" w:right="0" w:firstLine="0"/>
        <w:jc w:val="left"/>
        <w:rPr>
          <w:rFonts w:ascii="Times New Roman"/>
          <w:sz w:val="14"/>
        </w:rPr>
      </w:pPr>
      <w:r>
        <w:rPr>
          <w:rFonts w:ascii="Times New Roman"/>
          <w:i/>
          <w:position w:val="-8"/>
          <w:sz w:val="24"/>
        </w:rPr>
        <w:t>i</w:t>
        <w:tab/>
      </w:r>
      <w:r>
        <w:rPr>
          <w:rFonts w:ascii="Times New Roman"/>
          <w:i/>
          <w:position w:val="6"/>
          <w:sz w:val="24"/>
        </w:rPr>
        <w:t>W</w:t>
      </w:r>
      <w:r>
        <w:rPr>
          <w:rFonts w:ascii="Times New Roman"/>
          <w:sz w:val="14"/>
        </w:rPr>
        <w:t>max</w:t>
      </w:r>
    </w:p>
    <w:p>
      <w:pPr>
        <w:pStyle w:val="BodyText"/>
        <w:spacing w:before="8"/>
        <w:rPr>
          <w:rFonts w:ascii="Times New Roman"/>
          <w:sz w:val="8"/>
        </w:rPr>
      </w:pPr>
      <w:r>
        <w:rPr/>
        <w:pict>
          <v:line style="position:absolute;mso-position-horizontal-relative:page;mso-position-vertical-relative:paragraph;z-index:-251551744;mso-wrap-distance-left:0;mso-wrap-distance-right:0" from="139.475006pt,7.202827pt" to="163.162006pt,7.202827pt" stroked="true" strokeweight=".5pt" strokecolor="#000000">
            <v:stroke dashstyle="solid"/>
            <w10:wrap type="topAndBottom"/>
          </v:line>
        </w:pict>
      </w:r>
    </w:p>
    <w:p>
      <w:pPr>
        <w:spacing w:line="86" w:lineRule="auto" w:before="0"/>
        <w:ind w:left="1289" w:right="0" w:firstLine="0"/>
        <w:jc w:val="left"/>
        <w:rPr>
          <w:rFonts w:ascii="Times New Roman" w:eastAsia="Times New Roman"/>
          <w:i/>
          <w:sz w:val="24"/>
        </w:rPr>
      </w:pPr>
      <w:r>
        <w:rPr>
          <w:rFonts w:ascii="Times New Roman" w:eastAsia="Times New Roman"/>
          <w:spacing w:val="-3"/>
          <w:sz w:val="14"/>
        </w:rPr>
        <w:t>max</w:t>
      </w:r>
      <w:r>
        <w:rPr>
          <w:spacing w:val="-3"/>
          <w:position w:val="6"/>
          <w:sz w:val="24"/>
        </w:rPr>
        <w:t>＝</w:t>
      </w:r>
      <w:r>
        <w:rPr>
          <w:spacing w:val="60"/>
          <w:position w:val="6"/>
          <w:sz w:val="24"/>
        </w:rPr>
        <w:t> </w:t>
      </w:r>
      <w:r>
        <w:rPr>
          <w:rFonts w:ascii="Times New Roman" w:eastAsia="Times New Roman"/>
          <w:i/>
          <w:position w:val="-12"/>
          <w:sz w:val="24"/>
        </w:rPr>
        <w:t>r</w:t>
      </w:r>
    </w:p>
    <w:p>
      <w:pPr>
        <w:tabs>
          <w:tab w:pos="1671" w:val="left" w:leader="none"/>
        </w:tabs>
        <w:spacing w:line="310" w:lineRule="exact" w:before="126"/>
        <w:ind w:left="1263" w:right="0" w:firstLine="0"/>
        <w:jc w:val="left"/>
        <w:rPr>
          <w:rFonts w:ascii="Times New Roman" w:eastAsia="Times New Roman"/>
          <w:sz w:val="14"/>
        </w:rPr>
      </w:pPr>
      <w:r>
        <w:rPr>
          <w:rFonts w:ascii="Times New Roman" w:eastAsia="Times New Roman"/>
          <w:i/>
          <w:sz w:val="24"/>
        </w:rPr>
        <w:t>K</w:t>
        <w:tab/>
      </w:r>
      <w:r>
        <w:rPr>
          <w:spacing w:val="-4"/>
          <w:sz w:val="24"/>
        </w:rPr>
        <w:t>＝</w:t>
      </w:r>
      <w:r>
        <w:rPr>
          <w:rFonts w:ascii="Times New Roman" w:eastAsia="Times New Roman"/>
          <w:spacing w:val="-4"/>
          <w:sz w:val="24"/>
        </w:rPr>
        <w:t>1.52</w:t>
      </w:r>
      <w:r>
        <w:rPr>
          <w:rFonts w:ascii="Times New Roman" w:eastAsia="Times New Roman"/>
          <w:i/>
          <w:spacing w:val="-4"/>
          <w:position w:val="15"/>
          <w:sz w:val="24"/>
        </w:rPr>
        <w:t>W</w:t>
      </w:r>
      <w:r>
        <w:rPr>
          <w:rFonts w:ascii="Times New Roman" w:eastAsia="Times New Roman"/>
          <w:spacing w:val="-4"/>
          <w:position w:val="9"/>
          <w:sz w:val="14"/>
        </w:rPr>
        <w:t>max</w:t>
      </w:r>
    </w:p>
    <w:p>
      <w:pPr>
        <w:pStyle w:val="BodyText"/>
        <w:spacing w:line="20" w:lineRule="exact"/>
        <w:ind w:left="2300"/>
        <w:rPr>
          <w:rFonts w:ascii="Times New Roman"/>
          <w:sz w:val="2"/>
        </w:rPr>
      </w:pPr>
      <w:r>
        <w:rPr>
          <w:rFonts w:ascii="Times New Roman"/>
          <w:sz w:val="2"/>
        </w:rPr>
        <w:pict>
          <v:group style="width:23.8pt;height:.5pt;mso-position-horizontal-relative:char;mso-position-vertical-relative:line" coordorigin="0,0" coordsize="476,10">
            <v:line style="position:absolute" from="0,5" to="476,5" stroked="true" strokeweight=".499pt" strokecolor="#000000">
              <v:stroke dashstyle="solid"/>
            </v:line>
          </v:group>
        </w:pict>
      </w:r>
      <w:r>
        <w:rPr>
          <w:rFonts w:ascii="Times New Roman"/>
          <w:sz w:val="2"/>
        </w:rPr>
      </w:r>
    </w:p>
    <w:p>
      <w:pPr>
        <w:tabs>
          <w:tab w:pos="2440" w:val="left" w:leader="none"/>
        </w:tabs>
        <w:spacing w:line="129" w:lineRule="auto" w:before="23"/>
        <w:ind w:left="1441" w:right="0" w:firstLine="0"/>
        <w:jc w:val="left"/>
        <w:rPr>
          <w:rFonts w:ascii="Times New Roman"/>
          <w:sz w:val="14"/>
        </w:rPr>
      </w:pPr>
      <w:r>
        <w:rPr>
          <w:rFonts w:ascii="Times New Roman"/>
          <w:position w:val="2"/>
          <w:sz w:val="14"/>
        </w:rPr>
        <w:t>max</w:t>
        <w:tab/>
      </w:r>
      <w:r>
        <w:rPr>
          <w:rFonts w:ascii="Times New Roman"/>
          <w:i/>
          <w:position w:val="-10"/>
          <w:sz w:val="24"/>
        </w:rPr>
        <w:t>r</w:t>
      </w:r>
      <w:r>
        <w:rPr>
          <w:rFonts w:ascii="Times New Roman"/>
          <w:i/>
          <w:spacing w:val="-41"/>
          <w:position w:val="-10"/>
          <w:sz w:val="24"/>
        </w:rPr>
        <w:t> </w:t>
      </w:r>
      <w:r>
        <w:rPr>
          <w:rFonts w:ascii="Times New Roman"/>
          <w:sz w:val="14"/>
        </w:rPr>
        <w:t>2</w:t>
      </w:r>
    </w:p>
    <w:p>
      <w:pPr>
        <w:pStyle w:val="BodyText"/>
        <w:spacing w:before="6"/>
        <w:rPr>
          <w:rFonts w:ascii="Times New Roman"/>
          <w:sz w:val="10"/>
        </w:rPr>
      </w:pPr>
    </w:p>
    <w:p>
      <w:pPr>
        <w:pStyle w:val="BodyText"/>
        <w:spacing w:before="86"/>
        <w:ind w:left="1191"/>
        <w:rPr>
          <w:rFonts w:ascii="Times New Roman"/>
        </w:rPr>
      </w:pPr>
      <w:r>
        <w:rPr>
          <w:rFonts w:ascii="Times New Roman"/>
          <w:position w:val="2"/>
        </w:rPr>
        <w:t>U</w:t>
      </w:r>
      <w:r>
        <w:rPr>
          <w:rFonts w:ascii="Times New Roman"/>
          <w:position w:val="2"/>
          <w:vertAlign w:val="subscript"/>
        </w:rPr>
        <w:t>max</w:t>
      </w:r>
      <w:r>
        <w:rPr>
          <w:rFonts w:ascii="Times New Roman"/>
          <w:position w:val="2"/>
          <w:vertAlign w:val="baseline"/>
        </w:rPr>
        <w:t>=b</w:t>
      </w:r>
      <w:r>
        <w:rPr>
          <w:rFonts w:ascii="Times New Roman"/>
          <w:spacing w:val="1"/>
          <w:position w:val="2"/>
          <w:vertAlign w:val="baseline"/>
        </w:rPr>
        <w:t> </w:t>
      </w:r>
      <w:r>
        <w:rPr>
          <w:rFonts w:ascii="Times New Roman"/>
          <w:position w:val="2"/>
          <w:vertAlign w:val="baseline"/>
        </w:rPr>
        <w:t>Wmax</w:t>
      </w:r>
    </w:p>
    <w:p>
      <w:pPr>
        <w:spacing w:after="0"/>
        <w:rPr>
          <w:rFonts w:ascii="Times New Roman"/>
        </w:rPr>
        <w:sectPr>
          <w:pgSz w:w="11910" w:h="16840"/>
          <w:pgMar w:header="0" w:footer="993" w:top="1380" w:bottom="1180" w:left="1040" w:right="600"/>
        </w:sectPr>
      </w:pPr>
    </w:p>
    <w:p>
      <w:pPr>
        <w:spacing w:line="310" w:lineRule="exact" w:before="68"/>
        <w:ind w:left="1225" w:right="0" w:firstLine="0"/>
        <w:jc w:val="left"/>
        <w:rPr>
          <w:rFonts w:ascii="Times New Roman" w:hAnsi="Times New Roman" w:eastAsia="Times New Roman"/>
          <w:sz w:val="14"/>
        </w:rPr>
      </w:pPr>
      <w:r>
        <w:rPr>
          <w:rFonts w:ascii="Symbol" w:hAnsi="Symbol" w:eastAsia="Symbol"/>
          <w:i/>
          <w:sz w:val="25"/>
        </w:rPr>
        <w:t></w:t>
      </w:r>
      <w:r>
        <w:rPr>
          <w:rFonts w:ascii="Times New Roman" w:hAnsi="Times New Roman" w:eastAsia="Times New Roman"/>
          <w:i/>
          <w:spacing w:val="54"/>
          <w:sz w:val="25"/>
        </w:rPr>
        <w:t> </w:t>
      </w:r>
      <w:r>
        <w:rPr>
          <w:spacing w:val="-4"/>
          <w:sz w:val="24"/>
        </w:rPr>
        <w:t>＝</w:t>
      </w:r>
      <w:r>
        <w:rPr>
          <w:rFonts w:ascii="Times New Roman" w:hAnsi="Times New Roman" w:eastAsia="Times New Roman"/>
          <w:spacing w:val="-4"/>
          <w:sz w:val="24"/>
        </w:rPr>
        <w:t>1.52</w:t>
      </w:r>
      <w:r>
        <w:rPr>
          <w:rFonts w:ascii="Times New Roman" w:hAnsi="Times New Roman" w:eastAsia="Times New Roman"/>
          <w:i/>
          <w:spacing w:val="-4"/>
          <w:sz w:val="24"/>
        </w:rPr>
        <w:t>b</w:t>
      </w:r>
      <w:r>
        <w:rPr>
          <w:rFonts w:ascii="Times New Roman" w:hAnsi="Times New Roman" w:eastAsia="Times New Roman"/>
          <w:i/>
          <w:spacing w:val="-4"/>
          <w:position w:val="15"/>
          <w:sz w:val="24"/>
        </w:rPr>
        <w:t>W</w:t>
      </w:r>
      <w:r>
        <w:rPr>
          <w:rFonts w:ascii="Times New Roman" w:hAnsi="Times New Roman" w:eastAsia="Times New Roman"/>
          <w:spacing w:val="-4"/>
          <w:position w:val="9"/>
          <w:sz w:val="14"/>
        </w:rPr>
        <w:t>max</w:t>
      </w:r>
    </w:p>
    <w:p>
      <w:pPr>
        <w:pStyle w:val="BodyText"/>
        <w:spacing w:line="20" w:lineRule="exact"/>
        <w:ind w:left="2353"/>
        <w:rPr>
          <w:rFonts w:ascii="Times New Roman"/>
          <w:sz w:val="2"/>
        </w:rPr>
      </w:pPr>
      <w:r>
        <w:rPr>
          <w:rFonts w:ascii="Times New Roman"/>
          <w:sz w:val="2"/>
        </w:rPr>
        <w:pict>
          <v:group style="width:23.8pt;height:.5pt;mso-position-horizontal-relative:char;mso-position-vertical-relative:line" coordorigin="0,0" coordsize="476,10">
            <v:line style="position:absolute" from="0,5" to="476,5" stroked="true" strokeweight=".499pt" strokecolor="#000000">
              <v:stroke dashstyle="solid"/>
            </v:line>
          </v:group>
        </w:pict>
      </w:r>
      <w:r>
        <w:rPr>
          <w:rFonts w:ascii="Times New Roman"/>
          <w:sz w:val="2"/>
        </w:rPr>
      </w:r>
    </w:p>
    <w:p>
      <w:pPr>
        <w:tabs>
          <w:tab w:pos="2547" w:val="left" w:leader="none"/>
        </w:tabs>
        <w:spacing w:line="110" w:lineRule="auto" w:before="24"/>
        <w:ind w:left="1373" w:right="0" w:firstLine="0"/>
        <w:jc w:val="left"/>
        <w:rPr>
          <w:rFonts w:ascii="Times New Roman"/>
          <w:i/>
          <w:sz w:val="24"/>
        </w:rPr>
      </w:pPr>
      <w:r>
        <w:rPr>
          <w:rFonts w:ascii="Times New Roman"/>
          <w:sz w:val="14"/>
        </w:rPr>
        <w:t>max</w:t>
        <w:tab/>
      </w:r>
      <w:r>
        <w:rPr>
          <w:rFonts w:ascii="Times New Roman"/>
          <w:i/>
          <w:position w:val="-12"/>
          <w:sz w:val="24"/>
        </w:rPr>
        <w:t>r</w:t>
      </w:r>
    </w:p>
    <w:p>
      <w:pPr>
        <w:pStyle w:val="BodyText"/>
        <w:spacing w:before="9"/>
        <w:rPr>
          <w:rFonts w:ascii="Times New Roman"/>
          <w:i/>
          <w:sz w:val="13"/>
        </w:rPr>
      </w:pPr>
    </w:p>
    <w:p>
      <w:pPr>
        <w:pStyle w:val="BodyText"/>
        <w:spacing w:line="360" w:lineRule="auto" w:before="74"/>
        <w:ind w:left="1191" w:right="4541"/>
      </w:pPr>
      <w:r>
        <w:rPr>
          <w:position w:val="2"/>
        </w:rPr>
        <w:t>式中： </w:t>
      </w:r>
      <w:r>
        <w:rPr>
          <w:rFonts w:ascii="Times New Roman" w:hAnsi="Times New Roman" w:eastAsia="Times New Roman"/>
          <w:position w:val="2"/>
        </w:rPr>
        <w:t>W</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w:t>
      </w:r>
      <w:r>
        <w:rPr>
          <w:position w:val="2"/>
          <w:vertAlign w:val="baseline"/>
        </w:rPr>
        <w:t>最大地表下沉值，</w:t>
      </w:r>
      <w:r>
        <w:rPr>
          <w:rFonts w:ascii="Times New Roman" w:hAnsi="Times New Roman" w:eastAsia="Times New Roman"/>
          <w:position w:val="2"/>
          <w:vertAlign w:val="baseline"/>
        </w:rPr>
        <w:t>m</w:t>
      </w:r>
      <w:r>
        <w:rPr>
          <w:position w:val="2"/>
          <w:vertAlign w:val="baseline"/>
        </w:rPr>
        <w:t>； </w:t>
      </w:r>
      <w:r>
        <w:rPr>
          <w:rFonts w:ascii="Times New Roman" w:hAnsi="Times New Roman" w:eastAsia="Times New Roman"/>
          <w:position w:val="2"/>
          <w:vertAlign w:val="baseline"/>
        </w:rPr>
        <w:t>i</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w:t>
      </w:r>
      <w:r>
        <w:rPr>
          <w:position w:val="2"/>
          <w:vertAlign w:val="baseline"/>
        </w:rPr>
        <w:t>最大地表倾斜值，</w:t>
      </w:r>
      <w:r>
        <w:rPr>
          <w:rFonts w:ascii="Times New Roman" w:hAnsi="Times New Roman" w:eastAsia="Times New Roman"/>
          <w:position w:val="2"/>
          <w:vertAlign w:val="baseline"/>
        </w:rPr>
        <w:t>mm/m</w:t>
      </w:r>
      <w:r>
        <w:rPr>
          <w:position w:val="2"/>
          <w:vertAlign w:val="baseline"/>
        </w:rPr>
        <w:t>； </w:t>
      </w:r>
      <w:r>
        <w:rPr>
          <w:rFonts w:ascii="Times New Roman" w:hAnsi="Times New Roman" w:eastAsia="Times New Roman"/>
          <w:position w:val="2"/>
          <w:vertAlign w:val="baseline"/>
        </w:rPr>
        <w:t>K</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最大地表曲率值，</w:t>
      </w:r>
      <w:r>
        <w:rPr>
          <w:rFonts w:ascii="Times New Roman" w:hAnsi="Times New Roman" w:eastAsia="Times New Roman"/>
          <w:position w:val="2"/>
          <w:vertAlign w:val="baseline"/>
        </w:rPr>
        <w:t>10</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/m</w:t>
      </w:r>
      <w:r>
        <w:rPr>
          <w:position w:val="2"/>
          <w:vertAlign w:val="baseline"/>
        </w:rPr>
        <w:t>；</w:t>
      </w:r>
    </w:p>
    <w:p>
      <w:pPr>
        <w:pStyle w:val="BodyText"/>
        <w:spacing w:line="360" w:lineRule="auto"/>
        <w:ind w:left="1191" w:right="5437" w:firstLine="4"/>
      </w:pPr>
      <w:r>
        <w:rPr>
          <w:rFonts w:ascii="Symbol" w:hAnsi="Symbol" w:eastAsia="Symbol"/>
          <w:i/>
          <w:spacing w:val="-14"/>
          <w:position w:val="12"/>
          <w:sz w:val="25"/>
        </w:rPr>
        <w:t></w:t>
      </w:r>
      <w:r>
        <w:rPr>
          <w:rFonts w:ascii="Times New Roman" w:hAnsi="Times New Roman" w:eastAsia="Times New Roman"/>
          <w:spacing w:val="-14"/>
          <w:position w:val="6"/>
          <w:sz w:val="14"/>
        </w:rPr>
        <w:t>max</w:t>
      </w:r>
      <w:r>
        <w:rPr>
          <w:rFonts w:ascii="Times New Roman" w:hAnsi="Times New Roman" w:eastAsia="Times New Roman"/>
          <w:spacing w:val="-11"/>
          <w:position w:val="6"/>
          <w:sz w:val="14"/>
        </w:rPr>
        <w:t> </w:t>
      </w:r>
      <w:r>
        <w:rPr>
          <w:rFonts w:ascii="Times New Roman" w:hAnsi="Times New Roman" w:eastAsia="Times New Roman"/>
        </w:rPr>
        <w:t>——</w:t>
      </w:r>
      <w:r>
        <w:rPr/>
        <w:t>最大水平变形值，</w:t>
      </w:r>
      <w:r>
        <w:rPr>
          <w:rFonts w:ascii="Times New Roman" w:hAnsi="Times New Roman" w:eastAsia="Times New Roman"/>
        </w:rPr>
        <w:t>mm/m</w:t>
      </w:r>
      <w:r>
        <w:rPr/>
        <w:t>； </w:t>
      </w:r>
      <w:r>
        <w:rPr>
          <w:rFonts w:ascii="Times New Roman" w:hAnsi="Times New Roman" w:eastAsia="Times New Roman"/>
          <w:position w:val="2"/>
        </w:rPr>
        <w:t>U</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w:t>
      </w:r>
      <w:r>
        <w:rPr>
          <w:position w:val="2"/>
          <w:vertAlign w:val="baseline"/>
        </w:rPr>
        <w:t>最大水平移动值，</w:t>
      </w:r>
      <w:r>
        <w:rPr>
          <w:rFonts w:ascii="Times New Roman" w:hAnsi="Times New Roman" w:eastAsia="Times New Roman"/>
          <w:position w:val="2"/>
          <w:vertAlign w:val="baseline"/>
        </w:rPr>
        <w:t>mm</w:t>
      </w:r>
      <w:r>
        <w:rPr>
          <w:position w:val="2"/>
          <w:vertAlign w:val="baseline"/>
        </w:rPr>
        <w:t>； </w:t>
      </w:r>
      <w:r>
        <w:rPr>
          <w:rFonts w:ascii="Times New Roman" w:hAnsi="Times New Roman" w:eastAsia="Times New Roman"/>
          <w:vertAlign w:val="baseline"/>
        </w:rPr>
        <w:t>m</w:t>
      </w:r>
      <w:r>
        <w:rPr>
          <w:rFonts w:ascii="Times New Roman" w:hAnsi="Times New Roman" w:eastAsia="Times New Roman"/>
          <w:spacing w:val="-1"/>
          <w:vertAlign w:val="baseline"/>
        </w:rPr>
        <w:t> ——</w:t>
      </w:r>
      <w:r>
        <w:rPr>
          <w:vertAlign w:val="baseline"/>
        </w:rPr>
        <w:t>煤层法线采厚，</w:t>
      </w:r>
      <w:r>
        <w:rPr>
          <w:rFonts w:ascii="Times New Roman" w:hAnsi="Times New Roman" w:eastAsia="Times New Roman"/>
          <w:vertAlign w:val="baseline"/>
        </w:rPr>
        <w:t>m</w:t>
      </w:r>
      <w:r>
        <w:rPr>
          <w:vertAlign w:val="baseline"/>
        </w:rPr>
        <w:t>；</w:t>
      </w:r>
    </w:p>
    <w:p>
      <w:pPr>
        <w:pStyle w:val="BodyText"/>
        <w:spacing w:before="5"/>
        <w:ind w:left="1191"/>
      </w:pPr>
      <w:r>
        <w:rPr>
          <w:rFonts w:ascii="Times New Roman" w:hAnsi="Times New Roman" w:eastAsia="Times New Roman"/>
        </w:rPr>
        <w:t>q ——</w:t>
      </w:r>
      <w:r>
        <w:rPr/>
        <w:t>下沉系数；</w:t>
      </w:r>
    </w:p>
    <w:p>
      <w:pPr>
        <w:pStyle w:val="BodyText"/>
        <w:spacing w:line="364" w:lineRule="auto" w:before="160"/>
        <w:ind w:left="1191" w:right="6606"/>
      </w:pPr>
      <w:r>
        <w:rPr>
          <w:rFonts w:ascii="Times New Roman" w:hAnsi="Times New Roman" w:eastAsia="Times New Roman"/>
        </w:rPr>
        <w:t>α ——</w:t>
      </w:r>
      <w:r>
        <w:rPr/>
        <w:t>煤层倾角，</w:t>
      </w:r>
      <w:r>
        <w:rPr>
          <w:rFonts w:ascii="Times New Roman" w:hAnsi="Times New Roman" w:eastAsia="Times New Roman"/>
        </w:rPr>
        <w:t>deg</w:t>
      </w:r>
      <w:r>
        <w:rPr/>
        <w:t>； </w:t>
      </w:r>
      <w:r>
        <w:rPr>
          <w:rFonts w:ascii="Times New Roman" w:hAnsi="Times New Roman" w:eastAsia="Times New Roman"/>
        </w:rPr>
        <w:t>b ——</w:t>
      </w:r>
      <w:r>
        <w:rPr/>
        <w:t>水平移动系数；</w:t>
      </w:r>
    </w:p>
    <w:p>
      <w:pPr>
        <w:pStyle w:val="BodyText"/>
        <w:spacing w:line="306" w:lineRule="exact"/>
        <w:ind w:left="1191"/>
      </w:pPr>
      <w:r>
        <w:rPr>
          <w:rFonts w:ascii="Times New Roman" w:hAnsi="Times New Roman" w:eastAsia="Times New Roman"/>
        </w:rPr>
        <w:t>r ——</w:t>
      </w:r>
      <w:r>
        <w:rPr/>
        <w:t>主要影响半径，</w:t>
      </w:r>
      <w:r>
        <w:rPr>
          <w:rFonts w:ascii="Times New Roman" w:hAnsi="Times New Roman" w:eastAsia="Times New Roman"/>
        </w:rPr>
        <w:t>m</w:t>
      </w:r>
      <w:r>
        <w:rPr/>
        <w:t>。</w:t>
      </w:r>
    </w:p>
    <w:p>
      <w:pPr>
        <w:pStyle w:val="BodyText"/>
        <w:spacing w:before="158"/>
        <w:ind w:left="1191"/>
      </w:pPr>
      <w:r>
        <w:rPr>
          <w:rFonts w:ascii="Times New Roman" w:eastAsia="Times New Roman"/>
        </w:rPr>
        <w:t>2</w:t>
      </w:r>
      <w:r>
        <w:rPr/>
        <w:t>、地表移动盆地内任意点的变形预测</w:t>
      </w:r>
    </w:p>
    <w:p>
      <w:pPr>
        <w:pStyle w:val="BodyText"/>
        <w:spacing w:line="364" w:lineRule="auto" w:before="161"/>
        <w:ind w:left="711" w:right="1029" w:firstLine="480"/>
      </w:pPr>
      <w:r>
        <w:rPr/>
        <w:t>以过采空区倾斜主断面内下山计算边界且以与走向平行的方向为计算的横坐</w:t>
      </w:r>
      <w:r>
        <w:rPr>
          <w:spacing w:val="-13"/>
        </w:rPr>
        <w:t>标，以过采空区走向主断面左计算边界且与倾斜方向平行的方向为计算的纵坐标， </w:t>
      </w:r>
      <w:r>
        <w:rPr/>
        <w:t>任意剖面</w:t>
      </w:r>
      <w:r>
        <w:rPr>
          <w:rFonts w:ascii="Times New Roman" w:hAnsi="Times New Roman" w:eastAsia="Times New Roman"/>
        </w:rPr>
        <w:t>(</w:t>
      </w:r>
      <w:r>
        <w:rPr/>
        <w:t>与煤层走向成</w:t>
      </w:r>
      <w:r>
        <w:rPr>
          <w:rFonts w:ascii="Times New Roman" w:hAnsi="Times New Roman" w:eastAsia="Times New Roman"/>
        </w:rPr>
        <w:t>φ</w:t>
      </w:r>
      <w:r>
        <w:rPr/>
        <w:t>角</w:t>
      </w:r>
      <w:r>
        <w:rPr>
          <w:rFonts w:ascii="Times New Roman" w:hAnsi="Times New Roman" w:eastAsia="Times New Roman"/>
        </w:rPr>
        <w:t>)</w:t>
      </w:r>
      <w:r>
        <w:rPr/>
        <w:t>上任意点</w:t>
      </w:r>
      <w:r>
        <w:rPr>
          <w:rFonts w:ascii="Times New Roman" w:hAnsi="Times New Roman" w:eastAsia="Times New Roman"/>
        </w:rPr>
        <w:t>(x,y)</w:t>
      </w:r>
      <w:r>
        <w:rPr/>
        <w:t>的移动和变形计算公式如下：</w:t>
      </w:r>
    </w:p>
    <w:p>
      <w:pPr>
        <w:pStyle w:val="BodyText"/>
        <w:spacing w:line="307" w:lineRule="exact"/>
        <w:ind w:left="1191"/>
      </w:pPr>
      <w:r>
        <w:rPr/>
        <w:t>① 地表下沉</w:t>
      </w:r>
    </w:p>
    <w:p>
      <w:pPr>
        <w:spacing w:after="0" w:line="307" w:lineRule="exact"/>
        <w:sectPr>
          <w:pgSz w:w="11910" w:h="16840"/>
          <w:pgMar w:header="0" w:footer="993" w:top="1360" w:bottom="1180" w:left="1040" w:right="600"/>
        </w:sectPr>
      </w:pPr>
    </w:p>
    <w:p>
      <w:pPr>
        <w:spacing w:line="410" w:lineRule="exact" w:before="375"/>
        <w:ind w:left="1205" w:right="0" w:firstLine="0"/>
        <w:jc w:val="left"/>
        <w:rPr>
          <w:rFonts w:ascii="Times New Roman" w:hAnsi="Times New Roman"/>
          <w:sz w:val="14"/>
        </w:rPr>
      </w:pPr>
      <w:r>
        <w:rPr/>
        <w:pict>
          <v:shape style="position:absolute;margin-left:194.214005pt;margin-top:13.674189pt;width:6pt;height:13.2pt;mso-position-horizontal-relative:page;mso-position-vertical-relative:paragraph;z-index:-285929472" type="#_x0000_t202" filled="false" stroked="false">
            <v:textbox inset="0,0,0,0">
              <w:txbxContent>
                <w:p>
                  <w:pPr>
                    <w:pStyle w:val="BodyText"/>
                    <w:spacing w:line="264" w:lineRule="exact"/>
                    <w:rPr>
                      <w:rFonts w:ascii="Times New Roman"/>
                    </w:rPr>
                  </w:pPr>
                  <w:r>
                    <w:rPr>
                      <w:rFonts w:ascii="Times New Roman"/>
                      <w:w w:val="99"/>
                    </w:rPr>
                    <w:t>1</w:t>
                  </w:r>
                </w:p>
              </w:txbxContent>
            </v:textbox>
            <w10:wrap type="none"/>
          </v:shape>
        </w:pict>
      </w:r>
      <w:r>
        <w:rPr/>
        <w:pict>
          <v:shape style="position:absolute;margin-left:191.587997pt;margin-top:30.924189pt;width:4.650pt;height:13.2pt;mso-position-horizontal-relative:page;mso-position-vertical-relative:paragraph;z-index:-285928448" type="#_x0000_t202" filled="false" stroked="false">
            <v:textbox inset="0,0,0,0">
              <w:txbxContent>
                <w:p>
                  <w:pPr>
                    <w:spacing w:line="264" w:lineRule="exact" w:before="0"/>
                    <w:ind w:left="0" w:right="0" w:firstLine="0"/>
                    <w:jc w:val="left"/>
                    <w:rPr>
                      <w:rFonts w:ascii="Times New Roman"/>
                      <w:i/>
                      <w:sz w:val="24"/>
                    </w:rPr>
                  </w:pPr>
                  <w:r>
                    <w:rPr>
                      <w:rFonts w:ascii="Times New Roman"/>
                      <w:i/>
                      <w:w w:val="99"/>
                      <w:sz w:val="24"/>
                    </w:rPr>
                    <w:t>r</w:t>
                  </w:r>
                </w:p>
              </w:txbxContent>
            </v:textbox>
            <w10:wrap type="none"/>
          </v:shape>
        </w:pict>
      </w:r>
      <w:r>
        <w:rPr>
          <w:rFonts w:ascii="Times New Roman" w:hAnsi="Times New Roman"/>
          <w:i/>
          <w:position w:val="6"/>
          <w:sz w:val="24"/>
        </w:rPr>
        <w:t>W</w:t>
      </w:r>
      <w:r>
        <w:rPr>
          <w:rFonts w:ascii="Times New Roman" w:hAnsi="Times New Roman"/>
          <w:sz w:val="14"/>
        </w:rPr>
        <w:t>( </w:t>
      </w:r>
      <w:r>
        <w:rPr>
          <w:rFonts w:ascii="Times New Roman" w:hAnsi="Times New Roman"/>
          <w:i/>
          <w:sz w:val="14"/>
        </w:rPr>
        <w:t>x</w:t>
      </w:r>
      <w:r>
        <w:rPr>
          <w:rFonts w:ascii="Times New Roman" w:hAnsi="Times New Roman"/>
          <w:sz w:val="14"/>
        </w:rPr>
        <w:t>, </w:t>
      </w:r>
      <w:r>
        <w:rPr>
          <w:rFonts w:ascii="Times New Roman" w:hAnsi="Times New Roman"/>
          <w:i/>
          <w:sz w:val="14"/>
        </w:rPr>
        <w:t>y </w:t>
      </w:r>
      <w:r>
        <w:rPr>
          <w:rFonts w:ascii="Times New Roman" w:hAnsi="Times New Roman"/>
          <w:sz w:val="14"/>
        </w:rPr>
        <w:t>)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W</w:t>
      </w:r>
      <w:r>
        <w:rPr>
          <w:rFonts w:ascii="Times New Roman" w:hAnsi="Times New Roman"/>
          <w:sz w:val="14"/>
        </w:rPr>
        <w:t>max </w:t>
      </w:r>
      <w:r>
        <w:rPr>
          <w:rFonts w:ascii="Symbol" w:hAnsi="Symbol"/>
          <w:position w:val="6"/>
          <w:sz w:val="24"/>
        </w:rPr>
        <w:t></w:t>
      </w:r>
      <w:r>
        <w:rPr>
          <w:rFonts w:ascii="Times New Roman" w:hAnsi="Times New Roman"/>
          <w:position w:val="6"/>
          <w:sz w:val="24"/>
        </w:rPr>
        <w:t> </w:t>
      </w:r>
      <w:r>
        <w:rPr>
          <w:rFonts w:ascii="Symbol" w:hAnsi="Symbol"/>
          <w:position w:val="-2"/>
          <w:sz w:val="35"/>
        </w:rPr>
        <w:t></w:t>
      </w:r>
      <w:r>
        <w:rPr>
          <w:rFonts w:ascii="Times New Roman" w:hAnsi="Times New Roman"/>
          <w:position w:val="-2"/>
          <w:sz w:val="35"/>
        </w:rPr>
        <w:t> </w:t>
      </w:r>
      <w:r>
        <w:rPr>
          <w:rFonts w:ascii="Times New Roman" w:hAnsi="Times New Roman"/>
          <w:position w:val="-2"/>
          <w:sz w:val="14"/>
        </w:rPr>
        <w:t>2</w:t>
      </w:r>
    </w:p>
    <w:p>
      <w:pPr>
        <w:spacing w:line="142" w:lineRule="exact" w:before="0"/>
        <w:ind w:left="0" w:right="298" w:firstLine="0"/>
        <w:jc w:val="right"/>
        <w:rPr>
          <w:rFonts w:ascii="Times New Roman"/>
          <w:i/>
          <w:sz w:val="14"/>
        </w:rPr>
      </w:pPr>
      <w:r>
        <w:rPr>
          <w:rFonts w:ascii="Times New Roman"/>
          <w:i/>
          <w:w w:val="99"/>
          <w:sz w:val="14"/>
        </w:rPr>
        <w:t>D</w:t>
      </w:r>
    </w:p>
    <w:p>
      <w:pPr>
        <w:spacing w:line="170" w:lineRule="auto" w:before="217"/>
        <w:ind w:left="275" w:right="0" w:firstLine="0"/>
        <w:jc w:val="left"/>
        <w:rPr>
          <w:rFonts w:ascii="Times New Roman" w:hAnsi="Times New Roman"/>
          <w:sz w:val="14"/>
        </w:rPr>
      </w:pPr>
      <w:r>
        <w:rPr/>
        <w:br w:type="column"/>
      </w: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w:t>
      </w:r>
      <w:r>
        <w:rPr>
          <w:rFonts w:ascii="Times New Roman" w:hAnsi="Times New Roman"/>
          <w:i/>
          <w:sz w:val="14"/>
          <w:vertAlign w:val="baseline"/>
        </w:rPr>
        <w:t>y </w:t>
      </w:r>
      <w:r>
        <w:rPr>
          <w:rFonts w:ascii="Times New Roman" w:hAnsi="Times New Roman"/>
          <w:sz w:val="14"/>
          <w:vertAlign w:val="baseline"/>
        </w:rPr>
        <w:t>)</w:t>
      </w:r>
      <w:r>
        <w:rPr>
          <w:rFonts w:ascii="Times New Roman" w:hAnsi="Times New Roman"/>
          <w:sz w:val="14"/>
          <w:vertAlign w:val="superscript"/>
        </w:rPr>
        <w:t>2</w:t>
      </w:r>
    </w:p>
    <w:p>
      <w:pPr>
        <w:tabs>
          <w:tab w:pos="881" w:val="left" w:leader="none"/>
        </w:tabs>
        <w:spacing w:line="260" w:lineRule="exact" w:before="0"/>
        <w:ind w:left="52" w:right="0" w:firstLine="0"/>
        <w:jc w:val="left"/>
        <w:rPr>
          <w:rFonts w:ascii="Times New Roman" w:hAnsi="Times New Roman"/>
          <w:sz w:val="10"/>
        </w:rPr>
      </w:pPr>
      <w:r>
        <w:rPr/>
        <w:pict>
          <v:line style="position:absolute;mso-position-horizontal-relative:page;mso-position-vertical-relative:paragraph;z-index:-285936640" from="190.774994pt,7.308566pt" to="203.652994pt,7.308566pt" stroked="true" strokeweight=".5pt" strokecolor="#000000">
            <v:stroke dashstyle="solid"/>
            <w10:wrap type="none"/>
          </v:line>
        </w:pict>
      </w:r>
      <w:r>
        <w:rPr/>
        <w:pict>
          <v:line style="position:absolute;mso-position-horizontal-relative:page;mso-position-vertical-relative:paragraph;z-index:251771904" from="226.408997pt,-1.566434pt" to="275.232997pt,-1.566434pt" stroked="true" strokeweight=".25pt" strokecolor="#000000">
            <v:stroke dashstyle="solid"/>
            <w10:wrap type="none"/>
          </v:line>
        </w:pict>
      </w:r>
      <w:r>
        <w:rPr>
          <w:rFonts w:ascii="Symbol" w:hAnsi="Symbol"/>
          <w:sz w:val="24"/>
        </w:rPr>
        <w:t></w:t>
      </w:r>
      <w:r>
        <w:rPr>
          <w:rFonts w:ascii="Times New Roman" w:hAnsi="Times New Roman"/>
          <w:spacing w:val="-25"/>
          <w:sz w:val="24"/>
        </w:rPr>
        <w:t> </w:t>
      </w:r>
      <w:r>
        <w:rPr>
          <w:rFonts w:ascii="Times New Roman" w:hAnsi="Times New Roman"/>
          <w:i/>
          <w:sz w:val="24"/>
        </w:rPr>
        <w:t>e</w:t>
        <w:tab/>
      </w:r>
      <w:r>
        <w:rPr>
          <w:rFonts w:ascii="Times New Roman" w:hAnsi="Times New Roman"/>
          <w:i/>
          <w:position w:val="7"/>
          <w:sz w:val="14"/>
        </w:rPr>
        <w:t>r</w:t>
      </w:r>
      <w:r>
        <w:rPr>
          <w:rFonts w:ascii="Times New Roman" w:hAnsi="Times New Roman"/>
          <w:i/>
          <w:spacing w:val="-18"/>
          <w:position w:val="7"/>
          <w:sz w:val="14"/>
        </w:rPr>
        <w:t> </w:t>
      </w:r>
      <w:r>
        <w:rPr>
          <w:rFonts w:ascii="Times New Roman" w:hAnsi="Times New Roman"/>
          <w:position w:val="14"/>
          <w:sz w:val="10"/>
        </w:rPr>
        <w:t>2</w:t>
      </w:r>
    </w:p>
    <w:p>
      <w:pPr>
        <w:pStyle w:val="BodyText"/>
        <w:spacing w:before="6"/>
        <w:rPr>
          <w:rFonts w:ascii="Times New Roman"/>
          <w:sz w:val="33"/>
        </w:rPr>
      </w:pPr>
      <w:r>
        <w:rPr/>
        <w:br w:type="column"/>
      </w:r>
      <w:r>
        <w:rPr>
          <w:rFonts w:ascii="Times New Roman"/>
          <w:sz w:val="33"/>
        </w:rPr>
      </w:r>
    </w:p>
    <w:p>
      <w:pPr>
        <w:spacing w:before="1"/>
        <w:ind w:left="61" w:right="0" w:firstLine="0"/>
        <w:jc w:val="left"/>
        <w:rPr>
          <w:rFonts w:ascii="Symbol" w:hAnsi="Symbol"/>
          <w:i/>
          <w:sz w:val="25"/>
        </w:rPr>
      </w:pPr>
      <w:r>
        <w:rPr>
          <w:rFonts w:ascii="Symbol" w:hAnsi="Symbol"/>
          <w:sz w:val="24"/>
        </w:rPr>
        <w:t></w:t>
      </w:r>
      <w:r>
        <w:rPr>
          <w:rFonts w:ascii="Times New Roman" w:hAnsi="Times New Roman"/>
          <w:sz w:val="24"/>
        </w:rPr>
        <w:t>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bottom="280" w:left="1040" w:right="600"/>
          <w:cols w:num="3" w:equalWidth="0">
            <w:col w:w="2989" w:space="40"/>
            <w:col w:w="1415" w:space="39"/>
            <w:col w:w="5787"/>
          </w:cols>
        </w:sectPr>
      </w:pPr>
    </w:p>
    <w:p>
      <w:pPr>
        <w:pStyle w:val="BodyText"/>
        <w:spacing w:before="150"/>
        <w:ind w:left="1191"/>
      </w:pPr>
      <w:r>
        <w:rPr/>
        <w:t>② 地表倾斜</w:t>
      </w:r>
    </w:p>
    <w:p>
      <w:pPr>
        <w:pStyle w:val="BodyText"/>
        <w:rPr>
          <w:sz w:val="28"/>
        </w:rPr>
      </w:pPr>
      <w:r>
        <w:rPr/>
        <w:br w:type="column"/>
      </w:r>
      <w:r>
        <w:rPr>
          <w:sz w:val="28"/>
        </w:rPr>
      </w:r>
    </w:p>
    <w:p>
      <w:pPr>
        <w:pStyle w:val="BodyText"/>
        <w:spacing w:before="1"/>
        <w:rPr>
          <w:sz w:val="26"/>
        </w:rPr>
      </w:pPr>
    </w:p>
    <w:p>
      <w:pPr>
        <w:spacing w:line="128" w:lineRule="exact" w:before="1"/>
        <w:ind w:left="208" w:right="0" w:firstLine="0"/>
        <w:jc w:val="left"/>
        <w:rPr>
          <w:rFonts w:ascii="Times New Roman" w:hAnsi="Times New Roman"/>
          <w:sz w:val="24"/>
        </w:rPr>
      </w:pPr>
      <w:r>
        <w:rPr/>
        <w:pict>
          <v:line style="position:absolute;mso-position-horizontal-relative:page;mso-position-vertical-relative:paragraph;z-index:-285934592" from="189.289993pt,17.080133pt" to="235.246993pt,17.080133pt" stroked="true" strokeweight=".5pt" strokecolor="#000000">
            <v:stroke dashstyle="solid"/>
            <w10:wrap type="none"/>
          </v:line>
        </w:pic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w:t>
      </w:r>
      <w:r>
        <w:rPr>
          <w:rFonts w:ascii="Times New Roman" w:hAnsi="Times New Roman"/>
          <w:i/>
          <w:sz w:val="24"/>
        </w:rPr>
        <w:t>x</w:t>
      </w:r>
      <w:r>
        <w:rPr>
          <w:rFonts w:ascii="Times New Roman" w:hAnsi="Times New Roman"/>
          <w:sz w:val="24"/>
        </w:rPr>
        <w:t>)</w:t>
      </w:r>
    </w:p>
    <w:p>
      <w:pPr>
        <w:pStyle w:val="BodyText"/>
        <w:rPr>
          <w:rFonts w:ascii="Times New Roman"/>
          <w:sz w:val="26"/>
        </w:rPr>
      </w:pPr>
      <w:r>
        <w:rPr/>
        <w:br w:type="column"/>
      </w:r>
      <w:r>
        <w:rPr>
          <w:rFonts w:ascii="Times New Roman"/>
          <w:sz w:val="26"/>
        </w:rPr>
      </w:r>
    </w:p>
    <w:p>
      <w:pPr>
        <w:pStyle w:val="BodyText"/>
        <w:rPr>
          <w:rFonts w:ascii="Times New Roman"/>
          <w:sz w:val="32"/>
        </w:rPr>
      </w:pPr>
    </w:p>
    <w:p>
      <w:pPr>
        <w:spacing w:line="154" w:lineRule="exact" w:before="0"/>
        <w:ind w:left="191"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w:t>
      </w:r>
      <w:r>
        <w:rPr>
          <w:rFonts w:ascii="Times New Roman" w:hAnsi="Times New Roman"/>
          <w:i/>
          <w:sz w:val="14"/>
        </w:rPr>
        <w:t>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w:t>
      </w:r>
      <w:r>
        <w:rPr>
          <w:rFonts w:ascii="Times New Roman" w:hAnsi="Times New Roman"/>
          <w:i/>
          <w:sz w:val="14"/>
          <w:vertAlign w:val="baseline"/>
        </w:rPr>
        <w:t>y </w:t>
      </w:r>
      <w:r>
        <w:rPr>
          <w:rFonts w:ascii="Times New Roman" w:hAnsi="Times New Roman"/>
          <w:sz w:val="14"/>
          <w:vertAlign w:val="baseline"/>
        </w:rPr>
        <w:t>)</w:t>
      </w:r>
      <w:r>
        <w:rPr>
          <w:rFonts w:ascii="Times New Roman" w:hAnsi="Times New Roman"/>
          <w:sz w:val="14"/>
          <w:vertAlign w:val="superscript"/>
        </w:rPr>
        <w:t>2</w:t>
      </w:r>
    </w:p>
    <w:p>
      <w:pPr>
        <w:pStyle w:val="BodyText"/>
        <w:spacing w:before="3"/>
        <w:rPr>
          <w:rFonts w:ascii="Times New Roman"/>
          <w:sz w:val="3"/>
        </w:rPr>
      </w:pPr>
    </w:p>
    <w:p>
      <w:pPr>
        <w:pStyle w:val="BodyText"/>
        <w:spacing w:line="20" w:lineRule="exact"/>
        <w:ind w:left="367"/>
        <w:rPr>
          <w:rFonts w:ascii="Times New Roman"/>
          <w:sz w:val="2"/>
        </w:rPr>
      </w:pPr>
      <w:r>
        <w:rPr>
          <w:rFonts w:ascii="Times New Roman"/>
          <w:sz w:val="2"/>
        </w:rPr>
        <w:pict>
          <v:group style="width:48.05pt;height:.25pt;mso-position-horizontal-relative:char;mso-position-vertical-relative:line" coordorigin="0,0" coordsize="961,5">
            <v:line style="position:absolute" from="0,3" to="960,3" stroked="true" strokeweight=".25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1040" w:right="600"/>
          <w:cols w:num="3" w:equalWidth="0">
            <w:col w:w="2513" w:space="40"/>
            <w:col w:w="1101" w:space="39"/>
            <w:col w:w="6577"/>
          </w:cols>
        </w:sectPr>
      </w:pPr>
    </w:p>
    <w:p>
      <w:pPr>
        <w:spacing w:line="306" w:lineRule="exact" w:before="0"/>
        <w:ind w:left="1220" w:right="0" w:firstLine="0"/>
        <w:jc w:val="left"/>
        <w:rPr>
          <w:rFonts w:ascii="Times New Roman" w:eastAsia="Times New Roman"/>
          <w:i/>
          <w:sz w:val="24"/>
        </w:rPr>
      </w:pPr>
      <w:r>
        <w:rPr>
          <w:rFonts w:ascii="Times New Roman" w:eastAsia="Times New Roman"/>
          <w:i/>
          <w:spacing w:val="7"/>
          <w:position w:val="6"/>
          <w:sz w:val="24"/>
        </w:rPr>
        <w:t>i</w:t>
      </w:r>
      <w:r>
        <w:rPr>
          <w:rFonts w:ascii="Times New Roman" w:eastAsia="Times New Roman"/>
          <w:i/>
          <w:spacing w:val="7"/>
          <w:sz w:val="14"/>
        </w:rPr>
        <w:t>X</w:t>
      </w:r>
      <w:r>
        <w:rPr>
          <w:rFonts w:ascii="Times New Roman" w:eastAsia="Times New Roman"/>
          <w:i/>
          <w:spacing w:val="-5"/>
          <w:sz w:val="14"/>
        </w:rPr>
        <w:t> </w:t>
      </w:r>
      <w:r>
        <w:rPr>
          <w:rFonts w:ascii="Times New Roman" w:eastAsia="Times New Roman"/>
          <w:sz w:val="14"/>
        </w:rPr>
        <w:t>(</w:t>
      </w:r>
      <w:r>
        <w:rPr>
          <w:rFonts w:ascii="Times New Roman" w:eastAsia="Times New Roman"/>
          <w:spacing w:val="-14"/>
          <w:sz w:val="14"/>
        </w:rPr>
        <w:t> </w:t>
      </w:r>
      <w:r>
        <w:rPr>
          <w:rFonts w:ascii="Times New Roman" w:eastAsia="Times New Roman"/>
          <w:i/>
          <w:spacing w:val="5"/>
          <w:sz w:val="14"/>
        </w:rPr>
        <w:t>x</w:t>
      </w:r>
      <w:r>
        <w:rPr>
          <w:rFonts w:ascii="Times New Roman" w:eastAsia="Times New Roman"/>
          <w:spacing w:val="5"/>
          <w:sz w:val="14"/>
        </w:rPr>
        <w:t>,</w:t>
      </w:r>
      <w:r>
        <w:rPr>
          <w:rFonts w:ascii="Times New Roman" w:eastAsia="Times New Roman"/>
          <w:spacing w:val="-19"/>
          <w:sz w:val="14"/>
        </w:rPr>
        <w:t> </w:t>
      </w:r>
      <w:r>
        <w:rPr>
          <w:rFonts w:ascii="Times New Roman" w:eastAsia="Times New Roman"/>
          <w:i/>
          <w:sz w:val="14"/>
        </w:rPr>
        <w:t>y</w:t>
      </w:r>
      <w:r>
        <w:rPr>
          <w:rFonts w:ascii="Times New Roman" w:eastAsia="Times New Roman"/>
          <w:i/>
          <w:spacing w:val="-20"/>
          <w:sz w:val="14"/>
        </w:rPr>
        <w:t> </w:t>
      </w:r>
      <w:r>
        <w:rPr>
          <w:rFonts w:ascii="Times New Roman" w:eastAsia="Times New Roman"/>
          <w:spacing w:val="-10"/>
          <w:sz w:val="14"/>
        </w:rPr>
        <w:t>)</w:t>
      </w:r>
      <w:r>
        <w:rPr>
          <w:spacing w:val="-10"/>
          <w:position w:val="6"/>
          <w:sz w:val="24"/>
        </w:rPr>
        <w:t>＝</w:t>
      </w:r>
      <w:r>
        <w:rPr>
          <w:rFonts w:ascii="Times New Roman" w:eastAsia="Times New Roman"/>
          <w:i/>
          <w:spacing w:val="-10"/>
          <w:position w:val="6"/>
          <w:sz w:val="24"/>
        </w:rPr>
        <w:t>W</w:t>
      </w:r>
    </w:p>
    <w:p>
      <w:pPr>
        <w:pStyle w:val="BodyText"/>
        <w:spacing w:before="7"/>
        <w:rPr>
          <w:rFonts w:ascii="Times New Roman"/>
          <w:i/>
          <w:sz w:val="12"/>
        </w:rPr>
      </w:pPr>
      <w:r>
        <w:rPr/>
        <w:br w:type="column"/>
      </w:r>
      <w:r>
        <w:rPr>
          <w:rFonts w:ascii="Times New Roman"/>
          <w:i/>
          <w:sz w:val="12"/>
        </w:rPr>
      </w:r>
    </w:p>
    <w:p>
      <w:pPr>
        <w:spacing w:before="0"/>
        <w:ind w:left="-39" w:right="0" w:firstLine="0"/>
        <w:jc w:val="left"/>
        <w:rPr>
          <w:rFonts w:ascii="Times New Roman"/>
          <w:sz w:val="14"/>
        </w:rPr>
      </w:pPr>
      <w:r>
        <w:rPr>
          <w:rFonts w:ascii="Times New Roman"/>
          <w:spacing w:val="-1"/>
          <w:sz w:val="14"/>
        </w:rPr>
        <w:t>max</w:t>
      </w:r>
    </w:p>
    <w:p>
      <w:pPr>
        <w:tabs>
          <w:tab w:pos="776" w:val="left" w:leader="none"/>
          <w:tab w:pos="1246" w:val="left" w:leader="none"/>
        </w:tabs>
        <w:spacing w:line="365" w:lineRule="exact" w:before="0"/>
        <w:ind w:left="7" w:right="0" w:firstLine="0"/>
        <w:jc w:val="left"/>
        <w:rPr>
          <w:rFonts w:ascii="Times New Roman" w:hAnsi="Times New Roman"/>
          <w:i/>
          <w:sz w:val="24"/>
        </w:rPr>
      </w:pPr>
      <w:r>
        <w:rPr/>
        <w:br w:type="column"/>
      </w:r>
      <w:r>
        <w:rPr>
          <w:rFonts w:ascii="Symbol" w:hAnsi="Symbol"/>
          <w:spacing w:val="6"/>
          <w:sz w:val="24"/>
        </w:rPr>
        <w:t></w:t>
      </w:r>
      <w:r>
        <w:rPr>
          <w:rFonts w:ascii="Symbol" w:hAnsi="Symbol"/>
          <w:spacing w:val="6"/>
          <w:position w:val="-8"/>
          <w:sz w:val="35"/>
        </w:rPr>
        <w:t></w:t>
      </w:r>
      <w:r>
        <w:rPr>
          <w:rFonts w:ascii="Times New Roman" w:hAnsi="Times New Roman"/>
          <w:spacing w:val="6"/>
          <w:position w:val="-8"/>
          <w:sz w:val="35"/>
        </w:rPr>
        <w:tab/>
      </w:r>
      <w:r>
        <w:rPr>
          <w:rFonts w:ascii="Times New Roman" w:hAnsi="Times New Roman"/>
          <w:position w:val="-7"/>
          <w:sz w:val="14"/>
        </w:rPr>
        <w:t>2</w:t>
        <w:tab/>
      </w:r>
      <w:r>
        <w:rPr>
          <w:rFonts w:ascii="Symbol" w:hAnsi="Symbol"/>
          <w:spacing w:val="-3"/>
          <w:sz w:val="24"/>
        </w:rPr>
        <w:t></w:t>
      </w:r>
      <w:r>
        <w:rPr>
          <w:rFonts w:ascii="Times New Roman" w:hAnsi="Times New Roman"/>
          <w:i/>
          <w:spacing w:val="-3"/>
          <w:sz w:val="24"/>
        </w:rPr>
        <w:t>e</w:t>
      </w:r>
    </w:p>
    <w:p>
      <w:pPr>
        <w:spacing w:line="143" w:lineRule="exact" w:before="0"/>
        <w:ind w:left="134" w:right="0" w:firstLine="0"/>
        <w:jc w:val="left"/>
        <w:rPr>
          <w:rFonts w:ascii="Times New Roman"/>
          <w:i/>
          <w:sz w:val="14"/>
        </w:rPr>
      </w:pPr>
      <w:r>
        <w:rPr/>
        <w:pict>
          <v:shape style="position:absolute;margin-left:207.078995pt;margin-top:-8.750838pt;width:4.650pt;height:13.2pt;mso-position-horizontal-relative:page;mso-position-vertical-relative:paragraph;z-index:-285927424" type="#_x0000_t202" filled="false" stroked="false">
            <v:textbox inset="0,0,0,0">
              <w:txbxContent>
                <w:p>
                  <w:pPr>
                    <w:spacing w:line="264" w:lineRule="exact" w:before="0"/>
                    <w:ind w:left="0" w:right="0" w:firstLine="0"/>
                    <w:jc w:val="left"/>
                    <w:rPr>
                      <w:rFonts w:ascii="Times New Roman"/>
                      <w:i/>
                      <w:sz w:val="24"/>
                    </w:rPr>
                  </w:pPr>
                  <w:r>
                    <w:rPr>
                      <w:rFonts w:ascii="Times New Roman"/>
                      <w:i/>
                      <w:w w:val="99"/>
                      <w:sz w:val="24"/>
                    </w:rPr>
                    <w:t>r</w:t>
                  </w:r>
                </w:p>
              </w:txbxContent>
            </v:textbox>
            <w10:wrap type="none"/>
          </v:shape>
        </w:pict>
      </w:r>
      <w:r>
        <w:rPr>
          <w:rFonts w:ascii="Times New Roman"/>
          <w:i/>
          <w:w w:val="99"/>
          <w:sz w:val="14"/>
        </w:rPr>
        <w:t>D</w:t>
      </w:r>
    </w:p>
    <w:p>
      <w:pPr>
        <w:tabs>
          <w:tab w:pos="1163" w:val="left" w:leader="none"/>
        </w:tabs>
        <w:spacing w:line="271" w:lineRule="exact" w:before="0"/>
        <w:ind w:left="574" w:right="0" w:firstLine="0"/>
        <w:jc w:val="left"/>
        <w:rPr>
          <w:rFonts w:ascii="Symbol" w:hAnsi="Symbol"/>
          <w:i/>
          <w:sz w:val="25"/>
        </w:rPr>
      </w:pPr>
      <w:r>
        <w:rPr/>
        <w:br w:type="column"/>
      </w:r>
      <w:r>
        <w:rPr>
          <w:rFonts w:ascii="Times New Roman" w:hAnsi="Times New Roman"/>
          <w:i/>
          <w:spacing w:val="4"/>
          <w:position w:val="7"/>
          <w:sz w:val="14"/>
        </w:rPr>
        <w:t>r</w:t>
      </w:r>
      <w:r>
        <w:rPr>
          <w:rFonts w:ascii="Times New Roman" w:hAnsi="Times New Roman"/>
          <w:spacing w:val="4"/>
          <w:position w:val="14"/>
          <w:sz w:val="10"/>
        </w:rPr>
        <w:t>2</w:t>
        <w:tab/>
      </w:r>
      <w:r>
        <w:rPr>
          <w:rFonts w:ascii="Symbol" w:hAnsi="Symbol"/>
          <w:spacing w:val="-9"/>
          <w:sz w:val="24"/>
        </w:rPr>
        <w:t></w:t>
      </w:r>
      <w:r>
        <w:rPr>
          <w:rFonts w:ascii="Times New Roman" w:hAnsi="Times New Roman"/>
          <w:i/>
          <w:spacing w:val="-9"/>
          <w:sz w:val="24"/>
        </w:rPr>
        <w:t>d</w:t>
      </w:r>
      <w:r>
        <w:rPr>
          <w:rFonts w:ascii="Symbol" w:hAnsi="Symbol"/>
          <w:i/>
          <w:spacing w:val="-9"/>
          <w:sz w:val="25"/>
        </w:rPr>
        <w:t></w:t>
      </w:r>
      <w:r>
        <w:rPr>
          <w:rFonts w:ascii="Symbol" w:hAnsi="Symbol"/>
          <w:spacing w:val="-9"/>
          <w:sz w:val="24"/>
        </w:rPr>
        <w:t></w:t>
      </w:r>
      <w:r>
        <w:rPr>
          <w:rFonts w:ascii="Times New Roman" w:hAnsi="Times New Roman"/>
          <w:i/>
          <w:spacing w:val="-9"/>
          <w:sz w:val="24"/>
        </w:rPr>
        <w:t>d</w:t>
      </w:r>
      <w:r>
        <w:rPr>
          <w:rFonts w:ascii="Symbol" w:hAnsi="Symbol"/>
          <w:i/>
          <w:spacing w:val="-9"/>
          <w:sz w:val="25"/>
        </w:rPr>
        <w:t></w:t>
      </w:r>
    </w:p>
    <w:p>
      <w:pPr>
        <w:spacing w:after="0" w:line="271" w:lineRule="exact"/>
        <w:jc w:val="left"/>
        <w:rPr>
          <w:rFonts w:ascii="Symbol" w:hAnsi="Symbol"/>
          <w:sz w:val="25"/>
        </w:rPr>
        <w:sectPr>
          <w:type w:val="continuous"/>
          <w:pgSz w:w="11910" w:h="16840"/>
          <w:pgMar w:top="1580" w:bottom="280" w:left="1040" w:right="600"/>
          <w:cols w:num="4" w:equalWidth="0">
            <w:col w:w="2161" w:space="40"/>
            <w:col w:w="200" w:space="39"/>
            <w:col w:w="1427" w:space="40"/>
            <w:col w:w="6363"/>
          </w:cols>
        </w:sectPr>
      </w:pPr>
    </w:p>
    <w:p>
      <w:pPr>
        <w:pStyle w:val="BodyText"/>
        <w:spacing w:before="3"/>
        <w:rPr>
          <w:rFonts w:ascii="Symbol" w:hAnsi="Symbol"/>
          <w:i/>
          <w:sz w:val="8"/>
        </w:rPr>
      </w:pPr>
    </w:p>
    <w:p>
      <w:pPr>
        <w:spacing w:after="0"/>
        <w:rPr>
          <w:rFonts w:ascii="Symbol" w:hAnsi="Symbol"/>
          <w:sz w:val="8"/>
        </w:rPr>
        <w:sectPr>
          <w:type w:val="continuous"/>
          <w:pgSz w:w="11910" w:h="16840"/>
          <w:pgMar w:top="1580" w:bottom="280" w:left="1040" w:right="600"/>
        </w:sectPr>
      </w:pPr>
    </w:p>
    <w:p>
      <w:pPr>
        <w:pStyle w:val="BodyText"/>
        <w:spacing w:before="66"/>
        <w:ind w:left="1191"/>
      </w:pPr>
      <w:r>
        <w:rPr/>
        <w:t>③ 地表曲率</w:t>
      </w:r>
    </w:p>
    <w:p>
      <w:pPr>
        <w:pStyle w:val="BodyText"/>
        <w:rPr>
          <w:sz w:val="28"/>
        </w:rPr>
      </w:pPr>
      <w:r>
        <w:rPr/>
        <w:br w:type="column"/>
      </w:r>
      <w:r>
        <w:rPr>
          <w:sz w:val="28"/>
        </w:rPr>
      </w:r>
    </w:p>
    <w:p>
      <w:pPr>
        <w:spacing w:line="128" w:lineRule="exact" w:before="251"/>
        <w:ind w:left="330" w:right="0" w:firstLine="0"/>
        <w:jc w:val="left"/>
        <w:rPr>
          <w:rFonts w:ascii="Times New Roman" w:hAnsi="Times New Roman"/>
          <w:sz w:val="14"/>
        </w:rPr>
      </w:pPr>
      <w:r>
        <w:rPr/>
        <w:pict>
          <v:line style="position:absolute;mso-position-horizontal-relative:page;mso-position-vertical-relative:paragraph;z-index:-285933568" from="195.395996pt,29.580137pt" to="210.492996pt,29.580137pt" stroked="true" strokeweight=".5pt" strokecolor="#000000">
            <v:stroke dashstyle="solid"/>
            <w10:wrap type="none"/>
          </v:line>
        </w:pict>
      </w:r>
      <w:r>
        <w:rPr/>
        <w:pict>
          <v:line style="position:absolute;mso-position-horizontal-relative:page;mso-position-vertical-relative:paragraph;z-index:-285932544" from="215.681pt,29.580137pt" to="267.19pt,29.580137pt" stroked="true" strokeweight=".5pt" strokecolor="#000000">
            <v:stroke dashstyle="solid"/>
            <w10:wrap type="none"/>
          </v:line>
        </w:pict>
      </w:r>
      <w:r>
        <w:rPr>
          <w:rFonts w:ascii="Times New Roman" w:hAnsi="Times New Roman"/>
          <w:sz w:val="24"/>
        </w:rPr>
        <w:t>2</w:t>
      </w:r>
      <w:r>
        <w:rPr>
          <w:rFonts w:ascii="Symbol" w:hAnsi="Symbol"/>
          <w:i/>
          <w:sz w:val="25"/>
        </w:rPr>
        <w:t></w:t>
      </w:r>
      <w:r>
        <w:rPr>
          <w:rFonts w:ascii="Times New Roman" w:hAnsi="Times New Roman"/>
          <w:i/>
          <w:sz w:val="25"/>
        </w:rPr>
        <w:t>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pStyle w:val="BodyText"/>
        <w:rPr>
          <w:rFonts w:ascii="Times New Roman"/>
          <w:sz w:val="26"/>
        </w:rPr>
      </w:pPr>
      <w:r>
        <w:rPr/>
        <w:br w:type="column"/>
      </w:r>
      <w:r>
        <w:rPr>
          <w:rFonts w:ascii="Times New Roman"/>
          <w:sz w:val="26"/>
        </w:rPr>
      </w:r>
    </w:p>
    <w:p>
      <w:pPr>
        <w:pStyle w:val="BodyText"/>
        <w:spacing w:before="8"/>
        <w:rPr>
          <w:rFonts w:ascii="Times New Roman"/>
        </w:rPr>
      </w:pPr>
    </w:p>
    <w:p>
      <w:pPr>
        <w:spacing w:line="154" w:lineRule="exact" w:before="1"/>
        <w:ind w:left="567"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w:t>
      </w:r>
      <w:r>
        <w:rPr>
          <w:rFonts w:ascii="Times New Roman" w:hAnsi="Times New Roman"/>
          <w:i/>
          <w:sz w:val="14"/>
        </w:rPr>
        <w:t>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w:t>
      </w:r>
      <w:r>
        <w:rPr>
          <w:rFonts w:ascii="Times New Roman" w:hAnsi="Times New Roman"/>
          <w:i/>
          <w:sz w:val="14"/>
          <w:vertAlign w:val="baseline"/>
        </w:rPr>
        <w:t>y </w:t>
      </w:r>
      <w:r>
        <w:rPr>
          <w:rFonts w:ascii="Times New Roman" w:hAnsi="Times New Roman"/>
          <w:sz w:val="14"/>
          <w:vertAlign w:val="baseline"/>
        </w:rPr>
        <w:t>)</w:t>
      </w:r>
      <w:r>
        <w:rPr>
          <w:rFonts w:ascii="Times New Roman" w:hAnsi="Times New Roman"/>
          <w:sz w:val="14"/>
          <w:vertAlign w:val="superscript"/>
        </w:rPr>
        <w:t>2</w:t>
      </w:r>
    </w:p>
    <w:p>
      <w:pPr>
        <w:pStyle w:val="BodyText"/>
        <w:spacing w:before="3"/>
        <w:rPr>
          <w:rFonts w:ascii="Times New Roman"/>
          <w:sz w:val="3"/>
        </w:rPr>
      </w:pPr>
    </w:p>
    <w:p>
      <w:pPr>
        <w:pStyle w:val="BodyText"/>
        <w:spacing w:line="20" w:lineRule="exact"/>
        <w:ind w:left="743"/>
        <w:rPr>
          <w:rFonts w:ascii="Times New Roman"/>
          <w:sz w:val="2"/>
        </w:rPr>
      </w:pPr>
      <w:r>
        <w:rPr>
          <w:rFonts w:ascii="Times New Roman"/>
          <w:sz w:val="2"/>
        </w:rPr>
        <w:pict>
          <v:group style="width:48.05pt;height:.25pt;mso-position-horizontal-relative:char;mso-position-vertical-relative:line" coordorigin="0,0" coordsize="961,5">
            <v:line style="position:absolute" from="0,3" to="960,3" stroked="true" strokeweight=".25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1040" w:right="600"/>
          <w:cols w:num="3" w:equalWidth="0">
            <w:col w:w="2513" w:space="40"/>
            <w:col w:w="1712" w:space="39"/>
            <w:col w:w="5966"/>
          </w:cols>
        </w:sectPr>
      </w:pPr>
    </w:p>
    <w:p>
      <w:pPr>
        <w:spacing w:line="306" w:lineRule="exact" w:before="0"/>
        <w:ind w:left="1235" w:right="0" w:firstLine="0"/>
        <w:jc w:val="left"/>
        <w:rPr>
          <w:rFonts w:ascii="Times New Roman" w:eastAsia="Times New Roman"/>
          <w:sz w:val="14"/>
        </w:rPr>
      </w:pPr>
      <w:r>
        <w:rPr>
          <w:rFonts w:ascii="Times New Roman" w:eastAsia="Times New Roman"/>
          <w:i/>
          <w:spacing w:val="14"/>
          <w:position w:val="6"/>
          <w:sz w:val="24"/>
        </w:rPr>
        <w:t>K</w:t>
      </w:r>
      <w:r>
        <w:rPr>
          <w:rFonts w:ascii="Times New Roman" w:eastAsia="Times New Roman"/>
          <w:i/>
          <w:spacing w:val="14"/>
          <w:sz w:val="14"/>
        </w:rPr>
        <w:t>X</w:t>
      </w:r>
      <w:r>
        <w:rPr>
          <w:rFonts w:ascii="Times New Roman" w:eastAsia="Times New Roman"/>
          <w:i/>
          <w:spacing w:val="-3"/>
          <w:sz w:val="14"/>
        </w:rPr>
        <w:t> </w:t>
      </w:r>
      <w:r>
        <w:rPr>
          <w:rFonts w:ascii="Times New Roman" w:eastAsia="Times New Roman"/>
          <w:sz w:val="14"/>
        </w:rPr>
        <w:t>(</w:t>
      </w:r>
      <w:r>
        <w:rPr>
          <w:rFonts w:ascii="Times New Roman" w:eastAsia="Times New Roman"/>
          <w:spacing w:val="-14"/>
          <w:sz w:val="14"/>
        </w:rPr>
        <w:t> </w:t>
      </w:r>
      <w:r>
        <w:rPr>
          <w:rFonts w:ascii="Times New Roman" w:eastAsia="Times New Roman"/>
          <w:i/>
          <w:spacing w:val="5"/>
          <w:sz w:val="14"/>
        </w:rPr>
        <w:t>x</w:t>
      </w:r>
      <w:r>
        <w:rPr>
          <w:rFonts w:ascii="Times New Roman" w:eastAsia="Times New Roman"/>
          <w:spacing w:val="5"/>
          <w:sz w:val="14"/>
        </w:rPr>
        <w:t>,</w:t>
      </w:r>
      <w:r>
        <w:rPr>
          <w:rFonts w:ascii="Times New Roman" w:eastAsia="Times New Roman"/>
          <w:spacing w:val="-18"/>
          <w:sz w:val="14"/>
        </w:rPr>
        <w:t> </w:t>
      </w:r>
      <w:r>
        <w:rPr>
          <w:rFonts w:ascii="Times New Roman" w:eastAsia="Times New Roman"/>
          <w:i/>
          <w:sz w:val="14"/>
        </w:rPr>
        <w:t>y</w:t>
      </w:r>
      <w:r>
        <w:rPr>
          <w:rFonts w:ascii="Times New Roman" w:eastAsia="Times New Roman"/>
          <w:i/>
          <w:spacing w:val="-19"/>
          <w:sz w:val="14"/>
        </w:rPr>
        <w:t> </w:t>
      </w:r>
      <w:r>
        <w:rPr>
          <w:rFonts w:ascii="Times New Roman" w:eastAsia="Times New Roman"/>
          <w:spacing w:val="-6"/>
          <w:sz w:val="14"/>
        </w:rPr>
        <w:t>)</w:t>
      </w:r>
      <w:r>
        <w:rPr>
          <w:spacing w:val="-6"/>
          <w:position w:val="6"/>
          <w:sz w:val="24"/>
        </w:rPr>
        <w:t>＝</w:t>
      </w:r>
      <w:r>
        <w:rPr>
          <w:rFonts w:ascii="Times New Roman" w:eastAsia="Times New Roman"/>
          <w:i/>
          <w:spacing w:val="-6"/>
          <w:position w:val="6"/>
          <w:sz w:val="24"/>
        </w:rPr>
        <w:t>W</w:t>
      </w:r>
      <w:r>
        <w:rPr>
          <w:rFonts w:ascii="Times New Roman" w:eastAsia="Times New Roman"/>
          <w:spacing w:val="-6"/>
          <w:sz w:val="14"/>
        </w:rPr>
        <w:t>max</w:t>
      </w:r>
    </w:p>
    <w:p>
      <w:pPr>
        <w:tabs>
          <w:tab w:pos="1237" w:val="left" w:leader="none"/>
        </w:tabs>
        <w:spacing w:line="362" w:lineRule="exact" w:before="0"/>
        <w:ind w:left="7" w:right="0" w:firstLine="0"/>
        <w:jc w:val="left"/>
        <w:rPr>
          <w:rFonts w:ascii="Times New Roman" w:hAnsi="Times New Roman"/>
          <w:sz w:val="14"/>
        </w:rPr>
      </w:pPr>
      <w:r>
        <w:rPr/>
        <w:br w:type="column"/>
      </w:r>
      <w:r>
        <w:rPr>
          <w:rFonts w:ascii="Symbol" w:hAnsi="Symbol"/>
          <w:spacing w:val="6"/>
          <w:position w:val="9"/>
          <w:sz w:val="24"/>
        </w:rPr>
        <w:t></w:t>
      </w:r>
      <w:r>
        <w:rPr>
          <w:rFonts w:ascii="Symbol" w:hAnsi="Symbol"/>
          <w:spacing w:val="6"/>
          <w:sz w:val="35"/>
        </w:rPr>
        <w:t></w:t>
      </w:r>
      <w:r>
        <w:rPr>
          <w:rFonts w:ascii="Times New Roman" w:hAnsi="Times New Roman"/>
          <w:spacing w:val="97"/>
          <w:sz w:val="35"/>
        </w:rPr>
        <w:t> </w:t>
      </w:r>
      <w:r>
        <w:rPr>
          <w:rFonts w:ascii="Times New Roman" w:hAnsi="Times New Roman"/>
          <w:position w:val="1"/>
          <w:sz w:val="14"/>
        </w:rPr>
        <w:t>2 </w:t>
      </w:r>
      <w:r>
        <w:rPr>
          <w:rFonts w:ascii="Times New Roman" w:hAnsi="Times New Roman"/>
          <w:spacing w:val="11"/>
          <w:position w:val="1"/>
          <w:sz w:val="14"/>
        </w:rPr>
        <w:t> </w:t>
      </w:r>
      <w:r>
        <w:rPr>
          <w:rFonts w:ascii="Times New Roman" w:hAnsi="Times New Roman"/>
          <w:position w:val="9"/>
          <w:sz w:val="24"/>
        </w:rPr>
        <w:t>(</w:t>
        <w:tab/>
      </w:r>
      <w:r>
        <w:rPr>
          <w:rFonts w:ascii="Times New Roman" w:hAnsi="Times New Roman"/>
          <w:spacing w:val="-20"/>
          <w:position w:val="1"/>
          <w:sz w:val="14"/>
        </w:rPr>
        <w:t>2</w:t>
      </w:r>
    </w:p>
    <w:p>
      <w:pPr>
        <w:spacing w:line="145" w:lineRule="exact" w:before="0"/>
        <w:ind w:left="134" w:right="0" w:firstLine="0"/>
        <w:jc w:val="left"/>
        <w:rPr>
          <w:rFonts w:ascii="Times New Roman"/>
          <w:i/>
          <w:sz w:val="14"/>
        </w:rPr>
      </w:pPr>
      <w:r>
        <w:rPr/>
        <w:pict>
          <v:shape style="position:absolute;margin-left:197.740005pt;margin-top:-8.654338pt;width:4.650pt;height:13.2pt;mso-position-horizontal-relative:page;mso-position-vertical-relative:paragraph;z-index:-285930496" type="#_x0000_t202" filled="false" stroked="false">
            <v:textbox inset="0,0,0,0">
              <w:txbxContent>
                <w:p>
                  <w:pPr>
                    <w:spacing w:line="264" w:lineRule="exact" w:before="0"/>
                    <w:ind w:left="0" w:right="0" w:firstLine="0"/>
                    <w:jc w:val="left"/>
                    <w:rPr>
                      <w:rFonts w:ascii="Times New Roman"/>
                      <w:i/>
                      <w:sz w:val="24"/>
                    </w:rPr>
                  </w:pPr>
                  <w:r>
                    <w:rPr>
                      <w:rFonts w:ascii="Times New Roman"/>
                      <w:i/>
                      <w:w w:val="99"/>
                      <w:sz w:val="24"/>
                    </w:rPr>
                    <w:t>r</w:t>
                  </w:r>
                </w:p>
              </w:txbxContent>
            </v:textbox>
            <w10:wrap type="none"/>
          </v:shape>
        </w:pict>
      </w:r>
      <w:r>
        <w:rPr/>
        <w:pict>
          <v:shape style="position:absolute;margin-left:236.246994pt;margin-top:-8.654338pt;width:4.650pt;height:13.2pt;mso-position-horizontal-relative:page;mso-position-vertical-relative:paragraph;z-index:-285926400" type="#_x0000_t202" filled="false" stroked="false">
            <v:textbox inset="0,0,0,0">
              <w:txbxContent>
                <w:p>
                  <w:pPr>
                    <w:spacing w:line="264" w:lineRule="exact" w:before="0"/>
                    <w:ind w:left="0" w:right="0" w:firstLine="0"/>
                    <w:jc w:val="left"/>
                    <w:rPr>
                      <w:rFonts w:ascii="Times New Roman"/>
                      <w:i/>
                      <w:sz w:val="24"/>
                    </w:rPr>
                  </w:pPr>
                  <w:r>
                    <w:rPr>
                      <w:rFonts w:ascii="Times New Roman"/>
                      <w:i/>
                      <w:w w:val="99"/>
                      <w:sz w:val="24"/>
                    </w:rPr>
                    <w:t>r</w:t>
                  </w:r>
                </w:p>
              </w:txbxContent>
            </v:textbox>
            <w10:wrap type="none"/>
          </v:shape>
        </w:pict>
      </w:r>
      <w:r>
        <w:rPr>
          <w:rFonts w:ascii="Times New Roman"/>
          <w:i/>
          <w:w w:val="99"/>
          <w:sz w:val="14"/>
        </w:rPr>
        <w:t>D</w:t>
      </w:r>
    </w:p>
    <w:p>
      <w:pPr>
        <w:spacing w:line="268" w:lineRule="exact" w:before="0"/>
        <w:ind w:left="428" w:right="0" w:firstLine="0"/>
        <w:jc w:val="left"/>
        <w:rPr>
          <w:rFonts w:ascii="Times New Roman" w:hAnsi="Times New Roman"/>
          <w:i/>
          <w:sz w:val="24"/>
        </w:rPr>
      </w:pPr>
      <w:r>
        <w:rPr/>
        <w:br w:type="column"/>
      </w:r>
      <w:r>
        <w:rPr>
          <w:rFonts w:ascii="Symbol" w:hAnsi="Symbol"/>
          <w:w w:val="95"/>
          <w:sz w:val="24"/>
        </w:rPr>
        <w:t></w:t>
      </w:r>
      <w:r>
        <w:rPr>
          <w:rFonts w:ascii="Times New Roman" w:hAnsi="Times New Roman"/>
          <w:w w:val="95"/>
          <w:sz w:val="24"/>
        </w:rPr>
        <w:t>1)</w:t>
      </w:r>
      <w:r>
        <w:rPr>
          <w:rFonts w:ascii="Symbol" w:hAnsi="Symbol"/>
          <w:w w:val="95"/>
          <w:sz w:val="24"/>
        </w:rPr>
        <w:t></w:t>
      </w:r>
      <w:r>
        <w:rPr>
          <w:rFonts w:ascii="Times New Roman" w:hAnsi="Times New Roman"/>
          <w:i/>
          <w:w w:val="95"/>
          <w:sz w:val="24"/>
        </w:rPr>
        <w:t>e</w:t>
      </w:r>
    </w:p>
    <w:p>
      <w:pPr>
        <w:tabs>
          <w:tab w:pos="1163" w:val="left" w:leader="none"/>
        </w:tabs>
        <w:spacing w:line="270" w:lineRule="exact" w:before="0"/>
        <w:ind w:left="573" w:right="0" w:firstLine="0"/>
        <w:jc w:val="left"/>
        <w:rPr>
          <w:rFonts w:ascii="Symbol" w:hAnsi="Symbol"/>
          <w:i/>
          <w:sz w:val="25"/>
        </w:rPr>
      </w:pPr>
      <w:r>
        <w:rPr/>
        <w:br w:type="column"/>
      </w:r>
      <w:r>
        <w:rPr>
          <w:rFonts w:ascii="Times New Roman" w:hAnsi="Times New Roman"/>
          <w:i/>
          <w:spacing w:val="4"/>
          <w:position w:val="7"/>
          <w:sz w:val="14"/>
        </w:rPr>
        <w:t>r</w:t>
      </w:r>
      <w:r>
        <w:rPr>
          <w:rFonts w:ascii="Times New Roman" w:hAnsi="Times New Roman"/>
          <w:spacing w:val="4"/>
          <w:position w:val="14"/>
          <w:sz w:val="10"/>
        </w:rPr>
        <w:t>2</w:t>
        <w:tab/>
      </w:r>
      <w:r>
        <w:rPr>
          <w:rFonts w:ascii="Symbol" w:hAnsi="Symbol"/>
          <w:spacing w:val="-9"/>
          <w:sz w:val="24"/>
        </w:rPr>
        <w:t></w:t>
      </w:r>
      <w:r>
        <w:rPr>
          <w:rFonts w:ascii="Times New Roman" w:hAnsi="Times New Roman"/>
          <w:i/>
          <w:spacing w:val="-9"/>
          <w:sz w:val="24"/>
        </w:rPr>
        <w:t>d</w:t>
      </w:r>
      <w:r>
        <w:rPr>
          <w:rFonts w:ascii="Symbol" w:hAnsi="Symbol"/>
          <w:i/>
          <w:spacing w:val="-9"/>
          <w:sz w:val="25"/>
        </w:rPr>
        <w:t></w:t>
      </w:r>
      <w:r>
        <w:rPr>
          <w:rFonts w:ascii="Symbol" w:hAnsi="Symbol"/>
          <w:spacing w:val="-9"/>
          <w:sz w:val="24"/>
        </w:rPr>
        <w:t></w:t>
      </w:r>
      <w:r>
        <w:rPr>
          <w:rFonts w:ascii="Times New Roman" w:hAnsi="Times New Roman"/>
          <w:i/>
          <w:spacing w:val="-9"/>
          <w:sz w:val="24"/>
        </w:rPr>
        <w:t>d</w:t>
      </w:r>
      <w:r>
        <w:rPr>
          <w:rFonts w:ascii="Symbol" w:hAnsi="Symbol"/>
          <w:i/>
          <w:spacing w:val="-9"/>
          <w:sz w:val="25"/>
        </w:rPr>
        <w:t></w:t>
      </w:r>
    </w:p>
    <w:p>
      <w:pPr>
        <w:spacing w:after="0" w:line="270" w:lineRule="exact"/>
        <w:jc w:val="left"/>
        <w:rPr>
          <w:rFonts w:ascii="Symbol" w:hAnsi="Symbol"/>
          <w:sz w:val="25"/>
        </w:rPr>
        <w:sectPr>
          <w:type w:val="continuous"/>
          <w:pgSz w:w="11910" w:h="16840"/>
          <w:pgMar w:top="1580" w:bottom="280" w:left="1040" w:right="600"/>
          <w:cols w:num="4" w:equalWidth="0">
            <w:col w:w="2523" w:space="40"/>
            <w:col w:w="1307" w:space="39"/>
            <w:col w:w="946" w:space="40"/>
            <w:col w:w="5375"/>
          </w:cols>
        </w:sectPr>
      </w:pPr>
    </w:p>
    <w:p>
      <w:pPr>
        <w:pStyle w:val="BodyText"/>
        <w:spacing w:before="3"/>
        <w:rPr>
          <w:rFonts w:ascii="Symbol" w:hAnsi="Symbol"/>
          <w:i/>
          <w:sz w:val="8"/>
        </w:rPr>
      </w:pPr>
    </w:p>
    <w:p>
      <w:pPr>
        <w:spacing w:after="0"/>
        <w:rPr>
          <w:rFonts w:ascii="Symbol" w:hAnsi="Symbol"/>
          <w:sz w:val="8"/>
        </w:rPr>
        <w:sectPr>
          <w:type w:val="continuous"/>
          <w:pgSz w:w="11910" w:h="16840"/>
          <w:pgMar w:top="1580" w:bottom="280" w:left="1040" w:right="600"/>
        </w:sectPr>
      </w:pPr>
    </w:p>
    <w:p>
      <w:pPr>
        <w:pStyle w:val="BodyText"/>
        <w:spacing w:before="66"/>
        <w:ind w:left="1191"/>
      </w:pPr>
      <w:r>
        <w:rPr/>
        <w:t>④ 地表水平移动</w:t>
      </w:r>
    </w:p>
    <w:p>
      <w:pPr>
        <w:pStyle w:val="BodyText"/>
        <w:spacing w:before="5"/>
        <w:rPr>
          <w:sz w:val="18"/>
        </w:rPr>
      </w:pPr>
    </w:p>
    <w:p>
      <w:pPr>
        <w:spacing w:line="128" w:lineRule="exact" w:before="1"/>
        <w:ind w:left="0" w:right="0" w:firstLine="0"/>
        <w:jc w:val="right"/>
        <w:rPr>
          <w:rFonts w:ascii="Times New Roman" w:hAnsi="Times New Roman"/>
          <w:sz w:val="24"/>
        </w:rPr>
      </w:pPr>
      <w:r>
        <w:rPr/>
        <w:pict>
          <v:line style="position:absolute;mso-position-horizontal-relative:page;mso-position-vertical-relative:paragraph;z-index:-285931520" from="194.613998pt,17.080141pt" to="244.446998pt,17.080141pt" stroked="true" strokeweight=".5pt" strokecolor="#000000">
            <v:stroke dashstyle="solid"/>
            <w10:wrap type="none"/>
          </v:line>
        </w:pic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w:t>
      </w:r>
      <w:r>
        <w:rPr>
          <w:rFonts w:ascii="Times New Roman" w:hAnsi="Times New Roman"/>
          <w:i/>
          <w:sz w:val="24"/>
        </w:rPr>
        <w:t>X </w:t>
      </w:r>
      <w:r>
        <w:rPr>
          <w:rFonts w:ascii="Times New Roman" w:hAnsi="Times New Roman"/>
          <w:sz w:val="24"/>
        </w:rPr>
        <w:t>)</w:t>
      </w:r>
    </w:p>
    <w:p>
      <w:pPr>
        <w:pStyle w:val="BodyText"/>
        <w:rPr>
          <w:rFonts w:ascii="Times New Roman"/>
          <w:sz w:val="26"/>
        </w:rPr>
      </w:pPr>
      <w:r>
        <w:rPr/>
        <w:br w:type="column"/>
      </w:r>
      <w:r>
        <w:rPr>
          <w:rFonts w:ascii="Times New Roman"/>
          <w:sz w:val="26"/>
        </w:rPr>
      </w:r>
    </w:p>
    <w:p>
      <w:pPr>
        <w:pStyle w:val="BodyText"/>
        <w:spacing w:before="8"/>
        <w:rPr>
          <w:rFonts w:ascii="Times New Roman"/>
        </w:rPr>
      </w:pPr>
    </w:p>
    <w:p>
      <w:pPr>
        <w:spacing w:line="154" w:lineRule="exact" w:before="1"/>
        <w:ind w:left="191"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 </w:t>
      </w:r>
      <w:r>
        <w:rPr>
          <w:rFonts w:ascii="Times New Roman" w:hAnsi="Times New Roman"/>
          <w:i/>
          <w:sz w:val="14"/>
        </w:rPr>
        <w:t>y </w:t>
      </w:r>
      <w:r>
        <w:rPr>
          <w:rFonts w:ascii="Symbol" w:hAnsi="Symbol"/>
          <w:sz w:val="14"/>
        </w:rPr>
        <w:t></w:t>
      </w:r>
      <w:r>
        <w:rPr>
          <w:rFonts w:ascii="Times New Roman" w:hAnsi="Times New Roman"/>
          <w:sz w:val="14"/>
        </w:rPr>
        <w:t> </w:t>
      </w:r>
      <w:r>
        <w:rPr>
          <w:rFonts w:ascii="Times New Roman" w:hAnsi="Times New Roman"/>
          <w:i/>
          <w:sz w:val="14"/>
        </w:rPr>
        <w:t>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w:t>
      </w:r>
      <w:r>
        <w:rPr>
          <w:rFonts w:ascii="Times New Roman" w:hAnsi="Times New Roman"/>
          <w:i/>
          <w:sz w:val="14"/>
          <w:vertAlign w:val="baseline"/>
        </w:rPr>
        <w:t>y </w:t>
      </w:r>
      <w:r>
        <w:rPr>
          <w:rFonts w:ascii="Times New Roman" w:hAnsi="Times New Roman"/>
          <w:sz w:val="14"/>
          <w:vertAlign w:val="baseline"/>
        </w:rPr>
        <w:t>)</w:t>
      </w:r>
      <w:r>
        <w:rPr>
          <w:rFonts w:ascii="Times New Roman" w:hAnsi="Times New Roman"/>
          <w:sz w:val="14"/>
          <w:vertAlign w:val="superscript"/>
        </w:rPr>
        <w:t>2</w:t>
      </w:r>
    </w:p>
    <w:p>
      <w:pPr>
        <w:pStyle w:val="BodyText"/>
        <w:spacing w:before="3"/>
        <w:rPr>
          <w:rFonts w:ascii="Times New Roman"/>
          <w:sz w:val="3"/>
        </w:rPr>
      </w:pPr>
    </w:p>
    <w:p>
      <w:pPr>
        <w:pStyle w:val="BodyText"/>
        <w:spacing w:line="20" w:lineRule="exact"/>
        <w:ind w:left="366"/>
        <w:rPr>
          <w:rFonts w:ascii="Times New Roman"/>
          <w:sz w:val="2"/>
        </w:rPr>
      </w:pPr>
      <w:r>
        <w:rPr>
          <w:rFonts w:ascii="Times New Roman"/>
          <w:sz w:val="2"/>
        </w:rPr>
        <w:pict>
          <v:group style="width:48.3pt;height:.25pt;mso-position-horizontal-relative:char;mso-position-vertical-relative:line" coordorigin="0,0" coordsize="966,5">
            <v:line style="position:absolute" from="0,3" to="965,3" stroked="true" strokeweight=".25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1040" w:right="600"/>
          <w:cols w:num="2" w:equalWidth="0">
            <w:col w:w="3837" w:space="40"/>
            <w:col w:w="6393"/>
          </w:cols>
        </w:sectPr>
      </w:pPr>
    </w:p>
    <w:p>
      <w:pPr>
        <w:spacing w:line="306" w:lineRule="exact" w:before="0"/>
        <w:ind w:left="1205" w:right="0" w:firstLine="0"/>
        <w:jc w:val="left"/>
        <w:rPr>
          <w:rFonts w:ascii="Times New Roman" w:eastAsia="Times New Roman"/>
          <w:i/>
          <w:sz w:val="24"/>
        </w:rPr>
      </w:pPr>
      <w:r>
        <w:rPr>
          <w:rFonts w:ascii="Times New Roman" w:eastAsia="Times New Roman"/>
          <w:i/>
          <w:spacing w:val="17"/>
          <w:position w:val="6"/>
          <w:sz w:val="24"/>
        </w:rPr>
        <w:t>U</w:t>
      </w:r>
      <w:r>
        <w:rPr>
          <w:rFonts w:ascii="Times New Roman" w:eastAsia="Times New Roman"/>
          <w:i/>
          <w:spacing w:val="17"/>
          <w:sz w:val="14"/>
        </w:rPr>
        <w:t>X</w:t>
      </w:r>
      <w:r>
        <w:rPr>
          <w:rFonts w:ascii="Times New Roman" w:eastAsia="Times New Roman"/>
          <w:i/>
          <w:spacing w:val="-5"/>
          <w:sz w:val="14"/>
        </w:rPr>
        <w:t> </w:t>
      </w:r>
      <w:r>
        <w:rPr>
          <w:rFonts w:ascii="Times New Roman" w:eastAsia="Times New Roman"/>
          <w:sz w:val="14"/>
        </w:rPr>
        <w:t>(</w:t>
      </w:r>
      <w:r>
        <w:rPr>
          <w:rFonts w:ascii="Times New Roman" w:eastAsia="Times New Roman"/>
          <w:spacing w:val="-15"/>
          <w:sz w:val="14"/>
        </w:rPr>
        <w:t> </w:t>
      </w:r>
      <w:r>
        <w:rPr>
          <w:rFonts w:ascii="Times New Roman" w:eastAsia="Times New Roman"/>
          <w:i/>
          <w:spacing w:val="5"/>
          <w:sz w:val="14"/>
        </w:rPr>
        <w:t>x</w:t>
      </w:r>
      <w:r>
        <w:rPr>
          <w:rFonts w:ascii="Times New Roman" w:eastAsia="Times New Roman"/>
          <w:spacing w:val="5"/>
          <w:sz w:val="14"/>
        </w:rPr>
        <w:t>,</w:t>
      </w:r>
      <w:r>
        <w:rPr>
          <w:rFonts w:ascii="Times New Roman" w:eastAsia="Times New Roman"/>
          <w:spacing w:val="-19"/>
          <w:sz w:val="14"/>
        </w:rPr>
        <w:t> </w:t>
      </w:r>
      <w:r>
        <w:rPr>
          <w:rFonts w:ascii="Times New Roman" w:eastAsia="Times New Roman"/>
          <w:i/>
          <w:sz w:val="14"/>
        </w:rPr>
        <w:t>y</w:t>
      </w:r>
      <w:r>
        <w:rPr>
          <w:rFonts w:ascii="Times New Roman" w:eastAsia="Times New Roman"/>
          <w:i/>
          <w:spacing w:val="-20"/>
          <w:sz w:val="14"/>
        </w:rPr>
        <w:t> </w:t>
      </w:r>
      <w:r>
        <w:rPr>
          <w:rFonts w:ascii="Times New Roman" w:eastAsia="Times New Roman"/>
          <w:spacing w:val="-10"/>
          <w:sz w:val="14"/>
        </w:rPr>
        <w:t>)</w:t>
      </w:r>
      <w:r>
        <w:rPr>
          <w:spacing w:val="-10"/>
          <w:position w:val="6"/>
          <w:sz w:val="24"/>
        </w:rPr>
        <w:t>＝</w:t>
      </w:r>
      <w:r>
        <w:rPr>
          <w:rFonts w:ascii="Times New Roman" w:eastAsia="Times New Roman"/>
          <w:i/>
          <w:spacing w:val="-10"/>
          <w:position w:val="6"/>
          <w:sz w:val="24"/>
        </w:rPr>
        <w:t>U</w:t>
      </w:r>
    </w:p>
    <w:p>
      <w:pPr>
        <w:pStyle w:val="BodyText"/>
        <w:spacing w:before="6"/>
        <w:rPr>
          <w:rFonts w:ascii="Times New Roman"/>
          <w:i/>
          <w:sz w:val="12"/>
        </w:rPr>
      </w:pPr>
      <w:r>
        <w:rPr/>
        <w:br w:type="column"/>
      </w:r>
      <w:r>
        <w:rPr>
          <w:rFonts w:ascii="Times New Roman"/>
          <w:i/>
          <w:sz w:val="12"/>
        </w:rPr>
      </w:r>
    </w:p>
    <w:p>
      <w:pPr>
        <w:spacing w:before="0"/>
        <w:ind w:left="-16" w:right="0" w:firstLine="0"/>
        <w:jc w:val="left"/>
        <w:rPr>
          <w:rFonts w:ascii="Times New Roman"/>
          <w:sz w:val="14"/>
        </w:rPr>
      </w:pPr>
      <w:r>
        <w:rPr>
          <w:rFonts w:ascii="Times New Roman"/>
          <w:spacing w:val="-1"/>
          <w:sz w:val="14"/>
        </w:rPr>
        <w:t>max</w:t>
      </w:r>
    </w:p>
    <w:p>
      <w:pPr>
        <w:tabs>
          <w:tab w:pos="814" w:val="left" w:leader="none"/>
          <w:tab w:pos="1323" w:val="left" w:leader="none"/>
        </w:tabs>
        <w:spacing w:line="364" w:lineRule="exact" w:before="0"/>
        <w:ind w:left="7" w:right="0" w:firstLine="0"/>
        <w:jc w:val="left"/>
        <w:rPr>
          <w:rFonts w:ascii="Times New Roman" w:hAnsi="Times New Roman"/>
          <w:i/>
          <w:sz w:val="24"/>
        </w:rPr>
      </w:pPr>
      <w:r>
        <w:rPr/>
        <w:br w:type="column"/>
      </w:r>
      <w:r>
        <w:rPr>
          <w:rFonts w:ascii="Symbol" w:hAnsi="Symbol"/>
          <w:spacing w:val="6"/>
          <w:sz w:val="24"/>
        </w:rPr>
        <w:t></w:t>
      </w:r>
      <w:r>
        <w:rPr>
          <w:rFonts w:ascii="Symbol" w:hAnsi="Symbol"/>
          <w:spacing w:val="6"/>
          <w:position w:val="-8"/>
          <w:sz w:val="35"/>
        </w:rPr>
        <w:t></w:t>
      </w:r>
      <w:r>
        <w:rPr>
          <w:rFonts w:ascii="Times New Roman" w:hAnsi="Times New Roman"/>
          <w:spacing w:val="6"/>
          <w:position w:val="-8"/>
          <w:sz w:val="35"/>
        </w:rPr>
        <w:tab/>
      </w:r>
      <w:r>
        <w:rPr>
          <w:rFonts w:ascii="Times New Roman" w:hAnsi="Times New Roman"/>
          <w:position w:val="-7"/>
          <w:sz w:val="14"/>
        </w:rPr>
        <w:t>2</w:t>
        <w:tab/>
      </w:r>
      <w:r>
        <w:rPr>
          <w:rFonts w:ascii="Symbol" w:hAnsi="Symbol"/>
          <w:spacing w:val="-3"/>
          <w:sz w:val="24"/>
        </w:rPr>
        <w:t></w:t>
      </w:r>
      <w:r>
        <w:rPr>
          <w:rFonts w:ascii="Times New Roman" w:hAnsi="Times New Roman"/>
          <w:i/>
          <w:spacing w:val="-3"/>
          <w:sz w:val="24"/>
        </w:rPr>
        <w:t>e</w:t>
      </w:r>
    </w:p>
    <w:p>
      <w:pPr>
        <w:spacing w:line="143" w:lineRule="exact" w:before="0"/>
        <w:ind w:left="134" w:right="0" w:firstLine="0"/>
        <w:jc w:val="left"/>
        <w:rPr>
          <w:rFonts w:ascii="Times New Roman"/>
          <w:i/>
          <w:sz w:val="14"/>
        </w:rPr>
      </w:pPr>
      <w:r>
        <w:rPr/>
        <w:pict>
          <v:shape style="position:absolute;margin-left:214.328995pt;margin-top:-8.750847pt;width:4.650pt;height:13.2pt;mso-position-horizontal-relative:page;mso-position-vertical-relative:paragraph;z-index:-285925376" type="#_x0000_t202" filled="false" stroked="false">
            <v:textbox inset="0,0,0,0">
              <w:txbxContent>
                <w:p>
                  <w:pPr>
                    <w:spacing w:line="264" w:lineRule="exact" w:before="0"/>
                    <w:ind w:left="0" w:right="0" w:firstLine="0"/>
                    <w:jc w:val="left"/>
                    <w:rPr>
                      <w:rFonts w:ascii="Times New Roman"/>
                      <w:i/>
                      <w:sz w:val="24"/>
                    </w:rPr>
                  </w:pPr>
                  <w:r>
                    <w:rPr>
                      <w:rFonts w:ascii="Times New Roman"/>
                      <w:i/>
                      <w:w w:val="99"/>
                      <w:sz w:val="24"/>
                    </w:rPr>
                    <w:t>r</w:t>
                  </w:r>
                </w:p>
              </w:txbxContent>
            </v:textbox>
            <w10:wrap type="none"/>
          </v:shape>
        </w:pict>
      </w:r>
      <w:r>
        <w:rPr>
          <w:rFonts w:ascii="Times New Roman"/>
          <w:i/>
          <w:w w:val="99"/>
          <w:sz w:val="14"/>
        </w:rPr>
        <w:t>D</w:t>
      </w:r>
    </w:p>
    <w:p>
      <w:pPr>
        <w:tabs>
          <w:tab w:pos="1168" w:val="left" w:leader="none"/>
        </w:tabs>
        <w:spacing w:line="270" w:lineRule="exact" w:before="0"/>
        <w:ind w:left="576" w:right="0" w:firstLine="0"/>
        <w:jc w:val="left"/>
        <w:rPr>
          <w:rFonts w:ascii="Symbol" w:hAnsi="Symbol"/>
          <w:i/>
          <w:sz w:val="25"/>
        </w:rPr>
      </w:pPr>
      <w:r>
        <w:rPr/>
        <w:br w:type="column"/>
      </w:r>
      <w:r>
        <w:rPr>
          <w:rFonts w:ascii="Times New Roman" w:hAnsi="Times New Roman"/>
          <w:i/>
          <w:spacing w:val="4"/>
          <w:position w:val="7"/>
          <w:sz w:val="14"/>
        </w:rPr>
        <w:t>r</w:t>
      </w:r>
      <w:r>
        <w:rPr>
          <w:rFonts w:ascii="Times New Roman" w:hAnsi="Times New Roman"/>
          <w:spacing w:val="4"/>
          <w:position w:val="14"/>
          <w:sz w:val="10"/>
        </w:rPr>
        <w:t>2</w:t>
        <w:tab/>
      </w:r>
      <w:r>
        <w:rPr>
          <w:rFonts w:ascii="Symbol" w:hAnsi="Symbol"/>
          <w:spacing w:val="-9"/>
          <w:sz w:val="24"/>
        </w:rPr>
        <w:t></w:t>
      </w:r>
      <w:r>
        <w:rPr>
          <w:rFonts w:ascii="Times New Roman" w:hAnsi="Times New Roman"/>
          <w:i/>
          <w:spacing w:val="-9"/>
          <w:sz w:val="24"/>
        </w:rPr>
        <w:t>d</w:t>
      </w:r>
      <w:r>
        <w:rPr>
          <w:rFonts w:ascii="Symbol" w:hAnsi="Symbol"/>
          <w:i/>
          <w:spacing w:val="-9"/>
          <w:sz w:val="25"/>
        </w:rPr>
        <w:t></w:t>
      </w:r>
      <w:r>
        <w:rPr>
          <w:rFonts w:ascii="Symbol" w:hAnsi="Symbol"/>
          <w:spacing w:val="-9"/>
          <w:sz w:val="24"/>
        </w:rPr>
        <w:t></w:t>
      </w:r>
      <w:r>
        <w:rPr>
          <w:rFonts w:ascii="Times New Roman" w:hAnsi="Times New Roman"/>
          <w:i/>
          <w:spacing w:val="-9"/>
          <w:sz w:val="24"/>
        </w:rPr>
        <w:t>d</w:t>
      </w:r>
      <w:r>
        <w:rPr>
          <w:rFonts w:ascii="Symbol" w:hAnsi="Symbol"/>
          <w:i/>
          <w:spacing w:val="-9"/>
          <w:sz w:val="25"/>
        </w:rPr>
        <w:t></w:t>
      </w:r>
    </w:p>
    <w:p>
      <w:pPr>
        <w:spacing w:after="0" w:line="270" w:lineRule="exact"/>
        <w:jc w:val="left"/>
        <w:rPr>
          <w:rFonts w:ascii="Symbol" w:hAnsi="Symbol"/>
          <w:sz w:val="25"/>
        </w:rPr>
        <w:sectPr>
          <w:type w:val="continuous"/>
          <w:pgSz w:w="11910" w:h="16840"/>
          <w:pgMar w:top="1580" w:bottom="280" w:left="1040" w:right="600"/>
          <w:cols w:num="4" w:equalWidth="0">
            <w:col w:w="2245" w:space="40"/>
            <w:col w:w="223" w:space="39"/>
            <w:col w:w="1504" w:space="40"/>
            <w:col w:w="6179"/>
          </w:cols>
        </w:sectPr>
      </w:pPr>
    </w:p>
    <w:p>
      <w:pPr>
        <w:pStyle w:val="BodyText"/>
        <w:spacing w:before="5"/>
        <w:rPr>
          <w:rFonts w:ascii="Symbol" w:hAnsi="Symbol"/>
          <w:i/>
          <w:sz w:val="8"/>
        </w:rPr>
      </w:pPr>
    </w:p>
    <w:p>
      <w:pPr>
        <w:pStyle w:val="BodyText"/>
        <w:spacing w:before="67"/>
        <w:ind w:left="1191"/>
      </w:pPr>
      <w:r>
        <w:rPr/>
        <w:t>⑤ 地表水平变形</w:t>
      </w:r>
    </w:p>
    <w:p>
      <w:pPr>
        <w:spacing w:after="0"/>
        <w:sectPr>
          <w:type w:val="continuous"/>
          <w:pgSz w:w="11910" w:h="16840"/>
          <w:pgMar w:top="1580" w:bottom="280" w:left="1040" w:right="600"/>
        </w:sectPr>
      </w:pPr>
    </w:p>
    <w:p>
      <w:pPr>
        <w:spacing w:line="128" w:lineRule="exact" w:before="121"/>
        <w:ind w:left="0" w:right="0" w:firstLine="0"/>
        <w:jc w:val="right"/>
        <w:rPr>
          <w:rFonts w:ascii="Times New Roman" w:hAnsi="Times New Roman"/>
          <w:sz w:val="14"/>
        </w:rPr>
      </w:pPr>
      <w:r>
        <w:rPr>
          <w:rFonts w:ascii="Times New Roman" w:hAnsi="Times New Roman"/>
          <w:spacing w:val="-14"/>
          <w:sz w:val="24"/>
        </w:rPr>
        <w:t>2</w:t>
      </w:r>
      <w:r>
        <w:rPr>
          <w:rFonts w:ascii="Symbol" w:hAnsi="Symbol"/>
          <w:i/>
          <w:spacing w:val="-14"/>
          <w:sz w:val="25"/>
        </w:rPr>
        <w:t></w:t>
      </w:r>
      <w:r>
        <w:rPr>
          <w:rFonts w:ascii="Times New Roman" w:hAnsi="Times New Roman"/>
          <w:i/>
          <w:spacing w:val="-14"/>
          <w:sz w:val="25"/>
        </w:rPr>
        <w:t> </w:t>
      </w:r>
      <w:r>
        <w:rPr>
          <w:rFonts w:ascii="Times New Roman" w:hAnsi="Times New Roman"/>
          <w:spacing w:val="-29"/>
          <w:sz w:val="24"/>
        </w:rPr>
        <w:t>2</w:t>
      </w:r>
      <w:r>
        <w:rPr>
          <w:rFonts w:ascii="Symbol" w:hAnsi="Symbol"/>
          <w:i/>
          <w:spacing w:val="-29"/>
          <w:sz w:val="25"/>
        </w:rPr>
        <w:t></w:t>
      </w:r>
      <w:r>
        <w:rPr>
          <w:rFonts w:ascii="Times New Roman" w:hAnsi="Times New Roman"/>
          <w:spacing w:val="-29"/>
          <w:sz w:val="24"/>
        </w:rPr>
        <w:t>(</w:t>
      </w:r>
      <w:r>
        <w:rPr>
          <w:rFonts w:ascii="Symbol" w:hAnsi="Symbol"/>
          <w:i/>
          <w:spacing w:val="-29"/>
          <w:sz w:val="25"/>
        </w:rPr>
        <w:t></w:t>
      </w:r>
      <w:r>
        <w:rPr>
          <w:rFonts w:ascii="Symbol" w:hAnsi="Symbol"/>
          <w:spacing w:val="-29"/>
          <w:sz w:val="24"/>
        </w:rPr>
        <w:t></w:t>
      </w:r>
      <w:r>
        <w:rPr>
          <w:rFonts w:ascii="Times New Roman" w:hAnsi="Times New Roman"/>
          <w:spacing w:val="-29"/>
          <w:sz w:val="24"/>
        </w:rPr>
        <w:t> </w:t>
      </w:r>
      <w:r>
        <w:rPr>
          <w:rFonts w:ascii="Times New Roman" w:hAnsi="Times New Roman"/>
          <w:i/>
          <w:spacing w:val="8"/>
          <w:sz w:val="24"/>
        </w:rPr>
        <w:t>x</w:t>
      </w:r>
      <w:r>
        <w:rPr>
          <w:rFonts w:ascii="Times New Roman" w:hAnsi="Times New Roman"/>
          <w:spacing w:val="8"/>
          <w:sz w:val="24"/>
        </w:rPr>
        <w:t>)</w:t>
      </w:r>
      <w:r>
        <w:rPr>
          <w:rFonts w:ascii="Times New Roman" w:hAnsi="Times New Roman"/>
          <w:spacing w:val="8"/>
          <w:position w:val="11"/>
          <w:sz w:val="14"/>
        </w:rPr>
        <w:t>2</w:t>
      </w:r>
    </w:p>
    <w:p>
      <w:pPr>
        <w:spacing w:line="154" w:lineRule="exact" w:before="94"/>
        <w:ind w:left="567" w:right="0" w:firstLine="0"/>
        <w:jc w:val="left"/>
        <w:rPr>
          <w:rFonts w:ascii="Times New Roman" w:hAnsi="Times New Roman"/>
          <w:sz w:val="14"/>
        </w:rPr>
      </w:pPr>
      <w:r>
        <w:rPr/>
        <w:br w:type="column"/>
      </w: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w:t>
      </w:r>
      <w:r>
        <w:rPr>
          <w:rFonts w:ascii="Times New Roman" w:hAnsi="Times New Roman"/>
          <w:i/>
          <w:sz w:val="14"/>
        </w:rPr>
        <w:t>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w:t>
      </w:r>
      <w:r>
        <w:rPr>
          <w:rFonts w:ascii="Times New Roman" w:hAnsi="Times New Roman"/>
          <w:i/>
          <w:sz w:val="14"/>
          <w:vertAlign w:val="baseline"/>
        </w:rPr>
        <w:t>y </w:t>
      </w:r>
      <w:r>
        <w:rPr>
          <w:rFonts w:ascii="Times New Roman" w:hAnsi="Times New Roman"/>
          <w:sz w:val="14"/>
          <w:vertAlign w:val="baseline"/>
        </w:rPr>
        <w:t>)</w:t>
      </w:r>
      <w:r>
        <w:rPr>
          <w:rFonts w:ascii="Times New Roman" w:hAnsi="Times New Roman"/>
          <w:sz w:val="14"/>
          <w:vertAlign w:val="superscript"/>
        </w:rPr>
        <w:t>2</w:t>
      </w:r>
    </w:p>
    <w:p>
      <w:pPr>
        <w:pStyle w:val="BodyText"/>
        <w:spacing w:before="3"/>
        <w:rPr>
          <w:rFonts w:ascii="Times New Roman"/>
          <w:sz w:val="3"/>
        </w:rPr>
      </w:pPr>
    </w:p>
    <w:p>
      <w:pPr>
        <w:pStyle w:val="BodyText"/>
        <w:spacing w:line="20" w:lineRule="exact"/>
        <w:ind w:left="743"/>
        <w:rPr>
          <w:rFonts w:ascii="Times New Roman"/>
          <w:sz w:val="2"/>
        </w:rPr>
      </w:pPr>
      <w:r>
        <w:rPr>
          <w:rFonts w:ascii="Times New Roman"/>
          <w:sz w:val="2"/>
        </w:rPr>
        <w:pict>
          <v:group style="width:48pt;height:.25pt;mso-position-horizontal-relative:char;mso-position-vertical-relative:line" coordorigin="0,0" coordsize="960,5">
            <v:line style="position:absolute" from="0,3" to="960,3" stroked="true" strokeweight=".25pt" strokecolor="#000000">
              <v:stroke dashstyle="solid"/>
            </v:line>
          </v:group>
        </w:pict>
      </w:r>
      <w:r>
        <w:rPr>
          <w:rFonts w:ascii="Times New Roman"/>
          <w:sz w:val="2"/>
        </w:rPr>
      </w:r>
    </w:p>
    <w:p>
      <w:pPr>
        <w:spacing w:after="0" w:line="20" w:lineRule="exact"/>
        <w:rPr>
          <w:rFonts w:ascii="Times New Roman"/>
          <w:sz w:val="2"/>
        </w:rPr>
        <w:sectPr>
          <w:pgSz w:w="11910" w:h="16840"/>
          <w:pgMar w:header="0" w:footer="993" w:top="1380" w:bottom="1180" w:left="1040" w:right="600"/>
          <w:cols w:num="2" w:equalWidth="0">
            <w:col w:w="4192" w:space="40"/>
            <w:col w:w="6038"/>
          </w:cols>
        </w:sectPr>
      </w:pPr>
    </w:p>
    <w:p>
      <w:pPr>
        <w:spacing w:line="169" w:lineRule="exact" w:before="0"/>
        <w:ind w:left="0" w:right="0" w:firstLine="0"/>
        <w:jc w:val="right"/>
        <w:rPr>
          <w:rFonts w:ascii="Times New Roman"/>
          <w:sz w:val="14"/>
        </w:rPr>
      </w:pPr>
      <w:r>
        <w:rPr>
          <w:rFonts w:ascii="Times New Roman"/>
          <w:i/>
          <w:sz w:val="14"/>
        </w:rPr>
        <w:t>X </w:t>
      </w:r>
      <w:r>
        <w:rPr>
          <w:rFonts w:ascii="Times New Roman"/>
          <w:sz w:val="14"/>
        </w:rPr>
        <w:t>( </w:t>
      </w:r>
      <w:r>
        <w:rPr>
          <w:rFonts w:ascii="Times New Roman"/>
          <w:i/>
          <w:sz w:val="14"/>
        </w:rPr>
        <w:t>x</w:t>
      </w:r>
      <w:r>
        <w:rPr>
          <w:rFonts w:ascii="Times New Roman"/>
          <w:sz w:val="14"/>
        </w:rPr>
        <w:t>, </w:t>
      </w:r>
      <w:r>
        <w:rPr>
          <w:rFonts w:ascii="Times New Roman"/>
          <w:i/>
          <w:sz w:val="14"/>
        </w:rPr>
        <w:t>y </w:t>
      </w:r>
      <w:r>
        <w:rPr>
          <w:rFonts w:ascii="Times New Roman"/>
          <w:sz w:val="14"/>
        </w:rPr>
        <w:t>)</w:t>
      </w:r>
    </w:p>
    <w:p>
      <w:pPr>
        <w:spacing w:line="169" w:lineRule="exact" w:before="0"/>
        <w:ind w:left="383" w:right="0" w:firstLine="0"/>
        <w:jc w:val="left"/>
        <w:rPr>
          <w:rFonts w:ascii="Times New Roman"/>
          <w:sz w:val="14"/>
        </w:rPr>
      </w:pPr>
      <w:r>
        <w:rPr/>
        <w:br w:type="column"/>
      </w:r>
      <w:r>
        <w:rPr>
          <w:rFonts w:ascii="Times New Roman"/>
          <w:spacing w:val="-1"/>
          <w:sz w:val="14"/>
        </w:rPr>
        <w:t>max</w:t>
      </w:r>
    </w:p>
    <w:p>
      <w:pPr>
        <w:tabs>
          <w:tab w:pos="1121" w:val="left" w:leader="none"/>
        </w:tabs>
        <w:spacing w:line="23" w:lineRule="exact" w:before="0"/>
        <w:ind w:left="86" w:right="0" w:firstLine="0"/>
        <w:jc w:val="left"/>
        <w:rPr>
          <w:rFonts w:ascii="Times New Roman" w:hAnsi="Times New Roman"/>
          <w:sz w:val="14"/>
        </w:rPr>
      </w:pPr>
      <w:r>
        <w:rPr/>
        <w:br w:type="column"/>
      </w:r>
      <w:r>
        <w:rPr>
          <w:rFonts w:ascii="Symbol" w:hAnsi="Symbol"/>
          <w:sz w:val="35"/>
        </w:rPr>
        <w:t></w:t>
      </w:r>
      <w:r>
        <w:rPr>
          <w:rFonts w:ascii="Times New Roman" w:hAnsi="Times New Roman"/>
          <w:spacing w:val="-19"/>
          <w:sz w:val="35"/>
        </w:rPr>
        <w:t> </w:t>
      </w:r>
      <w:r>
        <w:rPr>
          <w:rFonts w:ascii="Times New Roman" w:hAnsi="Times New Roman"/>
          <w:i/>
          <w:position w:val="-9"/>
          <w:sz w:val="24"/>
        </w:rPr>
        <w:t>r</w:t>
      </w:r>
      <w:r>
        <w:rPr>
          <w:rFonts w:ascii="Times New Roman" w:hAnsi="Times New Roman"/>
          <w:i/>
          <w:spacing w:val="-38"/>
          <w:position w:val="-9"/>
          <w:sz w:val="24"/>
        </w:rPr>
        <w:t> </w:t>
      </w:r>
      <w:r>
        <w:rPr>
          <w:rFonts w:ascii="Times New Roman" w:hAnsi="Times New Roman"/>
          <w:position w:val="1"/>
          <w:sz w:val="14"/>
        </w:rPr>
        <w:t>2</w:t>
        <w:tab/>
      </w:r>
      <w:r>
        <w:rPr>
          <w:rFonts w:ascii="Times New Roman" w:hAnsi="Times New Roman"/>
          <w:i/>
          <w:position w:val="-9"/>
          <w:sz w:val="24"/>
        </w:rPr>
        <w:t>r</w:t>
      </w:r>
      <w:r>
        <w:rPr>
          <w:rFonts w:ascii="Times New Roman" w:hAnsi="Times New Roman"/>
          <w:i/>
          <w:spacing w:val="-38"/>
          <w:position w:val="-9"/>
          <w:sz w:val="24"/>
        </w:rPr>
        <w:t> </w:t>
      </w:r>
      <w:r>
        <w:rPr>
          <w:rFonts w:ascii="Times New Roman" w:hAnsi="Times New Roman"/>
          <w:position w:val="1"/>
          <w:sz w:val="14"/>
        </w:rPr>
        <w:t>2</w:t>
      </w:r>
    </w:p>
    <w:p>
      <w:pPr>
        <w:pStyle w:val="BodyText"/>
        <w:rPr>
          <w:rFonts w:ascii="Times New Roman"/>
          <w:sz w:val="11"/>
        </w:rPr>
      </w:pPr>
    </w:p>
    <w:p>
      <w:pPr>
        <w:pStyle w:val="BodyText"/>
        <w:spacing w:line="20" w:lineRule="exact"/>
        <w:ind w:left="299"/>
        <w:rPr>
          <w:rFonts w:ascii="Times New Roman"/>
          <w:sz w:val="2"/>
        </w:rPr>
      </w:pPr>
      <w:r>
        <w:rPr>
          <w:rFonts w:ascii="Times New Roman"/>
          <w:sz w:val="2"/>
        </w:rPr>
        <w:pict>
          <v:group style="width:15.1pt;height:.5pt;mso-position-horizontal-relative:char;mso-position-vertical-relative:line" coordorigin="0,0" coordsize="302,10">
            <v:line style="position:absolute" from="0,5" to="302,5" stroked="true" strokeweight=".5pt" strokecolor="#000000">
              <v:stroke dashstyle="solid"/>
            </v:line>
          </v:group>
        </w:pict>
      </w:r>
      <w:r>
        <w:rPr>
          <w:rFonts w:ascii="Times New Roman"/>
          <w:sz w:val="2"/>
        </w:rPr>
      </w:r>
      <w:r>
        <w:rPr>
          <w:rFonts w:ascii="Times New Roman"/>
          <w:spacing w:val="78"/>
          <w:sz w:val="2"/>
        </w:rPr>
        <w:t> </w:t>
      </w:r>
      <w:r>
        <w:rPr>
          <w:rFonts w:ascii="Times New Roman"/>
          <w:spacing w:val="78"/>
          <w:sz w:val="2"/>
        </w:rPr>
        <w:pict>
          <v:group style="width:51.5pt;height:.5pt;mso-position-horizontal-relative:char;mso-position-vertical-relative:line" coordorigin="0,0" coordsize="1030,10">
            <v:line style="position:absolute" from="0,5" to="1030,5" stroked="true" strokeweight=".5pt" strokecolor="#000000">
              <v:stroke dashstyle="solid"/>
            </v:line>
          </v:group>
        </w:pict>
      </w:r>
      <w:r>
        <w:rPr>
          <w:rFonts w:ascii="Times New Roman"/>
          <w:spacing w:val="78"/>
          <w:sz w:val="2"/>
        </w:rPr>
      </w:r>
    </w:p>
    <w:p>
      <w:pPr>
        <w:spacing w:after="0" w:line="20" w:lineRule="exact"/>
        <w:rPr>
          <w:rFonts w:ascii="Times New Roman"/>
          <w:sz w:val="2"/>
        </w:rPr>
        <w:sectPr>
          <w:type w:val="continuous"/>
          <w:pgSz w:w="11910" w:h="16840"/>
          <w:pgMar w:top="1580" w:bottom="280" w:left="1040" w:right="600"/>
          <w:cols w:num="3" w:equalWidth="0">
            <w:col w:w="1789" w:space="40"/>
            <w:col w:w="623" w:space="39"/>
            <w:col w:w="7779"/>
          </w:cols>
        </w:sectPr>
      </w:pPr>
    </w:p>
    <w:p>
      <w:pPr>
        <w:tabs>
          <w:tab w:pos="1776" w:val="left" w:leader="none"/>
          <w:tab w:pos="2498" w:val="left" w:leader="none"/>
          <w:tab w:pos="3107" w:val="left" w:leader="none"/>
        </w:tabs>
        <w:spacing w:line="114" w:lineRule="exact" w:before="0"/>
        <w:ind w:left="1197" w:right="0" w:firstLine="0"/>
        <w:jc w:val="left"/>
        <w:rPr>
          <w:rFonts w:ascii="Times New Roman" w:hAnsi="Times New Roman"/>
          <w:sz w:val="24"/>
        </w:rPr>
      </w:pPr>
      <w:r>
        <w:rPr>
          <w:rFonts w:ascii="Symbol" w:hAnsi="Symbol"/>
          <w:i/>
          <w:sz w:val="25"/>
        </w:rPr>
        <w:t></w:t>
      </w:r>
      <w:r>
        <w:rPr>
          <w:rFonts w:ascii="Times New Roman" w:hAnsi="Times New Roman"/>
          <w:sz w:val="25"/>
        </w:rPr>
        <w:tab/>
      </w:r>
      <w:r>
        <w:rPr>
          <w:sz w:val="24"/>
        </w:rPr>
        <w:t>＝</w:t>
      </w:r>
      <w:r>
        <w:rPr>
          <w:rFonts w:ascii="Times New Roman" w:hAnsi="Times New Roman"/>
          <w:i/>
          <w:sz w:val="24"/>
        </w:rPr>
        <w:t>U</w:t>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63"/>
        <w:ind w:left="0" w:right="459" w:firstLine="0"/>
        <w:jc w:val="right"/>
        <w:rPr>
          <w:rFonts w:ascii="Times New Roman"/>
          <w:i/>
          <w:sz w:val="14"/>
        </w:rPr>
      </w:pPr>
      <w:r>
        <w:rPr>
          <w:rFonts w:ascii="Times New Roman"/>
          <w:i/>
          <w:w w:val="99"/>
          <w:sz w:val="14"/>
        </w:rPr>
        <w:t>D</w:t>
      </w:r>
    </w:p>
    <w:p>
      <w:pPr>
        <w:spacing w:line="99" w:lineRule="exact" w:before="0"/>
        <w:ind w:left="0" w:right="0" w:firstLine="0"/>
        <w:jc w:val="right"/>
        <w:rPr>
          <w:rFonts w:ascii="Times New Roman" w:hAnsi="Times New Roman"/>
          <w:i/>
          <w:sz w:val="24"/>
        </w:rPr>
      </w:pPr>
      <w:r>
        <w:rPr/>
        <w:br w:type="column"/>
      </w:r>
      <w:r>
        <w:rPr>
          <w:rFonts w:ascii="Symbol" w:hAnsi="Symbol"/>
          <w:w w:val="95"/>
          <w:sz w:val="24"/>
        </w:rPr>
        <w:t></w:t>
      </w:r>
      <w:r>
        <w:rPr>
          <w:rFonts w:ascii="Times New Roman" w:hAnsi="Times New Roman"/>
          <w:w w:val="95"/>
          <w:sz w:val="24"/>
        </w:rPr>
        <w:t>1)</w:t>
      </w:r>
      <w:r>
        <w:rPr>
          <w:rFonts w:ascii="Symbol" w:hAnsi="Symbol"/>
          <w:w w:val="95"/>
          <w:sz w:val="24"/>
        </w:rPr>
        <w:t></w:t>
      </w:r>
      <w:r>
        <w:rPr>
          <w:rFonts w:ascii="Times New Roman" w:hAnsi="Times New Roman"/>
          <w:i/>
          <w:w w:val="95"/>
          <w:sz w:val="24"/>
        </w:rPr>
        <w:t>e</w:t>
      </w:r>
    </w:p>
    <w:p>
      <w:pPr>
        <w:tabs>
          <w:tab w:pos="1162" w:val="left" w:leader="none"/>
        </w:tabs>
        <w:spacing w:line="101" w:lineRule="exact" w:before="0"/>
        <w:ind w:left="573" w:right="0" w:firstLine="0"/>
        <w:jc w:val="left"/>
        <w:rPr>
          <w:rFonts w:ascii="Symbol" w:hAnsi="Symbol"/>
          <w:i/>
          <w:sz w:val="25"/>
        </w:rPr>
      </w:pPr>
      <w:r>
        <w:rPr/>
        <w:br w:type="column"/>
      </w:r>
      <w:r>
        <w:rPr>
          <w:rFonts w:ascii="Times New Roman" w:hAnsi="Times New Roman"/>
          <w:i/>
          <w:spacing w:val="4"/>
          <w:position w:val="7"/>
          <w:sz w:val="14"/>
        </w:rPr>
        <w:t>r</w:t>
      </w:r>
      <w:r>
        <w:rPr>
          <w:rFonts w:ascii="Times New Roman" w:hAnsi="Times New Roman"/>
          <w:spacing w:val="4"/>
          <w:position w:val="14"/>
          <w:sz w:val="10"/>
        </w:rPr>
        <w:t>2</w:t>
        <w:tab/>
      </w:r>
      <w:r>
        <w:rPr>
          <w:rFonts w:ascii="Symbol" w:hAnsi="Symbol"/>
          <w:spacing w:val="-9"/>
          <w:sz w:val="24"/>
        </w:rPr>
        <w:t></w:t>
      </w:r>
      <w:r>
        <w:rPr>
          <w:rFonts w:ascii="Times New Roman" w:hAnsi="Times New Roman"/>
          <w:i/>
          <w:spacing w:val="-9"/>
          <w:sz w:val="24"/>
        </w:rPr>
        <w:t>d</w:t>
      </w:r>
      <w:r>
        <w:rPr>
          <w:rFonts w:ascii="Symbol" w:hAnsi="Symbol"/>
          <w:i/>
          <w:spacing w:val="-9"/>
          <w:sz w:val="25"/>
        </w:rPr>
        <w:t></w:t>
      </w:r>
      <w:r>
        <w:rPr>
          <w:rFonts w:ascii="Symbol" w:hAnsi="Symbol"/>
          <w:spacing w:val="-9"/>
          <w:sz w:val="24"/>
        </w:rPr>
        <w:t></w:t>
      </w:r>
      <w:r>
        <w:rPr>
          <w:rFonts w:ascii="Times New Roman" w:hAnsi="Times New Roman"/>
          <w:i/>
          <w:spacing w:val="-9"/>
          <w:sz w:val="24"/>
        </w:rPr>
        <w:t>d</w:t>
      </w:r>
      <w:r>
        <w:rPr>
          <w:rFonts w:ascii="Symbol" w:hAnsi="Symbol"/>
          <w:i/>
          <w:spacing w:val="-9"/>
          <w:sz w:val="25"/>
        </w:rPr>
        <w:t></w:t>
      </w:r>
    </w:p>
    <w:p>
      <w:pPr>
        <w:spacing w:after="0" w:line="101" w:lineRule="exact"/>
        <w:jc w:val="left"/>
        <w:rPr>
          <w:rFonts w:ascii="Symbol" w:hAnsi="Symbol"/>
          <w:sz w:val="25"/>
        </w:rPr>
        <w:sectPr>
          <w:type w:val="continuous"/>
          <w:pgSz w:w="11910" w:h="16840"/>
          <w:pgMar w:top="1580" w:bottom="280" w:left="1040" w:right="600"/>
          <w:cols w:num="3" w:equalWidth="0">
            <w:col w:w="3188" w:space="40"/>
            <w:col w:w="1555" w:space="39"/>
            <w:col w:w="5448"/>
          </w:cols>
        </w:sectPr>
      </w:pPr>
    </w:p>
    <w:p>
      <w:pPr>
        <w:pStyle w:val="BodyText"/>
        <w:spacing w:before="168"/>
        <w:ind w:left="1191"/>
      </w:pPr>
      <w:r>
        <w:rPr/>
        <w:t>式中： </w:t>
      </w:r>
      <w:r>
        <w:rPr>
          <w:rFonts w:ascii="Times New Roman" w:hAnsi="Times New Roman" w:eastAsia="Times New Roman"/>
        </w:rPr>
        <w:t>D——</w:t>
      </w:r>
      <w:r>
        <w:rPr/>
        <w:t>开采煤层区域；</w:t>
      </w:r>
    </w:p>
    <w:p>
      <w:pPr>
        <w:pStyle w:val="BodyText"/>
        <w:spacing w:line="364" w:lineRule="auto" w:before="158"/>
        <w:ind w:left="1191" w:right="5713"/>
      </w:pPr>
      <w:r>
        <w:rPr/>
        <w:t>（</w:t>
      </w:r>
      <w:r>
        <w:rPr>
          <w:rFonts w:ascii="Times New Roman" w:hAnsi="Times New Roman" w:eastAsia="Times New Roman"/>
        </w:rPr>
        <w:t>x</w:t>
      </w:r>
      <w:r>
        <w:rPr/>
        <w:t>，</w:t>
      </w:r>
      <w:r>
        <w:rPr>
          <w:rFonts w:ascii="Times New Roman" w:hAnsi="Times New Roman" w:eastAsia="Times New Roman"/>
        </w:rPr>
        <w:t>y</w:t>
      </w:r>
      <w:r>
        <w:rPr/>
        <w:t>）</w:t>
      </w:r>
      <w:r>
        <w:rPr>
          <w:rFonts w:ascii="Times New Roman" w:hAnsi="Times New Roman" w:eastAsia="Times New Roman"/>
        </w:rPr>
        <w:t>——</w:t>
      </w:r>
      <w:r>
        <w:rPr/>
        <w:t>计算点相对坐标。其他符号意义同前。</w:t>
      </w:r>
    </w:p>
    <w:p>
      <w:pPr>
        <w:pStyle w:val="Heading4"/>
        <w:numPr>
          <w:ilvl w:val="3"/>
          <w:numId w:val="39"/>
        </w:numPr>
        <w:tabs>
          <w:tab w:pos="1492" w:val="left" w:leader="none"/>
        </w:tabs>
        <w:spacing w:line="240" w:lineRule="auto" w:before="78" w:after="0"/>
        <w:ind w:left="1492" w:right="0" w:hanging="781"/>
        <w:jc w:val="left"/>
      </w:pPr>
      <w:r>
        <w:rPr/>
        <w:t>地表沉陷预测模型参数确定</w:t>
      </w:r>
    </w:p>
    <w:p>
      <w:pPr>
        <w:pStyle w:val="BodyText"/>
        <w:spacing w:line="364" w:lineRule="auto" w:before="83"/>
        <w:ind w:left="711" w:right="1149" w:firstLine="480"/>
        <w:jc w:val="both"/>
      </w:pPr>
      <w:r>
        <w:rPr>
          <w:spacing w:val="-1"/>
        </w:rPr>
        <w:t>参照国家煤炭工业局制定的《建筑物、水体、铁路及主要井巷煤柱留设与压</w:t>
      </w:r>
      <w:r>
        <w:rPr>
          <w:spacing w:val="-5"/>
        </w:rPr>
        <w:t>煤开采规程》</w:t>
      </w:r>
      <w:r>
        <w:rPr/>
        <w:t>（</w:t>
      </w:r>
      <w:r>
        <w:rPr>
          <w:rFonts w:ascii="Times New Roman" w:eastAsia="Times New Roman"/>
        </w:rPr>
        <w:t>2000 </w:t>
      </w:r>
      <w:r>
        <w:rPr/>
        <w:t>版</w:t>
      </w:r>
      <w:r>
        <w:rPr>
          <w:spacing w:val="-15"/>
        </w:rPr>
        <w:t>），</w:t>
      </w:r>
      <w:r>
        <w:rPr>
          <w:spacing w:val="-1"/>
        </w:rPr>
        <w:t>确定双鸭山市东盛矿业集团集团有限公司地表形态变</w:t>
      </w:r>
      <w:r>
        <w:rPr/>
        <w:t>化预测参数。</w:t>
      </w:r>
    </w:p>
    <w:p>
      <w:pPr>
        <w:pStyle w:val="BodyText"/>
        <w:spacing w:line="364" w:lineRule="auto"/>
        <w:ind w:left="1191" w:right="7033"/>
      </w:pPr>
      <w:r>
        <w:rPr>
          <w:spacing w:val="-9"/>
        </w:rPr>
        <w:t>复采系数取 </w:t>
      </w:r>
      <w:r>
        <w:rPr>
          <w:rFonts w:ascii="Times New Roman" w:eastAsia="Times New Roman"/>
        </w:rPr>
        <w:t>1.1</w:t>
      </w:r>
      <w:r>
        <w:rPr/>
        <w:t>； 下沉系数</w:t>
      </w:r>
      <w:r>
        <w:rPr>
          <w:rFonts w:ascii="Times New Roman" w:eastAsia="Times New Roman"/>
        </w:rPr>
        <w:t>=0.67</w:t>
      </w:r>
      <w:r>
        <w:rPr/>
        <w:t>； 移动角正切</w:t>
      </w:r>
      <w:r>
        <w:rPr>
          <w:rFonts w:ascii="Times New Roman" w:eastAsia="Times New Roman"/>
        </w:rPr>
        <w:t>=2.0</w:t>
      </w:r>
      <w:r>
        <w:rPr/>
        <w:t>； 水平移动系数</w:t>
      </w:r>
      <w:r>
        <w:rPr>
          <w:spacing w:val="-6"/>
        </w:rPr>
        <w:t>＝</w:t>
      </w:r>
      <w:r>
        <w:rPr>
          <w:rFonts w:ascii="Times New Roman" w:eastAsia="Times New Roman"/>
          <w:spacing w:val="-6"/>
        </w:rPr>
        <w:t>2</w:t>
      </w:r>
      <w:r>
        <w:rPr>
          <w:spacing w:val="-6"/>
        </w:rPr>
        <w:t>；</w:t>
      </w:r>
    </w:p>
    <w:p>
      <w:pPr>
        <w:pStyle w:val="BodyText"/>
        <w:spacing w:before="74"/>
        <w:ind w:left="1191"/>
      </w:pPr>
      <w:r>
        <w:rPr/>
        <w:t>最大下沉角</w:t>
      </w:r>
      <w:r>
        <w:rPr>
          <w:rFonts w:ascii="Times New Roman" w:hAnsi="Times New Roman" w:eastAsia="Times New Roman"/>
        </w:rPr>
        <w:t>=90-0.67α</w:t>
      </w:r>
      <w:r>
        <w:rPr/>
        <w:t>。</w:t>
      </w:r>
    </w:p>
    <w:p>
      <w:pPr>
        <w:pStyle w:val="Heading3"/>
        <w:numPr>
          <w:ilvl w:val="2"/>
          <w:numId w:val="39"/>
        </w:numPr>
        <w:tabs>
          <w:tab w:pos="1413" w:val="left" w:leader="none"/>
        </w:tabs>
        <w:spacing w:line="240" w:lineRule="auto" w:before="82" w:after="0"/>
        <w:ind w:left="1412" w:right="0" w:hanging="702"/>
        <w:jc w:val="left"/>
      </w:pPr>
      <w:bookmarkStart w:name="5.3.3 地表沉陷预测结果" w:id="172"/>
      <w:bookmarkEnd w:id="172"/>
      <w:r>
        <w:rPr>
          <w:b w:val="0"/>
        </w:rPr>
      </w:r>
      <w:bookmarkStart w:name="5.3.3 地表沉陷预测结果" w:id="173"/>
      <w:bookmarkEnd w:id="173"/>
      <w:r>
        <w:rPr/>
        <w:t>地表沉陷预测结果</w:t>
      </w:r>
    </w:p>
    <w:p>
      <w:pPr>
        <w:pStyle w:val="Heading4"/>
        <w:numPr>
          <w:ilvl w:val="3"/>
          <w:numId w:val="39"/>
        </w:numPr>
        <w:tabs>
          <w:tab w:pos="1492" w:val="left" w:leader="none"/>
        </w:tabs>
        <w:spacing w:line="240" w:lineRule="auto" w:before="186" w:after="0"/>
        <w:ind w:left="1492" w:right="0" w:hanging="781"/>
        <w:jc w:val="left"/>
      </w:pPr>
      <w:r>
        <w:rPr/>
        <w:t>地面塌陷预测结论</w:t>
      </w:r>
    </w:p>
    <w:p>
      <w:pPr>
        <w:pStyle w:val="BodyText"/>
        <w:spacing w:line="362" w:lineRule="auto" w:before="160"/>
        <w:ind w:left="711" w:right="1153" w:firstLine="480"/>
        <w:jc w:val="both"/>
      </w:pPr>
      <w:r>
        <w:rPr/>
        <w:t>根据以上参数，结合井田地质情况及开采方案，经过中国矿业大学开采损害及防护研究所编制的矿山开采沉陷预计软件系统预测。详见表 </w:t>
      </w:r>
      <w:r>
        <w:rPr>
          <w:rFonts w:ascii="Times New Roman" w:eastAsia="Times New Roman"/>
        </w:rPr>
        <w:t>5.3-1</w:t>
      </w:r>
      <w:r>
        <w:rPr/>
        <w:t>。</w:t>
      </w:r>
    </w:p>
    <w:p>
      <w:pPr>
        <w:spacing w:before="23"/>
        <w:ind w:left="0" w:right="418" w:firstLine="0"/>
        <w:jc w:val="center"/>
        <w:rPr>
          <w:rFonts w:ascii="黑体" w:eastAsia="黑体" w:hint="eastAsia"/>
          <w:b/>
          <w:sz w:val="21"/>
        </w:rPr>
      </w:pPr>
      <w:r>
        <w:rPr>
          <w:rFonts w:ascii="黑体" w:eastAsia="黑体" w:hint="eastAsia"/>
          <w:b/>
          <w:spacing w:val="-26"/>
          <w:sz w:val="21"/>
        </w:rPr>
        <w:t>表 </w:t>
      </w:r>
      <w:r>
        <w:rPr>
          <w:rFonts w:ascii="Times New Roman" w:eastAsia="Times New Roman"/>
          <w:b/>
          <w:sz w:val="21"/>
        </w:rPr>
        <w:t>5.3-1</w:t>
      </w:r>
      <w:r>
        <w:rPr>
          <w:rFonts w:ascii="Times New Roman" w:eastAsia="Times New Roman"/>
          <w:b/>
          <w:spacing w:val="51"/>
          <w:sz w:val="21"/>
        </w:rPr>
        <w:t> </w:t>
      </w:r>
      <w:r>
        <w:rPr>
          <w:rFonts w:ascii="黑体" w:eastAsia="黑体" w:hint="eastAsia"/>
          <w:b/>
          <w:sz w:val="21"/>
        </w:rPr>
        <w:t>双鸭山市东盛矿业集团有限公司开采后地面塌陷面积及特征值</w:t>
      </w:r>
    </w:p>
    <w:p>
      <w:pPr>
        <w:pStyle w:val="BodyText"/>
        <w:rPr>
          <w:rFonts w:ascii="黑体"/>
          <w:b/>
          <w:sz w:val="14"/>
        </w:r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3"/>
        <w:gridCol w:w="1465"/>
        <w:gridCol w:w="1447"/>
        <w:gridCol w:w="1413"/>
        <w:gridCol w:w="1389"/>
        <w:gridCol w:w="1530"/>
        <w:gridCol w:w="1229"/>
      </w:tblGrid>
      <w:tr>
        <w:trPr>
          <w:trHeight w:val="624" w:hRule="atLeast"/>
        </w:trPr>
        <w:tc>
          <w:tcPr>
            <w:tcW w:w="813" w:type="dxa"/>
          </w:tcPr>
          <w:p>
            <w:pPr>
              <w:pStyle w:val="TableParagraph"/>
              <w:spacing w:before="3"/>
              <w:jc w:val="left"/>
              <w:rPr>
                <w:rFonts w:ascii="黑体"/>
                <w:b/>
                <w:sz w:val="14"/>
              </w:rPr>
            </w:pPr>
          </w:p>
          <w:p>
            <w:pPr>
              <w:pStyle w:val="TableParagraph"/>
              <w:spacing w:before="1"/>
              <w:ind w:left="103" w:right="95"/>
              <w:rPr>
                <w:sz w:val="20"/>
              </w:rPr>
            </w:pPr>
            <w:r>
              <w:rPr>
                <w:sz w:val="20"/>
              </w:rPr>
              <w:t>项目</w:t>
            </w:r>
          </w:p>
        </w:tc>
        <w:tc>
          <w:tcPr>
            <w:tcW w:w="1465" w:type="dxa"/>
          </w:tcPr>
          <w:p>
            <w:pPr>
              <w:pStyle w:val="TableParagraph"/>
              <w:spacing w:before="27"/>
              <w:ind w:left="311" w:right="304"/>
              <w:rPr>
                <w:sz w:val="20"/>
              </w:rPr>
            </w:pPr>
            <w:r>
              <w:rPr>
                <w:sz w:val="20"/>
              </w:rPr>
              <w:t>塌陷面积</w:t>
            </w:r>
          </w:p>
          <w:p>
            <w:pPr>
              <w:pStyle w:val="TableParagraph"/>
              <w:spacing w:before="57"/>
              <w:ind w:left="311" w:right="302"/>
              <w:rPr>
                <w:rFonts w:ascii="Times New Roman"/>
                <w:sz w:val="20"/>
              </w:rPr>
            </w:pPr>
            <w:r>
              <w:rPr>
                <w:rFonts w:ascii="Times New Roman"/>
                <w:sz w:val="20"/>
              </w:rPr>
              <w:t>(</w:t>
            </w:r>
            <w:r>
              <w:rPr>
                <w:rFonts w:ascii="Times New Roman"/>
                <w:sz w:val="22"/>
              </w:rPr>
              <w:t>hm</w:t>
            </w:r>
            <w:r>
              <w:rPr>
                <w:rFonts w:ascii="Times New Roman"/>
                <w:position w:val="7"/>
                <w:sz w:val="14"/>
              </w:rPr>
              <w:t>2</w:t>
            </w:r>
            <w:r>
              <w:rPr>
                <w:rFonts w:ascii="Times New Roman"/>
                <w:sz w:val="20"/>
              </w:rPr>
              <w:t>)</w:t>
            </w:r>
          </w:p>
        </w:tc>
        <w:tc>
          <w:tcPr>
            <w:tcW w:w="1447" w:type="dxa"/>
          </w:tcPr>
          <w:p>
            <w:pPr>
              <w:pStyle w:val="TableParagraph"/>
              <w:spacing w:before="40"/>
              <w:ind w:left="458"/>
              <w:jc w:val="left"/>
              <w:rPr>
                <w:rFonts w:ascii="Times New Roman"/>
                <w:sz w:val="20"/>
              </w:rPr>
            </w:pPr>
            <w:r>
              <w:rPr>
                <w:rFonts w:ascii="Times New Roman"/>
                <w:sz w:val="20"/>
              </w:rPr>
              <w:t>Wmax</w:t>
            </w:r>
          </w:p>
          <w:p>
            <w:pPr>
              <w:pStyle w:val="TableParagraph"/>
              <w:spacing w:before="69"/>
              <w:ind w:left="366"/>
              <w:jc w:val="left"/>
              <w:rPr>
                <w:sz w:val="20"/>
              </w:rPr>
            </w:pPr>
            <w:r>
              <w:rPr>
                <w:sz w:val="20"/>
              </w:rPr>
              <w:t>（</w:t>
            </w:r>
            <w:r>
              <w:rPr>
                <w:rFonts w:ascii="Times New Roman" w:eastAsia="Times New Roman"/>
                <w:sz w:val="20"/>
              </w:rPr>
              <w:t>mm</w:t>
            </w:r>
            <w:r>
              <w:rPr>
                <w:sz w:val="20"/>
              </w:rPr>
              <w:t>）</w:t>
            </w:r>
          </w:p>
        </w:tc>
        <w:tc>
          <w:tcPr>
            <w:tcW w:w="1413" w:type="dxa"/>
          </w:tcPr>
          <w:p>
            <w:pPr>
              <w:pStyle w:val="TableParagraph"/>
              <w:spacing w:before="40"/>
              <w:ind w:left="222" w:right="216"/>
              <w:rPr>
                <w:rFonts w:ascii="Times New Roman"/>
                <w:sz w:val="20"/>
              </w:rPr>
            </w:pPr>
            <w:r>
              <w:rPr>
                <w:rFonts w:ascii="Times New Roman"/>
                <w:sz w:val="20"/>
              </w:rPr>
              <w:t>imax</w:t>
            </w:r>
          </w:p>
          <w:p>
            <w:pPr>
              <w:pStyle w:val="TableParagraph"/>
              <w:spacing w:before="69"/>
              <w:ind w:left="224" w:right="216"/>
              <w:rPr>
                <w:sz w:val="20"/>
              </w:rPr>
            </w:pPr>
            <w:r>
              <w:rPr>
                <w:sz w:val="20"/>
              </w:rPr>
              <w:t>（</w:t>
            </w:r>
            <w:r>
              <w:rPr>
                <w:rFonts w:ascii="Times New Roman" w:eastAsia="Times New Roman"/>
                <w:sz w:val="20"/>
              </w:rPr>
              <w:t>mm/m</w:t>
            </w:r>
            <w:r>
              <w:rPr>
                <w:sz w:val="20"/>
              </w:rPr>
              <w:t>）</w:t>
            </w:r>
          </w:p>
        </w:tc>
        <w:tc>
          <w:tcPr>
            <w:tcW w:w="1389" w:type="dxa"/>
          </w:tcPr>
          <w:p>
            <w:pPr>
              <w:pStyle w:val="TableParagraph"/>
              <w:spacing w:before="40"/>
              <w:ind w:left="214" w:right="204"/>
              <w:rPr>
                <w:rFonts w:ascii="Times New Roman"/>
                <w:sz w:val="20"/>
              </w:rPr>
            </w:pPr>
            <w:r>
              <w:rPr>
                <w:rFonts w:ascii="Times New Roman"/>
                <w:sz w:val="20"/>
              </w:rPr>
              <w:t>Kmax</w:t>
            </w:r>
          </w:p>
          <w:p>
            <w:pPr>
              <w:pStyle w:val="TableParagraph"/>
              <w:spacing w:before="69"/>
              <w:ind w:left="214" w:right="205"/>
              <w:rPr>
                <w:sz w:val="20"/>
              </w:rPr>
            </w:pPr>
            <w:r>
              <w:rPr>
                <w:sz w:val="20"/>
              </w:rPr>
              <w:t>（</w:t>
            </w:r>
            <w:r>
              <w:rPr>
                <w:rFonts w:ascii="Times New Roman" w:eastAsia="Times New Roman"/>
                <w:sz w:val="20"/>
              </w:rPr>
              <w:t>10</w:t>
            </w:r>
            <w:r>
              <w:rPr>
                <w:rFonts w:ascii="Times New Roman" w:eastAsia="Times New Roman"/>
                <w:position w:val="7"/>
                <w:sz w:val="13"/>
              </w:rPr>
              <w:t>-3</w:t>
            </w:r>
            <w:r>
              <w:rPr>
                <w:rFonts w:ascii="Times New Roman" w:eastAsia="Times New Roman"/>
                <w:sz w:val="20"/>
              </w:rPr>
              <w:t>/m</w:t>
            </w:r>
            <w:r>
              <w:rPr>
                <w:sz w:val="20"/>
              </w:rPr>
              <w:t>）</w:t>
            </w:r>
          </w:p>
        </w:tc>
        <w:tc>
          <w:tcPr>
            <w:tcW w:w="1530" w:type="dxa"/>
          </w:tcPr>
          <w:p>
            <w:pPr>
              <w:pStyle w:val="TableParagraph"/>
              <w:spacing w:before="40"/>
              <w:ind w:left="385" w:right="380"/>
              <w:rPr>
                <w:rFonts w:ascii="Times New Roman"/>
                <w:sz w:val="20"/>
              </w:rPr>
            </w:pPr>
            <w:r>
              <w:rPr>
                <w:rFonts w:ascii="Times New Roman"/>
                <w:sz w:val="20"/>
              </w:rPr>
              <w:t>Umax</w:t>
            </w:r>
          </w:p>
          <w:p>
            <w:pPr>
              <w:pStyle w:val="TableParagraph"/>
              <w:spacing w:before="69"/>
              <w:ind w:left="388" w:right="380"/>
              <w:rPr>
                <w:sz w:val="20"/>
              </w:rPr>
            </w:pPr>
            <w:r>
              <w:rPr>
                <w:sz w:val="20"/>
              </w:rPr>
              <w:t>（</w:t>
            </w:r>
            <w:r>
              <w:rPr>
                <w:rFonts w:ascii="Times New Roman" w:eastAsia="Times New Roman"/>
                <w:sz w:val="20"/>
              </w:rPr>
              <w:t>mm</w:t>
            </w:r>
            <w:r>
              <w:rPr>
                <w:sz w:val="20"/>
              </w:rPr>
              <w:t>）</w:t>
            </w:r>
          </w:p>
        </w:tc>
        <w:tc>
          <w:tcPr>
            <w:tcW w:w="1229" w:type="dxa"/>
          </w:tcPr>
          <w:p>
            <w:pPr>
              <w:pStyle w:val="TableParagraph"/>
              <w:spacing w:before="40"/>
              <w:ind w:left="131" w:right="123"/>
              <w:rPr>
                <w:rFonts w:ascii="Times New Roman" w:hAnsi="Times New Roman"/>
                <w:sz w:val="20"/>
              </w:rPr>
            </w:pPr>
            <w:r>
              <w:rPr>
                <w:rFonts w:ascii="Times New Roman" w:hAnsi="Times New Roman"/>
                <w:sz w:val="20"/>
              </w:rPr>
              <w:t>εmax</w:t>
            </w:r>
          </w:p>
          <w:p>
            <w:pPr>
              <w:pStyle w:val="TableParagraph"/>
              <w:spacing w:before="69"/>
              <w:ind w:left="132" w:right="123"/>
              <w:rPr>
                <w:sz w:val="20"/>
              </w:rPr>
            </w:pPr>
            <w:r>
              <w:rPr>
                <w:sz w:val="20"/>
              </w:rPr>
              <w:t>（</w:t>
            </w:r>
            <w:r>
              <w:rPr>
                <w:rFonts w:ascii="Times New Roman" w:eastAsia="Times New Roman"/>
                <w:sz w:val="20"/>
              </w:rPr>
              <w:t>mm/m</w:t>
            </w:r>
            <w:r>
              <w:rPr>
                <w:sz w:val="20"/>
              </w:rPr>
              <w:t>）</w:t>
            </w:r>
          </w:p>
        </w:tc>
      </w:tr>
      <w:tr>
        <w:trPr>
          <w:trHeight w:val="434" w:hRule="atLeast"/>
        </w:trPr>
        <w:tc>
          <w:tcPr>
            <w:tcW w:w="813" w:type="dxa"/>
          </w:tcPr>
          <w:p>
            <w:pPr>
              <w:pStyle w:val="TableParagraph"/>
              <w:spacing w:before="89"/>
              <w:ind w:left="103" w:right="95"/>
              <w:rPr>
                <w:sz w:val="20"/>
              </w:rPr>
            </w:pPr>
            <w:r>
              <w:rPr>
                <w:sz w:val="20"/>
              </w:rPr>
              <w:t>数值</w:t>
            </w:r>
          </w:p>
        </w:tc>
        <w:tc>
          <w:tcPr>
            <w:tcW w:w="1465" w:type="dxa"/>
          </w:tcPr>
          <w:p>
            <w:pPr>
              <w:pStyle w:val="TableParagraph"/>
              <w:spacing w:before="88"/>
              <w:ind w:left="485"/>
              <w:jc w:val="left"/>
              <w:rPr>
                <w:rFonts w:ascii="Times New Roman"/>
                <w:sz w:val="22"/>
              </w:rPr>
            </w:pPr>
            <w:r>
              <w:rPr>
                <w:rFonts w:ascii="Times New Roman"/>
                <w:sz w:val="22"/>
              </w:rPr>
              <w:t>36.80</w:t>
            </w:r>
          </w:p>
        </w:tc>
        <w:tc>
          <w:tcPr>
            <w:tcW w:w="1447" w:type="dxa"/>
          </w:tcPr>
          <w:p>
            <w:pPr>
              <w:pStyle w:val="TableParagraph"/>
              <w:spacing w:before="88"/>
              <w:ind w:left="484" w:right="472"/>
              <w:rPr>
                <w:rFonts w:ascii="Times New Roman"/>
                <w:sz w:val="22"/>
              </w:rPr>
            </w:pPr>
            <w:r>
              <w:rPr>
                <w:rFonts w:ascii="Times New Roman"/>
                <w:sz w:val="22"/>
              </w:rPr>
              <w:t>1144</w:t>
            </w:r>
          </w:p>
        </w:tc>
        <w:tc>
          <w:tcPr>
            <w:tcW w:w="1413" w:type="dxa"/>
          </w:tcPr>
          <w:p>
            <w:pPr>
              <w:pStyle w:val="TableParagraph"/>
              <w:spacing w:before="88"/>
              <w:ind w:left="458"/>
              <w:jc w:val="left"/>
              <w:rPr>
                <w:rFonts w:ascii="Times New Roman"/>
                <w:sz w:val="22"/>
              </w:rPr>
            </w:pPr>
            <w:r>
              <w:rPr>
                <w:rFonts w:ascii="Times New Roman"/>
                <w:sz w:val="22"/>
              </w:rPr>
              <w:t>0.013</w:t>
            </w:r>
          </w:p>
        </w:tc>
        <w:tc>
          <w:tcPr>
            <w:tcW w:w="1389" w:type="dxa"/>
          </w:tcPr>
          <w:p>
            <w:pPr>
              <w:pStyle w:val="TableParagraph"/>
              <w:spacing w:before="88"/>
              <w:ind w:left="391"/>
              <w:jc w:val="left"/>
              <w:rPr>
                <w:rFonts w:ascii="Times New Roman"/>
                <w:sz w:val="22"/>
              </w:rPr>
            </w:pPr>
            <w:r>
              <w:rPr>
                <w:rFonts w:ascii="Times New Roman"/>
                <w:sz w:val="22"/>
              </w:rPr>
              <w:t>0.0002</w:t>
            </w:r>
          </w:p>
        </w:tc>
        <w:tc>
          <w:tcPr>
            <w:tcW w:w="1530" w:type="dxa"/>
          </w:tcPr>
          <w:p>
            <w:pPr>
              <w:pStyle w:val="TableParagraph"/>
              <w:spacing w:before="88"/>
              <w:ind w:left="388" w:right="380"/>
              <w:rPr>
                <w:rFonts w:ascii="Times New Roman"/>
                <w:sz w:val="22"/>
              </w:rPr>
            </w:pPr>
            <w:r>
              <w:rPr>
                <w:rFonts w:ascii="Times New Roman"/>
                <w:sz w:val="22"/>
              </w:rPr>
              <w:t>2288</w:t>
            </w:r>
          </w:p>
        </w:tc>
        <w:tc>
          <w:tcPr>
            <w:tcW w:w="1229" w:type="dxa"/>
          </w:tcPr>
          <w:p>
            <w:pPr>
              <w:pStyle w:val="TableParagraph"/>
              <w:spacing w:before="88"/>
              <w:ind w:left="132" w:right="120"/>
              <w:rPr>
                <w:rFonts w:ascii="Times New Roman"/>
                <w:sz w:val="22"/>
              </w:rPr>
            </w:pPr>
            <w:r>
              <w:rPr>
                <w:rFonts w:ascii="Times New Roman"/>
                <w:sz w:val="22"/>
              </w:rPr>
              <w:t>0.04</w:t>
            </w:r>
          </w:p>
        </w:tc>
      </w:tr>
    </w:tbl>
    <w:p>
      <w:pPr>
        <w:pStyle w:val="BodyText"/>
        <w:spacing w:line="364" w:lineRule="auto" w:before="1"/>
        <w:ind w:left="711" w:right="1102" w:firstLine="480"/>
      </w:pPr>
      <w:r>
        <w:rPr/>
        <w:t>可采煤层累积厚度较小，且埋藏深度大，目前尚未见有塌陷坑。根据地面塌陷预测结果，双鸭山市东盛矿业集团集团有限公司开采至资源枯竭时地面塌陷最大下沉值 </w:t>
      </w:r>
      <w:r>
        <w:rPr>
          <w:rFonts w:ascii="Times New Roman" w:eastAsia="Times New Roman"/>
        </w:rPr>
        <w:t>1144mm</w:t>
      </w:r>
      <w:r>
        <w:rPr/>
        <w:t>，最大水平移动值为 </w:t>
      </w:r>
      <w:r>
        <w:rPr>
          <w:rFonts w:ascii="Times New Roman" w:eastAsia="Times New Roman"/>
        </w:rPr>
        <w:t>2288mm</w:t>
      </w:r>
      <w:r>
        <w:rPr/>
        <w:t>，下沉量小，开采年限长，塌陷时间延续时间长。因此所造成地面塌陷地质灾害危险性小，影响程度小。</w:t>
      </w:r>
    </w:p>
    <w:p>
      <w:pPr>
        <w:pStyle w:val="Heading4"/>
        <w:numPr>
          <w:ilvl w:val="3"/>
          <w:numId w:val="39"/>
        </w:numPr>
        <w:tabs>
          <w:tab w:pos="1492" w:val="left" w:leader="none"/>
        </w:tabs>
        <w:spacing w:line="305" w:lineRule="exact" w:before="0" w:after="0"/>
        <w:ind w:left="1492" w:right="0" w:hanging="781"/>
        <w:jc w:val="left"/>
      </w:pPr>
      <w:r>
        <w:rPr/>
        <w:t>地裂缝预测</w:t>
      </w:r>
    </w:p>
    <w:p>
      <w:pPr>
        <w:pStyle w:val="BodyText"/>
        <w:spacing w:line="364" w:lineRule="auto" w:before="161"/>
        <w:ind w:left="711" w:right="1153" w:firstLine="480"/>
        <w:jc w:val="both"/>
      </w:pPr>
      <w:r>
        <w:rPr/>
        <w:t>地裂缝产生的原因很多，也比较复杂，它主要与上覆砾岩厚度、层位、胶结程度等因素有直接关系；其次同回采面积、开采深度、采出厚度、回采连续性、重复采动等综合因素有关。</w:t>
      </w:r>
    </w:p>
    <w:p>
      <w:pPr>
        <w:spacing w:after="0" w:line="364" w:lineRule="auto"/>
        <w:jc w:val="both"/>
        <w:sectPr>
          <w:type w:val="continuous"/>
          <w:pgSz w:w="11910" w:h="16840"/>
          <w:pgMar w:top="1580" w:bottom="280" w:left="1040" w:right="600"/>
        </w:sectPr>
      </w:pPr>
    </w:p>
    <w:p>
      <w:pPr>
        <w:pStyle w:val="BodyText"/>
        <w:spacing w:line="364" w:lineRule="auto" w:before="43"/>
        <w:ind w:left="711" w:right="1029" w:firstLine="480"/>
      </w:pPr>
      <w:r>
        <w:rPr/>
        <w:t>本矿砂岩层位于白垩系群，以砂岩层为其特征，从物理力学性质上看，砂岩层的刚性强度大，当其内部的拉应力超过砂岩层的强度极限时，它便发生脆性变</w:t>
      </w:r>
      <w:r>
        <w:rPr>
          <w:spacing w:val="-13"/>
        </w:rPr>
        <w:t>形，脆性变形发生在拉伸变形区。地下煤层开采后，随着采空区空间的不断增大， </w:t>
      </w:r>
      <w:r>
        <w:rPr/>
        <w:t>在采空区周围的岩体内的应力也逐渐增大，当应力超过极限强度时，砂岩层就象一个钢体梁一样，发生脆性变形，在移动盆地边缘的拉伸变形区断开，反映到地面即出现地表裂缝。因此，随着采空区空间的不断增大，地面塌陷的发育发展， 将在塌陷边缘引发或加剧地裂缝地质灾害，危险性小。</w:t>
      </w:r>
    </w:p>
    <w:p>
      <w:pPr>
        <w:pStyle w:val="Heading4"/>
        <w:numPr>
          <w:ilvl w:val="3"/>
          <w:numId w:val="39"/>
        </w:numPr>
        <w:tabs>
          <w:tab w:pos="1492" w:val="left" w:leader="none"/>
        </w:tabs>
        <w:spacing w:line="240" w:lineRule="auto" w:before="76" w:after="0"/>
        <w:ind w:left="1492" w:right="0" w:hanging="781"/>
        <w:jc w:val="left"/>
      </w:pPr>
      <w:r>
        <w:rPr/>
        <w:t>地表移动持续时间</w:t>
      </w:r>
    </w:p>
    <w:p>
      <w:pPr>
        <w:pStyle w:val="BodyText"/>
        <w:spacing w:line="364" w:lineRule="auto" w:before="81"/>
        <w:ind w:left="711" w:right="1149" w:firstLine="480"/>
        <w:jc w:val="both"/>
      </w:pPr>
      <w:r>
        <w:rPr/>
        <w:t>根据煤层开采厚度、深度、采动次数及有关预测参数，结合井田地质情况及开采方案以及</w:t>
      </w:r>
      <w:r>
        <w:rPr>
          <w:rFonts w:ascii="Times New Roman" w:hAnsi="Times New Roman" w:eastAsia="Times New Roman"/>
        </w:rPr>
        <w:t>“</w:t>
      </w:r>
      <w:r>
        <w:rPr/>
        <w:t>三下</w:t>
      </w:r>
      <w:r>
        <w:rPr>
          <w:rFonts w:ascii="Times New Roman" w:hAnsi="Times New Roman" w:eastAsia="Times New Roman"/>
        </w:rPr>
        <w:t>”</w:t>
      </w:r>
      <w:r>
        <w:rPr/>
        <w:t>采煤规程，对矿井工业广场、断层、井田边界均应留设保护煤柱。</w:t>
      </w:r>
    </w:p>
    <w:p>
      <w:pPr>
        <w:pStyle w:val="BodyText"/>
        <w:spacing w:line="364" w:lineRule="auto"/>
        <w:ind w:left="711" w:right="1149" w:firstLine="480"/>
      </w:pPr>
      <w:r>
        <w:rPr/>
        <w:t>地表移动变形由于存在一定滞后性，故移动变形时间不同于采煤时间，移动变形延续时间如下：</w:t>
      </w:r>
    </w:p>
    <w:p>
      <w:pPr>
        <w:pStyle w:val="BodyText"/>
        <w:spacing w:line="310" w:lineRule="exact"/>
        <w:ind w:left="1191"/>
        <w:rPr>
          <w:rFonts w:ascii="Times New Roman" w:eastAsia="Times New Roman"/>
        </w:rPr>
      </w:pPr>
      <w:r>
        <w:rPr>
          <w:rFonts w:ascii="Times New Roman" w:eastAsia="Times New Roman"/>
          <w:position w:val="2"/>
        </w:rPr>
        <w:t>T </w:t>
      </w:r>
      <w:r>
        <w:rPr>
          <w:position w:val="2"/>
        </w:rPr>
        <w:t>＝</w:t>
      </w:r>
      <w:r>
        <w:rPr>
          <w:rFonts w:ascii="Times New Roman" w:eastAsia="Times New Roman"/>
          <w:position w:val="2"/>
        </w:rPr>
        <w:t>t</w:t>
      </w:r>
      <w:r>
        <w:rPr>
          <w:rFonts w:ascii="Times New Roman" w:eastAsia="Times New Roman"/>
          <w:position w:val="2"/>
          <w:vertAlign w:val="subscript"/>
        </w:rPr>
        <w:t>1</w:t>
      </w:r>
      <w:r>
        <w:rPr>
          <w:rFonts w:ascii="Times New Roman" w:eastAsia="Times New Roman"/>
          <w:position w:val="2"/>
          <w:vertAlign w:val="baseline"/>
        </w:rPr>
        <w:t>+ t</w:t>
      </w:r>
      <w:r>
        <w:rPr>
          <w:rFonts w:ascii="Times New Roman" w:eastAsia="Times New Roman"/>
          <w:position w:val="2"/>
          <w:vertAlign w:val="subscript"/>
        </w:rPr>
        <w:t>2</w:t>
      </w:r>
      <w:r>
        <w:rPr>
          <w:rFonts w:ascii="Times New Roman" w:eastAsia="Times New Roman"/>
          <w:position w:val="2"/>
          <w:vertAlign w:val="baseline"/>
        </w:rPr>
        <w:t>+ t</w:t>
      </w:r>
      <w:r>
        <w:rPr>
          <w:rFonts w:ascii="Times New Roman" w:eastAsia="Times New Roman"/>
          <w:position w:val="2"/>
          <w:vertAlign w:val="subscript"/>
        </w:rPr>
        <w:t>3</w:t>
      </w:r>
    </w:p>
    <w:p>
      <w:pPr>
        <w:pStyle w:val="BodyText"/>
        <w:spacing w:before="151"/>
        <w:ind w:left="1191"/>
      </w:pPr>
      <w:r>
        <w:rPr>
          <w:position w:val="2"/>
        </w:rPr>
        <w:t>式中：</w:t>
      </w:r>
      <w:r>
        <w:rPr>
          <w:rFonts w:ascii="Times New Roman" w:hAnsi="Times New Roman" w:eastAsia="Times New Roman"/>
          <w:position w:val="2"/>
        </w:rPr>
        <w:t>t</w:t>
      </w:r>
      <w:r>
        <w:rPr>
          <w:rFonts w:ascii="Times New Roman" w:hAnsi="Times New Roman" w:eastAsia="Times New Roman"/>
          <w:position w:val="2"/>
          <w:vertAlign w:val="subscript"/>
        </w:rPr>
        <w:t>1</w:t>
      </w:r>
      <w:r>
        <w:rPr>
          <w:rFonts w:ascii="Times New Roman" w:hAnsi="Times New Roman" w:eastAsia="Times New Roman"/>
          <w:position w:val="2"/>
          <w:vertAlign w:val="baseline"/>
        </w:rPr>
        <w:t>—</w:t>
      </w:r>
      <w:r>
        <w:rPr>
          <w:position w:val="2"/>
          <w:vertAlign w:val="baseline"/>
        </w:rPr>
        <w:t>移动初始期的时间；</w:t>
      </w:r>
    </w:p>
    <w:p>
      <w:pPr>
        <w:pStyle w:val="BodyText"/>
        <w:spacing w:line="360" w:lineRule="auto" w:before="156"/>
        <w:ind w:left="1191" w:right="6529"/>
      </w:pPr>
      <w:r>
        <w:rPr>
          <w:rFonts w:ascii="Times New Roman" w:hAnsi="Times New Roman" w:eastAsia="Times New Roman"/>
          <w:position w:val="2"/>
        </w:rPr>
        <w:t>t</w:t>
      </w:r>
      <w:r>
        <w:rPr>
          <w:rFonts w:ascii="Times New Roman" w:hAnsi="Times New Roman" w:eastAsia="Times New Roman"/>
          <w:position w:val="2"/>
          <w:vertAlign w:val="subscript"/>
        </w:rPr>
        <w:t>2</w:t>
      </w:r>
      <w:r>
        <w:rPr>
          <w:rFonts w:ascii="Times New Roman" w:hAnsi="Times New Roman" w:eastAsia="Times New Roman"/>
          <w:position w:val="2"/>
          <w:vertAlign w:val="baseline"/>
        </w:rPr>
        <w:t>—</w:t>
      </w:r>
      <w:r>
        <w:rPr>
          <w:position w:val="2"/>
          <w:vertAlign w:val="baseline"/>
        </w:rPr>
        <w:t>移动活跃期的时间；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3</w:t>
      </w:r>
      <w:r>
        <w:rPr>
          <w:rFonts w:ascii="Times New Roman" w:hAnsi="Times New Roman" w:eastAsia="Times New Roman"/>
          <w:position w:val="2"/>
          <w:vertAlign w:val="baseline"/>
        </w:rPr>
        <w:t>—</w:t>
      </w:r>
      <w:r>
        <w:rPr>
          <w:position w:val="2"/>
          <w:vertAlign w:val="baseline"/>
        </w:rPr>
        <w:t>移动衰退期的时间。</w:t>
      </w:r>
    </w:p>
    <w:p>
      <w:pPr>
        <w:pStyle w:val="BodyText"/>
        <w:spacing w:before="5"/>
        <w:ind w:left="1191"/>
      </w:pPr>
      <w:r>
        <w:rPr/>
        <w:t>在无实测资料的情况下，地表移动的延续时间（</w:t>
      </w:r>
      <w:r>
        <w:rPr>
          <w:rFonts w:ascii="Times New Roman" w:eastAsia="Times New Roman"/>
        </w:rPr>
        <w:t>T</w:t>
      </w:r>
      <w:r>
        <w:rPr/>
        <w:t>）可根据下式计算：</w:t>
      </w:r>
    </w:p>
    <w:p>
      <w:pPr>
        <w:pStyle w:val="BodyText"/>
        <w:spacing w:before="159"/>
        <w:ind w:left="1191"/>
        <w:rPr>
          <w:rFonts w:ascii="Times New Roman" w:hAnsi="Times New Roman" w:eastAsia="Times New Roman"/>
        </w:rPr>
      </w:pPr>
      <w:r>
        <w:rPr>
          <w:rFonts w:ascii="Times New Roman" w:hAnsi="Times New Roman" w:eastAsia="Times New Roman"/>
        </w:rPr>
        <w:t>T</w:t>
      </w:r>
      <w:r>
        <w:rPr/>
        <w:t>＝</w:t>
      </w:r>
      <w:r>
        <w:rPr>
          <w:rFonts w:ascii="Times New Roman" w:hAnsi="Times New Roman" w:eastAsia="Times New Roman"/>
        </w:rPr>
        <w:t>2.5×H</w:t>
      </w:r>
    </w:p>
    <w:p>
      <w:pPr>
        <w:pStyle w:val="BodyText"/>
        <w:spacing w:before="160"/>
        <w:ind w:left="1191"/>
      </w:pPr>
      <w:r>
        <w:rPr/>
        <w:t>式中：</w:t>
      </w:r>
      <w:r>
        <w:rPr>
          <w:rFonts w:ascii="Times New Roman" w:hAnsi="Times New Roman" w:eastAsia="Times New Roman"/>
        </w:rPr>
        <w:t>T—</w:t>
      </w:r>
      <w:r>
        <w:rPr/>
        <w:t>形成稳定沉陷地面移动的延续时间，单位为天（</w:t>
      </w:r>
      <w:r>
        <w:rPr>
          <w:rFonts w:ascii="Times New Roman" w:hAnsi="Times New Roman" w:eastAsia="Times New Roman"/>
        </w:rPr>
        <w:t>d</w:t>
      </w:r>
      <w:r>
        <w:rPr/>
        <w:t>）</w:t>
      </w:r>
    </w:p>
    <w:p>
      <w:pPr>
        <w:pStyle w:val="BodyText"/>
        <w:spacing w:before="158"/>
        <w:ind w:left="1191"/>
      </w:pPr>
      <w:r>
        <w:rPr>
          <w:rFonts w:ascii="Times New Roman" w:hAnsi="Times New Roman" w:eastAsia="Times New Roman"/>
        </w:rPr>
        <w:t>H—</w:t>
      </w:r>
      <w:r>
        <w:rPr/>
        <w:t>工作平均开采深度，单位为米（</w:t>
      </w:r>
      <w:r>
        <w:rPr>
          <w:rFonts w:ascii="Times New Roman" w:hAnsi="Times New Roman" w:eastAsia="Times New Roman"/>
        </w:rPr>
        <w:t>m</w:t>
      </w:r>
      <w:r>
        <w:rPr/>
        <w:t>）</w:t>
      </w:r>
    </w:p>
    <w:p>
      <w:pPr>
        <w:pStyle w:val="BodyText"/>
        <w:spacing w:line="364" w:lineRule="auto" w:before="161"/>
        <w:ind w:left="711" w:right="1149" w:firstLine="480"/>
        <w:jc w:val="both"/>
      </w:pPr>
      <w:r>
        <w:rPr/>
        <w:t>地表移动基本稳沉时间一般为地表移动的初始期和活跃期，一般为地表移动持续时间的 </w:t>
      </w:r>
      <w:r>
        <w:rPr>
          <w:rFonts w:ascii="Times New Roman" w:hAnsi="Times New Roman" w:eastAsia="Times New Roman"/>
        </w:rPr>
        <w:t>60—70%</w:t>
      </w:r>
      <w:r>
        <w:rPr/>
        <w:t>，本次取 </w:t>
      </w:r>
      <w:r>
        <w:rPr>
          <w:rFonts w:ascii="Times New Roman" w:hAnsi="Times New Roman" w:eastAsia="Times New Roman"/>
        </w:rPr>
        <w:t>65%</w:t>
      </w:r>
      <w:r>
        <w:rPr/>
        <w:t>。根据上述公式，通过综合计算求得开采后地表移动延续的时间约为 </w:t>
      </w:r>
      <w:r>
        <w:rPr>
          <w:rFonts w:ascii="Times New Roman" w:hAnsi="Times New Roman" w:eastAsia="Times New Roman"/>
        </w:rPr>
        <w:t>1.83a</w:t>
      </w:r>
      <w:r>
        <w:rPr/>
        <w:t>。</w:t>
      </w:r>
    </w:p>
    <w:p>
      <w:pPr>
        <w:pStyle w:val="BodyText"/>
        <w:spacing w:before="76"/>
        <w:ind w:left="1191"/>
        <w:jc w:val="both"/>
      </w:pPr>
      <w:r>
        <w:rPr/>
        <w:t>全井田开采后地表下沉等值线分布见图 </w:t>
      </w:r>
      <w:r>
        <w:rPr>
          <w:rFonts w:ascii="Times New Roman" w:eastAsia="Times New Roman"/>
        </w:rPr>
        <w:t>5.3-1</w:t>
      </w:r>
      <w:r>
        <w:rPr/>
        <w:t>。</w:t>
      </w:r>
    </w:p>
    <w:p>
      <w:pPr>
        <w:spacing w:after="0"/>
        <w:jc w:val="both"/>
        <w:sectPr>
          <w:footerReference w:type="default" r:id="rId37"/>
          <w:pgSz w:w="11910" w:h="16840"/>
          <w:pgMar w:footer="993" w:header="0" w:top="1380" w:bottom="1180" w:left="1040" w:right="600"/>
          <w:pgNumType w:start="80"/>
        </w:sectPr>
      </w:pPr>
    </w:p>
    <w:p>
      <w:pPr>
        <w:pStyle w:val="BodyText"/>
        <w:ind w:left="1132"/>
        <w:rPr>
          <w:sz w:val="20"/>
        </w:rPr>
      </w:pPr>
      <w:r>
        <w:rPr>
          <w:sz w:val="20"/>
        </w:rPr>
        <w:drawing>
          <wp:inline distT="0" distB="0" distL="0" distR="0">
            <wp:extent cx="5737454" cy="6428994"/>
            <wp:effectExtent l="0" t="0" r="0" b="0"/>
            <wp:docPr id="35" name="image21.jpeg"/>
            <wp:cNvGraphicFramePr>
              <a:graphicFrameLocks noChangeAspect="1"/>
            </wp:cNvGraphicFramePr>
            <a:graphic>
              <a:graphicData uri="http://schemas.openxmlformats.org/drawingml/2006/picture">
                <pic:pic>
                  <pic:nvPicPr>
                    <pic:cNvPr id="36" name="image21.jpeg"/>
                    <pic:cNvPicPr/>
                  </pic:nvPicPr>
                  <pic:blipFill>
                    <a:blip r:embed="rId38" cstate="print"/>
                    <a:stretch>
                      <a:fillRect/>
                    </a:stretch>
                  </pic:blipFill>
                  <pic:spPr>
                    <a:xfrm>
                      <a:off x="0" y="0"/>
                      <a:ext cx="5737454" cy="6428994"/>
                    </a:xfrm>
                    <a:prstGeom prst="rect">
                      <a:avLst/>
                    </a:prstGeom>
                  </pic:spPr>
                </pic:pic>
              </a:graphicData>
            </a:graphic>
          </wp:inline>
        </w:drawing>
      </w:r>
      <w:r>
        <w:rPr>
          <w:sz w:val="20"/>
        </w:rPr>
      </w:r>
    </w:p>
    <w:p>
      <w:pPr>
        <w:pStyle w:val="Heading4"/>
        <w:spacing w:before="96"/>
        <w:ind w:left="2682"/>
      </w:pPr>
      <w:r>
        <w:rPr/>
        <w:t>图 </w:t>
      </w:r>
      <w:r>
        <w:rPr>
          <w:rFonts w:ascii="Times New Roman" w:eastAsia="Times New Roman"/>
        </w:rPr>
        <w:t>5.3-1 </w:t>
      </w:r>
      <w:r>
        <w:rPr/>
        <w:t>全井田开采后地表下沉等值线分布</w:t>
      </w:r>
    </w:p>
    <w:p>
      <w:pPr>
        <w:pStyle w:val="ListParagraph"/>
        <w:numPr>
          <w:ilvl w:val="2"/>
          <w:numId w:val="39"/>
        </w:numPr>
        <w:tabs>
          <w:tab w:pos="1413" w:val="left" w:leader="none"/>
        </w:tabs>
        <w:spacing w:line="240" w:lineRule="auto" w:before="3" w:after="0"/>
        <w:ind w:left="1412" w:right="0" w:hanging="702"/>
        <w:jc w:val="both"/>
        <w:rPr>
          <w:b/>
          <w:sz w:val="28"/>
        </w:rPr>
      </w:pPr>
      <w:bookmarkStart w:name="5.3.4 地表沉陷影响分析" w:id="174"/>
      <w:bookmarkEnd w:id="174"/>
      <w:r>
        <w:rPr/>
      </w:r>
      <w:bookmarkStart w:name="5.3.4 地表沉陷影响分析" w:id="175"/>
      <w:bookmarkEnd w:id="175"/>
      <w:r>
        <w:rPr>
          <w:b/>
          <w:sz w:val="28"/>
        </w:rPr>
        <w:t>地表沉陷影响分析</w:t>
      </w:r>
    </w:p>
    <w:p>
      <w:pPr>
        <w:pStyle w:val="ListParagraph"/>
        <w:numPr>
          <w:ilvl w:val="3"/>
          <w:numId w:val="39"/>
        </w:numPr>
        <w:tabs>
          <w:tab w:pos="1492" w:val="left" w:leader="none"/>
        </w:tabs>
        <w:spacing w:line="240" w:lineRule="auto" w:before="264" w:after="0"/>
        <w:ind w:left="1492" w:right="0" w:hanging="781"/>
        <w:jc w:val="both"/>
        <w:rPr>
          <w:b/>
          <w:sz w:val="24"/>
        </w:rPr>
      </w:pPr>
      <w:r>
        <w:rPr>
          <w:b/>
          <w:sz w:val="24"/>
        </w:rPr>
        <w:t>地表沉陷对地表形态、地形地貌的影响</w:t>
      </w:r>
    </w:p>
    <w:p>
      <w:pPr>
        <w:pStyle w:val="BodyText"/>
        <w:spacing w:line="364" w:lineRule="auto" w:before="82"/>
        <w:ind w:left="711" w:right="1153" w:firstLine="480"/>
        <w:jc w:val="both"/>
      </w:pPr>
      <w:r>
        <w:rPr/>
        <w:t>矿区所属地貌单元类型为丘陵地貌，区内地形简单，相对高差小。区内人为活动主要为采矿活动和村庄。目前采矿活动对地形地貌景观的破坏主要是采矿工业占用和破坏土地，包括采矿活动所占用的土地。评估区内人类工程活动轻微， 对地形地貌景观的破坏较轻。</w:t>
      </w:r>
    </w:p>
    <w:p>
      <w:pPr>
        <w:pStyle w:val="BodyText"/>
        <w:spacing w:before="77"/>
        <w:ind w:left="1191"/>
        <w:jc w:val="both"/>
      </w:pPr>
      <w:r>
        <w:rPr/>
        <w:t>本井田开采地表沉陷变形的特点主要表现在以下 </w:t>
      </w:r>
      <w:r>
        <w:rPr>
          <w:rFonts w:ascii="Times New Roman" w:eastAsia="Times New Roman"/>
        </w:rPr>
        <w:t>5 </w:t>
      </w:r>
      <w:r>
        <w:rPr/>
        <w:t>个方面：</w:t>
      </w:r>
    </w:p>
    <w:p>
      <w:pPr>
        <w:spacing w:after="0"/>
        <w:jc w:val="both"/>
        <w:sectPr>
          <w:pgSz w:w="11910" w:h="16840"/>
          <w:pgMar w:header="0" w:footer="993" w:top="1500" w:bottom="1180" w:left="1040" w:right="600"/>
        </w:sectPr>
      </w:pPr>
    </w:p>
    <w:p>
      <w:pPr>
        <w:pStyle w:val="ListParagraph"/>
        <w:numPr>
          <w:ilvl w:val="4"/>
          <w:numId w:val="39"/>
        </w:numPr>
        <w:tabs>
          <w:tab w:pos="1793" w:val="left" w:leader="none"/>
        </w:tabs>
        <w:spacing w:line="240" w:lineRule="auto" w:before="62" w:after="0"/>
        <w:ind w:left="1793" w:right="0" w:hanging="602"/>
        <w:jc w:val="left"/>
        <w:rPr>
          <w:sz w:val="24"/>
        </w:rPr>
      </w:pPr>
      <w:r>
        <w:rPr>
          <w:sz w:val="24"/>
        </w:rPr>
        <w:t>地表下沉是逐步形成的，要经历较长的时间；</w:t>
      </w:r>
    </w:p>
    <w:p>
      <w:pPr>
        <w:pStyle w:val="ListParagraph"/>
        <w:numPr>
          <w:ilvl w:val="4"/>
          <w:numId w:val="39"/>
        </w:numPr>
        <w:tabs>
          <w:tab w:pos="1793" w:val="left" w:leader="none"/>
        </w:tabs>
        <w:spacing w:line="240" w:lineRule="auto" w:before="160" w:after="0"/>
        <w:ind w:left="1793" w:right="0" w:hanging="602"/>
        <w:jc w:val="left"/>
        <w:rPr>
          <w:sz w:val="24"/>
        </w:rPr>
      </w:pPr>
      <w:r>
        <w:rPr>
          <w:sz w:val="24"/>
        </w:rPr>
        <w:t>开采下沉造成地形坡度变化只发生在采空区边界上方，只是局部区域；</w:t>
      </w:r>
    </w:p>
    <w:p>
      <w:pPr>
        <w:pStyle w:val="ListParagraph"/>
        <w:numPr>
          <w:ilvl w:val="4"/>
          <w:numId w:val="39"/>
        </w:numPr>
        <w:tabs>
          <w:tab w:pos="1793" w:val="left" w:leader="none"/>
        </w:tabs>
        <w:spacing w:line="364" w:lineRule="auto" w:before="161" w:after="0"/>
        <w:ind w:left="711" w:right="1153" w:firstLine="480"/>
        <w:jc w:val="left"/>
        <w:rPr>
          <w:sz w:val="24"/>
        </w:rPr>
      </w:pPr>
      <w:r>
        <w:rPr>
          <w:spacing w:val="-5"/>
          <w:sz w:val="24"/>
        </w:rPr>
        <w:t>区内地形属轻度侵蚀的丘岭漫岗区，井田内以次生林地为主，且由于</w:t>
      </w:r>
      <w:r>
        <w:rPr>
          <w:spacing w:val="-4"/>
          <w:sz w:val="24"/>
        </w:rPr>
        <w:t>煤层为缓倾斜薄煤层，故开采引起的地表下沉量相对于地表本身的落差要小得多</w:t>
      </w:r>
      <w:r>
        <w:rPr>
          <w:spacing w:val="-18"/>
          <w:sz w:val="24"/>
        </w:rPr>
        <w:t>。</w:t>
      </w:r>
    </w:p>
    <w:p>
      <w:pPr>
        <w:pStyle w:val="ListParagraph"/>
        <w:numPr>
          <w:ilvl w:val="4"/>
          <w:numId w:val="39"/>
        </w:numPr>
        <w:tabs>
          <w:tab w:pos="1793" w:val="left" w:leader="none"/>
        </w:tabs>
        <w:spacing w:line="364" w:lineRule="auto" w:before="1" w:after="0"/>
        <w:ind w:left="711" w:right="1153" w:firstLine="480"/>
        <w:jc w:val="left"/>
        <w:rPr>
          <w:sz w:val="24"/>
        </w:rPr>
      </w:pPr>
      <w:r>
        <w:rPr>
          <w:spacing w:val="-6"/>
          <w:sz w:val="24"/>
        </w:rPr>
        <w:t>开采产生的地表裂缝，特别是一些较大的裂缝，破坏了原始地貌的完</w:t>
      </w:r>
      <w:r>
        <w:rPr>
          <w:spacing w:val="-4"/>
          <w:sz w:val="24"/>
        </w:rPr>
        <w:t>整性，造成与周围自然景观的不相协调。对生态景观有一定的负面影响。</w:t>
      </w:r>
    </w:p>
    <w:p>
      <w:pPr>
        <w:pStyle w:val="ListParagraph"/>
        <w:numPr>
          <w:ilvl w:val="4"/>
          <w:numId w:val="39"/>
        </w:numPr>
        <w:tabs>
          <w:tab w:pos="1793" w:val="left" w:leader="none"/>
        </w:tabs>
        <w:spacing w:line="364" w:lineRule="auto" w:before="1" w:after="0"/>
        <w:ind w:left="711" w:right="1153" w:firstLine="480"/>
        <w:jc w:val="left"/>
        <w:rPr>
          <w:sz w:val="24"/>
        </w:rPr>
      </w:pPr>
      <w:r>
        <w:rPr>
          <w:spacing w:val="-8"/>
          <w:sz w:val="24"/>
        </w:rPr>
        <w:t>位于沉陷区边缘，特别是地表下沉引起的倾斜和原始地形本身倾斜方</w:t>
      </w:r>
      <w:r>
        <w:rPr>
          <w:spacing w:val="-5"/>
          <w:sz w:val="24"/>
        </w:rPr>
        <w:t>向一致时，该区域内较高的树木会产生明显歪斜。</w:t>
      </w:r>
    </w:p>
    <w:p>
      <w:pPr>
        <w:pStyle w:val="Heading4"/>
        <w:numPr>
          <w:ilvl w:val="3"/>
          <w:numId w:val="39"/>
        </w:numPr>
        <w:tabs>
          <w:tab w:pos="1492" w:val="left" w:leader="none"/>
        </w:tabs>
        <w:spacing w:line="240" w:lineRule="auto" w:before="1" w:after="0"/>
        <w:ind w:left="1492" w:right="0" w:hanging="781"/>
        <w:jc w:val="left"/>
      </w:pPr>
      <w:r>
        <w:rPr/>
        <w:t>地表沉陷对地面村庄建筑物的影响</w:t>
      </w:r>
    </w:p>
    <w:p>
      <w:pPr>
        <w:pStyle w:val="BodyText"/>
        <w:spacing w:line="364" w:lineRule="auto" w:before="82"/>
        <w:ind w:left="711" w:right="1149" w:firstLine="482"/>
        <w:jc w:val="both"/>
      </w:pPr>
      <w:r>
        <w:rPr/>
        <w:t>根据调查，评估区范围内涉及城镇和村庄，房屋以砖混结构为主，生活饮用水为集中的管道自来水，现状调查没有出现明显的房屋开裂现象，对城镇和村庄的影响较轻。</w:t>
      </w:r>
    </w:p>
    <w:p>
      <w:pPr>
        <w:pStyle w:val="Heading4"/>
        <w:numPr>
          <w:ilvl w:val="3"/>
          <w:numId w:val="39"/>
        </w:numPr>
        <w:tabs>
          <w:tab w:pos="1432" w:val="left" w:leader="none"/>
        </w:tabs>
        <w:spacing w:line="240" w:lineRule="auto" w:before="78" w:after="0"/>
        <w:ind w:left="1432" w:right="0" w:hanging="721"/>
        <w:jc w:val="both"/>
      </w:pPr>
      <w:r>
        <w:rPr/>
        <w:t>地表沉陷对浅部含水层的影响</w:t>
      </w:r>
    </w:p>
    <w:p>
      <w:pPr>
        <w:pStyle w:val="BodyText"/>
        <w:spacing w:line="364" w:lineRule="auto" w:before="82"/>
        <w:ind w:left="711" w:right="1153" w:firstLine="480"/>
        <w:jc w:val="both"/>
      </w:pPr>
      <w:r>
        <w:rPr/>
        <w:t>该矿随着开采进行可导致大范围含水层被疏干，因此双鸭山市东盛矿业集团集团有限公司对含水层影响较为严重，矿井水主要来源为大气降水，污水来源主要为生产废水及生活污水。矿山开采过程中矿山企业应时刻监测井下水位红线， 做好相关安全隐患预防和治理措施。矿区排水应达标排放，未经处理和未达标的生产生活废水不得直接排放，排水前应进行检测。生产废水经初步沉淀后可循环使用，废水排入排水沟自然净化，生活废水遣弃地应远离水源。</w:t>
      </w:r>
    </w:p>
    <w:p>
      <w:pPr>
        <w:pStyle w:val="BodyText"/>
        <w:spacing w:line="362" w:lineRule="auto"/>
        <w:ind w:left="711" w:right="1153" w:firstLine="480"/>
      </w:pPr>
      <w:r>
        <w:rPr/>
        <w:t>根据岩层移动规律的研究，当煤层开采后，采空区上方的岩层即发生崩塌， 形成三个不同的破坏带。由下往上依次为：</w:t>
      </w:r>
    </w:p>
    <w:p>
      <w:pPr>
        <w:pStyle w:val="BodyText"/>
        <w:spacing w:line="364" w:lineRule="auto" w:before="1"/>
        <w:ind w:left="711" w:right="1086" w:firstLine="480"/>
      </w:pPr>
      <w:r>
        <w:rPr/>
        <w:t>第 </w:t>
      </w:r>
      <w:r>
        <w:rPr>
          <w:rFonts w:ascii="Times New Roman" w:hAnsi="Times New Roman" w:eastAsia="Times New Roman"/>
        </w:rPr>
        <w:t>1 </w:t>
      </w:r>
      <w:r>
        <w:rPr/>
        <w:t>带—岩层垮落带：煤层采出后，顶板岩石的平衡状态遭到破坏而垮落， 形成垮落带，其垮落高度取决于顶板岩石的碎胀系数以及煤层的厚度和倾角。</w:t>
      </w:r>
    </w:p>
    <w:p>
      <w:pPr>
        <w:pStyle w:val="BodyText"/>
        <w:spacing w:line="362" w:lineRule="auto"/>
        <w:ind w:left="1191" w:right="6007"/>
      </w:pPr>
      <w:r>
        <w:rPr>
          <w:position w:val="2"/>
        </w:rPr>
        <w:t>计算公式为：</w:t>
      </w:r>
      <w:r>
        <w:rPr>
          <w:rFonts w:ascii="Times New Roman" w:hAnsi="Times New Roman" w:eastAsia="Times New Roman"/>
          <w:position w:val="2"/>
        </w:rPr>
        <w:t>h</w:t>
      </w:r>
      <w:r>
        <w:rPr>
          <w:rFonts w:ascii="Times New Roman" w:hAnsi="Times New Roman" w:eastAsia="Times New Roman"/>
          <w:position w:val="2"/>
          <w:vertAlign w:val="subscript"/>
        </w:rPr>
        <w:t>1</w:t>
      </w:r>
      <w:r>
        <w:rPr>
          <w:rFonts w:ascii="Times New Roman" w:hAnsi="Times New Roman" w:eastAsia="Times New Roman"/>
          <w:position w:val="2"/>
          <w:vertAlign w:val="baseline"/>
        </w:rPr>
        <w:t>=m/(k-1)cos</w:t>
      </w:r>
      <w:r>
        <w:rPr>
          <w:position w:val="2"/>
          <w:vertAlign w:val="baseline"/>
        </w:rPr>
        <w:t>α 式中：</w:t>
      </w:r>
      <w:r>
        <w:rPr>
          <w:rFonts w:ascii="Times New Roman" w:hAnsi="Times New Roman" w:eastAsia="Times New Roman"/>
          <w:position w:val="2"/>
          <w:vertAlign w:val="baseline"/>
        </w:rPr>
        <w:t>h</w:t>
      </w:r>
      <w:r>
        <w:rPr>
          <w:rFonts w:ascii="Times New Roman" w:hAnsi="Times New Roman" w:eastAsia="Times New Roman"/>
          <w:position w:val="2"/>
          <w:vertAlign w:val="subscript"/>
        </w:rPr>
        <w:t>1</w:t>
      </w:r>
      <w:r>
        <w:rPr>
          <w:position w:val="2"/>
          <w:vertAlign w:val="baseline"/>
        </w:rPr>
        <w:t>—垮落带的高度；</w:t>
      </w:r>
    </w:p>
    <w:p>
      <w:pPr>
        <w:pStyle w:val="BodyText"/>
        <w:spacing w:line="364" w:lineRule="auto"/>
        <w:ind w:left="1191" w:right="1985"/>
      </w:pPr>
      <w:r>
        <w:rPr>
          <w:rFonts w:ascii="Times New Roman" w:hAnsi="Times New Roman" w:eastAsia="Times New Roman"/>
        </w:rPr>
        <w:t>k</w:t>
      </w:r>
      <w:r>
        <w:rPr>
          <w:spacing w:val="-5"/>
        </w:rPr>
        <w:t>—顶板岩石碎胀系数，取值为 </w:t>
      </w:r>
      <w:r>
        <w:rPr>
          <w:rFonts w:ascii="Times New Roman" w:hAnsi="Times New Roman" w:eastAsia="Times New Roman"/>
        </w:rPr>
        <w:t>1.1</w:t>
      </w:r>
      <w:r>
        <w:rPr/>
        <w:t>～</w:t>
      </w:r>
      <w:r>
        <w:rPr>
          <w:rFonts w:ascii="Times New Roman" w:hAnsi="Times New Roman" w:eastAsia="Times New Roman"/>
        </w:rPr>
        <w:t>1.5 </w:t>
      </w:r>
      <w:r>
        <w:rPr>
          <w:spacing w:val="-7"/>
        </w:rPr>
        <w:t>之间，本矿井采用 </w:t>
      </w:r>
      <w:r>
        <w:rPr>
          <w:rFonts w:ascii="Times New Roman" w:hAnsi="Times New Roman" w:eastAsia="Times New Roman"/>
          <w:spacing w:val="-5"/>
        </w:rPr>
        <w:t>1.3</w:t>
      </w:r>
      <w:r>
        <w:rPr>
          <w:spacing w:val="-5"/>
        </w:rPr>
        <w:t>； </w:t>
      </w:r>
      <w:r>
        <w:rPr>
          <w:rFonts w:ascii="Times New Roman" w:hAnsi="Times New Roman" w:eastAsia="Times New Roman"/>
        </w:rPr>
        <w:t>m</w:t>
      </w:r>
      <w:r>
        <w:rPr/>
        <w:t>—煤层厚度；</w:t>
      </w:r>
    </w:p>
    <w:p>
      <w:pPr>
        <w:pStyle w:val="BodyText"/>
        <w:spacing w:line="306" w:lineRule="exact"/>
        <w:ind w:left="1191"/>
      </w:pPr>
      <w:r>
        <w:rPr/>
        <w:t>α—煤层倾角，本井为 </w:t>
      </w:r>
      <w:r>
        <w:rPr>
          <w:rFonts w:ascii="Times New Roman" w:hAnsi="Times New Roman" w:eastAsia="Times New Roman"/>
        </w:rPr>
        <w:t>11</w:t>
      </w:r>
      <w:r>
        <w:rPr/>
        <w:t>°。</w:t>
      </w:r>
    </w:p>
    <w:p>
      <w:pPr>
        <w:pStyle w:val="BodyText"/>
        <w:spacing w:line="360" w:lineRule="auto" w:before="155"/>
        <w:ind w:left="711" w:right="1086" w:firstLine="480"/>
      </w:pPr>
      <w:r>
        <w:rPr/>
        <w:t>第 </w:t>
      </w:r>
      <w:r>
        <w:rPr>
          <w:rFonts w:ascii="Times New Roman" w:hAnsi="Times New Roman" w:eastAsia="Times New Roman"/>
        </w:rPr>
        <w:t>2 </w:t>
      </w:r>
      <w:r>
        <w:rPr/>
        <w:t>带—裂隙带：位于垮落带上方，由于顶板垮落，岩层下沉而产生许多张</w:t>
      </w:r>
      <w:r>
        <w:rPr>
          <w:position w:val="2"/>
        </w:rPr>
        <w:t>力裂隙，裂隙带高度 </w:t>
      </w:r>
      <w:r>
        <w:rPr>
          <w:rFonts w:ascii="Times New Roman" w:hAnsi="Times New Roman" w:eastAsia="Times New Roman"/>
          <w:position w:val="2"/>
        </w:rPr>
        <w:t>h</w:t>
      </w:r>
      <w:r>
        <w:rPr>
          <w:rFonts w:ascii="Times New Roman" w:hAnsi="Times New Roman" w:eastAsia="Times New Roman"/>
          <w:position w:val="2"/>
          <w:vertAlign w:val="subscript"/>
        </w:rPr>
        <w:t>2</w:t>
      </w:r>
      <w:r>
        <w:rPr>
          <w:rFonts w:ascii="Times New Roman" w:hAnsi="Times New Roman" w:eastAsia="Times New Roman"/>
          <w:position w:val="2"/>
          <w:vertAlign w:val="baseline"/>
        </w:rPr>
        <w:t> </w:t>
      </w:r>
      <w:r>
        <w:rPr>
          <w:position w:val="2"/>
          <w:vertAlign w:val="baseline"/>
        </w:rPr>
        <w:t>与垮落带高度及系数有关。</w:t>
      </w:r>
    </w:p>
    <w:p>
      <w:pPr>
        <w:spacing w:after="0" w:line="360" w:lineRule="auto"/>
        <w:sectPr>
          <w:pgSz w:w="11910" w:h="16840"/>
          <w:pgMar w:header="0" w:footer="993" w:top="1440" w:bottom="1180" w:left="1040" w:right="600"/>
        </w:sectPr>
      </w:pPr>
    </w:p>
    <w:p>
      <w:pPr>
        <w:pStyle w:val="BodyText"/>
        <w:spacing w:before="59"/>
        <w:ind w:left="1191"/>
        <w:rPr>
          <w:rFonts w:ascii="Times New Roman" w:eastAsia="Times New Roman"/>
        </w:rPr>
      </w:pPr>
      <w:r>
        <w:rPr>
          <w:position w:val="2"/>
        </w:rPr>
        <w:t>计算公式为：</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vertAlign w:val="baseline"/>
        </w:rPr>
        <w:t>=k</w:t>
      </w:r>
      <w:r>
        <w:rPr>
          <w:rFonts w:ascii="Times New Roman" w:eastAsia="Times New Roman"/>
          <w:position w:val="2"/>
          <w:vertAlign w:val="subscript"/>
        </w:rPr>
        <w:t>0</w:t>
      </w:r>
      <w:r>
        <w:rPr>
          <w:rFonts w:ascii="Times New Roman" w:eastAsia="Times New Roman"/>
          <w:position w:val="2"/>
          <w:vertAlign w:val="baseline"/>
        </w:rPr>
        <w:t>h</w:t>
      </w:r>
      <w:r>
        <w:rPr>
          <w:rFonts w:ascii="Times New Roman" w:eastAsia="Times New Roman"/>
          <w:position w:val="2"/>
          <w:vertAlign w:val="subscript"/>
        </w:rPr>
        <w:t>1</w:t>
      </w:r>
    </w:p>
    <w:p>
      <w:pPr>
        <w:pStyle w:val="BodyText"/>
        <w:spacing w:before="157"/>
        <w:ind w:left="1191"/>
      </w:pPr>
      <w:r>
        <w:rPr>
          <w:position w:val="2"/>
        </w:rPr>
        <w:t>式中：</w:t>
      </w:r>
      <w:r>
        <w:rPr>
          <w:rFonts w:ascii="Times New Roman" w:hAnsi="Times New Roman" w:eastAsia="Times New Roman"/>
          <w:position w:val="2"/>
        </w:rPr>
        <w:t>h</w:t>
      </w:r>
      <w:r>
        <w:rPr>
          <w:rFonts w:ascii="Times New Roman" w:hAnsi="Times New Roman" w:eastAsia="Times New Roman"/>
          <w:position w:val="2"/>
          <w:vertAlign w:val="subscript"/>
        </w:rPr>
        <w:t>2</w:t>
      </w:r>
      <w:r>
        <w:rPr>
          <w:position w:val="2"/>
          <w:vertAlign w:val="baseline"/>
        </w:rPr>
        <w:t>—裂隙带的高度；</w:t>
      </w:r>
    </w:p>
    <w:p>
      <w:pPr>
        <w:pStyle w:val="BodyText"/>
        <w:spacing w:before="153"/>
        <w:ind w:left="1191"/>
      </w:pPr>
      <w:r>
        <w:rPr>
          <w:rFonts w:ascii="Times New Roman" w:hAnsi="Times New Roman" w:eastAsia="Times New Roman"/>
          <w:position w:val="2"/>
        </w:rPr>
        <w:t>h</w:t>
      </w:r>
      <w:r>
        <w:rPr>
          <w:rFonts w:ascii="Times New Roman" w:hAnsi="Times New Roman" w:eastAsia="Times New Roman"/>
          <w:position w:val="2"/>
          <w:vertAlign w:val="subscript"/>
        </w:rPr>
        <w:t>1</w:t>
      </w:r>
      <w:r>
        <w:rPr>
          <w:position w:val="2"/>
          <w:vertAlign w:val="baseline"/>
        </w:rPr>
        <w:t>—垮落带的高度；</w:t>
      </w:r>
    </w:p>
    <w:p>
      <w:pPr>
        <w:pStyle w:val="BodyText"/>
        <w:spacing w:before="156"/>
        <w:ind w:left="1191"/>
      </w:pPr>
      <w:r>
        <w:rPr>
          <w:rFonts w:ascii="Times New Roman" w:hAnsi="Times New Roman" w:eastAsia="Times New Roman"/>
          <w:position w:val="2"/>
        </w:rPr>
        <w:t>k</w:t>
      </w:r>
      <w:r>
        <w:rPr>
          <w:rFonts w:ascii="Times New Roman" w:hAnsi="Times New Roman" w:eastAsia="Times New Roman"/>
          <w:position w:val="2"/>
          <w:vertAlign w:val="subscript"/>
        </w:rPr>
        <w:t>0</w:t>
      </w:r>
      <w:r>
        <w:rPr>
          <w:position w:val="2"/>
          <w:vertAlign w:val="baseline"/>
        </w:rPr>
        <w:t>—系数，在 </w:t>
      </w:r>
      <w:r>
        <w:rPr>
          <w:rFonts w:ascii="Times New Roman" w:hAnsi="Times New Roman" w:eastAsia="Times New Roman"/>
          <w:position w:val="2"/>
          <w:vertAlign w:val="baseline"/>
        </w:rPr>
        <w:t>2</w:t>
      </w:r>
      <w:r>
        <w:rPr>
          <w:position w:val="2"/>
          <w:vertAlign w:val="baseline"/>
        </w:rPr>
        <w:t>～</w:t>
      </w:r>
      <w:r>
        <w:rPr>
          <w:rFonts w:ascii="Times New Roman" w:hAnsi="Times New Roman" w:eastAsia="Times New Roman"/>
          <w:position w:val="2"/>
          <w:vertAlign w:val="baseline"/>
        </w:rPr>
        <w:t>3 </w:t>
      </w:r>
      <w:r>
        <w:rPr>
          <w:position w:val="2"/>
          <w:vertAlign w:val="baseline"/>
        </w:rPr>
        <w:t>之间，本矿井采用 </w:t>
      </w:r>
      <w:r>
        <w:rPr>
          <w:rFonts w:ascii="Times New Roman" w:hAnsi="Times New Roman" w:eastAsia="Times New Roman"/>
          <w:position w:val="2"/>
          <w:vertAlign w:val="baseline"/>
        </w:rPr>
        <w:t>2.5</w:t>
      </w:r>
      <w:r>
        <w:rPr>
          <w:position w:val="2"/>
          <w:vertAlign w:val="baseline"/>
        </w:rPr>
        <w:t>。</w:t>
      </w:r>
    </w:p>
    <w:p>
      <w:pPr>
        <w:pStyle w:val="BodyText"/>
        <w:spacing w:line="364" w:lineRule="auto" w:before="157"/>
        <w:ind w:left="711" w:right="1086" w:firstLine="480"/>
      </w:pPr>
      <w:r>
        <w:rPr/>
        <w:t>第 </w:t>
      </w:r>
      <w:r>
        <w:rPr>
          <w:rFonts w:ascii="Times New Roman" w:hAnsi="Times New Roman" w:eastAsia="Times New Roman"/>
        </w:rPr>
        <w:t>3 </w:t>
      </w:r>
      <w:r>
        <w:rPr/>
        <w:t>带—弯曲下沉带：位于裂隙带之上直到地表的岩层，此带的特点是岩层产生缓慢的沉降，一般不产生裂隙。</w:t>
      </w:r>
    </w:p>
    <w:p>
      <w:pPr>
        <w:pStyle w:val="BodyText"/>
        <w:spacing w:line="364" w:lineRule="auto"/>
        <w:ind w:left="711" w:right="1086" w:firstLine="480"/>
      </w:pPr>
      <w:r>
        <w:rPr/>
        <w:t>凡是位于第 </w:t>
      </w:r>
      <w:r>
        <w:rPr>
          <w:rFonts w:ascii="Times New Roman" w:eastAsia="Times New Roman"/>
        </w:rPr>
        <w:t>1 </w:t>
      </w:r>
      <w:r>
        <w:rPr/>
        <w:t>带的含水层，地下水基本上全部流入矿井，该含水层在地表如果有水井或泉水出露，将出现水井干涸泉水断流的现象。</w:t>
      </w:r>
    </w:p>
    <w:p>
      <w:pPr>
        <w:pStyle w:val="BodyText"/>
        <w:spacing w:line="362" w:lineRule="auto"/>
        <w:ind w:left="711" w:right="1086" w:firstLine="480"/>
      </w:pPr>
      <w:r>
        <w:rPr/>
        <w:t>位于第 </w:t>
      </w:r>
      <w:r>
        <w:rPr>
          <w:rFonts w:ascii="Times New Roman" w:eastAsia="Times New Roman"/>
        </w:rPr>
        <w:t>2 </w:t>
      </w:r>
      <w:r>
        <w:rPr/>
        <w:t>带的含水层，地下水部分流入矿井，一部分仍由原排泄区排出。处于此带含水层中的水井水位下降，大泉流量减少，小泉则会断流。</w:t>
      </w:r>
    </w:p>
    <w:p>
      <w:pPr>
        <w:pStyle w:val="BodyText"/>
        <w:spacing w:line="364" w:lineRule="auto" w:before="3"/>
        <w:ind w:left="711" w:right="1086" w:firstLine="480"/>
      </w:pPr>
      <w:r>
        <w:rPr/>
        <w:t>第 </w:t>
      </w:r>
      <w:r>
        <w:rPr>
          <w:rFonts w:ascii="Times New Roman" w:eastAsia="Times New Roman"/>
        </w:rPr>
        <w:t>3 </w:t>
      </w:r>
      <w:r>
        <w:rPr/>
        <w:t>带中的含水层对矿井无影响，该含水层在地表分布的井泉不会有显著变化。</w:t>
      </w:r>
    </w:p>
    <w:p>
      <w:pPr>
        <w:tabs>
          <w:tab w:pos="909" w:val="left" w:leader="none"/>
        </w:tabs>
        <w:spacing w:before="96"/>
        <w:ind w:left="0" w:right="430" w:firstLine="0"/>
        <w:jc w:val="center"/>
        <w:rPr>
          <w:rFonts w:ascii="黑体" w:eastAsia="黑体" w:hint="eastAsia"/>
          <w:b/>
          <w:sz w:val="21"/>
        </w:rPr>
      </w:pPr>
      <w:r>
        <w:rPr>
          <w:rFonts w:ascii="黑体" w:eastAsia="黑体" w:hint="eastAsia"/>
          <w:b/>
          <w:sz w:val="21"/>
        </w:rPr>
        <w:t>表</w:t>
      </w:r>
      <w:r>
        <w:rPr>
          <w:rFonts w:ascii="黑体" w:eastAsia="黑体" w:hint="eastAsia"/>
          <w:b/>
          <w:spacing w:val="-55"/>
          <w:sz w:val="21"/>
        </w:rPr>
        <w:t> </w:t>
      </w:r>
      <w:r>
        <w:rPr>
          <w:rFonts w:ascii="Times New Roman" w:eastAsia="Times New Roman"/>
          <w:b/>
          <w:sz w:val="21"/>
        </w:rPr>
        <w:t>5.3-2</w:t>
        <w:tab/>
      </w:r>
      <w:r>
        <w:rPr>
          <w:rFonts w:ascii="黑体" w:eastAsia="黑体" w:hint="eastAsia"/>
          <w:b/>
          <w:sz w:val="21"/>
        </w:rPr>
        <w:t>煤矿开采煤层两带估算表</w:t>
      </w:r>
    </w:p>
    <w:p>
      <w:pPr>
        <w:pStyle w:val="BodyText"/>
        <w:spacing w:before="12"/>
        <w:rPr>
          <w:rFonts w:ascii="黑体"/>
          <w:b/>
          <w:sz w:val="7"/>
        </w:rPr>
      </w:pPr>
    </w:p>
    <w:tbl>
      <w:tblPr>
        <w:tblW w:w="0" w:type="auto"/>
        <w:jc w:val="left"/>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1234"/>
        <w:gridCol w:w="881"/>
        <w:gridCol w:w="1234"/>
        <w:gridCol w:w="1587"/>
        <w:gridCol w:w="1058"/>
        <w:gridCol w:w="1058"/>
      </w:tblGrid>
      <w:tr>
        <w:trPr>
          <w:trHeight w:val="803" w:hRule="atLeast"/>
        </w:trPr>
        <w:tc>
          <w:tcPr>
            <w:tcW w:w="1058" w:type="dxa"/>
          </w:tcPr>
          <w:p>
            <w:pPr>
              <w:pStyle w:val="TableParagraph"/>
              <w:spacing w:before="3"/>
              <w:jc w:val="left"/>
              <w:rPr>
                <w:rFonts w:ascii="黑体"/>
                <w:b/>
                <w:sz w:val="21"/>
              </w:rPr>
            </w:pPr>
          </w:p>
          <w:p>
            <w:pPr>
              <w:pStyle w:val="TableParagraph"/>
              <w:ind w:left="207" w:right="199"/>
              <w:rPr>
                <w:sz w:val="20"/>
              </w:rPr>
            </w:pPr>
            <w:r>
              <w:rPr>
                <w:sz w:val="20"/>
              </w:rPr>
              <w:t>煤层号</w:t>
            </w:r>
          </w:p>
        </w:tc>
        <w:tc>
          <w:tcPr>
            <w:tcW w:w="1234" w:type="dxa"/>
          </w:tcPr>
          <w:p>
            <w:pPr>
              <w:pStyle w:val="TableParagraph"/>
              <w:spacing w:before="116"/>
              <w:ind w:left="195" w:right="187"/>
              <w:rPr>
                <w:sz w:val="20"/>
              </w:rPr>
            </w:pPr>
            <w:r>
              <w:rPr>
                <w:sz w:val="20"/>
              </w:rPr>
              <w:t>开采厚度</w:t>
            </w:r>
          </w:p>
          <w:p>
            <w:pPr>
              <w:pStyle w:val="TableParagraph"/>
              <w:spacing w:before="69"/>
              <w:ind w:left="195" w:right="186"/>
              <w:rPr>
                <w:rFonts w:ascii="Times New Roman"/>
                <w:sz w:val="20"/>
              </w:rPr>
            </w:pPr>
            <w:r>
              <w:rPr>
                <w:rFonts w:ascii="Times New Roman"/>
                <w:sz w:val="20"/>
              </w:rPr>
              <w:t>(m)</w:t>
            </w:r>
          </w:p>
        </w:tc>
        <w:tc>
          <w:tcPr>
            <w:tcW w:w="881" w:type="dxa"/>
          </w:tcPr>
          <w:p>
            <w:pPr>
              <w:pStyle w:val="TableParagraph"/>
              <w:spacing w:before="116"/>
              <w:ind w:left="240"/>
              <w:jc w:val="left"/>
              <w:rPr>
                <w:sz w:val="20"/>
              </w:rPr>
            </w:pPr>
            <w:r>
              <w:rPr>
                <w:w w:val="95"/>
                <w:sz w:val="20"/>
              </w:rPr>
              <w:t>采高</w:t>
            </w:r>
          </w:p>
          <w:p>
            <w:pPr>
              <w:pStyle w:val="TableParagraph"/>
              <w:spacing w:before="69"/>
              <w:ind w:left="297"/>
              <w:jc w:val="left"/>
              <w:rPr>
                <w:rFonts w:ascii="Times New Roman"/>
                <w:sz w:val="20"/>
              </w:rPr>
            </w:pPr>
            <w:r>
              <w:rPr>
                <w:rFonts w:ascii="Times New Roman"/>
                <w:sz w:val="20"/>
              </w:rPr>
              <w:t>(m)</w:t>
            </w:r>
          </w:p>
        </w:tc>
        <w:tc>
          <w:tcPr>
            <w:tcW w:w="1234" w:type="dxa"/>
          </w:tcPr>
          <w:p>
            <w:pPr>
              <w:pStyle w:val="TableParagraph"/>
              <w:spacing w:before="116"/>
              <w:ind w:left="194" w:right="188"/>
              <w:rPr>
                <w:sz w:val="20"/>
              </w:rPr>
            </w:pPr>
            <w:r>
              <w:rPr>
                <w:sz w:val="20"/>
              </w:rPr>
              <w:t>煤层倾角</w:t>
            </w:r>
          </w:p>
          <w:p>
            <w:pPr>
              <w:pStyle w:val="TableParagraph"/>
              <w:spacing w:before="56"/>
              <w:ind w:left="195" w:right="184"/>
              <w:rPr>
                <w:rFonts w:ascii="Times New Roman" w:hAnsi="Times New Roman"/>
                <w:sz w:val="20"/>
              </w:rPr>
            </w:pPr>
            <w:r>
              <w:rPr>
                <w:rFonts w:ascii="Times New Roman" w:hAnsi="Times New Roman"/>
                <w:sz w:val="20"/>
              </w:rPr>
              <w:t>(</w:t>
            </w:r>
            <w:r>
              <w:rPr>
                <w:sz w:val="20"/>
              </w:rPr>
              <w:t>°</w:t>
            </w:r>
            <w:r>
              <w:rPr>
                <w:rFonts w:ascii="Times New Roman" w:hAnsi="Times New Roman"/>
                <w:sz w:val="20"/>
              </w:rPr>
              <w:t>)</w:t>
            </w:r>
          </w:p>
        </w:tc>
        <w:tc>
          <w:tcPr>
            <w:tcW w:w="1587" w:type="dxa"/>
          </w:tcPr>
          <w:p>
            <w:pPr>
              <w:pStyle w:val="TableParagraph"/>
              <w:spacing w:before="3"/>
              <w:jc w:val="left"/>
              <w:rPr>
                <w:rFonts w:ascii="黑体"/>
                <w:b/>
                <w:sz w:val="21"/>
              </w:rPr>
            </w:pPr>
          </w:p>
          <w:p>
            <w:pPr>
              <w:pStyle w:val="TableParagraph"/>
              <w:ind w:left="129" w:right="119"/>
              <w:rPr>
                <w:rFonts w:ascii="Times New Roman" w:eastAsia="Times New Roman"/>
                <w:sz w:val="20"/>
              </w:rPr>
            </w:pPr>
            <w:r>
              <w:rPr>
                <w:sz w:val="20"/>
              </w:rPr>
              <w:t>冒落带高度</w:t>
            </w:r>
            <w:r>
              <w:rPr>
                <w:rFonts w:ascii="Times New Roman" w:eastAsia="Times New Roman"/>
                <w:sz w:val="20"/>
              </w:rPr>
              <w:t>(m)</w:t>
            </w:r>
          </w:p>
        </w:tc>
        <w:tc>
          <w:tcPr>
            <w:tcW w:w="1058" w:type="dxa"/>
          </w:tcPr>
          <w:p>
            <w:pPr>
              <w:pStyle w:val="TableParagraph"/>
              <w:spacing w:before="116"/>
              <w:ind w:left="208" w:right="198"/>
              <w:rPr>
                <w:sz w:val="20"/>
              </w:rPr>
            </w:pPr>
            <w:r>
              <w:rPr>
                <w:sz w:val="20"/>
              </w:rPr>
              <w:t>裂隙带</w:t>
            </w:r>
          </w:p>
          <w:p>
            <w:pPr>
              <w:pStyle w:val="TableParagraph"/>
              <w:spacing w:before="69"/>
              <w:ind w:left="208" w:right="199"/>
              <w:rPr>
                <w:rFonts w:ascii="Times New Roman"/>
                <w:sz w:val="20"/>
              </w:rPr>
            </w:pPr>
            <w:r>
              <w:rPr>
                <w:rFonts w:ascii="Times New Roman"/>
                <w:sz w:val="20"/>
              </w:rPr>
              <w:t>(m)</w:t>
            </w:r>
          </w:p>
        </w:tc>
        <w:tc>
          <w:tcPr>
            <w:tcW w:w="1058" w:type="dxa"/>
          </w:tcPr>
          <w:p>
            <w:pPr>
              <w:pStyle w:val="TableParagraph"/>
              <w:spacing w:before="116"/>
              <w:ind w:left="205" w:right="199"/>
              <w:rPr>
                <w:sz w:val="20"/>
              </w:rPr>
            </w:pPr>
            <w:r>
              <w:rPr>
                <w:w w:val="95"/>
                <w:sz w:val="20"/>
              </w:rPr>
              <w:t>合计</w:t>
            </w:r>
          </w:p>
          <w:p>
            <w:pPr>
              <w:pStyle w:val="TableParagraph"/>
              <w:spacing w:before="69"/>
              <w:ind w:left="208" w:right="198"/>
              <w:rPr>
                <w:rFonts w:ascii="Times New Roman"/>
                <w:sz w:val="20"/>
              </w:rPr>
            </w:pPr>
            <w:r>
              <w:rPr>
                <w:rFonts w:ascii="Times New Roman"/>
                <w:sz w:val="20"/>
              </w:rPr>
              <w:t>(m)</w:t>
            </w:r>
          </w:p>
        </w:tc>
      </w:tr>
      <w:tr>
        <w:trPr>
          <w:trHeight w:val="356" w:hRule="atLeast"/>
        </w:trPr>
        <w:tc>
          <w:tcPr>
            <w:tcW w:w="1058" w:type="dxa"/>
          </w:tcPr>
          <w:p>
            <w:pPr>
              <w:pStyle w:val="TableParagraph"/>
              <w:spacing w:before="62"/>
              <w:ind w:left="208" w:right="199"/>
              <w:rPr>
                <w:rFonts w:ascii="Times New Roman"/>
                <w:sz w:val="20"/>
              </w:rPr>
            </w:pPr>
            <w:r>
              <w:rPr>
                <w:rFonts w:ascii="Times New Roman"/>
                <w:sz w:val="20"/>
              </w:rPr>
              <w:t>10#</w:t>
            </w:r>
          </w:p>
        </w:tc>
        <w:tc>
          <w:tcPr>
            <w:tcW w:w="1234" w:type="dxa"/>
          </w:tcPr>
          <w:p>
            <w:pPr>
              <w:pStyle w:val="TableParagraph"/>
              <w:spacing w:before="62"/>
              <w:ind w:left="195" w:right="186"/>
              <w:rPr>
                <w:rFonts w:ascii="Times New Roman"/>
                <w:sz w:val="20"/>
              </w:rPr>
            </w:pPr>
            <w:r>
              <w:rPr>
                <w:rFonts w:ascii="Times New Roman"/>
                <w:sz w:val="20"/>
              </w:rPr>
              <w:t>0.83</w:t>
            </w:r>
          </w:p>
        </w:tc>
        <w:tc>
          <w:tcPr>
            <w:tcW w:w="881" w:type="dxa"/>
          </w:tcPr>
          <w:p>
            <w:pPr>
              <w:pStyle w:val="TableParagraph"/>
              <w:spacing w:before="62"/>
              <w:ind w:right="253"/>
              <w:jc w:val="right"/>
              <w:rPr>
                <w:rFonts w:ascii="Times New Roman"/>
                <w:sz w:val="20"/>
              </w:rPr>
            </w:pPr>
            <w:r>
              <w:rPr>
                <w:rFonts w:ascii="Times New Roman"/>
                <w:sz w:val="20"/>
              </w:rPr>
              <w:t>0.83</w:t>
            </w:r>
          </w:p>
        </w:tc>
        <w:tc>
          <w:tcPr>
            <w:tcW w:w="1234" w:type="dxa"/>
          </w:tcPr>
          <w:p>
            <w:pPr>
              <w:pStyle w:val="TableParagraph"/>
              <w:spacing w:before="62"/>
              <w:ind w:left="195" w:right="182"/>
              <w:rPr>
                <w:rFonts w:ascii="Times New Roman"/>
                <w:sz w:val="20"/>
              </w:rPr>
            </w:pPr>
            <w:r>
              <w:rPr>
                <w:rFonts w:ascii="Times New Roman"/>
                <w:sz w:val="20"/>
              </w:rPr>
              <w:t>11</w:t>
            </w:r>
          </w:p>
        </w:tc>
        <w:tc>
          <w:tcPr>
            <w:tcW w:w="1587" w:type="dxa"/>
          </w:tcPr>
          <w:p>
            <w:pPr>
              <w:pStyle w:val="TableParagraph"/>
              <w:spacing w:before="62"/>
              <w:ind w:left="128" w:right="119"/>
              <w:rPr>
                <w:rFonts w:ascii="Times New Roman"/>
                <w:sz w:val="20"/>
              </w:rPr>
            </w:pPr>
            <w:r>
              <w:rPr>
                <w:rFonts w:ascii="Times New Roman"/>
                <w:sz w:val="20"/>
              </w:rPr>
              <w:t>2.72</w:t>
            </w:r>
          </w:p>
        </w:tc>
        <w:tc>
          <w:tcPr>
            <w:tcW w:w="1058" w:type="dxa"/>
          </w:tcPr>
          <w:p>
            <w:pPr>
              <w:pStyle w:val="TableParagraph"/>
              <w:spacing w:before="62"/>
              <w:ind w:left="208" w:right="197"/>
              <w:rPr>
                <w:rFonts w:ascii="Times New Roman"/>
                <w:sz w:val="20"/>
              </w:rPr>
            </w:pPr>
            <w:r>
              <w:rPr>
                <w:rFonts w:ascii="Times New Roman"/>
                <w:sz w:val="20"/>
              </w:rPr>
              <w:t>6.8</w:t>
            </w:r>
          </w:p>
        </w:tc>
        <w:tc>
          <w:tcPr>
            <w:tcW w:w="1058" w:type="dxa"/>
          </w:tcPr>
          <w:p>
            <w:pPr>
              <w:pStyle w:val="TableParagraph"/>
              <w:spacing w:before="62"/>
              <w:ind w:left="208" w:right="198"/>
              <w:rPr>
                <w:rFonts w:ascii="Times New Roman"/>
                <w:sz w:val="20"/>
              </w:rPr>
            </w:pPr>
            <w:r>
              <w:rPr>
                <w:rFonts w:ascii="Times New Roman"/>
                <w:sz w:val="20"/>
              </w:rPr>
              <w:t>9.52</w:t>
            </w:r>
          </w:p>
        </w:tc>
      </w:tr>
      <w:tr>
        <w:trPr>
          <w:trHeight w:val="357" w:hRule="atLeast"/>
        </w:trPr>
        <w:tc>
          <w:tcPr>
            <w:tcW w:w="1058" w:type="dxa"/>
          </w:tcPr>
          <w:p>
            <w:pPr>
              <w:pStyle w:val="TableParagraph"/>
              <w:spacing w:before="62"/>
              <w:ind w:left="208" w:right="197"/>
              <w:rPr>
                <w:rFonts w:ascii="Times New Roman"/>
                <w:sz w:val="20"/>
              </w:rPr>
            </w:pPr>
            <w:r>
              <w:rPr>
                <w:rFonts w:ascii="Times New Roman"/>
                <w:sz w:val="20"/>
              </w:rPr>
              <w:t>20#</w:t>
            </w:r>
          </w:p>
        </w:tc>
        <w:tc>
          <w:tcPr>
            <w:tcW w:w="1234" w:type="dxa"/>
          </w:tcPr>
          <w:p>
            <w:pPr>
              <w:pStyle w:val="TableParagraph"/>
              <w:spacing w:before="62"/>
              <w:ind w:left="195" w:right="186"/>
              <w:rPr>
                <w:rFonts w:ascii="Times New Roman"/>
                <w:sz w:val="20"/>
              </w:rPr>
            </w:pPr>
            <w:r>
              <w:rPr>
                <w:rFonts w:ascii="Times New Roman"/>
                <w:sz w:val="20"/>
              </w:rPr>
              <w:t>0.91</w:t>
            </w:r>
          </w:p>
        </w:tc>
        <w:tc>
          <w:tcPr>
            <w:tcW w:w="881" w:type="dxa"/>
          </w:tcPr>
          <w:p>
            <w:pPr>
              <w:pStyle w:val="TableParagraph"/>
              <w:spacing w:before="62"/>
              <w:ind w:right="253"/>
              <w:jc w:val="right"/>
              <w:rPr>
                <w:rFonts w:ascii="Times New Roman"/>
                <w:sz w:val="20"/>
              </w:rPr>
            </w:pPr>
            <w:r>
              <w:rPr>
                <w:rFonts w:ascii="Times New Roman"/>
                <w:sz w:val="20"/>
              </w:rPr>
              <w:t>0.91</w:t>
            </w:r>
          </w:p>
        </w:tc>
        <w:tc>
          <w:tcPr>
            <w:tcW w:w="1234" w:type="dxa"/>
          </w:tcPr>
          <w:p>
            <w:pPr>
              <w:pStyle w:val="TableParagraph"/>
              <w:spacing w:before="62"/>
              <w:ind w:left="195" w:right="182"/>
              <w:rPr>
                <w:rFonts w:ascii="Times New Roman"/>
                <w:sz w:val="20"/>
              </w:rPr>
            </w:pPr>
            <w:r>
              <w:rPr>
                <w:rFonts w:ascii="Times New Roman"/>
                <w:sz w:val="20"/>
              </w:rPr>
              <w:t>11</w:t>
            </w:r>
          </w:p>
        </w:tc>
        <w:tc>
          <w:tcPr>
            <w:tcW w:w="1587" w:type="dxa"/>
          </w:tcPr>
          <w:p>
            <w:pPr>
              <w:pStyle w:val="TableParagraph"/>
              <w:spacing w:before="62"/>
              <w:ind w:left="128" w:right="119"/>
              <w:rPr>
                <w:rFonts w:ascii="Times New Roman"/>
                <w:sz w:val="20"/>
              </w:rPr>
            </w:pPr>
            <w:r>
              <w:rPr>
                <w:rFonts w:ascii="Times New Roman"/>
                <w:sz w:val="20"/>
              </w:rPr>
              <w:t>3.09</w:t>
            </w:r>
          </w:p>
        </w:tc>
        <w:tc>
          <w:tcPr>
            <w:tcW w:w="1058" w:type="dxa"/>
          </w:tcPr>
          <w:p>
            <w:pPr>
              <w:pStyle w:val="TableParagraph"/>
              <w:spacing w:before="62"/>
              <w:ind w:left="208" w:right="199"/>
              <w:rPr>
                <w:rFonts w:ascii="Times New Roman"/>
                <w:sz w:val="20"/>
              </w:rPr>
            </w:pPr>
            <w:r>
              <w:rPr>
                <w:rFonts w:ascii="Times New Roman"/>
                <w:sz w:val="20"/>
              </w:rPr>
              <w:t>7.73</w:t>
            </w:r>
          </w:p>
        </w:tc>
        <w:tc>
          <w:tcPr>
            <w:tcW w:w="1058" w:type="dxa"/>
          </w:tcPr>
          <w:p>
            <w:pPr>
              <w:pStyle w:val="TableParagraph"/>
              <w:spacing w:before="62"/>
              <w:ind w:left="208" w:right="198"/>
              <w:rPr>
                <w:rFonts w:ascii="Times New Roman"/>
                <w:sz w:val="20"/>
              </w:rPr>
            </w:pPr>
            <w:r>
              <w:rPr>
                <w:rFonts w:ascii="Times New Roman"/>
                <w:sz w:val="20"/>
              </w:rPr>
              <w:t>10.82</w:t>
            </w:r>
          </w:p>
        </w:tc>
      </w:tr>
      <w:tr>
        <w:trPr>
          <w:trHeight w:val="357" w:hRule="atLeast"/>
        </w:trPr>
        <w:tc>
          <w:tcPr>
            <w:tcW w:w="1058" w:type="dxa"/>
          </w:tcPr>
          <w:p>
            <w:pPr>
              <w:pStyle w:val="TableParagraph"/>
              <w:spacing w:before="49"/>
              <w:ind w:left="207" w:right="199"/>
              <w:rPr>
                <w:sz w:val="20"/>
              </w:rPr>
            </w:pPr>
            <w:r>
              <w:rPr>
                <w:sz w:val="20"/>
              </w:rPr>
              <w:t>合计</w:t>
            </w:r>
          </w:p>
        </w:tc>
        <w:tc>
          <w:tcPr>
            <w:tcW w:w="1234" w:type="dxa"/>
          </w:tcPr>
          <w:p>
            <w:pPr>
              <w:pStyle w:val="TableParagraph"/>
              <w:spacing w:before="62"/>
              <w:ind w:left="195" w:right="186"/>
              <w:rPr>
                <w:rFonts w:ascii="Times New Roman"/>
                <w:sz w:val="20"/>
              </w:rPr>
            </w:pPr>
            <w:r>
              <w:rPr>
                <w:rFonts w:ascii="Times New Roman"/>
                <w:sz w:val="20"/>
              </w:rPr>
              <w:t>1.74</w:t>
            </w:r>
          </w:p>
        </w:tc>
        <w:tc>
          <w:tcPr>
            <w:tcW w:w="881" w:type="dxa"/>
          </w:tcPr>
          <w:p>
            <w:pPr>
              <w:pStyle w:val="TableParagraph"/>
              <w:spacing w:before="62"/>
              <w:ind w:right="253"/>
              <w:jc w:val="right"/>
              <w:rPr>
                <w:rFonts w:ascii="Times New Roman"/>
                <w:sz w:val="20"/>
              </w:rPr>
            </w:pPr>
            <w:r>
              <w:rPr>
                <w:rFonts w:ascii="Times New Roman"/>
                <w:sz w:val="20"/>
              </w:rPr>
              <w:t>1.74</w:t>
            </w:r>
          </w:p>
        </w:tc>
        <w:tc>
          <w:tcPr>
            <w:tcW w:w="1234" w:type="dxa"/>
          </w:tcPr>
          <w:p>
            <w:pPr>
              <w:pStyle w:val="TableParagraph"/>
              <w:jc w:val="left"/>
              <w:rPr>
                <w:rFonts w:ascii="Times New Roman"/>
                <w:sz w:val="22"/>
              </w:rPr>
            </w:pPr>
          </w:p>
        </w:tc>
        <w:tc>
          <w:tcPr>
            <w:tcW w:w="1587" w:type="dxa"/>
          </w:tcPr>
          <w:p>
            <w:pPr>
              <w:pStyle w:val="TableParagraph"/>
              <w:spacing w:before="62"/>
              <w:ind w:left="128" w:right="119"/>
              <w:rPr>
                <w:rFonts w:ascii="Times New Roman"/>
                <w:sz w:val="20"/>
              </w:rPr>
            </w:pPr>
            <w:r>
              <w:rPr>
                <w:rFonts w:ascii="Times New Roman"/>
                <w:sz w:val="20"/>
              </w:rPr>
              <w:t>5.81</w:t>
            </w:r>
          </w:p>
        </w:tc>
        <w:tc>
          <w:tcPr>
            <w:tcW w:w="1058" w:type="dxa"/>
          </w:tcPr>
          <w:p>
            <w:pPr>
              <w:pStyle w:val="TableParagraph"/>
              <w:spacing w:before="62"/>
              <w:ind w:left="208" w:right="199"/>
              <w:rPr>
                <w:rFonts w:ascii="Times New Roman"/>
                <w:sz w:val="20"/>
              </w:rPr>
            </w:pPr>
            <w:r>
              <w:rPr>
                <w:rFonts w:ascii="Times New Roman"/>
                <w:sz w:val="20"/>
              </w:rPr>
              <w:t>14.53</w:t>
            </w:r>
          </w:p>
        </w:tc>
        <w:tc>
          <w:tcPr>
            <w:tcW w:w="1058" w:type="dxa"/>
          </w:tcPr>
          <w:p>
            <w:pPr>
              <w:pStyle w:val="TableParagraph"/>
              <w:spacing w:before="40"/>
              <w:ind w:left="208" w:right="198"/>
              <w:rPr>
                <w:rFonts w:ascii="Times New Roman"/>
                <w:sz w:val="20"/>
              </w:rPr>
            </w:pPr>
            <w:r>
              <w:rPr>
                <w:rFonts w:ascii="Times New Roman"/>
                <w:sz w:val="20"/>
              </w:rPr>
              <w:t>20.34</w:t>
            </w:r>
          </w:p>
        </w:tc>
      </w:tr>
    </w:tbl>
    <w:p>
      <w:pPr>
        <w:pStyle w:val="BodyText"/>
        <w:spacing w:line="364" w:lineRule="auto" w:before="2"/>
        <w:ind w:left="711" w:right="1149" w:firstLine="420"/>
      </w:pPr>
      <w:r>
        <w:rPr/>
        <w:t>第四系含水层，随着开采深度的延深，对含水层的影响逐渐减弱。由于矿山开采前，需对上部水进行疏干，且根据矿井生产实测资料矿井正常涌水量为</w:t>
      </w:r>
      <w:r>
        <w:rPr>
          <w:rFonts w:ascii="Times New Roman" w:eastAsia="Times New Roman"/>
          <w:spacing w:val="-3"/>
        </w:rPr>
        <w:t>20m</w:t>
      </w:r>
      <w:r>
        <w:rPr>
          <w:rFonts w:ascii="Times New Roman" w:eastAsia="Times New Roman"/>
          <w:spacing w:val="-3"/>
          <w:position w:val="8"/>
          <w:sz w:val="15"/>
        </w:rPr>
        <w:t>3</w:t>
      </w:r>
      <w:r>
        <w:rPr>
          <w:rFonts w:ascii="Times New Roman" w:eastAsia="Times New Roman"/>
          <w:spacing w:val="-3"/>
        </w:rPr>
        <w:t>/h</w:t>
      </w:r>
      <w:r>
        <w:rPr>
          <w:spacing w:val="-9"/>
        </w:rPr>
        <w:t>，最大涌水量为 </w:t>
      </w:r>
      <w:r>
        <w:rPr>
          <w:rFonts w:ascii="Times New Roman" w:eastAsia="Times New Roman"/>
          <w:spacing w:val="-3"/>
        </w:rPr>
        <w:t>50m</w:t>
      </w:r>
      <w:r>
        <w:rPr>
          <w:rFonts w:ascii="Times New Roman" w:eastAsia="Times New Roman"/>
          <w:spacing w:val="-3"/>
          <w:position w:val="8"/>
          <w:sz w:val="15"/>
        </w:rPr>
        <w:t>3</w:t>
      </w:r>
      <w:r>
        <w:rPr>
          <w:rFonts w:ascii="Times New Roman" w:eastAsia="Times New Roman"/>
          <w:spacing w:val="-3"/>
        </w:rPr>
        <w:t>/h</w:t>
      </w:r>
      <w:r>
        <w:rPr>
          <w:spacing w:val="-9"/>
        </w:rPr>
        <w:t>，日最大排水量 </w:t>
      </w:r>
      <w:r>
        <w:rPr>
          <w:rFonts w:ascii="Times New Roman" w:eastAsia="Times New Roman"/>
          <w:spacing w:val="-3"/>
        </w:rPr>
        <w:t>1200m</w:t>
      </w:r>
      <w:r>
        <w:rPr>
          <w:rFonts w:ascii="Times New Roman" w:eastAsia="Times New Roman"/>
          <w:spacing w:val="-3"/>
          <w:position w:val="8"/>
          <w:sz w:val="15"/>
        </w:rPr>
        <w:t>3</w:t>
      </w:r>
      <w:r>
        <w:rPr>
          <w:rFonts w:ascii="Times New Roman" w:eastAsia="Times New Roman"/>
          <w:spacing w:val="-3"/>
        </w:rPr>
        <w:t>/d</w:t>
      </w:r>
      <w:r>
        <w:rPr>
          <w:spacing w:val="-16"/>
        </w:rPr>
        <w:t>，小于 </w:t>
      </w:r>
      <w:r>
        <w:rPr>
          <w:rFonts w:ascii="Times New Roman" w:eastAsia="Times New Roman"/>
        </w:rPr>
        <w:t>3000m</w:t>
      </w:r>
      <w:r>
        <w:rPr>
          <w:rFonts w:ascii="Times New Roman" w:eastAsia="Times New Roman"/>
          <w:position w:val="8"/>
          <w:sz w:val="15"/>
        </w:rPr>
        <w:t>3</w:t>
      </w:r>
      <w:r>
        <w:rPr>
          <w:rFonts w:ascii="Times New Roman" w:eastAsia="Times New Roman"/>
        </w:rPr>
        <w:t>/d</w:t>
      </w:r>
      <w:r>
        <w:rPr/>
        <w:t>，对含水层水量影响较轻。</w:t>
      </w:r>
    </w:p>
    <w:p>
      <w:pPr>
        <w:pStyle w:val="BodyText"/>
        <w:spacing w:line="362" w:lineRule="auto"/>
        <w:ind w:left="711" w:right="1153" w:firstLine="480"/>
      </w:pPr>
      <w:r>
        <w:rPr/>
        <w:t>矿山未来开采可能产生地面塌陷，地面塌陷将破坏含水层的结构改变地下水的流通途径，故未来矿山开采地下水含水层结构影响严重。</w:t>
      </w:r>
    </w:p>
    <w:p>
      <w:pPr>
        <w:pStyle w:val="BodyText"/>
        <w:spacing w:line="362" w:lineRule="auto" w:before="2"/>
        <w:ind w:left="711" w:right="1153" w:firstLine="480"/>
      </w:pPr>
      <w:r>
        <w:rPr/>
        <w:t>综上，矿山未来开采活动对地下含水层结构造成破坏，矿山地质环境影响程度为严重。</w:t>
      </w:r>
    </w:p>
    <w:p>
      <w:pPr>
        <w:pStyle w:val="Heading4"/>
        <w:numPr>
          <w:ilvl w:val="3"/>
          <w:numId w:val="39"/>
        </w:numPr>
        <w:tabs>
          <w:tab w:pos="1432" w:val="left" w:leader="none"/>
        </w:tabs>
        <w:spacing w:line="240" w:lineRule="auto" w:before="85" w:after="0"/>
        <w:ind w:left="1432" w:right="0" w:hanging="721"/>
        <w:jc w:val="left"/>
      </w:pPr>
      <w:r>
        <w:rPr/>
        <w:t>地表沉陷对地面河流水系的影响</w:t>
      </w:r>
    </w:p>
    <w:p>
      <w:pPr>
        <w:pStyle w:val="BodyText"/>
        <w:spacing w:before="160"/>
        <w:ind w:left="1191"/>
      </w:pPr>
      <w:r>
        <w:rPr/>
        <w:t>井田境界内无地表河流等，因此地表沉陷对地面河流不产生影响。</w:t>
      </w:r>
    </w:p>
    <w:p>
      <w:pPr>
        <w:pStyle w:val="Heading4"/>
        <w:numPr>
          <w:ilvl w:val="3"/>
          <w:numId w:val="39"/>
        </w:numPr>
        <w:tabs>
          <w:tab w:pos="1432" w:val="left" w:leader="none"/>
        </w:tabs>
        <w:spacing w:line="240" w:lineRule="auto" w:before="161" w:after="0"/>
        <w:ind w:left="1432" w:right="0" w:hanging="721"/>
        <w:jc w:val="left"/>
      </w:pPr>
      <w:r>
        <w:rPr/>
        <w:t>地表沉陷对土地利用的影响</w:t>
      </w:r>
    </w:p>
    <w:p>
      <w:pPr>
        <w:pStyle w:val="BodyText"/>
        <w:spacing w:before="160"/>
        <w:ind w:left="1191"/>
      </w:pPr>
      <w:r>
        <w:rPr/>
        <w:t>本区属稳定区，该区为丘陵区，周围主要为耕地和林地，地表有起伏，同时</w:t>
      </w:r>
    </w:p>
    <w:p>
      <w:pPr>
        <w:spacing w:after="0"/>
        <w:sectPr>
          <w:pgSz w:w="11910" w:h="16840"/>
          <w:pgMar w:header="0" w:footer="993" w:top="1360" w:bottom="1180" w:left="1040" w:right="600"/>
        </w:sectPr>
      </w:pPr>
    </w:p>
    <w:p>
      <w:pPr>
        <w:pStyle w:val="BodyText"/>
        <w:spacing w:line="364" w:lineRule="auto" w:before="42"/>
        <w:ind w:left="711" w:right="1153"/>
        <w:jc w:val="both"/>
      </w:pPr>
      <w:r>
        <w:rPr/>
        <w:t>极少见山洪等自然地质灾害，自然环境良好。环境地质条件属于良好型。只要矿山严格按设计开采，并加强安全管理与地质灾害监测，该矿的开采不会引起规模性深强度地面沉陷。</w:t>
      </w:r>
    </w:p>
    <w:p>
      <w:pPr>
        <w:pStyle w:val="Heading4"/>
        <w:numPr>
          <w:ilvl w:val="3"/>
          <w:numId w:val="39"/>
        </w:numPr>
        <w:tabs>
          <w:tab w:pos="1432" w:val="left" w:leader="none"/>
        </w:tabs>
        <w:spacing w:line="240" w:lineRule="auto" w:before="2" w:after="0"/>
        <w:ind w:left="1432" w:right="0" w:hanging="721"/>
        <w:jc w:val="both"/>
      </w:pPr>
      <w:r>
        <w:rPr/>
        <w:t>地表沉陷对水利设施的影响</w:t>
      </w:r>
    </w:p>
    <w:p>
      <w:pPr>
        <w:pStyle w:val="BodyText"/>
        <w:spacing w:line="364" w:lineRule="auto" w:before="160"/>
        <w:ind w:left="711" w:right="1153" w:firstLine="480"/>
      </w:pPr>
      <w:r>
        <w:rPr/>
        <w:t>本井田境界内水利设施主要为田间的水渠，如发生地面塌陷表现为整体沉降且地形起伏较小，对水利设施的影响较轻。</w:t>
      </w:r>
    </w:p>
    <w:p>
      <w:pPr>
        <w:pStyle w:val="Heading2"/>
        <w:numPr>
          <w:ilvl w:val="1"/>
          <w:numId w:val="41"/>
        </w:numPr>
        <w:tabs>
          <w:tab w:pos="1238" w:val="left" w:leader="none"/>
        </w:tabs>
        <w:spacing w:line="240" w:lineRule="auto" w:before="42" w:after="0"/>
        <w:ind w:left="1237" w:right="0" w:hanging="527"/>
        <w:jc w:val="both"/>
      </w:pPr>
      <w:bookmarkStart w:name="5.4 生态影响评价" w:id="176"/>
      <w:bookmarkEnd w:id="176"/>
      <w:r>
        <w:rPr>
          <w:b w:val="0"/>
        </w:rPr>
      </w:r>
      <w:bookmarkStart w:name="_bookmark26" w:id="177"/>
      <w:bookmarkEnd w:id="177"/>
      <w:r>
        <w:rPr>
          <w:b w:val="0"/>
        </w:rPr>
      </w:r>
      <w:bookmarkStart w:name="_bookmark26" w:id="178"/>
      <w:bookmarkEnd w:id="178"/>
      <w:r>
        <w:rPr/>
        <w:t>生态影响评价</w:t>
      </w:r>
    </w:p>
    <w:p>
      <w:pPr>
        <w:pStyle w:val="Heading3"/>
        <w:numPr>
          <w:ilvl w:val="2"/>
          <w:numId w:val="41"/>
        </w:numPr>
        <w:tabs>
          <w:tab w:pos="1341" w:val="left" w:leader="none"/>
        </w:tabs>
        <w:spacing w:line="240" w:lineRule="auto" w:before="121" w:after="0"/>
        <w:ind w:left="1340" w:right="0" w:hanging="630"/>
        <w:jc w:val="both"/>
      </w:pPr>
      <w:bookmarkStart w:name="5.4.1概述" w:id="179"/>
      <w:bookmarkEnd w:id="179"/>
      <w:r>
        <w:rPr>
          <w:b w:val="0"/>
        </w:rPr>
      </w:r>
      <w:bookmarkStart w:name="5.4.1概述" w:id="180"/>
      <w:bookmarkEnd w:id="180"/>
      <w:r>
        <w:rPr/>
        <w:t>概述</w:t>
      </w:r>
    </w:p>
    <w:p>
      <w:pPr>
        <w:pStyle w:val="BodyText"/>
        <w:spacing w:before="10"/>
        <w:rPr>
          <w:b/>
          <w:sz w:val="26"/>
        </w:rPr>
      </w:pPr>
    </w:p>
    <w:p>
      <w:pPr>
        <w:pStyle w:val="BodyText"/>
        <w:spacing w:line="391" w:lineRule="auto"/>
        <w:ind w:left="711" w:right="1153" w:firstLine="480"/>
        <w:jc w:val="both"/>
      </w:pPr>
      <w:r>
        <w:rPr/>
        <w:t>项目建设将会改变项目直接实施区域内原有自然景观，如矿井场地的开挖和充填，对原有地表形态、地层顺序、植被等发生直接的破坏，挖损产生的废弃岩土直接堆置于原地貌之上，将使施工区域内的自然景观遭受到完全破坏。此外， 随着与建设项目同步实施的道路建设，在路基施工中的填挖、取土、弃土等一系列施工活动，形成裸露边坡、取土坑、弃土场等一些人为劣质景观，造成与周围景观的不协调。</w:t>
      </w:r>
    </w:p>
    <w:p>
      <w:pPr>
        <w:pStyle w:val="BodyText"/>
        <w:spacing w:line="300" w:lineRule="exact"/>
        <w:ind w:left="86" w:right="48"/>
        <w:jc w:val="center"/>
      </w:pPr>
      <w:r>
        <w:rPr/>
        <w:t>项目营运后，地表沉陷会对局部地貌景观产生一定影响，但不会改变评价区</w:t>
      </w:r>
    </w:p>
    <w:p>
      <w:pPr>
        <w:pStyle w:val="BodyText"/>
        <w:spacing w:before="194"/>
        <w:ind w:left="711"/>
      </w:pPr>
      <w:r>
        <w:rPr/>
        <w:t>整体自然景观。</w:t>
      </w:r>
    </w:p>
    <w:p>
      <w:pPr>
        <w:pStyle w:val="Heading3"/>
        <w:numPr>
          <w:ilvl w:val="2"/>
          <w:numId w:val="41"/>
        </w:numPr>
        <w:tabs>
          <w:tab w:pos="1341" w:val="left" w:leader="none"/>
        </w:tabs>
        <w:spacing w:line="240" w:lineRule="auto" w:before="34" w:after="0"/>
        <w:ind w:left="1340" w:right="0" w:hanging="630"/>
        <w:jc w:val="left"/>
      </w:pPr>
      <w:bookmarkStart w:name="5.4.2项目建设永久性占地和施工对生态的影响分析" w:id="181"/>
      <w:bookmarkEnd w:id="181"/>
      <w:r>
        <w:rPr>
          <w:b w:val="0"/>
        </w:rPr>
      </w:r>
      <w:bookmarkStart w:name="5.4.2项目建设永久性占地和施工对生态的影响分析" w:id="182"/>
      <w:bookmarkEnd w:id="182"/>
      <w:r>
        <w:rPr/>
        <w:t>项目建设永久性占地和施工对生态的影响分析</w:t>
      </w:r>
    </w:p>
    <w:p>
      <w:pPr>
        <w:pStyle w:val="BodyText"/>
        <w:spacing w:line="364" w:lineRule="auto" w:before="265"/>
        <w:ind w:left="711" w:right="1153" w:firstLine="480"/>
      </w:pPr>
      <w:r>
        <w:rPr/>
        <w:t>本项目基础设施大部分建成，仅进行环保设施更新，故原有的景观格局未受到较大干扰，不会改变原有景观的空间结构。</w:t>
      </w:r>
    </w:p>
    <w:p>
      <w:pPr>
        <w:pStyle w:val="BodyText"/>
        <w:spacing w:line="364" w:lineRule="auto" w:before="1"/>
        <w:ind w:left="711" w:right="1153" w:firstLine="480"/>
        <w:jc w:val="both"/>
      </w:pPr>
      <w:r>
        <w:rPr/>
        <w:t>本项目建设的永久性占地总面积为 </w:t>
      </w:r>
      <w:r>
        <w:rPr>
          <w:rFonts w:ascii="Times New Roman" w:eastAsia="Times New Roman"/>
        </w:rPr>
        <w:t>2.34hm</w:t>
      </w:r>
      <w:r>
        <w:rPr>
          <w:rFonts w:ascii="Times New Roman" w:eastAsia="Times New Roman"/>
          <w:position w:val="8"/>
          <w:sz w:val="15"/>
        </w:rPr>
        <w:t>2</w:t>
      </w:r>
      <w:r>
        <w:rPr/>
        <w:t>，为源丰煤矿原有工业广场。项目的工业场地建设、道路建设、辅助系统建设等工程已完成，并且由于项目用地占整个评价区域总面积的比例很小，对生态系统的影响是有限的；矿井在生产过程中的排污由于采取相对完善的治理措施，对生态体系的影响较小，而且是局部的。但项目在建设施工过程中必须高度重视对周围生态环境的保护，要在施工各个阶段内做好各种防护措施，并且在施工完成及时做好恢复和补偿工作，加强绿化，在采取了的生态保护和水土保持措施后，可将施工期的生态环境影响降至最小程度。</w:t>
      </w:r>
    </w:p>
    <w:p>
      <w:pPr>
        <w:spacing w:after="0" w:line="364" w:lineRule="auto"/>
        <w:jc w:val="both"/>
        <w:sectPr>
          <w:pgSz w:w="11910" w:h="16840"/>
          <w:pgMar w:header="0" w:footer="993" w:top="1460" w:bottom="1180" w:left="1040" w:right="600"/>
        </w:sectPr>
      </w:pPr>
    </w:p>
    <w:p>
      <w:pPr>
        <w:pStyle w:val="Heading3"/>
        <w:numPr>
          <w:ilvl w:val="2"/>
          <w:numId w:val="41"/>
        </w:numPr>
        <w:tabs>
          <w:tab w:pos="1341" w:val="left" w:leader="none"/>
        </w:tabs>
        <w:spacing w:line="240" w:lineRule="auto" w:before="44" w:after="0"/>
        <w:ind w:left="1340" w:right="0" w:hanging="630"/>
        <w:jc w:val="left"/>
      </w:pPr>
      <w:bookmarkStart w:name="5.4.3评价区生态影响分析" w:id="183"/>
      <w:bookmarkEnd w:id="183"/>
      <w:r>
        <w:rPr>
          <w:b w:val="0"/>
        </w:rPr>
      </w:r>
      <w:bookmarkStart w:name="5.4.3评价区生态影响分析" w:id="184"/>
      <w:bookmarkEnd w:id="184"/>
      <w:r>
        <w:rPr/>
        <w:t>评价区生态影响分析</w:t>
      </w:r>
    </w:p>
    <w:p>
      <w:pPr>
        <w:pStyle w:val="Heading4"/>
        <w:numPr>
          <w:ilvl w:val="3"/>
          <w:numId w:val="41"/>
        </w:numPr>
        <w:tabs>
          <w:tab w:pos="1492" w:val="left" w:leader="none"/>
        </w:tabs>
        <w:spacing w:line="240" w:lineRule="auto" w:before="264" w:after="0"/>
        <w:ind w:left="1492" w:right="0" w:hanging="781"/>
        <w:jc w:val="left"/>
        <w:rPr>
          <w:rFonts w:ascii="Times New Roman" w:eastAsia="Times New Roman"/>
        </w:rPr>
      </w:pPr>
      <w:r>
        <w:rPr/>
        <w:t>项目建设对土地的影响</w:t>
      </w:r>
    </w:p>
    <w:p>
      <w:pPr>
        <w:pStyle w:val="BodyText"/>
        <w:spacing w:before="160"/>
        <w:ind w:left="1191"/>
      </w:pPr>
      <w:r>
        <w:rPr>
          <w:rFonts w:ascii="Times New Roman" w:eastAsia="Times New Roman"/>
        </w:rPr>
        <w:t>1</w:t>
      </w:r>
      <w:r>
        <w:rPr/>
        <w:t>、评价区土地分布状况</w:t>
      </w:r>
    </w:p>
    <w:p>
      <w:pPr>
        <w:pStyle w:val="BodyText"/>
        <w:spacing w:line="364" w:lineRule="auto" w:before="161"/>
        <w:ind w:left="711" w:right="1153" w:firstLine="480"/>
      </w:pPr>
      <w:r>
        <w:rPr/>
        <w:t>评价区地处丘陵区，从土地利用结构来看，土地利用类型以旱地和有林地为主，旱地占项目区面积的 </w:t>
      </w:r>
      <w:r>
        <w:rPr>
          <w:rFonts w:ascii="Times New Roman" w:eastAsia="Times New Roman"/>
        </w:rPr>
        <w:t>10.01%</w:t>
      </w:r>
      <w:r>
        <w:rPr/>
        <w:t>，有林地占项目区面积的 </w:t>
      </w:r>
      <w:r>
        <w:rPr>
          <w:rFonts w:ascii="Times New Roman" w:eastAsia="Times New Roman"/>
        </w:rPr>
        <w:t>86.88%</w:t>
      </w:r>
      <w:r>
        <w:rPr/>
        <w:t>。</w:t>
      </w:r>
    </w:p>
    <w:p>
      <w:pPr>
        <w:pStyle w:val="BodyText"/>
        <w:spacing w:before="1"/>
        <w:ind w:left="1191"/>
      </w:pPr>
      <w:r>
        <w:rPr>
          <w:rFonts w:ascii="Times New Roman" w:eastAsia="Times New Roman"/>
        </w:rPr>
        <w:t>2</w:t>
      </w:r>
      <w:r>
        <w:rPr/>
        <w:t>、项目建设占地对土地的影响</w:t>
      </w:r>
    </w:p>
    <w:p>
      <w:pPr>
        <w:pStyle w:val="BodyText"/>
        <w:spacing w:before="161"/>
        <w:ind w:left="1191"/>
      </w:pPr>
      <w:r>
        <w:rPr/>
        <w:t>本项目建设是在原源丰煤矿工业用地上进行，对土地的影响无变化。</w:t>
      </w:r>
    </w:p>
    <w:p>
      <w:pPr>
        <w:pStyle w:val="BodyText"/>
        <w:spacing w:before="160"/>
        <w:ind w:left="1191"/>
      </w:pPr>
      <w:r>
        <w:rPr>
          <w:rFonts w:ascii="Times New Roman" w:eastAsia="Times New Roman"/>
        </w:rPr>
        <w:t>3</w:t>
      </w:r>
      <w:r>
        <w:rPr/>
        <w:t>、地表沉陷对土地的影响</w:t>
      </w:r>
    </w:p>
    <w:p>
      <w:pPr>
        <w:pStyle w:val="BodyText"/>
        <w:spacing w:line="364" w:lineRule="auto" w:before="161"/>
        <w:ind w:left="711" w:right="1153" w:firstLine="480"/>
        <w:jc w:val="both"/>
      </w:pPr>
      <w:r>
        <w:rPr/>
        <w:t>采煤沉陷将对井田范围内的部分林地造成一定程度的影响。根据双鸭山各矿区煤炭开采沉陷土地破坏现状调查，大部分林地经过必要的整治后仍可以恢复其原有能力。经预测，根据地形、地表沉陷与裂缝情况，可将沉陷对次生林地的破坏程度分为二级，分别为轻度、中度两种类型。</w:t>
      </w:r>
    </w:p>
    <w:p>
      <w:pPr>
        <w:pStyle w:val="BodyText"/>
        <w:spacing w:line="364" w:lineRule="auto" w:before="2"/>
        <w:ind w:left="711" w:right="1153" w:firstLine="480"/>
      </w:pPr>
      <w:r>
        <w:rPr/>
        <w:t>轻度：地面有轻微的变形，不影响林地、植被生长，水土流失略有增加。主要分布在井下主要大巷煤柱上方和达到充分采动的采区中央部分。</w:t>
      </w:r>
    </w:p>
    <w:p>
      <w:pPr>
        <w:pStyle w:val="BodyText"/>
        <w:spacing w:line="364" w:lineRule="auto" w:before="1"/>
        <w:ind w:left="711" w:right="1153" w:firstLine="480"/>
        <w:jc w:val="both"/>
      </w:pPr>
      <w:r>
        <w:rPr/>
        <w:t>中度：地面塌陷破坏比较严重，出现方向明显的缝、坡、坎等，影响林地与植被生长，水土流失有所加剧。主要分布在煤柱的边缘地带，即下沉盆地的边缘部分。</w:t>
      </w:r>
    </w:p>
    <w:p>
      <w:pPr>
        <w:pStyle w:val="BodyText"/>
        <w:spacing w:line="230" w:lineRule="exact"/>
        <w:ind w:left="1191"/>
      </w:pPr>
      <w:r>
        <w:rPr>
          <w:rFonts w:ascii="Times New Roman" w:eastAsia="Times New Roman"/>
        </w:rPr>
        <w:t>4</w:t>
      </w:r>
      <w:r>
        <w:rPr/>
        <w:t>、地表沉陷对林业生产力的影响分析</w:t>
      </w:r>
    </w:p>
    <w:p>
      <w:pPr>
        <w:pStyle w:val="BodyText"/>
        <w:spacing w:line="364" w:lineRule="auto" w:before="161"/>
        <w:ind w:left="711" w:right="1149" w:firstLine="480"/>
        <w:jc w:val="both"/>
      </w:pPr>
      <w:r>
        <w:rPr/>
        <w:t>地表沉陷对林地的影响主要表现在地表出现陡坡处和裂缝处的林木将产生歪斜或倾倒，进而对局部地区的林业生产力构成一定程度的影响。根据现场调查和对当地林业部门的走访，井田范围内的林地主要以天然次生林为主，主要为灌木丛。评价区内无需要特殊保护的特殊用途林等。受轻度和中度影响的次生林地除个别树木发生倒伏外，不会影响大的林木正常生长。经预测，本井田的开采不会对当地的林业产生重度沉陷影响。</w:t>
      </w:r>
    </w:p>
    <w:p>
      <w:pPr>
        <w:pStyle w:val="BodyText"/>
        <w:spacing w:line="364" w:lineRule="auto" w:before="75"/>
        <w:ind w:left="711" w:right="1153" w:firstLine="480"/>
        <w:jc w:val="both"/>
      </w:pPr>
      <w:r>
        <w:rPr/>
        <w:t>双鸭山市东盛矿业集团有限公司的开发建设与生产运营，使项目区的生态环境和林业生产力受到一定的负面影响，使少量的林木发生倾斜，但其影响可以通过加强矿区绿化和生态综合整治，使项目开发对当地林业经济与生态环境的负面影响得到有效的控制，从而维持生态系统的完整性和稳定性，保持生态平衡，实现可持续发展。</w:t>
      </w:r>
    </w:p>
    <w:p>
      <w:pPr>
        <w:spacing w:after="0" w:line="364" w:lineRule="auto"/>
        <w:jc w:val="both"/>
        <w:sectPr>
          <w:pgSz w:w="11910" w:h="16840"/>
          <w:pgMar w:header="0" w:footer="993" w:top="1380" w:bottom="1180" w:left="1040" w:right="600"/>
        </w:sectPr>
      </w:pPr>
    </w:p>
    <w:p>
      <w:pPr>
        <w:pStyle w:val="Heading2"/>
        <w:numPr>
          <w:ilvl w:val="1"/>
          <w:numId w:val="41"/>
        </w:numPr>
        <w:tabs>
          <w:tab w:pos="1161" w:val="left" w:leader="none"/>
        </w:tabs>
        <w:spacing w:line="240" w:lineRule="auto" w:before="43" w:after="0"/>
        <w:ind w:left="1160" w:right="0" w:hanging="450"/>
        <w:jc w:val="left"/>
      </w:pPr>
      <w:bookmarkStart w:name="5.5地表沉陷区治理与生态环境综合整治" w:id="185"/>
      <w:bookmarkEnd w:id="185"/>
      <w:r>
        <w:rPr>
          <w:b w:val="0"/>
        </w:rPr>
      </w:r>
      <w:bookmarkStart w:name="_bookmark27" w:id="186"/>
      <w:bookmarkEnd w:id="186"/>
      <w:r>
        <w:rPr>
          <w:b w:val="0"/>
        </w:rPr>
      </w:r>
      <w:bookmarkStart w:name="_bookmark27" w:id="187"/>
      <w:bookmarkEnd w:id="187"/>
      <w:r>
        <w:rPr/>
        <w:t>地表沉陷区治理与生态环境综合整治</w:t>
      </w:r>
    </w:p>
    <w:p>
      <w:pPr>
        <w:pStyle w:val="Heading3"/>
        <w:numPr>
          <w:ilvl w:val="2"/>
          <w:numId w:val="41"/>
        </w:numPr>
        <w:tabs>
          <w:tab w:pos="1413" w:val="left" w:leader="none"/>
        </w:tabs>
        <w:spacing w:line="240" w:lineRule="auto" w:before="120" w:after="0"/>
        <w:ind w:left="1412" w:right="0" w:hanging="702"/>
        <w:jc w:val="left"/>
      </w:pPr>
      <w:bookmarkStart w:name="5.5.1 生态环境综合整治原则与目标" w:id="188"/>
      <w:bookmarkEnd w:id="188"/>
      <w:r>
        <w:rPr>
          <w:b w:val="0"/>
        </w:rPr>
      </w:r>
      <w:bookmarkStart w:name="5.5.1 生态环境综合整治原则与目标" w:id="189"/>
      <w:bookmarkEnd w:id="189"/>
      <w:r>
        <w:rPr/>
        <w:t>生态环境综合整治原则与目标</w:t>
      </w:r>
    </w:p>
    <w:p>
      <w:pPr>
        <w:pStyle w:val="Heading4"/>
        <w:numPr>
          <w:ilvl w:val="3"/>
          <w:numId w:val="41"/>
        </w:numPr>
        <w:tabs>
          <w:tab w:pos="1492" w:val="left" w:leader="none"/>
        </w:tabs>
        <w:spacing w:line="240" w:lineRule="auto" w:before="265" w:after="0"/>
        <w:ind w:left="1492" w:right="0" w:hanging="781"/>
        <w:jc w:val="left"/>
        <w:rPr>
          <w:rFonts w:ascii="Times New Roman" w:eastAsia="Times New Roman"/>
        </w:rPr>
      </w:pPr>
      <w:r>
        <w:rPr/>
        <w:t>生态综合整治原则</w:t>
      </w:r>
    </w:p>
    <w:p>
      <w:pPr>
        <w:pStyle w:val="BodyText"/>
        <w:spacing w:line="364" w:lineRule="auto" w:before="160"/>
        <w:ind w:left="711" w:right="1153" w:firstLine="480"/>
      </w:pPr>
      <w:r>
        <w:rPr/>
        <w:t>根据双鸭山市东盛矿业集团有限公司建设及运行特点和《环境影响评价技术导则 生态影响》（</w:t>
      </w:r>
      <w:r>
        <w:rPr>
          <w:rFonts w:ascii="Times New Roman" w:eastAsia="Times New Roman"/>
        </w:rPr>
        <w:t>HJ91-2011</w:t>
      </w:r>
      <w:r>
        <w:rPr/>
        <w:t>）标准的规定，确定生态环境综合整治原则为：</w:t>
      </w:r>
    </w:p>
    <w:p>
      <w:pPr>
        <w:pStyle w:val="ListParagraph"/>
        <w:numPr>
          <w:ilvl w:val="4"/>
          <w:numId w:val="41"/>
        </w:numPr>
        <w:tabs>
          <w:tab w:pos="1793" w:val="left" w:leader="none"/>
        </w:tabs>
        <w:spacing w:line="240" w:lineRule="auto" w:before="1" w:after="0"/>
        <w:ind w:left="1793" w:right="0" w:hanging="602"/>
        <w:jc w:val="left"/>
        <w:rPr>
          <w:sz w:val="24"/>
        </w:rPr>
      </w:pPr>
      <w:r>
        <w:rPr>
          <w:sz w:val="24"/>
        </w:rPr>
        <w:t>自然资源的补偿原则</w:t>
      </w:r>
    </w:p>
    <w:p>
      <w:pPr>
        <w:pStyle w:val="BodyText"/>
        <w:spacing w:line="364" w:lineRule="auto" w:before="161"/>
        <w:ind w:left="711" w:right="1153" w:firstLine="480"/>
        <w:jc w:val="both"/>
      </w:pPr>
      <w:r>
        <w:rPr/>
        <w:t>由于项目区自然资源（植被、土壤）会因项目施工和运行受到一定程度的损耗，而这两种资源都属于再生期长，恢复速度较慢的资源，它们除自身存在市场价值外，还具有生态和社会效益，因而必须执行自然资源损失的补偿原则。</w:t>
      </w:r>
    </w:p>
    <w:p>
      <w:pPr>
        <w:pStyle w:val="ListParagraph"/>
        <w:numPr>
          <w:ilvl w:val="4"/>
          <w:numId w:val="41"/>
        </w:numPr>
        <w:tabs>
          <w:tab w:pos="1793" w:val="left" w:leader="none"/>
        </w:tabs>
        <w:spacing w:line="240" w:lineRule="auto" w:before="2" w:after="0"/>
        <w:ind w:left="1793" w:right="0" w:hanging="602"/>
        <w:jc w:val="left"/>
        <w:rPr>
          <w:sz w:val="24"/>
        </w:rPr>
      </w:pPr>
      <w:r>
        <w:rPr>
          <w:sz w:val="24"/>
        </w:rPr>
        <w:t>受损区域的恢复原则</w:t>
      </w:r>
    </w:p>
    <w:p>
      <w:pPr>
        <w:pStyle w:val="BodyText"/>
        <w:spacing w:line="364" w:lineRule="auto" w:before="160"/>
        <w:ind w:left="711" w:right="1033" w:firstLine="480"/>
      </w:pPr>
      <w:r>
        <w:rPr/>
        <w:t>项目影响最大的区域是占地区和直接影响区，用地格局的改变影响了原有自</w:t>
      </w:r>
      <w:r>
        <w:rPr>
          <w:spacing w:val="-12"/>
        </w:rPr>
        <w:t>然体系的功能，如物种移动，因此应进行生态学设计，尽量减少这种功能的损失。</w:t>
      </w:r>
      <w:r>
        <w:rPr/>
        <w:t>应根据本项目工作面接替计划和沉陷林地破坏的实际情况，结合双鸭山市土地利</w:t>
      </w:r>
      <w:r>
        <w:rPr>
          <w:spacing w:val="-10"/>
        </w:rPr>
        <w:t>用规划；根据整治后的土地状况，按</w:t>
      </w:r>
      <w:r>
        <w:rPr>
          <w:rFonts w:ascii="Times New Roman" w:hAnsi="Times New Roman" w:eastAsia="Times New Roman"/>
        </w:rPr>
        <w:t>“</w:t>
      </w:r>
      <w:r>
        <w:rPr>
          <w:spacing w:val="-13"/>
        </w:rPr>
        <w:t>合理布局、因地制宜、宜农则农、宜林则林</w:t>
      </w:r>
      <w:r>
        <w:rPr>
          <w:rFonts w:ascii="Times New Roman" w:hAnsi="Times New Roman" w:eastAsia="Times New Roman"/>
        </w:rPr>
        <w:t>” </w:t>
      </w:r>
      <w:r>
        <w:rPr/>
        <w:t>的原则进行治理，建立新的土地利用系统，提高土地的生产力。</w:t>
      </w:r>
    </w:p>
    <w:p>
      <w:pPr>
        <w:pStyle w:val="ListParagraph"/>
        <w:numPr>
          <w:ilvl w:val="4"/>
          <w:numId w:val="41"/>
        </w:numPr>
        <w:tabs>
          <w:tab w:pos="1793" w:val="left" w:leader="none"/>
        </w:tabs>
        <w:spacing w:line="240" w:lineRule="auto" w:before="3" w:after="0"/>
        <w:ind w:left="1793" w:right="0" w:hanging="602"/>
        <w:jc w:val="left"/>
        <w:rPr>
          <w:sz w:val="24"/>
        </w:rPr>
      </w:pPr>
      <w:r>
        <w:rPr>
          <w:sz w:val="24"/>
        </w:rPr>
        <w:t>人类需求与生态完整性维护相协调的原则</w:t>
      </w:r>
    </w:p>
    <w:p>
      <w:pPr>
        <w:pStyle w:val="BodyText"/>
        <w:spacing w:line="364" w:lineRule="auto" w:before="161"/>
        <w:ind w:left="711" w:right="1153" w:firstLine="480"/>
        <w:jc w:val="both"/>
      </w:pPr>
      <w:r>
        <w:rPr/>
        <w:t>项目建设和运行是人类利用自然资源满足需求的行为，这种行为往往与生态完整性的维护发生矛盾，生态保护措施就在于尽力减缓这种矛盾，在自然体系可以承受的范围内开发利用资源，为社会经济的进步服务。</w:t>
      </w:r>
    </w:p>
    <w:p>
      <w:pPr>
        <w:pStyle w:val="ListParagraph"/>
        <w:numPr>
          <w:ilvl w:val="4"/>
          <w:numId w:val="41"/>
        </w:numPr>
        <w:tabs>
          <w:tab w:pos="1793" w:val="left" w:leader="none"/>
        </w:tabs>
        <w:spacing w:line="240" w:lineRule="auto" w:before="1" w:after="0"/>
        <w:ind w:left="1793" w:right="0" w:hanging="602"/>
        <w:jc w:val="left"/>
        <w:rPr>
          <w:sz w:val="24"/>
        </w:rPr>
      </w:pPr>
      <w:r>
        <w:rPr>
          <w:sz w:val="24"/>
        </w:rPr>
        <w:t>突出重点、分区治理的原则</w:t>
      </w:r>
    </w:p>
    <w:p>
      <w:pPr>
        <w:pStyle w:val="BodyText"/>
        <w:spacing w:line="364" w:lineRule="auto" w:before="161"/>
        <w:ind w:left="711" w:right="1153" w:firstLine="480"/>
        <w:jc w:val="both"/>
      </w:pPr>
      <w:r>
        <w:rPr/>
        <w:t>双鸭山市东盛矿业集团有限公司井田沉陷土地复垦的重点是有林地和工业广场。根据双鸭山市土地利用规划，受沉陷影响的为有林地和工业广场，因此井田沉陷区的治理应当符合规划的要求，将沉陷土地主要恢复成林地。对林地一般保持原地貌，适当予以补植。根据双鸭山市东盛矿业集团有限公司井田的采区开采接替计划和工作面推进情况，结合沉陷预测、土地破坏程度分析结果，分区域、分时段、分不同的复垦整治措施进行全井田沉陷区的综合整治，以提高治理方案的针对性，保证措施的真正落实。</w:t>
      </w:r>
    </w:p>
    <w:p>
      <w:pPr>
        <w:pStyle w:val="Heading4"/>
        <w:numPr>
          <w:ilvl w:val="3"/>
          <w:numId w:val="41"/>
        </w:numPr>
        <w:tabs>
          <w:tab w:pos="1492" w:val="left" w:leader="none"/>
        </w:tabs>
        <w:spacing w:line="240" w:lineRule="auto" w:before="4" w:after="0"/>
        <w:ind w:left="1492" w:right="0" w:hanging="781"/>
        <w:jc w:val="both"/>
        <w:rPr>
          <w:rFonts w:ascii="Times New Roman" w:eastAsia="Times New Roman"/>
        </w:rPr>
      </w:pPr>
      <w:r>
        <w:rPr/>
        <w:t>生态综合整治目标</w:t>
      </w:r>
    </w:p>
    <w:p>
      <w:pPr>
        <w:pStyle w:val="BodyText"/>
        <w:spacing w:before="161"/>
        <w:ind w:left="1191"/>
      </w:pPr>
      <w:r>
        <w:rPr/>
        <w:t>结合本井田的生态环境现状及沉陷特征和双鸭山土地利用规划，确定本项目</w:t>
      </w:r>
    </w:p>
    <w:p>
      <w:pPr>
        <w:spacing w:after="0"/>
        <w:sectPr>
          <w:pgSz w:w="11910" w:h="16840"/>
          <w:pgMar w:header="0" w:footer="993" w:top="1500" w:bottom="1180" w:left="1040" w:right="600"/>
        </w:sectPr>
      </w:pPr>
    </w:p>
    <w:p>
      <w:pPr>
        <w:pStyle w:val="BodyText"/>
        <w:spacing w:before="42"/>
        <w:ind w:left="711"/>
      </w:pPr>
      <w:r>
        <w:rPr/>
        <w:t>沉陷区综合整治目标如下：</w:t>
      </w:r>
    </w:p>
    <w:p>
      <w:pPr>
        <w:pStyle w:val="ListParagraph"/>
        <w:numPr>
          <w:ilvl w:val="0"/>
          <w:numId w:val="42"/>
        </w:numPr>
        <w:tabs>
          <w:tab w:pos="1793" w:val="left" w:leader="none"/>
        </w:tabs>
        <w:spacing w:line="240" w:lineRule="auto" w:before="160" w:after="0"/>
        <w:ind w:left="1793" w:right="0" w:hanging="602"/>
        <w:jc w:val="left"/>
        <w:rPr>
          <w:sz w:val="24"/>
        </w:rPr>
      </w:pPr>
      <w:r>
        <w:rPr>
          <w:spacing w:val="-6"/>
          <w:sz w:val="24"/>
        </w:rPr>
        <w:t>沉陷土地的治理率达到 </w:t>
      </w:r>
      <w:r>
        <w:rPr>
          <w:rFonts w:ascii="Times New Roman" w:eastAsia="Times New Roman"/>
          <w:sz w:val="24"/>
        </w:rPr>
        <w:t>90%</w:t>
      </w:r>
      <w:r>
        <w:rPr>
          <w:sz w:val="24"/>
        </w:rPr>
        <w:t>；</w:t>
      </w:r>
    </w:p>
    <w:p>
      <w:pPr>
        <w:pStyle w:val="ListParagraph"/>
        <w:numPr>
          <w:ilvl w:val="0"/>
          <w:numId w:val="42"/>
        </w:numPr>
        <w:tabs>
          <w:tab w:pos="1793" w:val="left" w:leader="none"/>
        </w:tabs>
        <w:spacing w:line="240" w:lineRule="auto" w:before="161" w:after="0"/>
        <w:ind w:left="1793" w:right="0" w:hanging="602"/>
        <w:jc w:val="left"/>
        <w:rPr>
          <w:sz w:val="24"/>
        </w:rPr>
      </w:pPr>
      <w:r>
        <w:rPr>
          <w:spacing w:val="-7"/>
          <w:sz w:val="24"/>
        </w:rPr>
        <w:t>植被恢复系数达到 </w:t>
      </w:r>
      <w:r>
        <w:rPr>
          <w:rFonts w:ascii="Times New Roman" w:eastAsia="Times New Roman"/>
          <w:sz w:val="24"/>
        </w:rPr>
        <w:t>95%</w:t>
      </w:r>
      <w:r>
        <w:rPr>
          <w:sz w:val="24"/>
        </w:rPr>
        <w:t>；</w:t>
      </w:r>
    </w:p>
    <w:p>
      <w:pPr>
        <w:pStyle w:val="ListParagraph"/>
        <w:numPr>
          <w:ilvl w:val="0"/>
          <w:numId w:val="42"/>
        </w:numPr>
        <w:tabs>
          <w:tab w:pos="1793" w:val="left" w:leader="none"/>
        </w:tabs>
        <w:spacing w:line="240" w:lineRule="auto" w:before="160" w:after="0"/>
        <w:ind w:left="1793" w:right="0" w:hanging="602"/>
        <w:jc w:val="left"/>
        <w:rPr>
          <w:sz w:val="24"/>
        </w:rPr>
      </w:pPr>
      <w:r>
        <w:rPr>
          <w:spacing w:val="-5"/>
          <w:sz w:val="24"/>
        </w:rPr>
        <w:t>地表裂缝、沉陷台阶治理率达到 </w:t>
      </w:r>
      <w:r>
        <w:rPr>
          <w:rFonts w:ascii="Times New Roman" w:eastAsia="Times New Roman"/>
          <w:sz w:val="24"/>
        </w:rPr>
        <w:t>100%</w:t>
      </w:r>
      <w:r>
        <w:rPr>
          <w:sz w:val="24"/>
        </w:rPr>
        <w:t>；</w:t>
      </w:r>
    </w:p>
    <w:p>
      <w:pPr>
        <w:pStyle w:val="ListParagraph"/>
        <w:numPr>
          <w:ilvl w:val="0"/>
          <w:numId w:val="42"/>
        </w:numPr>
        <w:tabs>
          <w:tab w:pos="1793" w:val="left" w:leader="none"/>
        </w:tabs>
        <w:spacing w:line="240" w:lineRule="auto" w:before="161" w:after="0"/>
        <w:ind w:left="1793" w:right="0" w:hanging="602"/>
        <w:jc w:val="left"/>
        <w:rPr>
          <w:sz w:val="24"/>
        </w:rPr>
      </w:pPr>
      <w:r>
        <w:rPr>
          <w:spacing w:val="-6"/>
          <w:sz w:val="24"/>
        </w:rPr>
        <w:t>整治区林草覆盖率达到 </w:t>
      </w:r>
      <w:r>
        <w:rPr>
          <w:rFonts w:ascii="Times New Roman" w:eastAsia="Times New Roman"/>
          <w:sz w:val="24"/>
        </w:rPr>
        <w:t>50%</w:t>
      </w:r>
      <w:r>
        <w:rPr>
          <w:sz w:val="24"/>
        </w:rPr>
        <w:t>。</w:t>
      </w:r>
    </w:p>
    <w:p>
      <w:pPr>
        <w:pStyle w:val="Heading3"/>
        <w:numPr>
          <w:ilvl w:val="2"/>
          <w:numId w:val="41"/>
        </w:numPr>
        <w:tabs>
          <w:tab w:pos="1413" w:val="left" w:leader="none"/>
        </w:tabs>
        <w:spacing w:line="240" w:lineRule="auto" w:before="82" w:after="0"/>
        <w:ind w:left="1412" w:right="0" w:hanging="702"/>
        <w:jc w:val="left"/>
      </w:pPr>
      <w:bookmarkStart w:name="5.5.2 沉陷区复垦与生态综合整治方案" w:id="190"/>
      <w:bookmarkEnd w:id="190"/>
      <w:r>
        <w:rPr>
          <w:b w:val="0"/>
        </w:rPr>
      </w:r>
      <w:bookmarkStart w:name="5.5.2 沉陷区复垦与生态综合整治方案" w:id="191"/>
      <w:bookmarkEnd w:id="191"/>
      <w:r>
        <w:rPr>
          <w:spacing w:val="-1"/>
          <w:w w:val="95"/>
        </w:rPr>
        <w:t>沉陷区复垦与生态综合整治方案</w:t>
      </w:r>
    </w:p>
    <w:p>
      <w:pPr>
        <w:pStyle w:val="Heading4"/>
        <w:numPr>
          <w:ilvl w:val="3"/>
          <w:numId w:val="41"/>
        </w:numPr>
        <w:tabs>
          <w:tab w:pos="1432" w:val="left" w:leader="none"/>
        </w:tabs>
        <w:spacing w:line="240" w:lineRule="auto" w:before="185" w:after="0"/>
        <w:ind w:left="1432" w:right="0" w:hanging="721"/>
        <w:jc w:val="left"/>
        <w:rPr>
          <w:rFonts w:ascii="Times New Roman" w:eastAsia="Times New Roman"/>
        </w:rPr>
      </w:pPr>
      <w:bookmarkStart w:name="5.5.2.1土地复垦区与复垦责任范围" w:id="192"/>
      <w:bookmarkEnd w:id="192"/>
      <w:r>
        <w:rPr>
          <w:b w:val="0"/>
        </w:rPr>
      </w:r>
      <w:bookmarkStart w:name="5.5.2.1土地复垦区与复垦责任范围" w:id="193"/>
      <w:bookmarkEnd w:id="193"/>
      <w:r>
        <w:rPr/>
        <w:t>土地复垦区与复垦责任范围</w:t>
      </w:r>
    </w:p>
    <w:p>
      <w:pPr>
        <w:pStyle w:val="BodyText"/>
        <w:spacing w:before="161"/>
        <w:ind w:left="1191"/>
      </w:pPr>
      <w:r>
        <w:rPr>
          <w:rFonts w:ascii="Times New Roman" w:eastAsia="Times New Roman"/>
        </w:rPr>
        <w:t>1</w:t>
      </w:r>
      <w:r>
        <w:rPr/>
        <w:t>、复垦区</w:t>
      </w:r>
    </w:p>
    <w:p>
      <w:pPr>
        <w:pStyle w:val="BodyText"/>
        <w:spacing w:line="364" w:lineRule="auto" w:before="158"/>
        <w:ind w:left="711" w:right="1149" w:firstLine="480"/>
        <w:jc w:val="both"/>
      </w:pPr>
      <w:r>
        <w:rPr>
          <w:spacing w:val="-1"/>
        </w:rPr>
        <w:t>依据本矿山开采土地损毁分析与预测结果，确定本次方案复垦区为预测塌陷</w:t>
      </w:r>
      <w:r>
        <w:rPr>
          <w:spacing w:val="-2"/>
        </w:rPr>
        <w:t>区及工业广场面积，预测塌陷区面积为</w:t>
      </w:r>
      <w:r>
        <w:rPr>
          <w:rFonts w:ascii="Times New Roman" w:eastAsia="Times New Roman"/>
        </w:rPr>
        <w:t>36.80hm</w:t>
      </w:r>
      <w:r>
        <w:rPr>
          <w:rFonts w:ascii="Times New Roman" w:eastAsia="Times New Roman"/>
          <w:position w:val="8"/>
          <w:sz w:val="15"/>
        </w:rPr>
        <w:t>2</w:t>
      </w:r>
      <w:r>
        <w:rPr/>
        <w:t>，工业广场面积</w:t>
      </w:r>
      <w:r>
        <w:rPr>
          <w:rFonts w:ascii="Times New Roman" w:eastAsia="Times New Roman"/>
          <w:spacing w:val="-3"/>
        </w:rPr>
        <w:t>2.34hm</w:t>
      </w:r>
      <w:r>
        <w:rPr>
          <w:rFonts w:ascii="Times New Roman" w:eastAsia="Times New Roman"/>
          <w:spacing w:val="-3"/>
          <w:position w:val="8"/>
          <w:sz w:val="15"/>
        </w:rPr>
        <w:t>2</w:t>
      </w:r>
      <w:r>
        <w:rPr>
          <w:spacing w:val="-5"/>
        </w:rPr>
        <w:t>，故复垦</w:t>
      </w:r>
      <w:r>
        <w:rPr/>
        <w:t>区面积为</w:t>
      </w:r>
      <w:r>
        <w:rPr>
          <w:rFonts w:ascii="Times New Roman" w:eastAsia="Times New Roman"/>
        </w:rPr>
        <w:t>39.14hm</w:t>
      </w:r>
      <w:r>
        <w:rPr>
          <w:rFonts w:ascii="Times New Roman" w:eastAsia="Times New Roman"/>
          <w:position w:val="8"/>
          <w:sz w:val="15"/>
        </w:rPr>
        <w:t>2</w:t>
      </w:r>
      <w:r>
        <w:rPr/>
        <w:t>。</w:t>
      </w:r>
    </w:p>
    <w:p>
      <w:pPr>
        <w:tabs>
          <w:tab w:pos="859" w:val="left" w:leader="none"/>
        </w:tabs>
        <w:spacing w:line="267" w:lineRule="exact" w:before="0"/>
        <w:ind w:left="0" w:right="12" w:firstLine="0"/>
        <w:jc w:val="center"/>
        <w:rPr>
          <w:rFonts w:ascii="黑体" w:eastAsia="黑体" w:hint="eastAsia"/>
          <w:b/>
          <w:sz w:val="21"/>
        </w:rPr>
      </w:pPr>
      <w:r>
        <w:rPr>
          <w:rFonts w:ascii="黑体" w:eastAsia="黑体" w:hint="eastAsia"/>
          <w:b/>
          <w:sz w:val="21"/>
        </w:rPr>
        <w:t>表</w:t>
      </w:r>
      <w:r>
        <w:rPr>
          <w:rFonts w:ascii="Times New Roman" w:eastAsia="Times New Roman"/>
          <w:b/>
          <w:sz w:val="21"/>
        </w:rPr>
        <w:t>5.5-1</w:t>
        <w:tab/>
      </w:r>
      <w:r>
        <w:rPr>
          <w:rFonts w:ascii="黑体" w:eastAsia="黑体" w:hint="eastAsia"/>
          <w:b/>
          <w:spacing w:val="4"/>
          <w:sz w:val="21"/>
        </w:rPr>
        <w:t>复</w:t>
      </w:r>
      <w:r>
        <w:rPr>
          <w:rFonts w:ascii="黑体" w:eastAsia="黑体" w:hint="eastAsia"/>
          <w:b/>
          <w:sz w:val="21"/>
        </w:rPr>
        <w:t>垦</w:t>
      </w:r>
      <w:r>
        <w:rPr>
          <w:rFonts w:ascii="黑体" w:eastAsia="黑体" w:hint="eastAsia"/>
          <w:b/>
          <w:spacing w:val="4"/>
          <w:sz w:val="21"/>
        </w:rPr>
        <w:t>区面</w:t>
      </w:r>
      <w:r>
        <w:rPr>
          <w:rFonts w:ascii="黑体" w:eastAsia="黑体" w:hint="eastAsia"/>
          <w:b/>
          <w:sz w:val="21"/>
        </w:rPr>
        <w:t>积</w:t>
      </w:r>
      <w:r>
        <w:rPr>
          <w:rFonts w:ascii="黑体" w:eastAsia="黑体" w:hint="eastAsia"/>
          <w:b/>
          <w:spacing w:val="4"/>
          <w:sz w:val="21"/>
        </w:rPr>
        <w:t>汇总</w:t>
      </w:r>
      <w:r>
        <w:rPr>
          <w:rFonts w:ascii="黑体" w:eastAsia="黑体" w:hint="eastAsia"/>
          <w:b/>
          <w:sz w:val="21"/>
        </w:rPr>
        <w:t>表</w:t>
      </w:r>
    </w:p>
    <w:p>
      <w:pPr>
        <w:pStyle w:val="BodyText"/>
        <w:spacing w:before="11"/>
        <w:rPr>
          <w:rFonts w:ascii="黑体"/>
          <w:b/>
          <w:sz w:val="1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0"/>
        <w:gridCol w:w="1386"/>
        <w:gridCol w:w="1454"/>
        <w:gridCol w:w="1244"/>
        <w:gridCol w:w="1439"/>
        <w:gridCol w:w="1579"/>
      </w:tblGrid>
      <w:tr>
        <w:trPr>
          <w:trHeight w:val="312" w:hRule="atLeast"/>
        </w:trPr>
        <w:tc>
          <w:tcPr>
            <w:tcW w:w="2806" w:type="dxa"/>
            <w:gridSpan w:val="2"/>
          </w:tcPr>
          <w:p>
            <w:pPr>
              <w:pStyle w:val="TableParagraph"/>
              <w:spacing w:before="26"/>
              <w:ind w:left="1083" w:right="1072"/>
              <w:rPr>
                <w:sz w:val="20"/>
              </w:rPr>
            </w:pPr>
            <w:r>
              <w:rPr>
                <w:sz w:val="20"/>
              </w:rPr>
              <w:t>一级类</w:t>
            </w:r>
          </w:p>
        </w:tc>
        <w:tc>
          <w:tcPr>
            <w:tcW w:w="2698" w:type="dxa"/>
            <w:gridSpan w:val="2"/>
          </w:tcPr>
          <w:p>
            <w:pPr>
              <w:pStyle w:val="TableParagraph"/>
              <w:spacing w:before="26"/>
              <w:ind w:left="1028" w:right="1020"/>
              <w:rPr>
                <w:sz w:val="20"/>
              </w:rPr>
            </w:pPr>
            <w:r>
              <w:rPr>
                <w:sz w:val="20"/>
              </w:rPr>
              <w:t>二级类</w:t>
            </w:r>
          </w:p>
        </w:tc>
        <w:tc>
          <w:tcPr>
            <w:tcW w:w="1439" w:type="dxa"/>
          </w:tcPr>
          <w:p>
            <w:pPr>
              <w:pStyle w:val="TableParagraph"/>
              <w:spacing w:before="26"/>
              <w:ind w:left="138" w:right="130"/>
              <w:rPr>
                <w:sz w:val="20"/>
              </w:rPr>
            </w:pPr>
            <w:r>
              <w:rPr>
                <w:sz w:val="20"/>
              </w:rPr>
              <w:t>面积（</w:t>
            </w:r>
            <w:r>
              <w:rPr>
                <w:rFonts w:ascii="Times New Roman" w:eastAsia="Times New Roman"/>
                <w:sz w:val="20"/>
              </w:rPr>
              <w:t>hm</w:t>
            </w:r>
            <w:r>
              <w:rPr>
                <w:rFonts w:ascii="Times New Roman" w:eastAsia="Times New Roman"/>
                <w:position w:val="7"/>
                <w:sz w:val="13"/>
              </w:rPr>
              <w:t>2</w:t>
            </w:r>
            <w:r>
              <w:rPr>
                <w:sz w:val="20"/>
              </w:rPr>
              <w:t>）</w:t>
            </w:r>
          </w:p>
        </w:tc>
        <w:tc>
          <w:tcPr>
            <w:tcW w:w="1579" w:type="dxa"/>
          </w:tcPr>
          <w:p>
            <w:pPr>
              <w:pStyle w:val="TableParagraph"/>
              <w:spacing w:before="26"/>
              <w:ind w:left="87" w:right="75"/>
              <w:rPr>
                <w:sz w:val="20"/>
              </w:rPr>
            </w:pPr>
            <w:r>
              <w:rPr>
                <w:sz w:val="20"/>
              </w:rPr>
              <w:t>所占比例（</w:t>
            </w:r>
            <w:r>
              <w:rPr>
                <w:rFonts w:ascii="Times New Roman" w:eastAsia="Times New Roman"/>
                <w:sz w:val="20"/>
              </w:rPr>
              <w:t>%</w:t>
            </w:r>
            <w:r>
              <w:rPr>
                <w:sz w:val="20"/>
              </w:rPr>
              <w:t>）</w:t>
            </w:r>
          </w:p>
        </w:tc>
      </w:tr>
      <w:tr>
        <w:trPr>
          <w:trHeight w:val="311" w:hRule="atLeast"/>
        </w:trPr>
        <w:tc>
          <w:tcPr>
            <w:tcW w:w="1420" w:type="dxa"/>
          </w:tcPr>
          <w:p>
            <w:pPr>
              <w:pStyle w:val="TableParagraph"/>
              <w:spacing w:before="39"/>
              <w:ind w:left="487" w:right="478"/>
              <w:rPr>
                <w:rFonts w:ascii="Times New Roman"/>
                <w:sz w:val="20"/>
              </w:rPr>
            </w:pPr>
            <w:r>
              <w:rPr>
                <w:rFonts w:ascii="Times New Roman"/>
                <w:sz w:val="20"/>
              </w:rPr>
              <w:t>03</w:t>
            </w:r>
          </w:p>
        </w:tc>
        <w:tc>
          <w:tcPr>
            <w:tcW w:w="1386" w:type="dxa"/>
          </w:tcPr>
          <w:p>
            <w:pPr>
              <w:pStyle w:val="TableParagraph"/>
              <w:spacing w:before="26"/>
              <w:ind w:left="171" w:right="164"/>
              <w:rPr>
                <w:sz w:val="20"/>
              </w:rPr>
            </w:pPr>
            <w:r>
              <w:rPr>
                <w:sz w:val="20"/>
              </w:rPr>
              <w:t>林地</w:t>
            </w:r>
          </w:p>
        </w:tc>
        <w:tc>
          <w:tcPr>
            <w:tcW w:w="1454" w:type="dxa"/>
          </w:tcPr>
          <w:p>
            <w:pPr>
              <w:pStyle w:val="TableParagraph"/>
              <w:spacing w:before="39"/>
              <w:ind w:left="557" w:right="547"/>
              <w:rPr>
                <w:rFonts w:ascii="Times New Roman"/>
                <w:sz w:val="20"/>
              </w:rPr>
            </w:pPr>
            <w:r>
              <w:rPr>
                <w:rFonts w:ascii="Times New Roman"/>
                <w:sz w:val="20"/>
              </w:rPr>
              <w:t>031</w:t>
            </w:r>
          </w:p>
        </w:tc>
        <w:tc>
          <w:tcPr>
            <w:tcW w:w="1244" w:type="dxa"/>
          </w:tcPr>
          <w:p>
            <w:pPr>
              <w:pStyle w:val="TableParagraph"/>
              <w:spacing w:before="26"/>
              <w:ind w:left="200" w:right="192"/>
              <w:rPr>
                <w:sz w:val="20"/>
              </w:rPr>
            </w:pPr>
            <w:r>
              <w:rPr>
                <w:sz w:val="20"/>
              </w:rPr>
              <w:t>有林地</w:t>
            </w:r>
          </w:p>
        </w:tc>
        <w:tc>
          <w:tcPr>
            <w:tcW w:w="1439" w:type="dxa"/>
          </w:tcPr>
          <w:p>
            <w:pPr>
              <w:pStyle w:val="TableParagraph"/>
              <w:spacing w:before="39"/>
              <w:ind w:left="137" w:right="130"/>
              <w:rPr>
                <w:rFonts w:ascii="Times New Roman"/>
                <w:sz w:val="20"/>
              </w:rPr>
            </w:pPr>
            <w:r>
              <w:rPr>
                <w:rFonts w:ascii="Times New Roman"/>
                <w:sz w:val="20"/>
              </w:rPr>
              <w:t>36.80</w:t>
            </w:r>
          </w:p>
        </w:tc>
        <w:tc>
          <w:tcPr>
            <w:tcW w:w="1579" w:type="dxa"/>
          </w:tcPr>
          <w:p>
            <w:pPr>
              <w:pStyle w:val="TableParagraph"/>
              <w:spacing w:before="39"/>
              <w:ind w:left="83" w:right="75"/>
              <w:rPr>
                <w:rFonts w:ascii="Times New Roman"/>
                <w:sz w:val="20"/>
              </w:rPr>
            </w:pPr>
            <w:r>
              <w:rPr>
                <w:rFonts w:ascii="Times New Roman"/>
                <w:sz w:val="20"/>
              </w:rPr>
              <w:t>94.02</w:t>
            </w:r>
          </w:p>
        </w:tc>
      </w:tr>
      <w:tr>
        <w:trPr>
          <w:trHeight w:val="624" w:hRule="atLeast"/>
        </w:trPr>
        <w:tc>
          <w:tcPr>
            <w:tcW w:w="1420" w:type="dxa"/>
          </w:tcPr>
          <w:p>
            <w:pPr>
              <w:pStyle w:val="TableParagraph"/>
              <w:spacing w:before="197"/>
              <w:ind w:left="487" w:right="478"/>
              <w:rPr>
                <w:rFonts w:ascii="Times New Roman"/>
                <w:sz w:val="20"/>
              </w:rPr>
            </w:pPr>
            <w:r>
              <w:rPr>
                <w:rFonts w:ascii="Times New Roman"/>
                <w:sz w:val="20"/>
              </w:rPr>
              <w:t>20</w:t>
            </w:r>
          </w:p>
        </w:tc>
        <w:tc>
          <w:tcPr>
            <w:tcW w:w="1386" w:type="dxa"/>
          </w:tcPr>
          <w:p>
            <w:pPr>
              <w:pStyle w:val="TableParagraph"/>
              <w:spacing w:before="28"/>
              <w:ind w:left="171" w:right="164"/>
              <w:rPr>
                <w:sz w:val="20"/>
              </w:rPr>
            </w:pPr>
            <w:r>
              <w:rPr>
                <w:sz w:val="20"/>
              </w:rPr>
              <w:t>城镇村及工</w:t>
            </w:r>
          </w:p>
          <w:p>
            <w:pPr>
              <w:pStyle w:val="TableParagraph"/>
              <w:spacing w:before="55"/>
              <w:ind w:left="171" w:right="164"/>
              <w:rPr>
                <w:sz w:val="20"/>
              </w:rPr>
            </w:pPr>
            <w:r>
              <w:rPr>
                <w:sz w:val="20"/>
              </w:rPr>
              <w:t>矿用地</w:t>
            </w:r>
          </w:p>
        </w:tc>
        <w:tc>
          <w:tcPr>
            <w:tcW w:w="1454" w:type="dxa"/>
          </w:tcPr>
          <w:p>
            <w:pPr>
              <w:pStyle w:val="TableParagraph"/>
              <w:spacing w:before="197"/>
              <w:ind w:left="557" w:right="547"/>
              <w:rPr>
                <w:rFonts w:ascii="Times New Roman"/>
                <w:sz w:val="20"/>
              </w:rPr>
            </w:pPr>
            <w:r>
              <w:rPr>
                <w:rFonts w:ascii="Times New Roman"/>
                <w:sz w:val="20"/>
              </w:rPr>
              <w:t>204</w:t>
            </w:r>
          </w:p>
        </w:tc>
        <w:tc>
          <w:tcPr>
            <w:tcW w:w="1244" w:type="dxa"/>
          </w:tcPr>
          <w:p>
            <w:pPr>
              <w:pStyle w:val="TableParagraph"/>
              <w:spacing w:before="4"/>
              <w:jc w:val="left"/>
              <w:rPr>
                <w:rFonts w:ascii="黑体"/>
                <w:b/>
                <w:sz w:val="14"/>
              </w:rPr>
            </w:pPr>
          </w:p>
          <w:p>
            <w:pPr>
              <w:pStyle w:val="TableParagraph"/>
              <w:ind w:left="200" w:right="194"/>
              <w:rPr>
                <w:sz w:val="20"/>
              </w:rPr>
            </w:pPr>
            <w:r>
              <w:rPr>
                <w:sz w:val="20"/>
              </w:rPr>
              <w:t>采矿用地</w:t>
            </w:r>
          </w:p>
        </w:tc>
        <w:tc>
          <w:tcPr>
            <w:tcW w:w="1439" w:type="dxa"/>
          </w:tcPr>
          <w:p>
            <w:pPr>
              <w:pStyle w:val="TableParagraph"/>
              <w:spacing w:before="197"/>
              <w:ind w:left="138" w:right="128"/>
              <w:rPr>
                <w:rFonts w:ascii="Times New Roman"/>
                <w:sz w:val="20"/>
              </w:rPr>
            </w:pPr>
            <w:r>
              <w:rPr>
                <w:rFonts w:ascii="Times New Roman"/>
                <w:sz w:val="20"/>
              </w:rPr>
              <w:t>2.34</w:t>
            </w:r>
          </w:p>
        </w:tc>
        <w:tc>
          <w:tcPr>
            <w:tcW w:w="1579" w:type="dxa"/>
          </w:tcPr>
          <w:p>
            <w:pPr>
              <w:pStyle w:val="TableParagraph"/>
              <w:spacing w:before="197"/>
              <w:ind w:left="83" w:right="75"/>
              <w:rPr>
                <w:rFonts w:ascii="Times New Roman"/>
                <w:sz w:val="20"/>
              </w:rPr>
            </w:pPr>
            <w:r>
              <w:rPr>
                <w:rFonts w:ascii="Times New Roman"/>
                <w:sz w:val="20"/>
              </w:rPr>
              <w:t>5.98</w:t>
            </w:r>
          </w:p>
        </w:tc>
      </w:tr>
      <w:tr>
        <w:trPr>
          <w:trHeight w:val="311" w:hRule="atLeast"/>
        </w:trPr>
        <w:tc>
          <w:tcPr>
            <w:tcW w:w="1420" w:type="dxa"/>
          </w:tcPr>
          <w:p>
            <w:pPr>
              <w:pStyle w:val="TableParagraph"/>
              <w:spacing w:before="27"/>
              <w:ind w:left="487" w:right="482"/>
              <w:rPr>
                <w:sz w:val="20"/>
              </w:rPr>
            </w:pPr>
            <w:r>
              <w:rPr>
                <w:sz w:val="20"/>
              </w:rPr>
              <w:t>合计</w:t>
            </w:r>
          </w:p>
        </w:tc>
        <w:tc>
          <w:tcPr>
            <w:tcW w:w="1386" w:type="dxa"/>
          </w:tcPr>
          <w:p>
            <w:pPr>
              <w:pStyle w:val="TableParagraph"/>
              <w:jc w:val="left"/>
              <w:rPr>
                <w:rFonts w:ascii="Times New Roman"/>
                <w:sz w:val="22"/>
              </w:rPr>
            </w:pPr>
          </w:p>
        </w:tc>
        <w:tc>
          <w:tcPr>
            <w:tcW w:w="1454" w:type="dxa"/>
          </w:tcPr>
          <w:p>
            <w:pPr>
              <w:pStyle w:val="TableParagraph"/>
              <w:jc w:val="left"/>
              <w:rPr>
                <w:rFonts w:ascii="Times New Roman"/>
                <w:sz w:val="22"/>
              </w:rPr>
            </w:pPr>
          </w:p>
        </w:tc>
        <w:tc>
          <w:tcPr>
            <w:tcW w:w="1244" w:type="dxa"/>
          </w:tcPr>
          <w:p>
            <w:pPr>
              <w:pStyle w:val="TableParagraph"/>
              <w:jc w:val="left"/>
              <w:rPr>
                <w:rFonts w:ascii="Times New Roman"/>
                <w:sz w:val="22"/>
              </w:rPr>
            </w:pPr>
          </w:p>
        </w:tc>
        <w:tc>
          <w:tcPr>
            <w:tcW w:w="1439" w:type="dxa"/>
          </w:tcPr>
          <w:p>
            <w:pPr>
              <w:pStyle w:val="TableParagraph"/>
              <w:spacing w:before="41"/>
              <w:ind w:left="137" w:right="130"/>
              <w:rPr>
                <w:rFonts w:ascii="Times New Roman"/>
                <w:sz w:val="20"/>
              </w:rPr>
            </w:pPr>
            <w:r>
              <w:rPr>
                <w:rFonts w:ascii="Times New Roman"/>
                <w:sz w:val="20"/>
              </w:rPr>
              <w:t>39.14</w:t>
            </w:r>
          </w:p>
        </w:tc>
        <w:tc>
          <w:tcPr>
            <w:tcW w:w="1579" w:type="dxa"/>
          </w:tcPr>
          <w:p>
            <w:pPr>
              <w:pStyle w:val="TableParagraph"/>
              <w:spacing w:before="41"/>
              <w:ind w:left="83" w:right="75"/>
              <w:rPr>
                <w:rFonts w:ascii="Times New Roman"/>
                <w:sz w:val="20"/>
              </w:rPr>
            </w:pPr>
            <w:r>
              <w:rPr>
                <w:rFonts w:ascii="Times New Roman"/>
                <w:sz w:val="20"/>
              </w:rPr>
              <w:t>100.00</w:t>
            </w:r>
          </w:p>
        </w:tc>
      </w:tr>
    </w:tbl>
    <w:p>
      <w:pPr>
        <w:pStyle w:val="BodyText"/>
        <w:rPr>
          <w:rFonts w:ascii="黑体"/>
          <w:b/>
          <w:sz w:val="22"/>
        </w:rPr>
      </w:pPr>
    </w:p>
    <w:p>
      <w:pPr>
        <w:pStyle w:val="BodyText"/>
        <w:spacing w:before="161"/>
        <w:ind w:left="1191"/>
      </w:pPr>
      <w:r>
        <w:rPr>
          <w:rFonts w:ascii="Times New Roman" w:eastAsia="Times New Roman"/>
        </w:rPr>
        <w:t>2</w:t>
      </w:r>
      <w:r>
        <w:rPr/>
        <w:t>、复垦责任区范围</w:t>
      </w:r>
    </w:p>
    <w:p>
      <w:pPr>
        <w:pStyle w:val="BodyText"/>
        <w:spacing w:line="364" w:lineRule="auto" w:before="82"/>
        <w:ind w:left="711" w:right="1093" w:firstLine="480"/>
        <w:jc w:val="both"/>
      </w:pPr>
      <w:r>
        <w:rPr/>
        <w:t>目前矿区范围内并未发生地面塌陷。根据地表沉陷预测结果，最大塌陷深度</w:t>
      </w:r>
      <w:r>
        <w:rPr>
          <w:spacing w:val="-21"/>
        </w:rPr>
        <w:t>为 </w:t>
      </w:r>
      <w:r>
        <w:rPr>
          <w:rFonts w:ascii="Times New Roman" w:hAnsi="Times New Roman" w:eastAsia="Times New Roman"/>
        </w:rPr>
        <w:t>1144mm</w:t>
      </w:r>
      <w:r>
        <w:rPr/>
        <w:t>，矿区所处地貌单元为丘陵，采空区上方主要为耕地，项目区的地形</w:t>
      </w:r>
      <w:r>
        <w:rPr>
          <w:spacing w:val="-15"/>
        </w:rPr>
        <w:t>坡度约 </w:t>
      </w:r>
      <w:r>
        <w:rPr>
          <w:rFonts w:ascii="Times New Roman" w:hAnsi="Times New Roman" w:eastAsia="Times New Roman"/>
        </w:rPr>
        <w:t>11</w:t>
      </w:r>
      <w:r>
        <w:rPr>
          <w:spacing w:val="-1"/>
        </w:rPr>
        <w:t>°，由于地面塌陷是一个缓慢沉降的过程，且具有不确定性和未知性， </w:t>
      </w:r>
      <w:r>
        <w:rPr/>
        <w:t>而本矿井的地下采矿引发地面塌陷的预测影响地面坡度小于项目区地形坡度，加之采空区上方无建筑物，即使发生地面塌陷，也不会发生严重的塌陷积水现象， 对地表不至于造成严重危害，预测塌陷区地表林地区域均为有林地，地表相对高</w:t>
      </w:r>
      <w:r>
        <w:rPr>
          <w:spacing w:val="-19"/>
        </w:rPr>
        <w:t>差为 </w:t>
      </w:r>
      <w:r>
        <w:rPr>
          <w:rFonts w:ascii="Times New Roman" w:hAnsi="Times New Roman" w:eastAsia="Times New Roman"/>
          <w:spacing w:val="-5"/>
        </w:rPr>
        <w:t>10-20m</w:t>
      </w:r>
      <w:r>
        <w:rPr>
          <w:spacing w:val="-6"/>
        </w:rPr>
        <w:t>，积水可以自然排出，林地区域拟采用自然恢复的方式。林地区域表土资源平衡。基本不受塌陷影响，故无需复垦。</w:t>
      </w:r>
    </w:p>
    <w:p>
      <w:pPr>
        <w:pStyle w:val="BodyText"/>
        <w:spacing w:line="362" w:lineRule="auto"/>
        <w:ind w:left="711" w:right="1029" w:firstLine="480"/>
      </w:pPr>
      <w:r>
        <w:rPr>
          <w:spacing w:val="-12"/>
        </w:rPr>
        <w:t>因此，本方案不将预测塌陷区作为复垦责任范围，复垦责任范围为工业广场， </w:t>
      </w:r>
      <w:r>
        <w:rPr/>
        <w:t>面积为</w:t>
      </w:r>
      <w:r>
        <w:rPr>
          <w:rFonts w:ascii="Times New Roman" w:eastAsia="Times New Roman"/>
        </w:rPr>
        <w:t>2.34hm</w:t>
      </w:r>
      <w:r>
        <w:rPr>
          <w:rFonts w:ascii="Times New Roman" w:eastAsia="Times New Roman"/>
          <w:position w:val="8"/>
          <w:sz w:val="15"/>
        </w:rPr>
        <w:t>2</w:t>
      </w:r>
      <w:r>
        <w:rPr/>
        <w:t>。复垦责任范围拐点坐标见表</w:t>
      </w:r>
      <w:r>
        <w:rPr>
          <w:rFonts w:ascii="Times New Roman" w:eastAsia="Times New Roman"/>
        </w:rPr>
        <w:t>5.5-2</w:t>
      </w:r>
      <w:r>
        <w:rPr/>
        <w:t>。</w:t>
      </w:r>
    </w:p>
    <w:p>
      <w:pPr>
        <w:spacing w:before="0"/>
        <w:ind w:left="0" w:right="0" w:firstLine="0"/>
        <w:jc w:val="center"/>
        <w:rPr>
          <w:rFonts w:ascii="黑体" w:eastAsia="黑体" w:hint="eastAsia"/>
          <w:b/>
          <w:sz w:val="21"/>
        </w:rPr>
      </w:pPr>
      <w:r>
        <w:rPr>
          <w:rFonts w:ascii="黑体" w:eastAsia="黑体" w:hint="eastAsia"/>
          <w:b/>
          <w:sz w:val="21"/>
        </w:rPr>
        <w:t>表</w:t>
      </w:r>
      <w:r>
        <w:rPr>
          <w:rFonts w:ascii="Times New Roman" w:eastAsia="Times New Roman"/>
          <w:b/>
          <w:sz w:val="21"/>
        </w:rPr>
        <w:t>5.5-2 </w:t>
      </w:r>
      <w:r>
        <w:rPr>
          <w:rFonts w:ascii="黑体" w:eastAsia="黑体" w:hint="eastAsia"/>
          <w:b/>
          <w:sz w:val="21"/>
        </w:rPr>
        <w:t>复垦责任范围拐点坐标一览表（</w:t>
      </w:r>
      <w:r>
        <w:rPr>
          <w:rFonts w:ascii="Times New Roman" w:eastAsia="Times New Roman"/>
          <w:b/>
          <w:sz w:val="21"/>
        </w:rPr>
        <w:t>2000</w:t>
      </w:r>
      <w:r>
        <w:rPr>
          <w:rFonts w:ascii="黑体" w:eastAsia="黑体" w:hint="eastAsia"/>
          <w:b/>
          <w:sz w:val="21"/>
        </w:rPr>
        <w:t>国家大地坐标系）</w:t>
      </w:r>
    </w:p>
    <w:p>
      <w:pPr>
        <w:pStyle w:val="BodyText"/>
        <w:spacing w:before="9" w:after="1"/>
        <w:rPr>
          <w:rFonts w:ascii="黑体"/>
          <w:b/>
          <w:sz w:val="10"/>
        </w:rPr>
      </w:pPr>
    </w:p>
    <w:tbl>
      <w:tblPr>
        <w:tblW w:w="0" w:type="auto"/>
        <w:jc w:val="left"/>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1"/>
        <w:gridCol w:w="2557"/>
        <w:gridCol w:w="2693"/>
      </w:tblGrid>
      <w:tr>
        <w:trPr>
          <w:trHeight w:val="312" w:hRule="atLeast"/>
        </w:trPr>
        <w:tc>
          <w:tcPr>
            <w:tcW w:w="1271" w:type="dxa"/>
          </w:tcPr>
          <w:p>
            <w:pPr>
              <w:pStyle w:val="TableParagraph"/>
              <w:spacing w:before="28"/>
              <w:ind w:left="214" w:right="203"/>
              <w:rPr>
                <w:b/>
                <w:sz w:val="20"/>
              </w:rPr>
            </w:pPr>
            <w:r>
              <w:rPr>
                <w:b/>
                <w:sz w:val="20"/>
              </w:rPr>
              <w:t>拐点编号</w:t>
            </w:r>
          </w:p>
        </w:tc>
        <w:tc>
          <w:tcPr>
            <w:tcW w:w="2557" w:type="dxa"/>
          </w:tcPr>
          <w:p>
            <w:pPr>
              <w:pStyle w:val="TableParagraph"/>
              <w:spacing w:before="42"/>
              <w:ind w:left="9"/>
              <w:rPr>
                <w:rFonts w:ascii="Times New Roman"/>
                <w:b/>
                <w:sz w:val="20"/>
              </w:rPr>
            </w:pPr>
            <w:r>
              <w:rPr>
                <w:rFonts w:ascii="Times New Roman"/>
                <w:b/>
                <w:w w:val="99"/>
                <w:sz w:val="20"/>
              </w:rPr>
              <w:t>X</w:t>
            </w:r>
          </w:p>
        </w:tc>
        <w:tc>
          <w:tcPr>
            <w:tcW w:w="2693" w:type="dxa"/>
          </w:tcPr>
          <w:p>
            <w:pPr>
              <w:pStyle w:val="TableParagraph"/>
              <w:spacing w:before="42"/>
              <w:ind w:left="5"/>
              <w:rPr>
                <w:rFonts w:ascii="Times New Roman"/>
                <w:b/>
                <w:sz w:val="20"/>
              </w:rPr>
            </w:pPr>
            <w:r>
              <w:rPr>
                <w:rFonts w:ascii="Times New Roman"/>
                <w:b/>
                <w:w w:val="99"/>
                <w:sz w:val="20"/>
              </w:rPr>
              <w:t>Y</w:t>
            </w:r>
          </w:p>
        </w:tc>
      </w:tr>
      <w:tr>
        <w:trPr>
          <w:trHeight w:val="310" w:hRule="atLeast"/>
        </w:trPr>
        <w:tc>
          <w:tcPr>
            <w:tcW w:w="1271" w:type="dxa"/>
          </w:tcPr>
          <w:p>
            <w:pPr>
              <w:pStyle w:val="TableParagraph"/>
              <w:spacing w:before="41"/>
              <w:ind w:left="6"/>
              <w:rPr>
                <w:rFonts w:ascii="Times New Roman"/>
                <w:sz w:val="20"/>
              </w:rPr>
            </w:pPr>
            <w:r>
              <w:rPr>
                <w:rFonts w:ascii="Times New Roman"/>
                <w:w w:val="99"/>
                <w:sz w:val="20"/>
              </w:rPr>
              <w:t>1</w:t>
            </w:r>
          </w:p>
        </w:tc>
        <w:tc>
          <w:tcPr>
            <w:tcW w:w="2557" w:type="dxa"/>
          </w:tcPr>
          <w:p>
            <w:pPr>
              <w:pStyle w:val="TableParagraph"/>
              <w:spacing w:before="41"/>
              <w:ind w:left="732" w:right="724"/>
              <w:rPr>
                <w:rFonts w:ascii="Times New Roman"/>
                <w:sz w:val="20"/>
              </w:rPr>
            </w:pPr>
            <w:r>
              <w:rPr>
                <w:rFonts w:ascii="Times New Roman"/>
                <w:sz w:val="20"/>
              </w:rPr>
              <w:t>5160535.120</w:t>
            </w:r>
          </w:p>
        </w:tc>
        <w:tc>
          <w:tcPr>
            <w:tcW w:w="2693" w:type="dxa"/>
          </w:tcPr>
          <w:p>
            <w:pPr>
              <w:pStyle w:val="TableParagraph"/>
              <w:spacing w:before="41"/>
              <w:ind w:left="393" w:right="384"/>
              <w:rPr>
                <w:rFonts w:ascii="Times New Roman"/>
                <w:sz w:val="20"/>
              </w:rPr>
            </w:pPr>
            <w:r>
              <w:rPr>
                <w:rFonts w:ascii="Times New Roman"/>
                <w:sz w:val="20"/>
              </w:rPr>
              <w:t>44436813.630</w:t>
            </w:r>
          </w:p>
        </w:tc>
      </w:tr>
    </w:tbl>
    <w:p>
      <w:pPr>
        <w:spacing w:after="0"/>
        <w:rPr>
          <w:rFonts w:ascii="Times New Roman"/>
          <w:sz w:val="20"/>
        </w:rPr>
        <w:sectPr>
          <w:pgSz w:w="11910" w:h="16840"/>
          <w:pgMar w:header="0" w:footer="993" w:top="1460" w:bottom="1180" w:left="1040" w:right="600"/>
        </w:sectPr>
      </w:pPr>
    </w:p>
    <w:tbl>
      <w:tblPr>
        <w:tblW w:w="0" w:type="auto"/>
        <w:jc w:val="left"/>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1"/>
        <w:gridCol w:w="2557"/>
        <w:gridCol w:w="2693"/>
      </w:tblGrid>
      <w:tr>
        <w:trPr>
          <w:trHeight w:val="312" w:hRule="atLeast"/>
        </w:trPr>
        <w:tc>
          <w:tcPr>
            <w:tcW w:w="1271" w:type="dxa"/>
          </w:tcPr>
          <w:p>
            <w:pPr>
              <w:pStyle w:val="TableParagraph"/>
              <w:spacing w:before="42"/>
              <w:ind w:left="583"/>
              <w:jc w:val="left"/>
              <w:rPr>
                <w:rFonts w:ascii="Times New Roman"/>
                <w:sz w:val="20"/>
              </w:rPr>
            </w:pPr>
            <w:r>
              <w:rPr>
                <w:rFonts w:ascii="Times New Roman"/>
                <w:w w:val="99"/>
                <w:sz w:val="20"/>
              </w:rPr>
              <w:t>2</w:t>
            </w:r>
          </w:p>
        </w:tc>
        <w:tc>
          <w:tcPr>
            <w:tcW w:w="2557" w:type="dxa"/>
          </w:tcPr>
          <w:p>
            <w:pPr>
              <w:pStyle w:val="TableParagraph"/>
              <w:spacing w:before="42"/>
              <w:ind w:left="752"/>
              <w:jc w:val="left"/>
              <w:rPr>
                <w:rFonts w:ascii="Times New Roman"/>
                <w:sz w:val="20"/>
              </w:rPr>
            </w:pPr>
            <w:r>
              <w:rPr>
                <w:rFonts w:ascii="Times New Roman"/>
                <w:sz w:val="20"/>
              </w:rPr>
              <w:t>5160568.059</w:t>
            </w:r>
          </w:p>
        </w:tc>
        <w:tc>
          <w:tcPr>
            <w:tcW w:w="2693" w:type="dxa"/>
          </w:tcPr>
          <w:p>
            <w:pPr>
              <w:pStyle w:val="TableParagraph"/>
              <w:spacing w:before="42"/>
              <w:ind w:left="770"/>
              <w:jc w:val="left"/>
              <w:rPr>
                <w:rFonts w:ascii="Times New Roman"/>
                <w:sz w:val="20"/>
              </w:rPr>
            </w:pPr>
            <w:r>
              <w:rPr>
                <w:rFonts w:ascii="Times New Roman"/>
                <w:sz w:val="20"/>
              </w:rPr>
              <w:t>44436842.091</w:t>
            </w:r>
          </w:p>
        </w:tc>
      </w:tr>
      <w:tr>
        <w:trPr>
          <w:trHeight w:val="311" w:hRule="atLeast"/>
        </w:trPr>
        <w:tc>
          <w:tcPr>
            <w:tcW w:w="1271" w:type="dxa"/>
          </w:tcPr>
          <w:p>
            <w:pPr>
              <w:pStyle w:val="TableParagraph"/>
              <w:spacing w:before="41"/>
              <w:ind w:left="583"/>
              <w:jc w:val="left"/>
              <w:rPr>
                <w:rFonts w:ascii="Times New Roman"/>
                <w:sz w:val="20"/>
              </w:rPr>
            </w:pPr>
            <w:r>
              <w:rPr>
                <w:rFonts w:ascii="Times New Roman"/>
                <w:w w:val="99"/>
                <w:sz w:val="20"/>
              </w:rPr>
              <w:t>3</w:t>
            </w:r>
          </w:p>
        </w:tc>
        <w:tc>
          <w:tcPr>
            <w:tcW w:w="2557" w:type="dxa"/>
          </w:tcPr>
          <w:p>
            <w:pPr>
              <w:pStyle w:val="TableParagraph"/>
              <w:spacing w:before="41"/>
              <w:ind w:left="752"/>
              <w:jc w:val="left"/>
              <w:rPr>
                <w:rFonts w:ascii="Times New Roman"/>
                <w:sz w:val="20"/>
              </w:rPr>
            </w:pPr>
            <w:r>
              <w:rPr>
                <w:rFonts w:ascii="Times New Roman"/>
                <w:sz w:val="20"/>
              </w:rPr>
              <w:t>5160566.713</w:t>
            </w:r>
          </w:p>
        </w:tc>
        <w:tc>
          <w:tcPr>
            <w:tcW w:w="2693" w:type="dxa"/>
          </w:tcPr>
          <w:p>
            <w:pPr>
              <w:pStyle w:val="TableParagraph"/>
              <w:spacing w:before="41"/>
              <w:ind w:left="770"/>
              <w:jc w:val="left"/>
              <w:rPr>
                <w:rFonts w:ascii="Times New Roman"/>
                <w:sz w:val="20"/>
              </w:rPr>
            </w:pPr>
            <w:r>
              <w:rPr>
                <w:rFonts w:ascii="Times New Roman"/>
                <w:sz w:val="20"/>
              </w:rPr>
              <w:t>44436843.634</w:t>
            </w:r>
          </w:p>
        </w:tc>
      </w:tr>
      <w:tr>
        <w:trPr>
          <w:trHeight w:val="312" w:hRule="atLeast"/>
        </w:trPr>
        <w:tc>
          <w:tcPr>
            <w:tcW w:w="1271" w:type="dxa"/>
          </w:tcPr>
          <w:p>
            <w:pPr>
              <w:pStyle w:val="TableParagraph"/>
              <w:spacing w:before="41"/>
              <w:ind w:left="583"/>
              <w:jc w:val="left"/>
              <w:rPr>
                <w:rFonts w:ascii="Times New Roman"/>
                <w:sz w:val="20"/>
              </w:rPr>
            </w:pPr>
            <w:r>
              <w:rPr>
                <w:rFonts w:ascii="Times New Roman"/>
                <w:w w:val="99"/>
                <w:sz w:val="20"/>
              </w:rPr>
              <w:t>4</w:t>
            </w:r>
          </w:p>
        </w:tc>
        <w:tc>
          <w:tcPr>
            <w:tcW w:w="2557" w:type="dxa"/>
          </w:tcPr>
          <w:p>
            <w:pPr>
              <w:pStyle w:val="TableParagraph"/>
              <w:spacing w:before="41"/>
              <w:ind w:left="752"/>
              <w:jc w:val="left"/>
              <w:rPr>
                <w:rFonts w:ascii="Times New Roman"/>
                <w:sz w:val="20"/>
              </w:rPr>
            </w:pPr>
            <w:r>
              <w:rPr>
                <w:rFonts w:ascii="Times New Roman"/>
                <w:sz w:val="20"/>
              </w:rPr>
              <w:t>5160584.236</w:t>
            </w:r>
          </w:p>
        </w:tc>
        <w:tc>
          <w:tcPr>
            <w:tcW w:w="2693" w:type="dxa"/>
          </w:tcPr>
          <w:p>
            <w:pPr>
              <w:pStyle w:val="TableParagraph"/>
              <w:spacing w:before="41"/>
              <w:ind w:left="770"/>
              <w:jc w:val="left"/>
              <w:rPr>
                <w:rFonts w:ascii="Times New Roman"/>
                <w:sz w:val="20"/>
              </w:rPr>
            </w:pPr>
            <w:r>
              <w:rPr>
                <w:rFonts w:ascii="Times New Roman"/>
                <w:sz w:val="20"/>
              </w:rPr>
              <w:t>44436861.822</w:t>
            </w:r>
          </w:p>
        </w:tc>
      </w:tr>
      <w:tr>
        <w:trPr>
          <w:trHeight w:val="312" w:hRule="atLeast"/>
        </w:trPr>
        <w:tc>
          <w:tcPr>
            <w:tcW w:w="1271" w:type="dxa"/>
          </w:tcPr>
          <w:p>
            <w:pPr>
              <w:pStyle w:val="TableParagraph"/>
              <w:spacing w:before="41"/>
              <w:ind w:left="583"/>
              <w:jc w:val="left"/>
              <w:rPr>
                <w:rFonts w:ascii="Times New Roman"/>
                <w:sz w:val="20"/>
              </w:rPr>
            </w:pPr>
            <w:r>
              <w:rPr>
                <w:rFonts w:ascii="Times New Roman"/>
                <w:w w:val="99"/>
                <w:sz w:val="20"/>
              </w:rPr>
              <w:t>5</w:t>
            </w:r>
          </w:p>
        </w:tc>
        <w:tc>
          <w:tcPr>
            <w:tcW w:w="2557" w:type="dxa"/>
          </w:tcPr>
          <w:p>
            <w:pPr>
              <w:pStyle w:val="TableParagraph"/>
              <w:spacing w:before="41"/>
              <w:ind w:left="752"/>
              <w:jc w:val="left"/>
              <w:rPr>
                <w:rFonts w:ascii="Times New Roman"/>
                <w:sz w:val="20"/>
              </w:rPr>
            </w:pPr>
            <w:r>
              <w:rPr>
                <w:rFonts w:ascii="Times New Roman"/>
                <w:sz w:val="20"/>
              </w:rPr>
              <w:t>5160582.863</w:t>
            </w:r>
          </w:p>
        </w:tc>
        <w:tc>
          <w:tcPr>
            <w:tcW w:w="2693" w:type="dxa"/>
          </w:tcPr>
          <w:p>
            <w:pPr>
              <w:pStyle w:val="TableParagraph"/>
              <w:spacing w:before="41"/>
              <w:ind w:left="770"/>
              <w:jc w:val="left"/>
              <w:rPr>
                <w:rFonts w:ascii="Times New Roman"/>
                <w:sz w:val="20"/>
              </w:rPr>
            </w:pPr>
            <w:r>
              <w:rPr>
                <w:rFonts w:ascii="Times New Roman"/>
                <w:sz w:val="20"/>
              </w:rPr>
              <w:t>44436864.018</w:t>
            </w:r>
          </w:p>
        </w:tc>
      </w:tr>
      <w:tr>
        <w:trPr>
          <w:trHeight w:val="312" w:hRule="atLeast"/>
        </w:trPr>
        <w:tc>
          <w:tcPr>
            <w:tcW w:w="1271" w:type="dxa"/>
          </w:tcPr>
          <w:p>
            <w:pPr>
              <w:pStyle w:val="TableParagraph"/>
              <w:spacing w:before="40"/>
              <w:ind w:left="583"/>
              <w:jc w:val="left"/>
              <w:rPr>
                <w:rFonts w:ascii="Times New Roman"/>
                <w:sz w:val="20"/>
              </w:rPr>
            </w:pPr>
            <w:r>
              <w:rPr>
                <w:rFonts w:ascii="Times New Roman"/>
                <w:w w:val="99"/>
                <w:sz w:val="20"/>
              </w:rPr>
              <w:t>6</w:t>
            </w:r>
          </w:p>
        </w:tc>
        <w:tc>
          <w:tcPr>
            <w:tcW w:w="2557" w:type="dxa"/>
          </w:tcPr>
          <w:p>
            <w:pPr>
              <w:pStyle w:val="TableParagraph"/>
              <w:spacing w:before="40"/>
              <w:ind w:left="752"/>
              <w:jc w:val="left"/>
              <w:rPr>
                <w:rFonts w:ascii="Times New Roman"/>
                <w:sz w:val="20"/>
              </w:rPr>
            </w:pPr>
            <w:r>
              <w:rPr>
                <w:rFonts w:ascii="Times New Roman"/>
                <w:sz w:val="20"/>
              </w:rPr>
              <w:t>5160647.577</w:t>
            </w:r>
          </w:p>
        </w:tc>
        <w:tc>
          <w:tcPr>
            <w:tcW w:w="2693" w:type="dxa"/>
          </w:tcPr>
          <w:p>
            <w:pPr>
              <w:pStyle w:val="TableParagraph"/>
              <w:spacing w:before="40"/>
              <w:ind w:left="770"/>
              <w:jc w:val="left"/>
              <w:rPr>
                <w:rFonts w:ascii="Times New Roman"/>
                <w:sz w:val="20"/>
              </w:rPr>
            </w:pPr>
            <w:r>
              <w:rPr>
                <w:rFonts w:ascii="Times New Roman"/>
                <w:sz w:val="20"/>
              </w:rPr>
              <w:t>44436929.141</w:t>
            </w:r>
          </w:p>
        </w:tc>
      </w:tr>
      <w:tr>
        <w:trPr>
          <w:trHeight w:val="312" w:hRule="atLeast"/>
        </w:trPr>
        <w:tc>
          <w:tcPr>
            <w:tcW w:w="1271" w:type="dxa"/>
          </w:tcPr>
          <w:p>
            <w:pPr>
              <w:pStyle w:val="TableParagraph"/>
              <w:spacing w:before="42"/>
              <w:ind w:left="583"/>
              <w:jc w:val="left"/>
              <w:rPr>
                <w:rFonts w:ascii="Times New Roman"/>
                <w:sz w:val="20"/>
              </w:rPr>
            </w:pPr>
            <w:r>
              <w:rPr>
                <w:rFonts w:ascii="Times New Roman"/>
                <w:w w:val="99"/>
                <w:sz w:val="20"/>
              </w:rPr>
              <w:t>7</w:t>
            </w:r>
          </w:p>
        </w:tc>
        <w:tc>
          <w:tcPr>
            <w:tcW w:w="2557" w:type="dxa"/>
          </w:tcPr>
          <w:p>
            <w:pPr>
              <w:pStyle w:val="TableParagraph"/>
              <w:spacing w:before="42"/>
              <w:ind w:left="752"/>
              <w:jc w:val="left"/>
              <w:rPr>
                <w:rFonts w:ascii="Times New Roman"/>
                <w:sz w:val="20"/>
              </w:rPr>
            </w:pPr>
            <w:r>
              <w:rPr>
                <w:rFonts w:ascii="Times New Roman"/>
                <w:sz w:val="20"/>
              </w:rPr>
              <w:t>5160665.529</w:t>
            </w:r>
          </w:p>
        </w:tc>
        <w:tc>
          <w:tcPr>
            <w:tcW w:w="2693" w:type="dxa"/>
          </w:tcPr>
          <w:p>
            <w:pPr>
              <w:pStyle w:val="TableParagraph"/>
              <w:spacing w:before="42"/>
              <w:ind w:left="770"/>
              <w:jc w:val="left"/>
              <w:rPr>
                <w:rFonts w:ascii="Times New Roman"/>
                <w:sz w:val="20"/>
              </w:rPr>
            </w:pPr>
            <w:r>
              <w:rPr>
                <w:rFonts w:ascii="Times New Roman"/>
                <w:sz w:val="20"/>
              </w:rPr>
              <w:t>44436941.459</w:t>
            </w:r>
          </w:p>
        </w:tc>
      </w:tr>
      <w:tr>
        <w:trPr>
          <w:trHeight w:val="311" w:hRule="atLeast"/>
        </w:trPr>
        <w:tc>
          <w:tcPr>
            <w:tcW w:w="1271" w:type="dxa"/>
          </w:tcPr>
          <w:p>
            <w:pPr>
              <w:pStyle w:val="TableParagraph"/>
              <w:spacing w:before="42"/>
              <w:ind w:left="583"/>
              <w:jc w:val="left"/>
              <w:rPr>
                <w:rFonts w:ascii="Times New Roman"/>
                <w:sz w:val="20"/>
              </w:rPr>
            </w:pPr>
            <w:r>
              <w:rPr>
                <w:rFonts w:ascii="Times New Roman"/>
                <w:w w:val="99"/>
                <w:sz w:val="20"/>
              </w:rPr>
              <w:t>8</w:t>
            </w:r>
          </w:p>
        </w:tc>
        <w:tc>
          <w:tcPr>
            <w:tcW w:w="2557" w:type="dxa"/>
          </w:tcPr>
          <w:p>
            <w:pPr>
              <w:pStyle w:val="TableParagraph"/>
              <w:spacing w:before="42"/>
              <w:ind w:left="752"/>
              <w:jc w:val="left"/>
              <w:rPr>
                <w:rFonts w:ascii="Times New Roman"/>
                <w:sz w:val="20"/>
              </w:rPr>
            </w:pPr>
            <w:r>
              <w:rPr>
                <w:rFonts w:ascii="Times New Roman"/>
                <w:sz w:val="20"/>
              </w:rPr>
              <w:t>5160683.047</w:t>
            </w:r>
          </w:p>
        </w:tc>
        <w:tc>
          <w:tcPr>
            <w:tcW w:w="2693" w:type="dxa"/>
          </w:tcPr>
          <w:p>
            <w:pPr>
              <w:pStyle w:val="TableParagraph"/>
              <w:spacing w:before="42"/>
              <w:ind w:left="770"/>
              <w:jc w:val="left"/>
              <w:rPr>
                <w:rFonts w:ascii="Times New Roman"/>
                <w:sz w:val="20"/>
              </w:rPr>
            </w:pPr>
            <w:r>
              <w:rPr>
                <w:rFonts w:ascii="Times New Roman"/>
                <w:sz w:val="20"/>
              </w:rPr>
              <w:t>44436983.049</w:t>
            </w:r>
          </w:p>
        </w:tc>
      </w:tr>
      <w:tr>
        <w:trPr>
          <w:trHeight w:val="312" w:hRule="atLeast"/>
        </w:trPr>
        <w:tc>
          <w:tcPr>
            <w:tcW w:w="1271" w:type="dxa"/>
          </w:tcPr>
          <w:p>
            <w:pPr>
              <w:pStyle w:val="TableParagraph"/>
              <w:spacing w:before="41"/>
              <w:ind w:left="583"/>
              <w:jc w:val="left"/>
              <w:rPr>
                <w:rFonts w:ascii="Times New Roman"/>
                <w:sz w:val="20"/>
              </w:rPr>
            </w:pPr>
            <w:r>
              <w:rPr>
                <w:rFonts w:ascii="Times New Roman"/>
                <w:w w:val="99"/>
                <w:sz w:val="20"/>
              </w:rPr>
              <w:t>9</w:t>
            </w:r>
          </w:p>
        </w:tc>
        <w:tc>
          <w:tcPr>
            <w:tcW w:w="2557" w:type="dxa"/>
          </w:tcPr>
          <w:p>
            <w:pPr>
              <w:pStyle w:val="TableParagraph"/>
              <w:spacing w:before="41"/>
              <w:ind w:left="752"/>
              <w:jc w:val="left"/>
              <w:rPr>
                <w:rFonts w:ascii="Times New Roman"/>
                <w:sz w:val="20"/>
              </w:rPr>
            </w:pPr>
            <w:r>
              <w:rPr>
                <w:rFonts w:ascii="Times New Roman"/>
                <w:sz w:val="20"/>
              </w:rPr>
              <w:t>5160675.018</w:t>
            </w:r>
          </w:p>
        </w:tc>
        <w:tc>
          <w:tcPr>
            <w:tcW w:w="2693" w:type="dxa"/>
          </w:tcPr>
          <w:p>
            <w:pPr>
              <w:pStyle w:val="TableParagraph"/>
              <w:spacing w:before="41"/>
              <w:ind w:left="770"/>
              <w:jc w:val="left"/>
              <w:rPr>
                <w:rFonts w:ascii="Times New Roman"/>
                <w:sz w:val="20"/>
              </w:rPr>
            </w:pPr>
            <w:r>
              <w:rPr>
                <w:rFonts w:ascii="Times New Roman"/>
                <w:sz w:val="20"/>
              </w:rPr>
              <w:t>44437004.764</w:t>
            </w:r>
          </w:p>
        </w:tc>
      </w:tr>
      <w:tr>
        <w:trPr>
          <w:trHeight w:val="312" w:hRule="atLeast"/>
        </w:trPr>
        <w:tc>
          <w:tcPr>
            <w:tcW w:w="1271" w:type="dxa"/>
          </w:tcPr>
          <w:p>
            <w:pPr>
              <w:pStyle w:val="TableParagraph"/>
              <w:spacing w:before="41"/>
              <w:ind w:left="535"/>
              <w:jc w:val="left"/>
              <w:rPr>
                <w:rFonts w:ascii="Times New Roman"/>
                <w:sz w:val="20"/>
              </w:rPr>
            </w:pPr>
            <w:r>
              <w:rPr>
                <w:rFonts w:ascii="Times New Roman"/>
                <w:sz w:val="20"/>
              </w:rPr>
              <w:t>10</w:t>
            </w:r>
          </w:p>
        </w:tc>
        <w:tc>
          <w:tcPr>
            <w:tcW w:w="2557" w:type="dxa"/>
          </w:tcPr>
          <w:p>
            <w:pPr>
              <w:pStyle w:val="TableParagraph"/>
              <w:spacing w:before="41"/>
              <w:ind w:left="752"/>
              <w:jc w:val="left"/>
              <w:rPr>
                <w:rFonts w:ascii="Times New Roman"/>
                <w:sz w:val="20"/>
              </w:rPr>
            </w:pPr>
            <w:r>
              <w:rPr>
                <w:rFonts w:ascii="Times New Roman"/>
                <w:sz w:val="20"/>
              </w:rPr>
              <w:t>5160688.895</w:t>
            </w:r>
          </w:p>
        </w:tc>
        <w:tc>
          <w:tcPr>
            <w:tcW w:w="2693" w:type="dxa"/>
          </w:tcPr>
          <w:p>
            <w:pPr>
              <w:pStyle w:val="TableParagraph"/>
              <w:spacing w:before="41"/>
              <w:ind w:left="770"/>
              <w:jc w:val="left"/>
              <w:rPr>
                <w:rFonts w:ascii="Times New Roman"/>
                <w:sz w:val="20"/>
              </w:rPr>
            </w:pPr>
            <w:r>
              <w:rPr>
                <w:rFonts w:ascii="Times New Roman"/>
                <w:sz w:val="20"/>
              </w:rPr>
              <w:t>44437046.414</w:t>
            </w:r>
          </w:p>
        </w:tc>
      </w:tr>
      <w:tr>
        <w:trPr>
          <w:trHeight w:val="312" w:hRule="atLeast"/>
        </w:trPr>
        <w:tc>
          <w:tcPr>
            <w:tcW w:w="1271" w:type="dxa"/>
          </w:tcPr>
          <w:p>
            <w:pPr>
              <w:pStyle w:val="TableParagraph"/>
              <w:spacing w:before="41"/>
              <w:ind w:left="538"/>
              <w:jc w:val="left"/>
              <w:rPr>
                <w:rFonts w:ascii="Times New Roman"/>
                <w:sz w:val="20"/>
              </w:rPr>
            </w:pPr>
            <w:r>
              <w:rPr>
                <w:rFonts w:ascii="Times New Roman"/>
                <w:sz w:val="20"/>
              </w:rPr>
              <w:t>11</w:t>
            </w:r>
          </w:p>
        </w:tc>
        <w:tc>
          <w:tcPr>
            <w:tcW w:w="2557" w:type="dxa"/>
          </w:tcPr>
          <w:p>
            <w:pPr>
              <w:pStyle w:val="TableParagraph"/>
              <w:spacing w:before="41"/>
              <w:ind w:left="752"/>
              <w:jc w:val="left"/>
              <w:rPr>
                <w:rFonts w:ascii="Times New Roman"/>
                <w:sz w:val="20"/>
              </w:rPr>
            </w:pPr>
            <w:r>
              <w:rPr>
                <w:rFonts w:ascii="Times New Roman"/>
                <w:sz w:val="20"/>
              </w:rPr>
              <w:t>5160659.244</w:t>
            </w:r>
          </w:p>
        </w:tc>
        <w:tc>
          <w:tcPr>
            <w:tcW w:w="2693" w:type="dxa"/>
          </w:tcPr>
          <w:p>
            <w:pPr>
              <w:pStyle w:val="TableParagraph"/>
              <w:spacing w:before="41"/>
              <w:ind w:left="770"/>
              <w:jc w:val="left"/>
              <w:rPr>
                <w:rFonts w:ascii="Times New Roman"/>
                <w:sz w:val="20"/>
              </w:rPr>
            </w:pPr>
            <w:r>
              <w:rPr>
                <w:rFonts w:ascii="Times New Roman"/>
                <w:sz w:val="20"/>
              </w:rPr>
              <w:t>44437064.745</w:t>
            </w:r>
          </w:p>
        </w:tc>
      </w:tr>
      <w:tr>
        <w:trPr>
          <w:trHeight w:val="312" w:hRule="atLeast"/>
        </w:trPr>
        <w:tc>
          <w:tcPr>
            <w:tcW w:w="1271" w:type="dxa"/>
          </w:tcPr>
          <w:p>
            <w:pPr>
              <w:pStyle w:val="TableParagraph"/>
              <w:spacing w:before="40"/>
              <w:ind w:left="535"/>
              <w:jc w:val="left"/>
              <w:rPr>
                <w:rFonts w:ascii="Times New Roman"/>
                <w:sz w:val="20"/>
              </w:rPr>
            </w:pPr>
            <w:r>
              <w:rPr>
                <w:rFonts w:ascii="Times New Roman"/>
                <w:sz w:val="20"/>
              </w:rPr>
              <w:t>12</w:t>
            </w:r>
          </w:p>
        </w:tc>
        <w:tc>
          <w:tcPr>
            <w:tcW w:w="2557" w:type="dxa"/>
          </w:tcPr>
          <w:p>
            <w:pPr>
              <w:pStyle w:val="TableParagraph"/>
              <w:spacing w:before="40"/>
              <w:ind w:left="752"/>
              <w:jc w:val="left"/>
              <w:rPr>
                <w:rFonts w:ascii="Times New Roman"/>
                <w:sz w:val="20"/>
              </w:rPr>
            </w:pPr>
            <w:r>
              <w:rPr>
                <w:rFonts w:ascii="Times New Roman"/>
                <w:sz w:val="20"/>
              </w:rPr>
              <w:t>5160622.829</w:t>
            </w:r>
          </w:p>
        </w:tc>
        <w:tc>
          <w:tcPr>
            <w:tcW w:w="2693" w:type="dxa"/>
          </w:tcPr>
          <w:p>
            <w:pPr>
              <w:pStyle w:val="TableParagraph"/>
              <w:spacing w:before="40"/>
              <w:ind w:left="770"/>
              <w:jc w:val="left"/>
              <w:rPr>
                <w:rFonts w:ascii="Times New Roman"/>
                <w:sz w:val="20"/>
              </w:rPr>
            </w:pPr>
            <w:r>
              <w:rPr>
                <w:rFonts w:ascii="Times New Roman"/>
                <w:sz w:val="20"/>
              </w:rPr>
              <w:t>44437039.205</w:t>
            </w:r>
          </w:p>
        </w:tc>
      </w:tr>
      <w:tr>
        <w:trPr>
          <w:trHeight w:val="311" w:hRule="atLeast"/>
        </w:trPr>
        <w:tc>
          <w:tcPr>
            <w:tcW w:w="1271" w:type="dxa"/>
          </w:tcPr>
          <w:p>
            <w:pPr>
              <w:pStyle w:val="TableParagraph"/>
              <w:spacing w:before="42"/>
              <w:ind w:left="535"/>
              <w:jc w:val="left"/>
              <w:rPr>
                <w:rFonts w:ascii="Times New Roman"/>
                <w:sz w:val="20"/>
              </w:rPr>
            </w:pPr>
            <w:r>
              <w:rPr>
                <w:rFonts w:ascii="Times New Roman"/>
                <w:sz w:val="20"/>
              </w:rPr>
              <w:t>13</w:t>
            </w:r>
          </w:p>
        </w:tc>
        <w:tc>
          <w:tcPr>
            <w:tcW w:w="2557" w:type="dxa"/>
          </w:tcPr>
          <w:p>
            <w:pPr>
              <w:pStyle w:val="TableParagraph"/>
              <w:spacing w:before="42"/>
              <w:ind w:left="752"/>
              <w:jc w:val="left"/>
              <w:rPr>
                <w:rFonts w:ascii="Times New Roman"/>
                <w:sz w:val="20"/>
              </w:rPr>
            </w:pPr>
            <w:r>
              <w:rPr>
                <w:rFonts w:ascii="Times New Roman"/>
                <w:sz w:val="20"/>
              </w:rPr>
              <w:t>5160552.880</w:t>
            </w:r>
          </w:p>
        </w:tc>
        <w:tc>
          <w:tcPr>
            <w:tcW w:w="2693" w:type="dxa"/>
          </w:tcPr>
          <w:p>
            <w:pPr>
              <w:pStyle w:val="TableParagraph"/>
              <w:spacing w:before="42"/>
              <w:ind w:left="770"/>
              <w:jc w:val="left"/>
              <w:rPr>
                <w:rFonts w:ascii="Times New Roman"/>
                <w:sz w:val="20"/>
              </w:rPr>
            </w:pPr>
            <w:r>
              <w:rPr>
                <w:rFonts w:ascii="Times New Roman"/>
                <w:sz w:val="20"/>
              </w:rPr>
              <w:t>44436967.014</w:t>
            </w:r>
          </w:p>
        </w:tc>
      </w:tr>
      <w:tr>
        <w:trPr>
          <w:trHeight w:val="312" w:hRule="atLeast"/>
        </w:trPr>
        <w:tc>
          <w:tcPr>
            <w:tcW w:w="1271" w:type="dxa"/>
          </w:tcPr>
          <w:p>
            <w:pPr>
              <w:pStyle w:val="TableParagraph"/>
              <w:spacing w:before="42"/>
              <w:ind w:left="535"/>
              <w:jc w:val="left"/>
              <w:rPr>
                <w:rFonts w:ascii="Times New Roman"/>
                <w:sz w:val="20"/>
              </w:rPr>
            </w:pPr>
            <w:r>
              <w:rPr>
                <w:rFonts w:ascii="Times New Roman"/>
                <w:sz w:val="20"/>
              </w:rPr>
              <w:t>14</w:t>
            </w:r>
          </w:p>
        </w:tc>
        <w:tc>
          <w:tcPr>
            <w:tcW w:w="2557" w:type="dxa"/>
          </w:tcPr>
          <w:p>
            <w:pPr>
              <w:pStyle w:val="TableParagraph"/>
              <w:spacing w:before="42"/>
              <w:ind w:left="757"/>
              <w:jc w:val="left"/>
              <w:rPr>
                <w:rFonts w:ascii="Times New Roman"/>
                <w:sz w:val="20"/>
              </w:rPr>
            </w:pPr>
            <w:r>
              <w:rPr>
                <w:rFonts w:ascii="Times New Roman"/>
                <w:sz w:val="20"/>
              </w:rPr>
              <w:t>5160524.711</w:t>
            </w:r>
          </w:p>
        </w:tc>
        <w:tc>
          <w:tcPr>
            <w:tcW w:w="2693" w:type="dxa"/>
          </w:tcPr>
          <w:p>
            <w:pPr>
              <w:pStyle w:val="TableParagraph"/>
              <w:spacing w:before="42"/>
              <w:ind w:left="770"/>
              <w:jc w:val="left"/>
              <w:rPr>
                <w:rFonts w:ascii="Times New Roman"/>
                <w:sz w:val="20"/>
              </w:rPr>
            </w:pPr>
            <w:r>
              <w:rPr>
                <w:rFonts w:ascii="Times New Roman"/>
                <w:sz w:val="20"/>
              </w:rPr>
              <w:t>44436950.105</w:t>
            </w:r>
          </w:p>
        </w:tc>
      </w:tr>
      <w:tr>
        <w:trPr>
          <w:trHeight w:val="311" w:hRule="atLeast"/>
        </w:trPr>
        <w:tc>
          <w:tcPr>
            <w:tcW w:w="1271" w:type="dxa"/>
          </w:tcPr>
          <w:p>
            <w:pPr>
              <w:pStyle w:val="TableParagraph"/>
              <w:spacing w:before="41"/>
              <w:ind w:left="535"/>
              <w:jc w:val="left"/>
              <w:rPr>
                <w:rFonts w:ascii="Times New Roman"/>
                <w:sz w:val="20"/>
              </w:rPr>
            </w:pPr>
            <w:r>
              <w:rPr>
                <w:rFonts w:ascii="Times New Roman"/>
                <w:sz w:val="20"/>
              </w:rPr>
              <w:t>15</w:t>
            </w:r>
          </w:p>
        </w:tc>
        <w:tc>
          <w:tcPr>
            <w:tcW w:w="2557" w:type="dxa"/>
          </w:tcPr>
          <w:p>
            <w:pPr>
              <w:pStyle w:val="TableParagraph"/>
              <w:spacing w:before="41"/>
              <w:ind w:left="752"/>
              <w:jc w:val="left"/>
              <w:rPr>
                <w:rFonts w:ascii="Times New Roman"/>
                <w:sz w:val="20"/>
              </w:rPr>
            </w:pPr>
            <w:r>
              <w:rPr>
                <w:rFonts w:ascii="Times New Roman"/>
                <w:sz w:val="20"/>
              </w:rPr>
              <w:t>5160506.437</w:t>
            </w:r>
          </w:p>
        </w:tc>
        <w:tc>
          <w:tcPr>
            <w:tcW w:w="2693" w:type="dxa"/>
          </w:tcPr>
          <w:p>
            <w:pPr>
              <w:pStyle w:val="TableParagraph"/>
              <w:spacing w:before="41"/>
              <w:ind w:left="770"/>
              <w:jc w:val="left"/>
              <w:rPr>
                <w:rFonts w:ascii="Times New Roman"/>
                <w:sz w:val="20"/>
              </w:rPr>
            </w:pPr>
            <w:r>
              <w:rPr>
                <w:rFonts w:ascii="Times New Roman"/>
                <w:sz w:val="20"/>
              </w:rPr>
              <w:t>44436924.509</w:t>
            </w:r>
          </w:p>
        </w:tc>
      </w:tr>
      <w:tr>
        <w:trPr>
          <w:trHeight w:val="312" w:hRule="atLeast"/>
        </w:trPr>
        <w:tc>
          <w:tcPr>
            <w:tcW w:w="1271" w:type="dxa"/>
          </w:tcPr>
          <w:p>
            <w:pPr>
              <w:pStyle w:val="TableParagraph"/>
              <w:spacing w:before="41"/>
              <w:ind w:left="535"/>
              <w:jc w:val="left"/>
              <w:rPr>
                <w:rFonts w:ascii="Times New Roman"/>
                <w:sz w:val="20"/>
              </w:rPr>
            </w:pPr>
            <w:r>
              <w:rPr>
                <w:rFonts w:ascii="Times New Roman"/>
                <w:sz w:val="20"/>
              </w:rPr>
              <w:t>16</w:t>
            </w:r>
          </w:p>
        </w:tc>
        <w:tc>
          <w:tcPr>
            <w:tcW w:w="2557" w:type="dxa"/>
          </w:tcPr>
          <w:p>
            <w:pPr>
              <w:pStyle w:val="TableParagraph"/>
              <w:spacing w:before="41"/>
              <w:ind w:left="752"/>
              <w:jc w:val="left"/>
              <w:rPr>
                <w:rFonts w:ascii="Times New Roman"/>
                <w:sz w:val="20"/>
              </w:rPr>
            </w:pPr>
            <w:r>
              <w:rPr>
                <w:rFonts w:ascii="Times New Roman"/>
                <w:sz w:val="20"/>
              </w:rPr>
              <w:t>5160493.517</w:t>
            </w:r>
          </w:p>
        </w:tc>
        <w:tc>
          <w:tcPr>
            <w:tcW w:w="2693" w:type="dxa"/>
          </w:tcPr>
          <w:p>
            <w:pPr>
              <w:pStyle w:val="TableParagraph"/>
              <w:spacing w:before="41"/>
              <w:ind w:left="770"/>
              <w:jc w:val="left"/>
              <w:rPr>
                <w:rFonts w:ascii="Times New Roman"/>
                <w:sz w:val="20"/>
              </w:rPr>
            </w:pPr>
            <w:r>
              <w:rPr>
                <w:rFonts w:ascii="Times New Roman"/>
                <w:sz w:val="20"/>
              </w:rPr>
              <w:t>44436912.876</w:t>
            </w:r>
          </w:p>
        </w:tc>
      </w:tr>
      <w:tr>
        <w:trPr>
          <w:trHeight w:val="312" w:hRule="atLeast"/>
        </w:trPr>
        <w:tc>
          <w:tcPr>
            <w:tcW w:w="1271" w:type="dxa"/>
          </w:tcPr>
          <w:p>
            <w:pPr>
              <w:pStyle w:val="TableParagraph"/>
              <w:spacing w:before="41"/>
              <w:ind w:left="535"/>
              <w:jc w:val="left"/>
              <w:rPr>
                <w:rFonts w:ascii="Times New Roman"/>
                <w:sz w:val="20"/>
              </w:rPr>
            </w:pPr>
            <w:r>
              <w:rPr>
                <w:rFonts w:ascii="Times New Roman"/>
                <w:sz w:val="20"/>
              </w:rPr>
              <w:t>17</w:t>
            </w:r>
          </w:p>
        </w:tc>
        <w:tc>
          <w:tcPr>
            <w:tcW w:w="2557" w:type="dxa"/>
          </w:tcPr>
          <w:p>
            <w:pPr>
              <w:pStyle w:val="TableParagraph"/>
              <w:spacing w:before="41"/>
              <w:ind w:left="752"/>
              <w:jc w:val="left"/>
              <w:rPr>
                <w:rFonts w:ascii="Times New Roman"/>
                <w:sz w:val="20"/>
              </w:rPr>
            </w:pPr>
            <w:r>
              <w:rPr>
                <w:rFonts w:ascii="Times New Roman"/>
                <w:sz w:val="20"/>
              </w:rPr>
              <w:t>5160494.475</w:t>
            </w:r>
          </w:p>
        </w:tc>
        <w:tc>
          <w:tcPr>
            <w:tcW w:w="2693" w:type="dxa"/>
          </w:tcPr>
          <w:p>
            <w:pPr>
              <w:pStyle w:val="TableParagraph"/>
              <w:spacing w:before="41"/>
              <w:ind w:left="775"/>
              <w:jc w:val="left"/>
              <w:rPr>
                <w:rFonts w:ascii="Times New Roman"/>
                <w:sz w:val="20"/>
              </w:rPr>
            </w:pPr>
            <w:r>
              <w:rPr>
                <w:rFonts w:ascii="Times New Roman"/>
                <w:sz w:val="20"/>
              </w:rPr>
              <w:t>44436911.233</w:t>
            </w:r>
          </w:p>
        </w:tc>
      </w:tr>
      <w:tr>
        <w:trPr>
          <w:trHeight w:val="311" w:hRule="atLeast"/>
        </w:trPr>
        <w:tc>
          <w:tcPr>
            <w:tcW w:w="1271" w:type="dxa"/>
          </w:tcPr>
          <w:p>
            <w:pPr>
              <w:pStyle w:val="TableParagraph"/>
              <w:spacing w:before="40"/>
              <w:ind w:left="535"/>
              <w:jc w:val="left"/>
              <w:rPr>
                <w:rFonts w:ascii="Times New Roman"/>
                <w:sz w:val="20"/>
              </w:rPr>
            </w:pPr>
            <w:r>
              <w:rPr>
                <w:rFonts w:ascii="Times New Roman"/>
                <w:sz w:val="20"/>
              </w:rPr>
              <w:t>18</w:t>
            </w:r>
          </w:p>
        </w:tc>
        <w:tc>
          <w:tcPr>
            <w:tcW w:w="2557" w:type="dxa"/>
          </w:tcPr>
          <w:p>
            <w:pPr>
              <w:pStyle w:val="TableParagraph"/>
              <w:spacing w:before="40"/>
              <w:ind w:left="752"/>
              <w:jc w:val="left"/>
              <w:rPr>
                <w:rFonts w:ascii="Times New Roman"/>
                <w:sz w:val="20"/>
              </w:rPr>
            </w:pPr>
            <w:r>
              <w:rPr>
                <w:rFonts w:ascii="Times New Roman"/>
                <w:sz w:val="20"/>
              </w:rPr>
              <w:t>5160481.056</w:t>
            </w:r>
          </w:p>
        </w:tc>
        <w:tc>
          <w:tcPr>
            <w:tcW w:w="2693" w:type="dxa"/>
          </w:tcPr>
          <w:p>
            <w:pPr>
              <w:pStyle w:val="TableParagraph"/>
              <w:spacing w:before="40"/>
              <w:ind w:left="770"/>
              <w:jc w:val="left"/>
              <w:rPr>
                <w:rFonts w:ascii="Times New Roman"/>
                <w:sz w:val="20"/>
              </w:rPr>
            </w:pPr>
            <w:r>
              <w:rPr>
                <w:rFonts w:ascii="Times New Roman"/>
                <w:sz w:val="20"/>
              </w:rPr>
              <w:t>44436903.805</w:t>
            </w:r>
          </w:p>
        </w:tc>
      </w:tr>
      <w:tr>
        <w:trPr>
          <w:trHeight w:val="312" w:hRule="atLeast"/>
        </w:trPr>
        <w:tc>
          <w:tcPr>
            <w:tcW w:w="1271" w:type="dxa"/>
          </w:tcPr>
          <w:p>
            <w:pPr>
              <w:pStyle w:val="TableParagraph"/>
              <w:spacing w:before="42"/>
              <w:ind w:left="535"/>
              <w:jc w:val="left"/>
              <w:rPr>
                <w:rFonts w:ascii="Times New Roman"/>
                <w:sz w:val="20"/>
              </w:rPr>
            </w:pPr>
            <w:r>
              <w:rPr>
                <w:rFonts w:ascii="Times New Roman"/>
                <w:sz w:val="20"/>
              </w:rPr>
              <w:t>19</w:t>
            </w:r>
          </w:p>
        </w:tc>
        <w:tc>
          <w:tcPr>
            <w:tcW w:w="2557" w:type="dxa"/>
          </w:tcPr>
          <w:p>
            <w:pPr>
              <w:pStyle w:val="TableParagraph"/>
              <w:spacing w:before="42"/>
              <w:ind w:left="752"/>
              <w:jc w:val="left"/>
              <w:rPr>
                <w:rFonts w:ascii="Times New Roman"/>
                <w:sz w:val="20"/>
              </w:rPr>
            </w:pPr>
            <w:r>
              <w:rPr>
                <w:rFonts w:ascii="Times New Roman"/>
                <w:sz w:val="20"/>
              </w:rPr>
              <w:t>5160485.001</w:t>
            </w:r>
          </w:p>
        </w:tc>
        <w:tc>
          <w:tcPr>
            <w:tcW w:w="2693" w:type="dxa"/>
          </w:tcPr>
          <w:p>
            <w:pPr>
              <w:pStyle w:val="TableParagraph"/>
              <w:spacing w:before="42"/>
              <w:ind w:left="770"/>
              <w:jc w:val="left"/>
              <w:rPr>
                <w:rFonts w:ascii="Times New Roman"/>
                <w:sz w:val="20"/>
              </w:rPr>
            </w:pPr>
            <w:r>
              <w:rPr>
                <w:rFonts w:ascii="Times New Roman"/>
                <w:sz w:val="20"/>
              </w:rPr>
              <w:t>44436895.606</w:t>
            </w:r>
          </w:p>
        </w:tc>
      </w:tr>
      <w:tr>
        <w:trPr>
          <w:trHeight w:val="311" w:hRule="atLeast"/>
        </w:trPr>
        <w:tc>
          <w:tcPr>
            <w:tcW w:w="1271" w:type="dxa"/>
          </w:tcPr>
          <w:p>
            <w:pPr>
              <w:pStyle w:val="TableParagraph"/>
              <w:spacing w:before="42"/>
              <w:ind w:left="535"/>
              <w:jc w:val="left"/>
              <w:rPr>
                <w:rFonts w:ascii="Times New Roman"/>
                <w:sz w:val="20"/>
              </w:rPr>
            </w:pPr>
            <w:r>
              <w:rPr>
                <w:rFonts w:ascii="Times New Roman"/>
                <w:sz w:val="20"/>
              </w:rPr>
              <w:t>20</w:t>
            </w:r>
          </w:p>
        </w:tc>
        <w:tc>
          <w:tcPr>
            <w:tcW w:w="2557" w:type="dxa"/>
          </w:tcPr>
          <w:p>
            <w:pPr>
              <w:pStyle w:val="TableParagraph"/>
              <w:spacing w:before="42"/>
              <w:ind w:left="757"/>
              <w:jc w:val="left"/>
              <w:rPr>
                <w:rFonts w:ascii="Times New Roman"/>
                <w:sz w:val="20"/>
              </w:rPr>
            </w:pPr>
            <w:r>
              <w:rPr>
                <w:rFonts w:ascii="Times New Roman"/>
                <w:sz w:val="20"/>
              </w:rPr>
              <w:t>5160491.511</w:t>
            </w:r>
          </w:p>
        </w:tc>
        <w:tc>
          <w:tcPr>
            <w:tcW w:w="2693" w:type="dxa"/>
          </w:tcPr>
          <w:p>
            <w:pPr>
              <w:pStyle w:val="TableParagraph"/>
              <w:spacing w:before="42"/>
              <w:ind w:left="770"/>
              <w:jc w:val="left"/>
              <w:rPr>
                <w:rFonts w:ascii="Times New Roman"/>
                <w:sz w:val="20"/>
              </w:rPr>
            </w:pPr>
            <w:r>
              <w:rPr>
                <w:rFonts w:ascii="Times New Roman"/>
                <w:sz w:val="20"/>
              </w:rPr>
              <w:t>44436884.354</w:t>
            </w:r>
          </w:p>
        </w:tc>
      </w:tr>
      <w:tr>
        <w:trPr>
          <w:trHeight w:val="312" w:hRule="atLeast"/>
        </w:trPr>
        <w:tc>
          <w:tcPr>
            <w:tcW w:w="1271" w:type="dxa"/>
          </w:tcPr>
          <w:p>
            <w:pPr>
              <w:pStyle w:val="TableParagraph"/>
              <w:spacing w:before="41"/>
              <w:ind w:left="535"/>
              <w:jc w:val="left"/>
              <w:rPr>
                <w:rFonts w:ascii="Times New Roman"/>
                <w:sz w:val="20"/>
              </w:rPr>
            </w:pPr>
            <w:r>
              <w:rPr>
                <w:rFonts w:ascii="Times New Roman"/>
                <w:sz w:val="20"/>
              </w:rPr>
              <w:t>21</w:t>
            </w:r>
          </w:p>
        </w:tc>
        <w:tc>
          <w:tcPr>
            <w:tcW w:w="2557" w:type="dxa"/>
          </w:tcPr>
          <w:p>
            <w:pPr>
              <w:pStyle w:val="TableParagraph"/>
              <w:spacing w:before="41"/>
              <w:ind w:left="752"/>
              <w:jc w:val="left"/>
              <w:rPr>
                <w:rFonts w:ascii="Times New Roman"/>
                <w:sz w:val="20"/>
              </w:rPr>
            </w:pPr>
            <w:r>
              <w:rPr>
                <w:rFonts w:ascii="Times New Roman"/>
                <w:sz w:val="20"/>
              </w:rPr>
              <w:t>5160481.707</w:t>
            </w:r>
          </w:p>
        </w:tc>
        <w:tc>
          <w:tcPr>
            <w:tcW w:w="2693" w:type="dxa"/>
          </w:tcPr>
          <w:p>
            <w:pPr>
              <w:pStyle w:val="TableParagraph"/>
              <w:spacing w:before="41"/>
              <w:ind w:left="770"/>
              <w:jc w:val="left"/>
              <w:rPr>
                <w:rFonts w:ascii="Times New Roman"/>
                <w:sz w:val="20"/>
              </w:rPr>
            </w:pPr>
            <w:r>
              <w:rPr>
                <w:rFonts w:ascii="Times New Roman"/>
                <w:sz w:val="20"/>
              </w:rPr>
              <w:t>44436876.341</w:t>
            </w:r>
          </w:p>
        </w:tc>
      </w:tr>
    </w:tbl>
    <w:p>
      <w:pPr>
        <w:pStyle w:val="BodyText"/>
        <w:spacing w:before="2"/>
        <w:ind w:left="1191"/>
      </w:pPr>
      <w:r>
        <w:rPr>
          <w:rFonts w:ascii="Times New Roman" w:eastAsia="Times New Roman"/>
        </w:rPr>
        <w:t>3</w:t>
      </w:r>
      <w:r>
        <w:rPr/>
        <w:t>、复垦区土地利用类型</w:t>
      </w:r>
    </w:p>
    <w:p>
      <w:pPr>
        <w:pStyle w:val="BodyText"/>
        <w:spacing w:line="364" w:lineRule="auto" w:before="158"/>
        <w:ind w:left="711" w:right="1029" w:firstLine="480"/>
      </w:pPr>
      <w:r>
        <w:rPr/>
        <w:t>复垦区土地利用现状分为</w:t>
      </w:r>
      <w:r>
        <w:rPr>
          <w:rFonts w:ascii="Times New Roman" w:eastAsia="Times New Roman"/>
        </w:rPr>
        <w:t>2</w:t>
      </w:r>
      <w:r>
        <w:rPr/>
        <w:t>个一级类和</w:t>
      </w:r>
      <w:r>
        <w:rPr>
          <w:rFonts w:ascii="Times New Roman" w:eastAsia="Times New Roman"/>
        </w:rPr>
        <w:t>2</w:t>
      </w:r>
      <w:r>
        <w:rPr>
          <w:spacing w:val="-13"/>
        </w:rPr>
        <w:t>个二级类，分别为有林地和采矿用地， </w:t>
      </w:r>
      <w:r>
        <w:rPr/>
        <w:t>面积为</w:t>
      </w:r>
      <w:r>
        <w:rPr>
          <w:rFonts w:ascii="Times New Roman" w:eastAsia="Times New Roman"/>
        </w:rPr>
        <w:t>39.14hm</w:t>
      </w:r>
      <w:r>
        <w:rPr>
          <w:rFonts w:ascii="Times New Roman" w:eastAsia="Times New Roman"/>
          <w:position w:val="8"/>
          <w:sz w:val="15"/>
        </w:rPr>
        <w:t>2</w:t>
      </w:r>
      <w:r>
        <w:rPr/>
        <w:t>。复垦责任范围土地利用现状分为</w:t>
      </w:r>
      <w:r>
        <w:rPr>
          <w:rFonts w:ascii="Times New Roman" w:eastAsia="Times New Roman"/>
        </w:rPr>
        <w:t>1</w:t>
      </w:r>
      <w:r>
        <w:rPr/>
        <w:t>个一级类和</w:t>
      </w:r>
      <w:r>
        <w:rPr>
          <w:rFonts w:ascii="Times New Roman" w:eastAsia="Times New Roman"/>
        </w:rPr>
        <w:t>1</w:t>
      </w:r>
      <w:r>
        <w:rPr/>
        <w:t>个二级类，为采矿用地，面积为</w:t>
      </w:r>
      <w:r>
        <w:rPr>
          <w:rFonts w:ascii="Times New Roman" w:eastAsia="Times New Roman"/>
        </w:rPr>
        <w:t>2.34hm</w:t>
      </w:r>
      <w:r>
        <w:rPr>
          <w:rFonts w:ascii="Times New Roman" w:eastAsia="Times New Roman"/>
          <w:position w:val="8"/>
          <w:sz w:val="15"/>
        </w:rPr>
        <w:t>2</w:t>
      </w:r>
      <w:r>
        <w:rPr/>
        <w:t>，具体见表</w:t>
      </w:r>
      <w:r>
        <w:rPr>
          <w:rFonts w:ascii="Times New Roman" w:eastAsia="Times New Roman"/>
        </w:rPr>
        <w:t>5.5-3</w:t>
      </w:r>
      <w:r>
        <w:rPr/>
        <w:t>、</w:t>
      </w:r>
      <w:r>
        <w:rPr>
          <w:rFonts w:ascii="Times New Roman" w:eastAsia="Times New Roman"/>
        </w:rPr>
        <w:t>5.5-4</w:t>
      </w:r>
      <w:r>
        <w:rPr/>
        <w:t>。</w:t>
      </w:r>
    </w:p>
    <w:p>
      <w:pPr>
        <w:spacing w:line="267" w:lineRule="exact" w:before="0"/>
        <w:ind w:left="0" w:right="7" w:firstLine="0"/>
        <w:jc w:val="center"/>
        <w:rPr>
          <w:rFonts w:ascii="黑体" w:eastAsia="黑体" w:hint="eastAsia"/>
          <w:b/>
          <w:sz w:val="21"/>
        </w:rPr>
      </w:pPr>
      <w:r>
        <w:rPr>
          <w:rFonts w:ascii="黑体" w:eastAsia="黑体" w:hint="eastAsia"/>
          <w:b/>
          <w:sz w:val="21"/>
        </w:rPr>
        <w:t>表</w:t>
      </w:r>
      <w:r>
        <w:rPr>
          <w:rFonts w:ascii="Times New Roman" w:eastAsia="Times New Roman"/>
          <w:b/>
          <w:sz w:val="21"/>
        </w:rPr>
        <w:t>5.5-3  </w:t>
      </w:r>
      <w:r>
        <w:rPr>
          <w:rFonts w:ascii="黑体" w:eastAsia="黑体" w:hint="eastAsia"/>
          <w:b/>
          <w:sz w:val="21"/>
        </w:rPr>
        <w:t>复垦区土地利用现状表</w:t>
      </w:r>
    </w:p>
    <w:p>
      <w:pPr>
        <w:pStyle w:val="BodyText"/>
        <w:spacing w:before="11"/>
        <w:rPr>
          <w:rFonts w:ascii="黑体"/>
          <w:b/>
          <w:sz w:val="1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0"/>
        <w:gridCol w:w="1386"/>
        <w:gridCol w:w="1454"/>
        <w:gridCol w:w="1244"/>
        <w:gridCol w:w="1439"/>
        <w:gridCol w:w="1579"/>
      </w:tblGrid>
      <w:tr>
        <w:trPr>
          <w:trHeight w:val="311" w:hRule="atLeast"/>
        </w:trPr>
        <w:tc>
          <w:tcPr>
            <w:tcW w:w="2806" w:type="dxa"/>
            <w:gridSpan w:val="2"/>
          </w:tcPr>
          <w:p>
            <w:pPr>
              <w:pStyle w:val="TableParagraph"/>
              <w:spacing w:before="29"/>
              <w:ind w:left="1083" w:right="1072"/>
              <w:rPr>
                <w:sz w:val="20"/>
              </w:rPr>
            </w:pPr>
            <w:r>
              <w:rPr>
                <w:sz w:val="20"/>
              </w:rPr>
              <w:t>一级类</w:t>
            </w:r>
          </w:p>
        </w:tc>
        <w:tc>
          <w:tcPr>
            <w:tcW w:w="2698" w:type="dxa"/>
            <w:gridSpan w:val="2"/>
          </w:tcPr>
          <w:p>
            <w:pPr>
              <w:pStyle w:val="TableParagraph"/>
              <w:spacing w:before="29"/>
              <w:ind w:left="1028" w:right="1020"/>
              <w:rPr>
                <w:sz w:val="20"/>
              </w:rPr>
            </w:pPr>
            <w:r>
              <w:rPr>
                <w:sz w:val="20"/>
              </w:rPr>
              <w:t>二级类</w:t>
            </w:r>
          </w:p>
        </w:tc>
        <w:tc>
          <w:tcPr>
            <w:tcW w:w="1439" w:type="dxa"/>
          </w:tcPr>
          <w:p>
            <w:pPr>
              <w:pStyle w:val="TableParagraph"/>
              <w:spacing w:before="29"/>
              <w:ind w:left="138" w:right="130"/>
              <w:rPr>
                <w:sz w:val="20"/>
              </w:rPr>
            </w:pPr>
            <w:r>
              <w:rPr>
                <w:sz w:val="20"/>
              </w:rPr>
              <w:t>面积（</w:t>
            </w:r>
            <w:r>
              <w:rPr>
                <w:rFonts w:ascii="Times New Roman" w:eastAsia="Times New Roman"/>
                <w:sz w:val="20"/>
              </w:rPr>
              <w:t>hm</w:t>
            </w:r>
            <w:r>
              <w:rPr>
                <w:rFonts w:ascii="Times New Roman" w:eastAsia="Times New Roman"/>
                <w:position w:val="7"/>
                <w:sz w:val="13"/>
              </w:rPr>
              <w:t>2</w:t>
            </w:r>
            <w:r>
              <w:rPr>
                <w:sz w:val="20"/>
              </w:rPr>
              <w:t>）</w:t>
            </w:r>
          </w:p>
        </w:tc>
        <w:tc>
          <w:tcPr>
            <w:tcW w:w="1579" w:type="dxa"/>
          </w:tcPr>
          <w:p>
            <w:pPr>
              <w:pStyle w:val="TableParagraph"/>
              <w:spacing w:before="29"/>
              <w:ind w:left="87" w:right="75"/>
              <w:rPr>
                <w:sz w:val="20"/>
              </w:rPr>
            </w:pPr>
            <w:r>
              <w:rPr>
                <w:sz w:val="20"/>
              </w:rPr>
              <w:t>所占比例（</w:t>
            </w:r>
            <w:r>
              <w:rPr>
                <w:rFonts w:ascii="Times New Roman" w:eastAsia="Times New Roman"/>
                <w:sz w:val="20"/>
              </w:rPr>
              <w:t>%</w:t>
            </w:r>
            <w:r>
              <w:rPr>
                <w:sz w:val="20"/>
              </w:rPr>
              <w:t>）</w:t>
            </w:r>
          </w:p>
        </w:tc>
      </w:tr>
      <w:tr>
        <w:trPr>
          <w:trHeight w:val="312" w:hRule="atLeast"/>
        </w:trPr>
        <w:tc>
          <w:tcPr>
            <w:tcW w:w="1420" w:type="dxa"/>
          </w:tcPr>
          <w:p>
            <w:pPr>
              <w:pStyle w:val="TableParagraph"/>
              <w:spacing w:before="42"/>
              <w:ind w:left="487" w:right="478"/>
              <w:rPr>
                <w:rFonts w:ascii="Times New Roman"/>
                <w:sz w:val="20"/>
              </w:rPr>
            </w:pPr>
            <w:r>
              <w:rPr>
                <w:rFonts w:ascii="Times New Roman"/>
                <w:sz w:val="20"/>
              </w:rPr>
              <w:t>03</w:t>
            </w:r>
          </w:p>
        </w:tc>
        <w:tc>
          <w:tcPr>
            <w:tcW w:w="1386" w:type="dxa"/>
          </w:tcPr>
          <w:p>
            <w:pPr>
              <w:pStyle w:val="TableParagraph"/>
              <w:spacing w:before="28"/>
              <w:ind w:left="171" w:right="164"/>
              <w:rPr>
                <w:sz w:val="20"/>
              </w:rPr>
            </w:pPr>
            <w:r>
              <w:rPr>
                <w:sz w:val="20"/>
              </w:rPr>
              <w:t>林地</w:t>
            </w:r>
          </w:p>
        </w:tc>
        <w:tc>
          <w:tcPr>
            <w:tcW w:w="1454" w:type="dxa"/>
          </w:tcPr>
          <w:p>
            <w:pPr>
              <w:pStyle w:val="TableParagraph"/>
              <w:spacing w:before="42"/>
              <w:ind w:left="557" w:right="547"/>
              <w:rPr>
                <w:rFonts w:ascii="Times New Roman"/>
                <w:sz w:val="20"/>
              </w:rPr>
            </w:pPr>
            <w:r>
              <w:rPr>
                <w:rFonts w:ascii="Times New Roman"/>
                <w:sz w:val="20"/>
              </w:rPr>
              <w:t>031</w:t>
            </w:r>
          </w:p>
        </w:tc>
        <w:tc>
          <w:tcPr>
            <w:tcW w:w="1244" w:type="dxa"/>
          </w:tcPr>
          <w:p>
            <w:pPr>
              <w:pStyle w:val="TableParagraph"/>
              <w:spacing w:before="28"/>
              <w:ind w:left="200" w:right="192"/>
              <w:rPr>
                <w:sz w:val="20"/>
              </w:rPr>
            </w:pPr>
            <w:r>
              <w:rPr>
                <w:sz w:val="20"/>
              </w:rPr>
              <w:t>有林地</w:t>
            </w:r>
          </w:p>
        </w:tc>
        <w:tc>
          <w:tcPr>
            <w:tcW w:w="1439" w:type="dxa"/>
          </w:tcPr>
          <w:p>
            <w:pPr>
              <w:pStyle w:val="TableParagraph"/>
              <w:spacing w:before="42"/>
              <w:ind w:left="137" w:right="130"/>
              <w:rPr>
                <w:rFonts w:ascii="Times New Roman"/>
                <w:sz w:val="20"/>
              </w:rPr>
            </w:pPr>
            <w:r>
              <w:rPr>
                <w:rFonts w:ascii="Times New Roman"/>
                <w:sz w:val="20"/>
              </w:rPr>
              <w:t>36.80</w:t>
            </w:r>
          </w:p>
        </w:tc>
        <w:tc>
          <w:tcPr>
            <w:tcW w:w="1579" w:type="dxa"/>
          </w:tcPr>
          <w:p>
            <w:pPr>
              <w:pStyle w:val="TableParagraph"/>
              <w:spacing w:before="42"/>
              <w:ind w:left="83" w:right="75"/>
              <w:rPr>
                <w:rFonts w:ascii="Times New Roman"/>
                <w:sz w:val="20"/>
              </w:rPr>
            </w:pPr>
            <w:r>
              <w:rPr>
                <w:rFonts w:ascii="Times New Roman"/>
                <w:sz w:val="20"/>
              </w:rPr>
              <w:t>94.02</w:t>
            </w:r>
          </w:p>
        </w:tc>
      </w:tr>
      <w:tr>
        <w:trPr>
          <w:trHeight w:val="624" w:hRule="atLeast"/>
        </w:trPr>
        <w:tc>
          <w:tcPr>
            <w:tcW w:w="1420" w:type="dxa"/>
          </w:tcPr>
          <w:p>
            <w:pPr>
              <w:pStyle w:val="TableParagraph"/>
              <w:spacing w:before="197"/>
              <w:ind w:left="487" w:right="478"/>
              <w:rPr>
                <w:rFonts w:ascii="Times New Roman"/>
                <w:sz w:val="20"/>
              </w:rPr>
            </w:pPr>
            <w:r>
              <w:rPr>
                <w:rFonts w:ascii="Times New Roman"/>
                <w:sz w:val="20"/>
              </w:rPr>
              <w:t>20</w:t>
            </w:r>
          </w:p>
        </w:tc>
        <w:tc>
          <w:tcPr>
            <w:tcW w:w="1386" w:type="dxa"/>
          </w:tcPr>
          <w:p>
            <w:pPr>
              <w:pStyle w:val="TableParagraph"/>
              <w:spacing w:before="28"/>
              <w:ind w:left="171" w:right="164"/>
              <w:rPr>
                <w:sz w:val="20"/>
              </w:rPr>
            </w:pPr>
            <w:r>
              <w:rPr>
                <w:sz w:val="20"/>
              </w:rPr>
              <w:t>城镇村及工</w:t>
            </w:r>
          </w:p>
          <w:p>
            <w:pPr>
              <w:pStyle w:val="TableParagraph"/>
              <w:spacing w:before="56"/>
              <w:ind w:left="171" w:right="164"/>
              <w:rPr>
                <w:sz w:val="20"/>
              </w:rPr>
            </w:pPr>
            <w:r>
              <w:rPr>
                <w:sz w:val="20"/>
              </w:rPr>
              <w:t>矿用地</w:t>
            </w:r>
          </w:p>
        </w:tc>
        <w:tc>
          <w:tcPr>
            <w:tcW w:w="1454" w:type="dxa"/>
          </w:tcPr>
          <w:p>
            <w:pPr>
              <w:pStyle w:val="TableParagraph"/>
              <w:spacing w:before="197"/>
              <w:ind w:left="557" w:right="547"/>
              <w:rPr>
                <w:rFonts w:ascii="Times New Roman"/>
                <w:sz w:val="20"/>
              </w:rPr>
            </w:pPr>
            <w:r>
              <w:rPr>
                <w:rFonts w:ascii="Times New Roman"/>
                <w:sz w:val="20"/>
              </w:rPr>
              <w:t>204</w:t>
            </w:r>
          </w:p>
        </w:tc>
        <w:tc>
          <w:tcPr>
            <w:tcW w:w="1244" w:type="dxa"/>
          </w:tcPr>
          <w:p>
            <w:pPr>
              <w:pStyle w:val="TableParagraph"/>
              <w:spacing w:before="5"/>
              <w:jc w:val="left"/>
              <w:rPr>
                <w:rFonts w:ascii="黑体"/>
                <w:b/>
                <w:sz w:val="14"/>
              </w:rPr>
            </w:pPr>
          </w:p>
          <w:p>
            <w:pPr>
              <w:pStyle w:val="TableParagraph"/>
              <w:ind w:left="200" w:right="194"/>
              <w:rPr>
                <w:sz w:val="20"/>
              </w:rPr>
            </w:pPr>
            <w:r>
              <w:rPr>
                <w:sz w:val="20"/>
              </w:rPr>
              <w:t>采矿用地</w:t>
            </w:r>
          </w:p>
        </w:tc>
        <w:tc>
          <w:tcPr>
            <w:tcW w:w="1439" w:type="dxa"/>
          </w:tcPr>
          <w:p>
            <w:pPr>
              <w:pStyle w:val="TableParagraph"/>
              <w:spacing w:before="197"/>
              <w:ind w:left="138" w:right="128"/>
              <w:rPr>
                <w:rFonts w:ascii="Times New Roman"/>
                <w:sz w:val="20"/>
              </w:rPr>
            </w:pPr>
            <w:r>
              <w:rPr>
                <w:rFonts w:ascii="Times New Roman"/>
                <w:sz w:val="20"/>
              </w:rPr>
              <w:t>2.34</w:t>
            </w:r>
          </w:p>
        </w:tc>
        <w:tc>
          <w:tcPr>
            <w:tcW w:w="1579" w:type="dxa"/>
          </w:tcPr>
          <w:p>
            <w:pPr>
              <w:pStyle w:val="TableParagraph"/>
              <w:spacing w:before="197"/>
              <w:ind w:left="83" w:right="75"/>
              <w:rPr>
                <w:rFonts w:ascii="Times New Roman"/>
                <w:sz w:val="20"/>
              </w:rPr>
            </w:pPr>
            <w:r>
              <w:rPr>
                <w:rFonts w:ascii="Times New Roman"/>
                <w:sz w:val="20"/>
              </w:rPr>
              <w:t>5.98</w:t>
            </w:r>
          </w:p>
        </w:tc>
      </w:tr>
      <w:tr>
        <w:trPr>
          <w:trHeight w:val="311" w:hRule="atLeast"/>
        </w:trPr>
        <w:tc>
          <w:tcPr>
            <w:tcW w:w="1420" w:type="dxa"/>
          </w:tcPr>
          <w:p>
            <w:pPr>
              <w:pStyle w:val="TableParagraph"/>
              <w:spacing w:before="28"/>
              <w:ind w:left="487" w:right="482"/>
              <w:rPr>
                <w:sz w:val="20"/>
              </w:rPr>
            </w:pPr>
            <w:r>
              <w:rPr>
                <w:sz w:val="20"/>
              </w:rPr>
              <w:t>合计</w:t>
            </w:r>
          </w:p>
        </w:tc>
        <w:tc>
          <w:tcPr>
            <w:tcW w:w="1386" w:type="dxa"/>
          </w:tcPr>
          <w:p>
            <w:pPr>
              <w:pStyle w:val="TableParagraph"/>
              <w:jc w:val="left"/>
              <w:rPr>
                <w:rFonts w:ascii="Times New Roman"/>
                <w:sz w:val="20"/>
              </w:rPr>
            </w:pPr>
          </w:p>
        </w:tc>
        <w:tc>
          <w:tcPr>
            <w:tcW w:w="1454" w:type="dxa"/>
          </w:tcPr>
          <w:p>
            <w:pPr>
              <w:pStyle w:val="TableParagraph"/>
              <w:jc w:val="left"/>
              <w:rPr>
                <w:rFonts w:ascii="Times New Roman"/>
                <w:sz w:val="20"/>
              </w:rPr>
            </w:pPr>
          </w:p>
        </w:tc>
        <w:tc>
          <w:tcPr>
            <w:tcW w:w="1244" w:type="dxa"/>
          </w:tcPr>
          <w:p>
            <w:pPr>
              <w:pStyle w:val="TableParagraph"/>
              <w:jc w:val="left"/>
              <w:rPr>
                <w:rFonts w:ascii="Times New Roman"/>
                <w:sz w:val="20"/>
              </w:rPr>
            </w:pPr>
          </w:p>
        </w:tc>
        <w:tc>
          <w:tcPr>
            <w:tcW w:w="1439" w:type="dxa"/>
          </w:tcPr>
          <w:p>
            <w:pPr>
              <w:pStyle w:val="TableParagraph"/>
              <w:spacing w:before="41"/>
              <w:ind w:left="137" w:right="130"/>
              <w:rPr>
                <w:rFonts w:ascii="Times New Roman"/>
                <w:sz w:val="20"/>
              </w:rPr>
            </w:pPr>
            <w:r>
              <w:rPr>
                <w:rFonts w:ascii="Times New Roman"/>
                <w:sz w:val="20"/>
              </w:rPr>
              <w:t>39.14</w:t>
            </w:r>
          </w:p>
        </w:tc>
        <w:tc>
          <w:tcPr>
            <w:tcW w:w="1579" w:type="dxa"/>
          </w:tcPr>
          <w:p>
            <w:pPr>
              <w:pStyle w:val="TableParagraph"/>
              <w:spacing w:before="41"/>
              <w:ind w:left="83" w:right="75"/>
              <w:rPr>
                <w:rFonts w:ascii="Times New Roman"/>
                <w:sz w:val="20"/>
              </w:rPr>
            </w:pPr>
            <w:r>
              <w:rPr>
                <w:rFonts w:ascii="Times New Roman"/>
                <w:sz w:val="20"/>
              </w:rPr>
              <w:t>100.00</w:t>
            </w:r>
          </w:p>
        </w:tc>
      </w:tr>
    </w:tbl>
    <w:p>
      <w:pPr>
        <w:spacing w:before="1"/>
        <w:ind w:left="0" w:right="5" w:firstLine="0"/>
        <w:jc w:val="center"/>
        <w:rPr>
          <w:rFonts w:ascii="黑体" w:eastAsia="黑体" w:hint="eastAsia"/>
          <w:b/>
          <w:sz w:val="21"/>
        </w:rPr>
      </w:pPr>
      <w:r>
        <w:rPr>
          <w:rFonts w:ascii="黑体" w:eastAsia="黑体" w:hint="eastAsia"/>
          <w:b/>
          <w:sz w:val="21"/>
        </w:rPr>
        <w:t>表</w:t>
      </w:r>
      <w:r>
        <w:rPr>
          <w:rFonts w:ascii="Times New Roman" w:eastAsia="Times New Roman"/>
          <w:b/>
          <w:sz w:val="21"/>
        </w:rPr>
        <w:t>5.5-4 </w:t>
      </w:r>
      <w:r>
        <w:rPr>
          <w:rFonts w:ascii="黑体" w:eastAsia="黑体" w:hint="eastAsia"/>
          <w:b/>
          <w:sz w:val="21"/>
        </w:rPr>
        <w:t>复垦责任范围土地利用现状表</w:t>
      </w:r>
    </w:p>
    <w:p>
      <w:pPr>
        <w:pStyle w:val="BodyText"/>
        <w:spacing w:before="11"/>
        <w:rPr>
          <w:rFonts w:ascii="黑体"/>
          <w:b/>
          <w:sz w:val="10"/>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0"/>
        <w:gridCol w:w="1386"/>
        <w:gridCol w:w="1454"/>
        <w:gridCol w:w="1244"/>
        <w:gridCol w:w="1439"/>
        <w:gridCol w:w="1579"/>
      </w:tblGrid>
      <w:tr>
        <w:trPr>
          <w:trHeight w:val="312" w:hRule="atLeast"/>
        </w:trPr>
        <w:tc>
          <w:tcPr>
            <w:tcW w:w="2806" w:type="dxa"/>
            <w:gridSpan w:val="2"/>
          </w:tcPr>
          <w:p>
            <w:pPr>
              <w:pStyle w:val="TableParagraph"/>
              <w:spacing w:before="26"/>
              <w:ind w:left="1083" w:right="1072"/>
              <w:rPr>
                <w:sz w:val="20"/>
              </w:rPr>
            </w:pPr>
            <w:r>
              <w:rPr>
                <w:sz w:val="20"/>
              </w:rPr>
              <w:t>一级类</w:t>
            </w:r>
          </w:p>
        </w:tc>
        <w:tc>
          <w:tcPr>
            <w:tcW w:w="2698" w:type="dxa"/>
            <w:gridSpan w:val="2"/>
          </w:tcPr>
          <w:p>
            <w:pPr>
              <w:pStyle w:val="TableParagraph"/>
              <w:spacing w:before="26"/>
              <w:ind w:left="1028" w:right="1020"/>
              <w:rPr>
                <w:sz w:val="20"/>
              </w:rPr>
            </w:pPr>
            <w:r>
              <w:rPr>
                <w:sz w:val="20"/>
              </w:rPr>
              <w:t>二级类</w:t>
            </w:r>
          </w:p>
        </w:tc>
        <w:tc>
          <w:tcPr>
            <w:tcW w:w="1439" w:type="dxa"/>
          </w:tcPr>
          <w:p>
            <w:pPr>
              <w:pStyle w:val="TableParagraph"/>
              <w:spacing w:before="26"/>
              <w:ind w:left="138" w:right="130"/>
              <w:rPr>
                <w:sz w:val="20"/>
              </w:rPr>
            </w:pPr>
            <w:r>
              <w:rPr>
                <w:sz w:val="20"/>
              </w:rPr>
              <w:t>面积（</w:t>
            </w:r>
            <w:r>
              <w:rPr>
                <w:rFonts w:ascii="Times New Roman" w:eastAsia="Times New Roman"/>
                <w:sz w:val="20"/>
              </w:rPr>
              <w:t>hm</w:t>
            </w:r>
            <w:r>
              <w:rPr>
                <w:rFonts w:ascii="Times New Roman" w:eastAsia="Times New Roman"/>
                <w:position w:val="7"/>
                <w:sz w:val="13"/>
              </w:rPr>
              <w:t>2</w:t>
            </w:r>
            <w:r>
              <w:rPr>
                <w:sz w:val="20"/>
              </w:rPr>
              <w:t>）</w:t>
            </w:r>
          </w:p>
        </w:tc>
        <w:tc>
          <w:tcPr>
            <w:tcW w:w="1579" w:type="dxa"/>
          </w:tcPr>
          <w:p>
            <w:pPr>
              <w:pStyle w:val="TableParagraph"/>
              <w:spacing w:before="26"/>
              <w:ind w:left="87" w:right="75"/>
              <w:rPr>
                <w:sz w:val="20"/>
              </w:rPr>
            </w:pPr>
            <w:r>
              <w:rPr>
                <w:sz w:val="20"/>
              </w:rPr>
              <w:t>所占比例（</w:t>
            </w:r>
            <w:r>
              <w:rPr>
                <w:rFonts w:ascii="Times New Roman" w:eastAsia="Times New Roman"/>
                <w:sz w:val="20"/>
              </w:rPr>
              <w:t>%</w:t>
            </w:r>
            <w:r>
              <w:rPr>
                <w:sz w:val="20"/>
              </w:rPr>
              <w:t>）</w:t>
            </w:r>
          </w:p>
        </w:tc>
      </w:tr>
      <w:tr>
        <w:trPr>
          <w:trHeight w:val="623" w:hRule="atLeast"/>
        </w:trPr>
        <w:tc>
          <w:tcPr>
            <w:tcW w:w="1420" w:type="dxa"/>
          </w:tcPr>
          <w:p>
            <w:pPr>
              <w:pStyle w:val="TableParagraph"/>
              <w:spacing w:before="197"/>
              <w:ind w:left="487" w:right="478"/>
              <w:rPr>
                <w:rFonts w:ascii="Times New Roman"/>
                <w:sz w:val="20"/>
              </w:rPr>
            </w:pPr>
            <w:r>
              <w:rPr>
                <w:rFonts w:ascii="Times New Roman"/>
                <w:sz w:val="20"/>
              </w:rPr>
              <w:t>20</w:t>
            </w:r>
          </w:p>
        </w:tc>
        <w:tc>
          <w:tcPr>
            <w:tcW w:w="1386" w:type="dxa"/>
          </w:tcPr>
          <w:p>
            <w:pPr>
              <w:pStyle w:val="TableParagraph"/>
              <w:spacing w:before="28"/>
              <w:ind w:left="171" w:right="164"/>
              <w:rPr>
                <w:sz w:val="20"/>
              </w:rPr>
            </w:pPr>
            <w:r>
              <w:rPr>
                <w:sz w:val="20"/>
              </w:rPr>
              <w:t>城镇村及工</w:t>
            </w:r>
          </w:p>
          <w:p>
            <w:pPr>
              <w:pStyle w:val="TableParagraph"/>
              <w:spacing w:before="56"/>
              <w:ind w:left="171" w:right="164"/>
              <w:rPr>
                <w:sz w:val="20"/>
              </w:rPr>
            </w:pPr>
            <w:r>
              <w:rPr>
                <w:sz w:val="20"/>
              </w:rPr>
              <w:t>矿用地</w:t>
            </w:r>
          </w:p>
        </w:tc>
        <w:tc>
          <w:tcPr>
            <w:tcW w:w="1454" w:type="dxa"/>
          </w:tcPr>
          <w:p>
            <w:pPr>
              <w:pStyle w:val="TableParagraph"/>
              <w:spacing w:before="197"/>
              <w:ind w:left="557" w:right="547"/>
              <w:rPr>
                <w:rFonts w:ascii="Times New Roman"/>
                <w:sz w:val="20"/>
              </w:rPr>
            </w:pPr>
            <w:r>
              <w:rPr>
                <w:rFonts w:ascii="Times New Roman"/>
                <w:sz w:val="20"/>
              </w:rPr>
              <w:t>204</w:t>
            </w:r>
          </w:p>
        </w:tc>
        <w:tc>
          <w:tcPr>
            <w:tcW w:w="1244" w:type="dxa"/>
          </w:tcPr>
          <w:p>
            <w:pPr>
              <w:pStyle w:val="TableParagraph"/>
              <w:spacing w:before="4"/>
              <w:jc w:val="left"/>
              <w:rPr>
                <w:rFonts w:ascii="黑体"/>
                <w:b/>
                <w:sz w:val="14"/>
              </w:rPr>
            </w:pPr>
          </w:p>
          <w:p>
            <w:pPr>
              <w:pStyle w:val="TableParagraph"/>
              <w:spacing w:before="1"/>
              <w:ind w:left="220"/>
              <w:jc w:val="left"/>
              <w:rPr>
                <w:sz w:val="20"/>
              </w:rPr>
            </w:pPr>
            <w:r>
              <w:rPr>
                <w:sz w:val="20"/>
              </w:rPr>
              <w:t>采矿用地</w:t>
            </w:r>
          </w:p>
        </w:tc>
        <w:tc>
          <w:tcPr>
            <w:tcW w:w="1439" w:type="dxa"/>
          </w:tcPr>
          <w:p>
            <w:pPr>
              <w:pStyle w:val="TableParagraph"/>
              <w:spacing w:before="197"/>
              <w:ind w:left="138" w:right="128"/>
              <w:rPr>
                <w:rFonts w:ascii="Times New Roman"/>
                <w:sz w:val="20"/>
              </w:rPr>
            </w:pPr>
            <w:r>
              <w:rPr>
                <w:rFonts w:ascii="Times New Roman"/>
                <w:sz w:val="20"/>
              </w:rPr>
              <w:t>2.34</w:t>
            </w:r>
          </w:p>
        </w:tc>
        <w:tc>
          <w:tcPr>
            <w:tcW w:w="1579" w:type="dxa"/>
          </w:tcPr>
          <w:p>
            <w:pPr>
              <w:pStyle w:val="TableParagraph"/>
              <w:spacing w:before="197"/>
              <w:ind w:left="83" w:right="75"/>
              <w:rPr>
                <w:rFonts w:ascii="Times New Roman"/>
                <w:sz w:val="20"/>
              </w:rPr>
            </w:pPr>
            <w:r>
              <w:rPr>
                <w:rFonts w:ascii="Times New Roman"/>
                <w:sz w:val="20"/>
              </w:rPr>
              <w:t>100.00</w:t>
            </w:r>
          </w:p>
        </w:tc>
      </w:tr>
      <w:tr>
        <w:trPr>
          <w:trHeight w:val="312" w:hRule="atLeast"/>
        </w:trPr>
        <w:tc>
          <w:tcPr>
            <w:tcW w:w="1420" w:type="dxa"/>
          </w:tcPr>
          <w:p>
            <w:pPr>
              <w:pStyle w:val="TableParagraph"/>
              <w:spacing w:before="27"/>
              <w:ind w:left="487" w:right="482"/>
              <w:rPr>
                <w:sz w:val="20"/>
              </w:rPr>
            </w:pPr>
            <w:r>
              <w:rPr>
                <w:sz w:val="20"/>
              </w:rPr>
              <w:t>合计</w:t>
            </w:r>
          </w:p>
        </w:tc>
        <w:tc>
          <w:tcPr>
            <w:tcW w:w="1386" w:type="dxa"/>
          </w:tcPr>
          <w:p>
            <w:pPr>
              <w:pStyle w:val="TableParagraph"/>
              <w:jc w:val="left"/>
              <w:rPr>
                <w:rFonts w:ascii="Times New Roman"/>
                <w:sz w:val="20"/>
              </w:rPr>
            </w:pPr>
          </w:p>
        </w:tc>
        <w:tc>
          <w:tcPr>
            <w:tcW w:w="1454" w:type="dxa"/>
          </w:tcPr>
          <w:p>
            <w:pPr>
              <w:pStyle w:val="TableParagraph"/>
              <w:jc w:val="left"/>
              <w:rPr>
                <w:rFonts w:ascii="Times New Roman"/>
                <w:sz w:val="20"/>
              </w:rPr>
            </w:pPr>
          </w:p>
        </w:tc>
        <w:tc>
          <w:tcPr>
            <w:tcW w:w="1244" w:type="dxa"/>
          </w:tcPr>
          <w:p>
            <w:pPr>
              <w:pStyle w:val="TableParagraph"/>
              <w:jc w:val="left"/>
              <w:rPr>
                <w:rFonts w:ascii="Times New Roman"/>
                <w:sz w:val="20"/>
              </w:rPr>
            </w:pPr>
          </w:p>
        </w:tc>
        <w:tc>
          <w:tcPr>
            <w:tcW w:w="1439" w:type="dxa"/>
          </w:tcPr>
          <w:p>
            <w:pPr>
              <w:pStyle w:val="TableParagraph"/>
              <w:spacing w:before="41"/>
              <w:ind w:left="138" w:right="128"/>
              <w:rPr>
                <w:rFonts w:ascii="Times New Roman"/>
                <w:sz w:val="20"/>
              </w:rPr>
            </w:pPr>
            <w:r>
              <w:rPr>
                <w:rFonts w:ascii="Times New Roman"/>
                <w:sz w:val="20"/>
              </w:rPr>
              <w:t>2.34</w:t>
            </w:r>
          </w:p>
        </w:tc>
        <w:tc>
          <w:tcPr>
            <w:tcW w:w="1579" w:type="dxa"/>
          </w:tcPr>
          <w:p>
            <w:pPr>
              <w:pStyle w:val="TableParagraph"/>
              <w:spacing w:before="41"/>
              <w:ind w:left="83" w:right="75"/>
              <w:rPr>
                <w:rFonts w:ascii="Times New Roman"/>
                <w:sz w:val="20"/>
              </w:rPr>
            </w:pPr>
            <w:r>
              <w:rPr>
                <w:rFonts w:ascii="Times New Roman"/>
                <w:sz w:val="20"/>
              </w:rPr>
              <w:t>100.00</w:t>
            </w:r>
          </w:p>
        </w:tc>
      </w:tr>
    </w:tbl>
    <w:p>
      <w:pPr>
        <w:pStyle w:val="BodyText"/>
        <w:rPr>
          <w:rFonts w:ascii="黑体"/>
          <w:b/>
          <w:sz w:val="22"/>
        </w:rPr>
      </w:pPr>
    </w:p>
    <w:p>
      <w:pPr>
        <w:pStyle w:val="BodyText"/>
        <w:spacing w:before="11"/>
        <w:rPr>
          <w:rFonts w:ascii="黑体"/>
          <w:b/>
          <w:sz w:val="20"/>
        </w:rPr>
      </w:pPr>
    </w:p>
    <w:p>
      <w:pPr>
        <w:pStyle w:val="Heading4"/>
        <w:numPr>
          <w:ilvl w:val="3"/>
          <w:numId w:val="41"/>
        </w:numPr>
        <w:tabs>
          <w:tab w:pos="1492" w:val="left" w:leader="none"/>
        </w:tabs>
        <w:spacing w:line="240" w:lineRule="auto" w:before="0" w:after="0"/>
        <w:ind w:left="1492" w:right="0" w:hanging="781"/>
        <w:jc w:val="left"/>
        <w:rPr>
          <w:rFonts w:ascii="Times New Roman" w:eastAsia="Times New Roman"/>
        </w:rPr>
      </w:pPr>
      <w:r>
        <w:rPr/>
        <w:t>土地复垦、生态综合整治方案</w:t>
      </w:r>
    </w:p>
    <w:p>
      <w:pPr>
        <w:pStyle w:val="BodyText"/>
        <w:spacing w:before="160"/>
        <w:ind w:left="1191"/>
      </w:pPr>
      <w:r>
        <w:rPr>
          <w:rFonts w:ascii="Times New Roman" w:eastAsia="Times New Roman"/>
        </w:rPr>
        <w:t>1</w:t>
      </w:r>
      <w:r>
        <w:rPr/>
        <w:t>、预防控制措施</w:t>
      </w:r>
    </w:p>
    <w:p>
      <w:pPr>
        <w:pStyle w:val="ListParagraph"/>
        <w:numPr>
          <w:ilvl w:val="0"/>
          <w:numId w:val="43"/>
        </w:numPr>
        <w:tabs>
          <w:tab w:pos="1793" w:val="left" w:leader="none"/>
        </w:tabs>
        <w:spacing w:line="240" w:lineRule="auto" w:before="161" w:after="0"/>
        <w:ind w:left="1793" w:right="0" w:hanging="602"/>
        <w:jc w:val="left"/>
        <w:rPr>
          <w:sz w:val="24"/>
        </w:rPr>
      </w:pPr>
      <w:r>
        <w:rPr>
          <w:spacing w:val="-3"/>
          <w:sz w:val="24"/>
        </w:rPr>
        <w:t>根据开发项目对土地破坏的特征和矿井所在区域自然环境特点，编制矿</w:t>
      </w:r>
    </w:p>
    <w:p>
      <w:pPr>
        <w:spacing w:after="0" w:line="240" w:lineRule="auto"/>
        <w:jc w:val="left"/>
        <w:rPr>
          <w:sz w:val="24"/>
        </w:rPr>
        <w:sectPr>
          <w:pgSz w:w="11910" w:h="16840"/>
          <w:pgMar w:header="0" w:footer="993" w:top="1420" w:bottom="1180" w:left="1040" w:right="600"/>
        </w:sectPr>
      </w:pPr>
    </w:p>
    <w:p>
      <w:pPr>
        <w:pStyle w:val="BodyText"/>
        <w:spacing w:before="42"/>
        <w:ind w:left="711"/>
      </w:pPr>
      <w:r>
        <w:rPr/>
        <w:t>井生产土地复垦方案，并严格落实。</w:t>
      </w:r>
    </w:p>
    <w:p>
      <w:pPr>
        <w:pStyle w:val="ListParagraph"/>
        <w:numPr>
          <w:ilvl w:val="0"/>
          <w:numId w:val="43"/>
        </w:numPr>
        <w:tabs>
          <w:tab w:pos="1793" w:val="left" w:leader="none"/>
        </w:tabs>
        <w:spacing w:line="364" w:lineRule="auto" w:before="160" w:after="0"/>
        <w:ind w:left="711" w:right="1153" w:firstLine="480"/>
        <w:jc w:val="both"/>
        <w:rPr>
          <w:sz w:val="24"/>
        </w:rPr>
      </w:pPr>
      <w:r>
        <w:rPr>
          <w:spacing w:val="-7"/>
          <w:sz w:val="24"/>
        </w:rPr>
        <w:t>对地表破坏情况进行监测，包括破坏范围、程度、时间等因子实施动</w:t>
      </w:r>
      <w:r>
        <w:rPr>
          <w:spacing w:val="-4"/>
          <w:sz w:val="24"/>
        </w:rPr>
        <w:t>态监测，建立地表破坏程度与地表变形移动特征参数、采煤工艺参数之间的相关</w:t>
      </w:r>
      <w:r>
        <w:rPr>
          <w:spacing w:val="-5"/>
          <w:sz w:val="24"/>
        </w:rPr>
        <w:t>关系，以减缓对地表土地破坏为原则，及时调整采煤工艺参数。</w:t>
      </w:r>
    </w:p>
    <w:p>
      <w:pPr>
        <w:pStyle w:val="ListParagraph"/>
        <w:numPr>
          <w:ilvl w:val="0"/>
          <w:numId w:val="43"/>
        </w:numPr>
        <w:tabs>
          <w:tab w:pos="1793" w:val="left" w:leader="none"/>
        </w:tabs>
        <w:spacing w:line="364" w:lineRule="auto" w:before="2" w:after="0"/>
        <w:ind w:left="711" w:right="1153" w:firstLine="480"/>
        <w:jc w:val="left"/>
        <w:rPr>
          <w:sz w:val="24"/>
        </w:rPr>
      </w:pPr>
      <w:r>
        <w:rPr>
          <w:spacing w:val="-6"/>
          <w:sz w:val="24"/>
        </w:rPr>
        <w:t>及时填充沉陷盆地边缘裂缝，本项目位于丘陵地区，挖高填低，进行</w:t>
      </w:r>
      <w:r>
        <w:rPr>
          <w:spacing w:val="-4"/>
          <w:sz w:val="24"/>
        </w:rPr>
        <w:t>土地平整；在沉陷盆地基本恢复以后，及时进行整理复垦，恢复土地使用功能。</w:t>
      </w:r>
    </w:p>
    <w:p>
      <w:pPr>
        <w:pStyle w:val="BodyText"/>
        <w:spacing w:before="1"/>
        <w:ind w:left="1191"/>
      </w:pPr>
      <w:r>
        <w:rPr>
          <w:rFonts w:ascii="Times New Roman" w:eastAsia="Times New Roman"/>
        </w:rPr>
        <w:t>2</w:t>
      </w:r>
      <w:r>
        <w:rPr/>
        <w:t>、工程技术措施</w:t>
      </w:r>
    </w:p>
    <w:p>
      <w:pPr>
        <w:pStyle w:val="BodyText"/>
        <w:spacing w:line="364" w:lineRule="auto" w:before="82"/>
        <w:ind w:left="711" w:right="1149" w:firstLine="480"/>
        <w:jc w:val="both"/>
      </w:pPr>
      <w:r>
        <w:rPr>
          <w:spacing w:val="-4"/>
        </w:rPr>
        <w:t>将工业广场复垦为有林地。工业广场房面积为</w:t>
      </w:r>
      <w:r>
        <w:rPr>
          <w:rFonts w:ascii="Times New Roman" w:eastAsia="Times New Roman"/>
        </w:rPr>
        <w:t>2.34hm</w:t>
      </w:r>
      <w:r>
        <w:rPr>
          <w:rFonts w:ascii="Times New Roman" w:eastAsia="Times New Roman"/>
          <w:position w:val="8"/>
          <w:sz w:val="15"/>
        </w:rPr>
        <w:t>2</w:t>
      </w:r>
      <w:r>
        <w:rPr>
          <w:spacing w:val="-8"/>
        </w:rPr>
        <w:t>。由于工业广场和主井</w:t>
      </w:r>
      <w:r>
        <w:rPr>
          <w:spacing w:val="-1"/>
        </w:rPr>
        <w:t>绞车房建设时没有进行表土剥离。本方案结合项目区的实际情况及工业广场和主井绞车房的复垦方向，无需覆土，对工业广场和主井绞车房板结或硬化的土地清</w:t>
      </w:r>
      <w:r>
        <w:rPr>
          <w:spacing w:val="-3"/>
        </w:rPr>
        <w:t>理后做翻耕处理，翻耕深度为</w:t>
      </w:r>
      <w:r>
        <w:rPr>
          <w:rFonts w:ascii="Times New Roman" w:eastAsia="Times New Roman"/>
          <w:spacing w:val="-4"/>
        </w:rPr>
        <w:t>30cm</w:t>
      </w:r>
      <w:r>
        <w:rPr>
          <w:spacing w:val="-4"/>
        </w:rPr>
        <w:t>，翻耕后使地面土层疏松后种植落叶松，复垦</w:t>
      </w:r>
      <w:r>
        <w:rPr/>
        <w:t>为有林地。</w:t>
      </w:r>
    </w:p>
    <w:p>
      <w:pPr>
        <w:pStyle w:val="ListParagraph"/>
        <w:numPr>
          <w:ilvl w:val="0"/>
          <w:numId w:val="44"/>
        </w:numPr>
        <w:tabs>
          <w:tab w:pos="1793" w:val="left" w:leader="none"/>
        </w:tabs>
        <w:spacing w:line="240" w:lineRule="auto" w:before="77" w:after="0"/>
        <w:ind w:left="1793" w:right="0" w:hanging="602"/>
        <w:jc w:val="left"/>
        <w:rPr>
          <w:sz w:val="24"/>
        </w:rPr>
      </w:pPr>
      <w:r>
        <w:rPr>
          <w:sz w:val="24"/>
        </w:rPr>
        <w:t>裂缝填堵法</w:t>
      </w:r>
    </w:p>
    <w:p>
      <w:pPr>
        <w:pStyle w:val="BodyText"/>
        <w:spacing w:line="364" w:lineRule="auto" w:before="81"/>
        <w:ind w:left="711" w:right="1029" w:firstLine="480"/>
      </w:pPr>
      <w:r>
        <w:rPr/>
        <w:t>矿山开采过程中的矸石大部用于回填采空区和塌陷区，矿井改扩建投产时共布置</w:t>
      </w:r>
      <w:r>
        <w:rPr>
          <w:rFonts w:ascii="Times New Roman" w:hAnsi="Times New Roman" w:eastAsia="Times New Roman"/>
        </w:rPr>
        <w:t>3</w:t>
      </w:r>
      <w:r>
        <w:rPr>
          <w:spacing w:val="-13"/>
        </w:rPr>
        <w:t>条井筒，分别为主斜井、副斜井和回风斜井。主斜井，井口标高为</w:t>
      </w:r>
      <w:r>
        <w:rPr>
          <w:rFonts w:ascii="Times New Roman" w:hAnsi="Times New Roman" w:eastAsia="Times New Roman"/>
        </w:rPr>
        <w:t>+218.5m</w:t>
      </w:r>
      <w:r>
        <w:rPr/>
        <w:t>， 倾角</w:t>
      </w:r>
      <w:r>
        <w:rPr>
          <w:rFonts w:ascii="Times New Roman" w:hAnsi="Times New Roman" w:eastAsia="Times New Roman"/>
          <w:spacing w:val="-9"/>
        </w:rPr>
        <w:t>25°</w:t>
      </w:r>
      <w:r>
        <w:rPr>
          <w:spacing w:val="-3"/>
        </w:rPr>
        <w:t>，井筒斜长为</w:t>
      </w:r>
      <w:r>
        <w:rPr>
          <w:rFonts w:ascii="Times New Roman" w:hAnsi="Times New Roman" w:eastAsia="Times New Roman"/>
          <w:spacing w:val="-8"/>
        </w:rPr>
        <w:t>880m</w:t>
      </w:r>
      <w:r>
        <w:rPr>
          <w:spacing w:val="-3"/>
        </w:rPr>
        <w:t>，井筒断面积为</w:t>
      </w:r>
      <w:r>
        <w:rPr>
          <w:rFonts w:ascii="Times New Roman" w:hAnsi="Times New Roman" w:eastAsia="Times New Roman"/>
        </w:rPr>
        <w:t>7.2m</w:t>
      </w:r>
      <w:r>
        <w:rPr>
          <w:rFonts w:ascii="Times New Roman" w:hAnsi="Times New Roman" w:eastAsia="Times New Roman"/>
          <w:position w:val="8"/>
          <w:sz w:val="15"/>
        </w:rPr>
        <w:t>2</w:t>
      </w:r>
      <w:r>
        <w:rPr>
          <w:spacing w:val="-9"/>
        </w:rPr>
        <w:t>。副斜井，井口标高为</w:t>
      </w:r>
      <w:r>
        <w:rPr>
          <w:rFonts w:ascii="Times New Roman" w:hAnsi="Times New Roman" w:eastAsia="Times New Roman"/>
        </w:rPr>
        <w:t>+217.60m</w:t>
      </w:r>
      <w:r>
        <w:rPr/>
        <w:t>， 井筒倾角为</w:t>
      </w:r>
      <w:r>
        <w:rPr>
          <w:rFonts w:ascii="Times New Roman" w:hAnsi="Times New Roman" w:eastAsia="Times New Roman"/>
        </w:rPr>
        <w:t>23°</w:t>
      </w:r>
      <w:r>
        <w:rPr/>
        <w:t>，井筒斜长为</w:t>
      </w:r>
      <w:r>
        <w:rPr>
          <w:rFonts w:ascii="Times New Roman" w:hAnsi="Times New Roman" w:eastAsia="Times New Roman"/>
        </w:rPr>
        <w:t>850m</w:t>
      </w:r>
      <w:r>
        <w:rPr/>
        <w:t>，井筒断面积为</w:t>
      </w:r>
      <w:r>
        <w:rPr>
          <w:rFonts w:ascii="Times New Roman" w:hAnsi="Times New Roman" w:eastAsia="Times New Roman"/>
        </w:rPr>
        <w:t>7.2m</w:t>
      </w:r>
      <w:r>
        <w:rPr>
          <w:rFonts w:ascii="Times New Roman" w:hAnsi="Times New Roman" w:eastAsia="Times New Roman"/>
          <w:position w:val="8"/>
          <w:sz w:val="15"/>
        </w:rPr>
        <w:t>2</w:t>
      </w:r>
      <w:r>
        <w:rPr>
          <w:spacing w:val="-2"/>
        </w:rPr>
        <w:t>。回风斜井，井口标高为</w:t>
      </w:r>
    </w:p>
    <w:p>
      <w:pPr>
        <w:pStyle w:val="BodyText"/>
        <w:spacing w:line="364" w:lineRule="auto"/>
        <w:ind w:left="711" w:right="1153"/>
      </w:pPr>
      <w:r>
        <w:rPr>
          <w:rFonts w:ascii="Times New Roman" w:hAnsi="Times New Roman" w:eastAsia="Times New Roman"/>
        </w:rPr>
        <w:t>+214.22m</w:t>
      </w:r>
      <w:r>
        <w:rPr/>
        <w:t>，井筒倾角为</w:t>
      </w:r>
      <w:r>
        <w:rPr>
          <w:rFonts w:ascii="Times New Roman" w:hAnsi="Times New Roman" w:eastAsia="Times New Roman"/>
        </w:rPr>
        <w:t>24°</w:t>
      </w:r>
      <w:r>
        <w:rPr/>
        <w:t>，井筒斜长为</w:t>
      </w:r>
      <w:r>
        <w:rPr>
          <w:rFonts w:ascii="Times New Roman" w:hAnsi="Times New Roman" w:eastAsia="Times New Roman"/>
        </w:rPr>
        <w:t>840m</w:t>
      </w:r>
      <w:r>
        <w:rPr/>
        <w:t>，井筒断面积为</w:t>
      </w:r>
      <w:r>
        <w:rPr>
          <w:rFonts w:ascii="Times New Roman" w:hAnsi="Times New Roman" w:eastAsia="Times New Roman"/>
        </w:rPr>
        <w:t>8m</w:t>
      </w:r>
      <w:r>
        <w:rPr>
          <w:rFonts w:ascii="Times New Roman" w:hAnsi="Times New Roman" w:eastAsia="Times New Roman"/>
          <w:position w:val="8"/>
          <w:sz w:val="15"/>
        </w:rPr>
        <w:t>2</w:t>
      </w:r>
      <w:r>
        <w:rPr/>
        <w:t>。回填</w:t>
      </w:r>
      <w:r>
        <w:rPr>
          <w:rFonts w:ascii="Times New Roman" w:hAnsi="Times New Roman" w:eastAsia="Times New Roman"/>
        </w:rPr>
        <w:t>3</w:t>
      </w:r>
      <w:r>
        <w:rPr/>
        <w:t>条井筒长度各</w:t>
      </w:r>
      <w:r>
        <w:rPr>
          <w:rFonts w:ascii="Times New Roman" w:hAnsi="Times New Roman" w:eastAsia="Times New Roman"/>
        </w:rPr>
        <w:t>50m</w:t>
      </w:r>
      <w:r>
        <w:rPr/>
        <w:t>，主斜井和副斜井巷道回填量均为</w:t>
      </w:r>
      <w:r>
        <w:rPr>
          <w:rFonts w:ascii="Times New Roman" w:hAnsi="Times New Roman" w:eastAsia="Times New Roman"/>
        </w:rPr>
        <w:t>360m</w:t>
      </w:r>
      <w:r>
        <w:rPr>
          <w:rFonts w:ascii="Times New Roman" w:hAnsi="Times New Roman" w:eastAsia="Times New Roman"/>
          <w:position w:val="8"/>
          <w:sz w:val="15"/>
        </w:rPr>
        <w:t>3</w:t>
      </w:r>
      <w:r>
        <w:rPr/>
        <w:t>，回风斜井巷道回填量为</w:t>
      </w:r>
      <w:r>
        <w:rPr>
          <w:rFonts w:ascii="Times New Roman" w:hAnsi="Times New Roman" w:eastAsia="Times New Roman"/>
          <w:spacing w:val="-4"/>
        </w:rPr>
        <w:t>400m</w:t>
      </w:r>
      <w:r>
        <w:rPr>
          <w:rFonts w:ascii="Times New Roman" w:hAnsi="Times New Roman" w:eastAsia="Times New Roman"/>
          <w:spacing w:val="-4"/>
          <w:position w:val="8"/>
          <w:sz w:val="15"/>
        </w:rPr>
        <w:t>3</w:t>
      </w:r>
      <w:r>
        <w:rPr>
          <w:spacing w:val="-2"/>
        </w:rPr>
        <w:t>，需机械运石</w:t>
      </w:r>
      <w:r>
        <w:rPr>
          <w:rFonts w:ascii="Times New Roman" w:hAnsi="Times New Roman" w:eastAsia="Times New Roman"/>
          <w:spacing w:val="-4"/>
        </w:rPr>
        <w:t>1322m</w:t>
      </w:r>
      <w:r>
        <w:rPr>
          <w:rFonts w:ascii="Times New Roman" w:hAnsi="Times New Roman" w:eastAsia="Times New Roman"/>
          <w:spacing w:val="-4"/>
          <w:position w:val="8"/>
          <w:sz w:val="15"/>
        </w:rPr>
        <w:t>3</w:t>
      </w:r>
      <w:r>
        <w:rPr>
          <w:spacing w:val="-4"/>
        </w:rPr>
        <w:t>（</w:t>
      </w:r>
      <w:r>
        <w:rPr/>
        <w:t>松散系数</w:t>
      </w:r>
      <w:r>
        <w:rPr>
          <w:rFonts w:ascii="Times New Roman" w:hAnsi="Times New Roman" w:eastAsia="Times New Roman"/>
          <w:spacing w:val="-5"/>
        </w:rPr>
        <w:t>1.18</w:t>
      </w:r>
      <w:r>
        <w:rPr>
          <w:spacing w:val="-5"/>
        </w:rPr>
        <w:t>）</w:t>
      </w:r>
      <w:r>
        <w:rPr>
          <w:spacing w:val="-8"/>
        </w:rPr>
        <w:t>。开采结束后，工业广场内构建筑物</w:t>
      </w:r>
      <w:r>
        <w:rPr/>
        <w:t>及井口拆除量约为</w:t>
      </w:r>
      <w:r>
        <w:rPr>
          <w:rFonts w:ascii="Times New Roman" w:hAnsi="Times New Roman" w:eastAsia="Times New Roman"/>
        </w:rPr>
        <w:t>2250m</w:t>
      </w:r>
      <w:r>
        <w:rPr>
          <w:rFonts w:ascii="Times New Roman" w:hAnsi="Times New Roman" w:eastAsia="Times New Roman"/>
          <w:position w:val="8"/>
          <w:sz w:val="15"/>
        </w:rPr>
        <w:t>3</w:t>
      </w:r>
      <w:r>
        <w:rPr/>
        <w:t>，用于井筒回填。</w:t>
      </w:r>
    </w:p>
    <w:p>
      <w:pPr>
        <w:pStyle w:val="ListParagraph"/>
        <w:numPr>
          <w:ilvl w:val="0"/>
          <w:numId w:val="44"/>
        </w:numPr>
        <w:tabs>
          <w:tab w:pos="1793" w:val="left" w:leader="none"/>
        </w:tabs>
        <w:spacing w:line="240" w:lineRule="auto" w:before="75" w:after="0"/>
        <w:ind w:left="1793" w:right="0" w:hanging="602"/>
        <w:jc w:val="left"/>
        <w:rPr>
          <w:sz w:val="24"/>
        </w:rPr>
      </w:pPr>
      <w:r>
        <w:rPr>
          <w:sz w:val="24"/>
        </w:rPr>
        <w:t>平整土地法</w:t>
      </w:r>
    </w:p>
    <w:p>
      <w:pPr>
        <w:pStyle w:val="BodyText"/>
        <w:spacing w:line="364" w:lineRule="auto" w:before="160"/>
        <w:ind w:left="711" w:right="1153" w:firstLine="480"/>
        <w:jc w:val="both"/>
      </w:pPr>
      <w:r>
        <w:rPr/>
        <w:t>对于已稳定的、本身坡度不大的地块，这些地块的破坏程度不大，对农业生产、林草生长的影响有限，采用机械或人工挖方取土，按照不同的机耕条件和灌排条件确定合适的标高和坡度，进行填挖平衡，使各地块的地面坡度保持在规定的标准。</w:t>
      </w:r>
    </w:p>
    <w:p>
      <w:pPr>
        <w:pStyle w:val="BodyText"/>
        <w:spacing w:before="3"/>
        <w:ind w:left="1191"/>
      </w:pPr>
      <w:r>
        <w:rPr>
          <w:rFonts w:ascii="Times New Roman" w:eastAsia="Times New Roman"/>
        </w:rPr>
        <w:t>3</w:t>
      </w:r>
      <w:r>
        <w:rPr/>
        <w:t>、生物复垦措施</w:t>
      </w:r>
    </w:p>
    <w:p>
      <w:pPr>
        <w:pStyle w:val="BodyText"/>
        <w:spacing w:line="364" w:lineRule="auto" w:before="81"/>
        <w:ind w:left="711" w:right="1153" w:firstLine="480"/>
      </w:pPr>
      <w:r>
        <w:rPr/>
        <w:t>参照《土地复垦质量控制标准》和《土地复垦技术标准》等相关技术规范的基础上，针对项目区土地损毁状况，提出工业广场和主井绞车房的复垦标准。</w:t>
      </w:r>
    </w:p>
    <w:p>
      <w:pPr>
        <w:pStyle w:val="BodyText"/>
        <w:spacing w:line="306" w:lineRule="exact"/>
        <w:ind w:left="1191"/>
      </w:pPr>
      <w:r>
        <w:rPr/>
        <w:t>林地复垦标准</w:t>
      </w:r>
    </w:p>
    <w:p>
      <w:pPr>
        <w:spacing w:after="0" w:line="306" w:lineRule="exact"/>
        <w:sectPr>
          <w:pgSz w:w="11910" w:h="16840"/>
          <w:pgMar w:header="0" w:footer="993" w:top="1460" w:bottom="1180" w:left="1040" w:right="600"/>
        </w:sectPr>
      </w:pPr>
    </w:p>
    <w:p>
      <w:pPr>
        <w:pStyle w:val="ListParagraph"/>
        <w:numPr>
          <w:ilvl w:val="0"/>
          <w:numId w:val="45"/>
        </w:numPr>
        <w:tabs>
          <w:tab w:pos="1793" w:val="left" w:leader="none"/>
        </w:tabs>
        <w:spacing w:line="240" w:lineRule="auto" w:before="63" w:after="0"/>
        <w:ind w:left="1793" w:right="0" w:hanging="602"/>
        <w:jc w:val="left"/>
        <w:rPr>
          <w:sz w:val="24"/>
        </w:rPr>
      </w:pPr>
      <w:r>
        <w:rPr>
          <w:spacing w:val="-8"/>
          <w:sz w:val="24"/>
        </w:rPr>
        <w:t>树种选择：为尽快恢复当地生态环境，选取当地适生树种落叶松，树高</w:t>
      </w:r>
    </w:p>
    <w:p>
      <w:pPr>
        <w:pStyle w:val="BodyText"/>
        <w:spacing w:before="160"/>
        <w:ind w:left="711"/>
      </w:pPr>
      <w:r>
        <w:rPr>
          <w:rFonts w:ascii="Times New Roman" w:hAnsi="Times New Roman" w:eastAsia="Times New Roman"/>
        </w:rPr>
        <w:t>0.5—0.8m</w:t>
      </w:r>
      <w:r>
        <w:rPr/>
        <w:t>；</w:t>
      </w:r>
    </w:p>
    <w:p>
      <w:pPr>
        <w:pStyle w:val="BodyText"/>
        <w:spacing w:before="7"/>
        <w:rPr>
          <w:sz w:val="18"/>
        </w:rPr>
      </w:pPr>
    </w:p>
    <w:p>
      <w:pPr>
        <w:pStyle w:val="ListParagraph"/>
        <w:numPr>
          <w:ilvl w:val="0"/>
          <w:numId w:val="45"/>
        </w:numPr>
        <w:tabs>
          <w:tab w:pos="1793" w:val="left" w:leader="none"/>
        </w:tabs>
        <w:spacing w:line="364" w:lineRule="auto" w:before="0" w:after="0"/>
        <w:ind w:left="711" w:right="1149" w:firstLine="480"/>
        <w:jc w:val="left"/>
        <w:rPr>
          <w:sz w:val="24"/>
        </w:rPr>
      </w:pPr>
      <w:r>
        <w:rPr>
          <w:spacing w:val="-3"/>
          <w:sz w:val="24"/>
        </w:rPr>
        <w:t>整地造林：主要采用穴状整地，落叶松树穴的规格为直径 </w:t>
      </w:r>
      <w:r>
        <w:rPr>
          <w:rFonts w:ascii="Times New Roman" w:hAnsi="Times New Roman" w:eastAsia="Times New Roman"/>
          <w:sz w:val="24"/>
        </w:rPr>
        <w:t>40cm</w:t>
      </w:r>
      <w:r>
        <w:rPr>
          <w:spacing w:val="-5"/>
          <w:sz w:val="24"/>
        </w:rPr>
        <w:t>，穴深</w:t>
      </w:r>
      <w:r>
        <w:rPr>
          <w:spacing w:val="-27"/>
          <w:sz w:val="24"/>
        </w:rPr>
        <w:t>为 </w:t>
      </w:r>
      <w:r>
        <w:rPr>
          <w:rFonts w:ascii="Times New Roman" w:hAnsi="Times New Roman" w:eastAsia="Times New Roman"/>
          <w:sz w:val="24"/>
        </w:rPr>
        <w:t>50cm</w:t>
      </w:r>
      <w:r>
        <w:rPr>
          <w:spacing w:val="-3"/>
          <w:sz w:val="24"/>
        </w:rPr>
        <w:t>，为保持水土，防止侵蚀，株、行距 </w:t>
      </w:r>
      <w:r>
        <w:rPr>
          <w:rFonts w:ascii="Times New Roman" w:hAnsi="Times New Roman" w:eastAsia="Times New Roman"/>
          <w:sz w:val="24"/>
        </w:rPr>
        <w:t>2.0m×2.0m</w:t>
      </w:r>
      <w:r>
        <w:rPr>
          <w:spacing w:val="-7"/>
          <w:sz w:val="24"/>
        </w:rPr>
        <w:t>，种植密度应为 </w:t>
      </w:r>
      <w:r>
        <w:rPr>
          <w:rFonts w:ascii="Times New Roman" w:hAnsi="Times New Roman" w:eastAsia="Times New Roman"/>
          <w:sz w:val="24"/>
        </w:rPr>
        <w:t>2000</w:t>
      </w:r>
      <w:r>
        <w:rPr>
          <w:rFonts w:ascii="Times New Roman" w:hAnsi="Times New Roman" w:eastAsia="Times New Roman"/>
          <w:spacing w:val="7"/>
          <w:sz w:val="24"/>
        </w:rPr>
        <w:t> </w:t>
      </w:r>
      <w:r>
        <w:rPr>
          <w:sz w:val="24"/>
        </w:rPr>
        <w:t>穴</w:t>
      </w:r>
    </w:p>
    <w:p>
      <w:pPr>
        <w:pStyle w:val="BodyText"/>
        <w:spacing w:before="1"/>
        <w:ind w:left="711"/>
      </w:pPr>
      <w:r>
        <w:rPr>
          <w:rFonts w:ascii="Times New Roman" w:eastAsia="Times New Roman"/>
        </w:rPr>
        <w:t>/hm</w:t>
      </w:r>
      <w:r>
        <w:rPr>
          <w:rFonts w:ascii="Times New Roman" w:eastAsia="Times New Roman"/>
          <w:position w:val="8"/>
          <w:sz w:val="15"/>
        </w:rPr>
        <w:t>2 </w:t>
      </w:r>
      <w:r>
        <w:rPr/>
        <w:t>左右，植树切忌挖成锅底形或无规则形，使根系无法自然舒展。</w:t>
      </w:r>
    </w:p>
    <w:p>
      <w:pPr>
        <w:pStyle w:val="ListParagraph"/>
        <w:numPr>
          <w:ilvl w:val="0"/>
          <w:numId w:val="45"/>
        </w:numPr>
        <w:tabs>
          <w:tab w:pos="1800" w:val="left" w:leader="none"/>
        </w:tabs>
        <w:spacing w:line="364" w:lineRule="auto" w:before="161" w:after="0"/>
        <w:ind w:left="711" w:right="1147" w:firstLine="480"/>
        <w:jc w:val="left"/>
        <w:rPr>
          <w:sz w:val="24"/>
        </w:rPr>
      </w:pPr>
      <w:r>
        <w:rPr>
          <w:spacing w:val="-4"/>
          <w:sz w:val="24"/>
        </w:rPr>
        <w:t>三年后植树成活率达 </w:t>
      </w:r>
      <w:r>
        <w:rPr>
          <w:rFonts w:ascii="Times New Roman" w:eastAsia="Times New Roman"/>
          <w:sz w:val="24"/>
        </w:rPr>
        <w:t>85%</w:t>
      </w:r>
      <w:r>
        <w:rPr>
          <w:spacing w:val="-6"/>
          <w:sz w:val="24"/>
        </w:rPr>
        <w:t>以上，郁闭度 </w:t>
      </w:r>
      <w:r>
        <w:rPr>
          <w:rFonts w:ascii="Times New Roman" w:eastAsia="Times New Roman"/>
          <w:sz w:val="24"/>
        </w:rPr>
        <w:t>60%</w:t>
      </w:r>
      <w:r>
        <w:rPr>
          <w:sz w:val="24"/>
        </w:rPr>
        <w:t>以上，若管护期发现树木枯死，应及时补栽。</w:t>
      </w:r>
    </w:p>
    <w:p>
      <w:pPr>
        <w:pStyle w:val="Heading3"/>
        <w:numPr>
          <w:ilvl w:val="2"/>
          <w:numId w:val="41"/>
        </w:numPr>
        <w:tabs>
          <w:tab w:pos="1341" w:val="left" w:leader="none"/>
        </w:tabs>
        <w:spacing w:line="282" w:lineRule="exact" w:before="0" w:after="0"/>
        <w:ind w:left="1340" w:right="0" w:hanging="630"/>
        <w:jc w:val="left"/>
      </w:pPr>
      <w:bookmarkStart w:name="5.5.3沉陷区复垦与生态综合整治方案" w:id="194"/>
      <w:bookmarkEnd w:id="194"/>
      <w:r>
        <w:rPr>
          <w:b w:val="0"/>
        </w:rPr>
      </w:r>
      <w:bookmarkStart w:name="5.5.3沉陷区复垦与生态综合整治方案" w:id="195"/>
      <w:bookmarkEnd w:id="195"/>
      <w:r>
        <w:rPr/>
        <w:t>沉陷区复垦与生态综合整治方案</w:t>
      </w:r>
    </w:p>
    <w:p>
      <w:pPr>
        <w:pStyle w:val="ListParagraph"/>
        <w:numPr>
          <w:ilvl w:val="0"/>
          <w:numId w:val="46"/>
        </w:numPr>
        <w:tabs>
          <w:tab w:pos="1793" w:val="left" w:leader="none"/>
        </w:tabs>
        <w:spacing w:line="240" w:lineRule="auto" w:before="264" w:after="0"/>
        <w:ind w:left="1793" w:right="0" w:hanging="602"/>
        <w:jc w:val="left"/>
        <w:rPr>
          <w:sz w:val="24"/>
        </w:rPr>
      </w:pPr>
      <w:r>
        <w:rPr>
          <w:sz w:val="24"/>
        </w:rPr>
        <w:t>破坏特征</w:t>
      </w:r>
    </w:p>
    <w:p>
      <w:pPr>
        <w:pStyle w:val="BodyText"/>
        <w:spacing w:line="364" w:lineRule="auto" w:before="161"/>
        <w:ind w:left="711" w:right="1153" w:firstLine="480"/>
      </w:pPr>
      <w:r>
        <w:rPr/>
        <w:t>山体滑坡，裂缝导致的树木倾斜、枯死等，可能使部分区域植被发生逆行演替，景观发生改变。</w:t>
      </w:r>
    </w:p>
    <w:p>
      <w:pPr>
        <w:pStyle w:val="ListParagraph"/>
        <w:numPr>
          <w:ilvl w:val="0"/>
          <w:numId w:val="46"/>
        </w:numPr>
        <w:tabs>
          <w:tab w:pos="1793" w:val="left" w:leader="none"/>
        </w:tabs>
        <w:spacing w:line="240" w:lineRule="auto" w:before="1" w:after="0"/>
        <w:ind w:left="1793" w:right="0" w:hanging="602"/>
        <w:jc w:val="left"/>
        <w:rPr>
          <w:sz w:val="24"/>
        </w:rPr>
      </w:pPr>
      <w:r>
        <w:rPr>
          <w:sz w:val="24"/>
        </w:rPr>
        <w:t>复垦措施及工艺</w:t>
      </w:r>
    </w:p>
    <w:p>
      <w:pPr>
        <w:pStyle w:val="BodyText"/>
        <w:spacing w:line="364" w:lineRule="auto" w:before="160"/>
        <w:ind w:left="711" w:right="1153" w:firstLine="480"/>
        <w:jc w:val="both"/>
      </w:pPr>
      <w:r>
        <w:rPr/>
        <w:t>根据《双鸭山市东盛矿业集团有限公司矿山地质环境保护与土地复垦方案》可知，复垦区及周边以有林地和旱地为主，复垦区的土地复垦工作应本着因地制宜、合理利用的原则，坚持矿区开发与保护、开采与复垦相结合，为了实现土地资源的永续利用，并与社会、经济、环境协调发展，确定的土地复垦方向应符合土地利用总体规划。在综合考虑项目所在地区的自然条件、土地损毁情况、原土地利用情况及复垦区所在地实际情况后，本着与社会、经济、环境协调发展的原则，初步确定复垦方向为有林地和旱地。</w:t>
      </w:r>
    </w:p>
    <w:p>
      <w:pPr>
        <w:pStyle w:val="Heading3"/>
        <w:numPr>
          <w:ilvl w:val="2"/>
          <w:numId w:val="41"/>
        </w:numPr>
        <w:tabs>
          <w:tab w:pos="1341" w:val="left" w:leader="none"/>
        </w:tabs>
        <w:spacing w:line="285" w:lineRule="exact" w:before="0" w:after="0"/>
        <w:ind w:left="1340" w:right="0" w:hanging="630"/>
        <w:jc w:val="left"/>
      </w:pPr>
      <w:bookmarkStart w:name="5.5.4土地复垦、生态整治进度、费用安排" w:id="196"/>
      <w:bookmarkEnd w:id="196"/>
      <w:r>
        <w:rPr>
          <w:b w:val="0"/>
        </w:rPr>
      </w:r>
      <w:bookmarkStart w:name="5.5.4土地复垦、生态整治进度、费用安排" w:id="197"/>
      <w:bookmarkEnd w:id="197"/>
      <w:r>
        <w:rPr/>
        <w:t>土地复垦、生态整治进度、费用安排</w:t>
      </w:r>
    </w:p>
    <w:p>
      <w:pPr>
        <w:pStyle w:val="BodyText"/>
        <w:spacing w:before="7"/>
        <w:rPr>
          <w:b/>
        </w:rPr>
      </w:pPr>
    </w:p>
    <w:p>
      <w:pPr>
        <w:pStyle w:val="BodyText"/>
        <w:spacing w:before="1"/>
        <w:ind w:left="1194"/>
      </w:pPr>
      <w:r>
        <w:rPr>
          <w:rFonts w:ascii="Times New Roman" w:eastAsia="Times New Roman"/>
        </w:rPr>
        <w:t>1</w:t>
      </w:r>
      <w:r>
        <w:rPr/>
        <w:t>、土地复垦、生态整治进度</w:t>
      </w:r>
    </w:p>
    <w:p>
      <w:pPr>
        <w:pStyle w:val="BodyText"/>
        <w:spacing w:line="364" w:lineRule="auto" w:before="210"/>
        <w:ind w:left="711" w:right="1389" w:firstLine="482"/>
      </w:pPr>
      <w:r>
        <w:rPr/>
        <w:t>根据矿山开发利用方案及矿山实际情况对矿山地质环境恢复治理进行分期部署，可分为二期：生产期和闭矿后期。</w:t>
      </w:r>
    </w:p>
    <w:p>
      <w:pPr>
        <w:pStyle w:val="BodyText"/>
        <w:spacing w:line="364" w:lineRule="auto" w:before="52"/>
        <w:ind w:left="711" w:right="1153" w:firstLine="482"/>
        <w:jc w:val="both"/>
      </w:pPr>
      <w:r>
        <w:rPr/>
        <w:t>生产期重点对矿山地下水进行监测。闭矿后期做好矿山环境恢复治理，矿山闭矿后，拆除建筑物、回填封堵井口、清除硬覆盖层、表土回覆、土地翻耕、有机肥，植被恢复，全面恢复矿区及周边的生态环境。</w:t>
      </w:r>
    </w:p>
    <w:p>
      <w:pPr>
        <w:pStyle w:val="BodyText"/>
        <w:spacing w:before="52"/>
        <w:ind w:left="1191"/>
      </w:pPr>
      <w:r>
        <w:rPr>
          <w:rFonts w:ascii="Times New Roman" w:eastAsia="Times New Roman"/>
        </w:rPr>
        <w:t>2</w:t>
      </w:r>
      <w:r>
        <w:rPr/>
        <w:t>、费用安排</w:t>
      </w:r>
    </w:p>
    <w:p>
      <w:pPr>
        <w:pStyle w:val="BodyText"/>
        <w:spacing w:before="161"/>
        <w:ind w:left="1191"/>
      </w:pPr>
      <w:r>
        <w:rPr>
          <w:spacing w:val="-2"/>
        </w:rPr>
        <w:t>本项目矿山地质环境保护与土地复垦估算静态总投资为 </w:t>
      </w:r>
      <w:r>
        <w:rPr>
          <w:rFonts w:ascii="Times New Roman" w:eastAsia="Times New Roman"/>
        </w:rPr>
        <w:t>68.43</w:t>
      </w:r>
      <w:r>
        <w:rPr>
          <w:rFonts w:ascii="Times New Roman" w:eastAsia="Times New Roman"/>
          <w:spacing w:val="25"/>
        </w:rPr>
        <w:t> </w:t>
      </w:r>
      <w:r>
        <w:rPr/>
        <w:t>万元，其中矿</w:t>
      </w:r>
    </w:p>
    <w:p>
      <w:pPr>
        <w:pStyle w:val="BodyText"/>
        <w:spacing w:before="160"/>
        <w:ind w:left="711"/>
      </w:pPr>
      <w:r>
        <w:rPr>
          <w:spacing w:val="-5"/>
        </w:rPr>
        <w:t>山地质环境保护估算投资为 </w:t>
      </w:r>
      <w:r>
        <w:rPr>
          <w:rFonts w:ascii="Times New Roman" w:eastAsia="Times New Roman"/>
        </w:rPr>
        <w:t>31.10 </w:t>
      </w:r>
      <w:r>
        <w:rPr>
          <w:spacing w:val="-12"/>
        </w:rPr>
        <w:t>万元，矿山土地复垦估算投资为 </w:t>
      </w:r>
      <w:r>
        <w:rPr>
          <w:rFonts w:ascii="Times New Roman" w:eastAsia="Times New Roman"/>
        </w:rPr>
        <w:t>37.33 </w:t>
      </w:r>
      <w:r>
        <w:rPr>
          <w:spacing w:val="-15"/>
        </w:rPr>
        <w:t>万元。动</w:t>
      </w:r>
    </w:p>
    <w:p>
      <w:pPr>
        <w:spacing w:after="0"/>
        <w:sectPr>
          <w:footerReference w:type="default" r:id="rId39"/>
          <w:pgSz w:w="11910" w:h="16840"/>
          <w:pgMar w:footer="993" w:header="0" w:top="1360" w:bottom="1180" w:left="1040" w:right="600"/>
          <w:pgNumType w:start="90"/>
        </w:sectPr>
      </w:pPr>
    </w:p>
    <w:p>
      <w:pPr>
        <w:pStyle w:val="BodyText"/>
        <w:spacing w:line="364" w:lineRule="auto" w:before="62"/>
        <w:ind w:left="711" w:right="1153"/>
      </w:pPr>
      <w:r>
        <w:rPr>
          <w:spacing w:val="-10"/>
        </w:rPr>
        <w:t>态总投资为 </w:t>
      </w:r>
      <w:r>
        <w:rPr>
          <w:rFonts w:ascii="Times New Roman" w:eastAsia="Times New Roman"/>
        </w:rPr>
        <w:t>81.73 </w:t>
      </w:r>
      <w:r>
        <w:rPr>
          <w:spacing w:val="-11"/>
        </w:rPr>
        <w:t>万元，其中矿山地质环境保护估算动态总投资为 </w:t>
      </w:r>
      <w:r>
        <w:rPr>
          <w:rFonts w:ascii="Times New Roman" w:eastAsia="Times New Roman"/>
        </w:rPr>
        <w:t>34.60 </w:t>
      </w:r>
      <w:r>
        <w:rPr>
          <w:spacing w:val="-20"/>
        </w:rPr>
        <w:t>万元，矿</w:t>
      </w:r>
      <w:r>
        <w:rPr>
          <w:spacing w:val="-6"/>
        </w:rPr>
        <w:t>山土地复垦估算投资为 </w:t>
      </w:r>
      <w:r>
        <w:rPr>
          <w:rFonts w:ascii="Times New Roman" w:eastAsia="Times New Roman"/>
        </w:rPr>
        <w:t>47.13 </w:t>
      </w:r>
      <w:r>
        <w:rPr>
          <w:spacing w:val="-10"/>
        </w:rPr>
        <w:t>万元。见表 </w:t>
      </w:r>
      <w:r>
        <w:rPr>
          <w:rFonts w:ascii="Times New Roman" w:eastAsia="Times New Roman"/>
        </w:rPr>
        <w:t>5.5-5~5.5-9</w:t>
      </w:r>
      <w:r>
        <w:rPr/>
        <w:t>。</w:t>
      </w:r>
    </w:p>
    <w:p>
      <w:pPr>
        <w:spacing w:before="19"/>
        <w:ind w:left="0" w:right="3" w:firstLine="0"/>
        <w:jc w:val="center"/>
        <w:rPr>
          <w:rFonts w:ascii="黑体" w:eastAsia="黑体" w:hint="eastAsia"/>
          <w:b/>
          <w:sz w:val="21"/>
        </w:rPr>
      </w:pPr>
      <w:r>
        <w:rPr>
          <w:rFonts w:ascii="黑体" w:eastAsia="黑体" w:hint="eastAsia"/>
          <w:b/>
          <w:spacing w:val="-26"/>
          <w:sz w:val="21"/>
        </w:rPr>
        <w:t>表 </w:t>
      </w:r>
      <w:r>
        <w:rPr>
          <w:rFonts w:ascii="Times New Roman" w:eastAsia="Times New Roman"/>
          <w:b/>
          <w:sz w:val="21"/>
        </w:rPr>
        <w:t>5.5-5</w:t>
      </w:r>
      <w:r>
        <w:rPr>
          <w:rFonts w:ascii="Times New Roman" w:eastAsia="Times New Roman"/>
          <w:b/>
          <w:spacing w:val="51"/>
          <w:sz w:val="21"/>
        </w:rPr>
        <w:t> </w:t>
      </w:r>
      <w:r>
        <w:rPr>
          <w:rFonts w:ascii="黑体" w:eastAsia="黑体" w:hint="eastAsia"/>
          <w:b/>
          <w:sz w:val="21"/>
        </w:rPr>
        <w:t>地质环境保护与土地复垦工程动态投资估算总表</w:t>
      </w:r>
    </w:p>
    <w:p>
      <w:pPr>
        <w:pStyle w:val="BodyText"/>
        <w:spacing w:before="11"/>
        <w:rPr>
          <w:rFonts w:ascii="黑体"/>
          <w:b/>
          <w:sz w:val="7"/>
        </w:rPr>
      </w:pPr>
    </w:p>
    <w:tbl>
      <w:tblPr>
        <w:tblW w:w="0" w:type="auto"/>
        <w:jc w:val="left"/>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2700"/>
        <w:gridCol w:w="1849"/>
        <w:gridCol w:w="1710"/>
      </w:tblGrid>
      <w:tr>
        <w:trPr>
          <w:trHeight w:val="315" w:hRule="atLeast"/>
        </w:trPr>
        <w:tc>
          <w:tcPr>
            <w:tcW w:w="1193" w:type="dxa"/>
          </w:tcPr>
          <w:p>
            <w:pPr>
              <w:pStyle w:val="TableParagraph"/>
              <w:spacing w:before="28"/>
              <w:ind w:left="325" w:right="318"/>
              <w:rPr>
                <w:sz w:val="20"/>
              </w:rPr>
            </w:pPr>
            <w:r>
              <w:rPr>
                <w:sz w:val="20"/>
              </w:rPr>
              <w:t>序号</w:t>
            </w:r>
          </w:p>
        </w:tc>
        <w:tc>
          <w:tcPr>
            <w:tcW w:w="2700" w:type="dxa"/>
          </w:tcPr>
          <w:p>
            <w:pPr>
              <w:pStyle w:val="TableParagraph"/>
              <w:spacing w:before="28"/>
              <w:ind w:left="329" w:right="320"/>
              <w:rPr>
                <w:sz w:val="20"/>
              </w:rPr>
            </w:pPr>
            <w:r>
              <w:rPr>
                <w:sz w:val="20"/>
              </w:rPr>
              <w:t>工程或费用名称</w:t>
            </w:r>
          </w:p>
        </w:tc>
        <w:tc>
          <w:tcPr>
            <w:tcW w:w="1849" w:type="dxa"/>
          </w:tcPr>
          <w:p>
            <w:pPr>
              <w:pStyle w:val="TableParagraph"/>
              <w:spacing w:before="28"/>
              <w:ind w:left="475" w:right="467"/>
              <w:rPr>
                <w:sz w:val="20"/>
              </w:rPr>
            </w:pPr>
            <w:r>
              <w:rPr>
                <w:sz w:val="20"/>
              </w:rPr>
              <w:t>费用</w:t>
            </w:r>
            <w:r>
              <w:rPr>
                <w:rFonts w:ascii="Times New Roman" w:eastAsia="Times New Roman"/>
                <w:sz w:val="20"/>
              </w:rPr>
              <w:t>/</w:t>
            </w:r>
            <w:r>
              <w:rPr>
                <w:sz w:val="20"/>
              </w:rPr>
              <w:t>万元</w:t>
            </w:r>
          </w:p>
        </w:tc>
        <w:tc>
          <w:tcPr>
            <w:tcW w:w="1710" w:type="dxa"/>
          </w:tcPr>
          <w:p>
            <w:pPr>
              <w:pStyle w:val="TableParagraph"/>
              <w:spacing w:before="28"/>
              <w:ind w:left="522" w:right="514"/>
              <w:rPr>
                <w:rFonts w:ascii="Times New Roman" w:eastAsia="Times New Roman"/>
                <w:sz w:val="20"/>
              </w:rPr>
            </w:pPr>
            <w:r>
              <w:rPr>
                <w:sz w:val="20"/>
              </w:rPr>
              <w:t>费率</w:t>
            </w:r>
            <w:r>
              <w:rPr>
                <w:rFonts w:ascii="Times New Roman" w:eastAsia="Times New Roman"/>
                <w:sz w:val="20"/>
              </w:rPr>
              <w:t>/%</w:t>
            </w:r>
          </w:p>
        </w:tc>
      </w:tr>
      <w:tr>
        <w:trPr>
          <w:trHeight w:val="315" w:hRule="atLeast"/>
        </w:trPr>
        <w:tc>
          <w:tcPr>
            <w:tcW w:w="1193" w:type="dxa"/>
          </w:tcPr>
          <w:p>
            <w:pPr>
              <w:pStyle w:val="TableParagraph"/>
              <w:spacing w:before="43"/>
              <w:ind w:left="6"/>
              <w:rPr>
                <w:rFonts w:ascii="Times New Roman"/>
                <w:sz w:val="20"/>
              </w:rPr>
            </w:pPr>
            <w:r>
              <w:rPr>
                <w:rFonts w:ascii="Times New Roman"/>
                <w:w w:val="99"/>
                <w:sz w:val="20"/>
              </w:rPr>
              <w:t>1</w:t>
            </w:r>
          </w:p>
        </w:tc>
        <w:tc>
          <w:tcPr>
            <w:tcW w:w="2700" w:type="dxa"/>
          </w:tcPr>
          <w:p>
            <w:pPr>
              <w:pStyle w:val="TableParagraph"/>
              <w:spacing w:before="30"/>
              <w:ind w:left="326" w:right="320"/>
              <w:rPr>
                <w:sz w:val="20"/>
              </w:rPr>
            </w:pPr>
            <w:r>
              <w:rPr>
                <w:sz w:val="20"/>
              </w:rPr>
              <w:t>工程施工费</w:t>
            </w:r>
          </w:p>
        </w:tc>
        <w:tc>
          <w:tcPr>
            <w:tcW w:w="1849" w:type="dxa"/>
          </w:tcPr>
          <w:p>
            <w:pPr>
              <w:pStyle w:val="TableParagraph"/>
              <w:spacing w:before="43"/>
              <w:ind w:left="474" w:right="467"/>
              <w:rPr>
                <w:rFonts w:ascii="Times New Roman"/>
                <w:sz w:val="20"/>
              </w:rPr>
            </w:pPr>
            <w:r>
              <w:rPr>
                <w:rFonts w:ascii="Times New Roman"/>
                <w:sz w:val="20"/>
              </w:rPr>
              <w:t>31.50</w:t>
            </w:r>
          </w:p>
        </w:tc>
        <w:tc>
          <w:tcPr>
            <w:tcW w:w="1710" w:type="dxa"/>
          </w:tcPr>
          <w:p>
            <w:pPr>
              <w:pStyle w:val="TableParagraph"/>
              <w:spacing w:before="43"/>
              <w:ind w:left="522" w:right="513"/>
              <w:rPr>
                <w:rFonts w:ascii="Times New Roman"/>
                <w:sz w:val="20"/>
              </w:rPr>
            </w:pPr>
            <w:r>
              <w:rPr>
                <w:rFonts w:ascii="Times New Roman"/>
                <w:sz w:val="20"/>
              </w:rPr>
              <w:t>46.03</w:t>
            </w:r>
          </w:p>
        </w:tc>
      </w:tr>
      <w:tr>
        <w:trPr>
          <w:trHeight w:val="315" w:hRule="atLeast"/>
        </w:trPr>
        <w:tc>
          <w:tcPr>
            <w:tcW w:w="1193" w:type="dxa"/>
          </w:tcPr>
          <w:p>
            <w:pPr>
              <w:pStyle w:val="TableParagraph"/>
              <w:spacing w:before="42"/>
              <w:ind w:left="6"/>
              <w:rPr>
                <w:rFonts w:ascii="Times New Roman"/>
                <w:sz w:val="20"/>
              </w:rPr>
            </w:pPr>
            <w:r>
              <w:rPr>
                <w:rFonts w:ascii="Times New Roman"/>
                <w:w w:val="99"/>
                <w:sz w:val="20"/>
              </w:rPr>
              <w:t>2</w:t>
            </w:r>
          </w:p>
        </w:tc>
        <w:tc>
          <w:tcPr>
            <w:tcW w:w="2700" w:type="dxa"/>
          </w:tcPr>
          <w:p>
            <w:pPr>
              <w:pStyle w:val="TableParagraph"/>
              <w:spacing w:before="29"/>
              <w:ind w:left="326" w:right="320"/>
              <w:rPr>
                <w:sz w:val="20"/>
              </w:rPr>
            </w:pPr>
            <w:r>
              <w:rPr>
                <w:sz w:val="20"/>
              </w:rPr>
              <w:t>设备费</w:t>
            </w:r>
          </w:p>
        </w:tc>
        <w:tc>
          <w:tcPr>
            <w:tcW w:w="1849" w:type="dxa"/>
          </w:tcPr>
          <w:p>
            <w:pPr>
              <w:pStyle w:val="TableParagraph"/>
              <w:spacing w:before="42"/>
              <w:ind w:left="475" w:right="466"/>
              <w:rPr>
                <w:rFonts w:ascii="Times New Roman"/>
                <w:sz w:val="20"/>
              </w:rPr>
            </w:pPr>
            <w:r>
              <w:rPr>
                <w:rFonts w:ascii="Times New Roman"/>
                <w:sz w:val="20"/>
              </w:rPr>
              <w:t>0.00</w:t>
            </w:r>
          </w:p>
        </w:tc>
        <w:tc>
          <w:tcPr>
            <w:tcW w:w="1710" w:type="dxa"/>
          </w:tcPr>
          <w:p>
            <w:pPr>
              <w:pStyle w:val="TableParagraph"/>
              <w:spacing w:before="42"/>
              <w:ind w:left="522" w:right="513"/>
              <w:rPr>
                <w:rFonts w:ascii="Times New Roman"/>
                <w:sz w:val="20"/>
              </w:rPr>
            </w:pPr>
            <w:r>
              <w:rPr>
                <w:rFonts w:ascii="Times New Roman"/>
                <w:sz w:val="20"/>
              </w:rPr>
              <w:t>0.00</w:t>
            </w:r>
          </w:p>
        </w:tc>
      </w:tr>
      <w:tr>
        <w:trPr>
          <w:trHeight w:val="315" w:hRule="atLeast"/>
        </w:trPr>
        <w:tc>
          <w:tcPr>
            <w:tcW w:w="1193" w:type="dxa"/>
          </w:tcPr>
          <w:p>
            <w:pPr>
              <w:pStyle w:val="TableParagraph"/>
              <w:spacing w:before="41"/>
              <w:ind w:left="6"/>
              <w:rPr>
                <w:rFonts w:ascii="Times New Roman"/>
                <w:sz w:val="20"/>
              </w:rPr>
            </w:pPr>
            <w:r>
              <w:rPr>
                <w:rFonts w:ascii="Times New Roman"/>
                <w:w w:val="99"/>
                <w:sz w:val="20"/>
              </w:rPr>
              <w:t>3</w:t>
            </w:r>
          </w:p>
        </w:tc>
        <w:tc>
          <w:tcPr>
            <w:tcW w:w="2700" w:type="dxa"/>
          </w:tcPr>
          <w:p>
            <w:pPr>
              <w:pStyle w:val="TableParagraph"/>
              <w:spacing w:before="28"/>
              <w:ind w:left="329" w:right="320"/>
              <w:rPr>
                <w:sz w:val="20"/>
              </w:rPr>
            </w:pPr>
            <w:r>
              <w:rPr>
                <w:sz w:val="20"/>
              </w:rPr>
              <w:t>其他费用</w:t>
            </w:r>
          </w:p>
        </w:tc>
        <w:tc>
          <w:tcPr>
            <w:tcW w:w="1849" w:type="dxa"/>
          </w:tcPr>
          <w:p>
            <w:pPr>
              <w:pStyle w:val="TableParagraph"/>
              <w:spacing w:before="41"/>
              <w:ind w:left="475" w:right="466"/>
              <w:rPr>
                <w:rFonts w:ascii="Times New Roman"/>
                <w:sz w:val="20"/>
              </w:rPr>
            </w:pPr>
            <w:r>
              <w:rPr>
                <w:rFonts w:ascii="Times New Roman"/>
                <w:sz w:val="20"/>
              </w:rPr>
              <w:t>4.12</w:t>
            </w:r>
          </w:p>
        </w:tc>
        <w:tc>
          <w:tcPr>
            <w:tcW w:w="1710" w:type="dxa"/>
          </w:tcPr>
          <w:p>
            <w:pPr>
              <w:pStyle w:val="TableParagraph"/>
              <w:spacing w:before="41"/>
              <w:ind w:left="522" w:right="513"/>
              <w:rPr>
                <w:rFonts w:ascii="Times New Roman"/>
                <w:sz w:val="20"/>
              </w:rPr>
            </w:pPr>
            <w:r>
              <w:rPr>
                <w:rFonts w:ascii="Times New Roman"/>
                <w:sz w:val="20"/>
              </w:rPr>
              <w:t>6.02</w:t>
            </w:r>
          </w:p>
        </w:tc>
      </w:tr>
      <w:tr>
        <w:trPr>
          <w:trHeight w:val="312" w:hRule="atLeast"/>
        </w:trPr>
        <w:tc>
          <w:tcPr>
            <w:tcW w:w="1193" w:type="dxa"/>
          </w:tcPr>
          <w:p>
            <w:pPr>
              <w:pStyle w:val="TableParagraph"/>
              <w:spacing w:before="40"/>
              <w:ind w:left="6"/>
              <w:rPr>
                <w:rFonts w:ascii="Times New Roman"/>
                <w:sz w:val="20"/>
              </w:rPr>
            </w:pPr>
            <w:r>
              <w:rPr>
                <w:rFonts w:ascii="Times New Roman"/>
                <w:w w:val="99"/>
                <w:sz w:val="20"/>
              </w:rPr>
              <w:t>4</w:t>
            </w:r>
          </w:p>
        </w:tc>
        <w:tc>
          <w:tcPr>
            <w:tcW w:w="2700" w:type="dxa"/>
          </w:tcPr>
          <w:p>
            <w:pPr>
              <w:pStyle w:val="TableParagraph"/>
              <w:spacing w:before="27"/>
              <w:ind w:left="326" w:right="320"/>
              <w:rPr>
                <w:sz w:val="20"/>
              </w:rPr>
            </w:pPr>
            <w:r>
              <w:rPr>
                <w:sz w:val="20"/>
              </w:rPr>
              <w:t>监测与管护费</w:t>
            </w:r>
          </w:p>
        </w:tc>
        <w:tc>
          <w:tcPr>
            <w:tcW w:w="1849" w:type="dxa"/>
          </w:tcPr>
          <w:p>
            <w:pPr>
              <w:pStyle w:val="TableParagraph"/>
              <w:spacing w:before="40"/>
              <w:ind w:left="474" w:right="467"/>
              <w:rPr>
                <w:rFonts w:ascii="Times New Roman"/>
                <w:sz w:val="20"/>
              </w:rPr>
            </w:pPr>
            <w:r>
              <w:rPr>
                <w:rFonts w:ascii="Times New Roman"/>
                <w:sz w:val="20"/>
              </w:rPr>
              <w:t>29.96</w:t>
            </w:r>
          </w:p>
        </w:tc>
        <w:tc>
          <w:tcPr>
            <w:tcW w:w="1710" w:type="dxa"/>
            <w:vMerge w:val="restart"/>
          </w:tcPr>
          <w:p>
            <w:pPr>
              <w:pStyle w:val="TableParagraph"/>
              <w:jc w:val="left"/>
              <w:rPr>
                <w:rFonts w:ascii="黑体"/>
                <w:b/>
                <w:sz w:val="22"/>
              </w:rPr>
            </w:pPr>
          </w:p>
          <w:p>
            <w:pPr>
              <w:pStyle w:val="TableParagraph"/>
              <w:spacing w:before="2"/>
              <w:jc w:val="left"/>
              <w:rPr>
                <w:rFonts w:ascii="黑体"/>
                <w:b/>
                <w:sz w:val="19"/>
              </w:rPr>
            </w:pPr>
          </w:p>
          <w:p>
            <w:pPr>
              <w:pStyle w:val="TableParagraph"/>
              <w:ind w:left="522" w:right="513"/>
              <w:rPr>
                <w:rFonts w:ascii="Times New Roman"/>
                <w:sz w:val="20"/>
              </w:rPr>
            </w:pPr>
            <w:r>
              <w:rPr>
                <w:rFonts w:ascii="Times New Roman"/>
                <w:sz w:val="20"/>
              </w:rPr>
              <w:t>43.78</w:t>
            </w:r>
          </w:p>
        </w:tc>
      </w:tr>
      <w:tr>
        <w:trPr>
          <w:trHeight w:val="315" w:hRule="atLeast"/>
        </w:trPr>
        <w:tc>
          <w:tcPr>
            <w:tcW w:w="1193" w:type="dxa"/>
          </w:tcPr>
          <w:p>
            <w:pPr>
              <w:pStyle w:val="TableParagraph"/>
              <w:spacing w:before="29"/>
              <w:ind w:left="325" w:right="318"/>
              <w:rPr>
                <w:sz w:val="20"/>
              </w:rPr>
            </w:pPr>
            <w:r>
              <w:rPr>
                <w:sz w:val="20"/>
              </w:rPr>
              <w:t>（</w:t>
            </w:r>
            <w:r>
              <w:rPr>
                <w:rFonts w:ascii="Times New Roman" w:eastAsia="Times New Roman"/>
                <w:sz w:val="20"/>
              </w:rPr>
              <w:t>1</w:t>
            </w:r>
            <w:r>
              <w:rPr>
                <w:sz w:val="20"/>
              </w:rPr>
              <w:t>）</w:t>
            </w:r>
          </w:p>
        </w:tc>
        <w:tc>
          <w:tcPr>
            <w:tcW w:w="2700" w:type="dxa"/>
          </w:tcPr>
          <w:p>
            <w:pPr>
              <w:pStyle w:val="TableParagraph"/>
              <w:spacing w:before="29"/>
              <w:ind w:left="329" w:right="320"/>
              <w:rPr>
                <w:sz w:val="20"/>
              </w:rPr>
            </w:pPr>
            <w:r>
              <w:rPr>
                <w:sz w:val="20"/>
              </w:rPr>
              <w:t>矿山地质环境监测费用</w:t>
            </w:r>
          </w:p>
        </w:tc>
        <w:tc>
          <w:tcPr>
            <w:tcW w:w="1849" w:type="dxa"/>
          </w:tcPr>
          <w:p>
            <w:pPr>
              <w:pStyle w:val="TableParagraph"/>
              <w:spacing w:before="42"/>
              <w:ind w:left="474" w:right="467"/>
              <w:rPr>
                <w:rFonts w:ascii="Times New Roman"/>
                <w:sz w:val="20"/>
              </w:rPr>
            </w:pPr>
            <w:r>
              <w:rPr>
                <w:rFonts w:ascii="Times New Roman"/>
                <w:sz w:val="20"/>
              </w:rPr>
              <w:t>25.95</w:t>
            </w:r>
          </w:p>
        </w:tc>
        <w:tc>
          <w:tcPr>
            <w:tcW w:w="1710" w:type="dxa"/>
            <w:vMerge/>
            <w:tcBorders>
              <w:top w:val="nil"/>
            </w:tcBorders>
          </w:tcPr>
          <w:p>
            <w:pPr>
              <w:rPr>
                <w:sz w:val="2"/>
                <w:szCs w:val="2"/>
              </w:rPr>
            </w:pPr>
          </w:p>
        </w:tc>
      </w:tr>
      <w:tr>
        <w:trPr>
          <w:trHeight w:val="315" w:hRule="atLeast"/>
        </w:trPr>
        <w:tc>
          <w:tcPr>
            <w:tcW w:w="1193" w:type="dxa"/>
          </w:tcPr>
          <w:p>
            <w:pPr>
              <w:pStyle w:val="TableParagraph"/>
              <w:spacing w:before="28"/>
              <w:ind w:left="325" w:right="318"/>
              <w:rPr>
                <w:sz w:val="20"/>
              </w:rPr>
            </w:pPr>
            <w:r>
              <w:rPr>
                <w:sz w:val="20"/>
              </w:rPr>
              <w:t>（</w:t>
            </w:r>
            <w:r>
              <w:rPr>
                <w:rFonts w:ascii="Times New Roman" w:eastAsia="Times New Roman"/>
                <w:sz w:val="20"/>
              </w:rPr>
              <w:t>2</w:t>
            </w:r>
            <w:r>
              <w:rPr>
                <w:sz w:val="20"/>
              </w:rPr>
              <w:t>）</w:t>
            </w:r>
          </w:p>
        </w:tc>
        <w:tc>
          <w:tcPr>
            <w:tcW w:w="2700" w:type="dxa"/>
          </w:tcPr>
          <w:p>
            <w:pPr>
              <w:pStyle w:val="TableParagraph"/>
              <w:spacing w:before="28"/>
              <w:ind w:left="326" w:right="320"/>
              <w:rPr>
                <w:sz w:val="20"/>
              </w:rPr>
            </w:pPr>
            <w:r>
              <w:rPr>
                <w:sz w:val="20"/>
              </w:rPr>
              <w:t>土壤质量监测</w:t>
            </w:r>
          </w:p>
        </w:tc>
        <w:tc>
          <w:tcPr>
            <w:tcW w:w="1849" w:type="dxa"/>
          </w:tcPr>
          <w:p>
            <w:pPr>
              <w:pStyle w:val="TableParagraph"/>
              <w:spacing w:before="41"/>
              <w:ind w:left="474" w:right="467"/>
              <w:rPr>
                <w:rFonts w:ascii="Times New Roman"/>
                <w:sz w:val="20"/>
              </w:rPr>
            </w:pPr>
            <w:r>
              <w:rPr>
                <w:rFonts w:ascii="Times New Roman"/>
                <w:sz w:val="20"/>
              </w:rPr>
              <w:t>1.20</w:t>
            </w:r>
          </w:p>
        </w:tc>
        <w:tc>
          <w:tcPr>
            <w:tcW w:w="1710" w:type="dxa"/>
            <w:vMerge/>
            <w:tcBorders>
              <w:top w:val="nil"/>
            </w:tcBorders>
          </w:tcPr>
          <w:p>
            <w:pPr>
              <w:rPr>
                <w:sz w:val="2"/>
                <w:szCs w:val="2"/>
              </w:rPr>
            </w:pPr>
          </w:p>
        </w:tc>
      </w:tr>
      <w:tr>
        <w:trPr>
          <w:trHeight w:val="315" w:hRule="atLeast"/>
        </w:trPr>
        <w:tc>
          <w:tcPr>
            <w:tcW w:w="1193" w:type="dxa"/>
          </w:tcPr>
          <w:p>
            <w:pPr>
              <w:pStyle w:val="TableParagraph"/>
              <w:spacing w:before="29"/>
              <w:ind w:left="325" w:right="318"/>
              <w:rPr>
                <w:sz w:val="20"/>
              </w:rPr>
            </w:pPr>
            <w:r>
              <w:rPr>
                <w:sz w:val="20"/>
              </w:rPr>
              <w:t>（</w:t>
            </w:r>
            <w:r>
              <w:rPr>
                <w:rFonts w:ascii="Times New Roman" w:eastAsia="Times New Roman"/>
                <w:sz w:val="20"/>
              </w:rPr>
              <w:t>3</w:t>
            </w:r>
            <w:r>
              <w:rPr>
                <w:sz w:val="20"/>
              </w:rPr>
              <w:t>）</w:t>
            </w:r>
          </w:p>
        </w:tc>
        <w:tc>
          <w:tcPr>
            <w:tcW w:w="2700" w:type="dxa"/>
          </w:tcPr>
          <w:p>
            <w:pPr>
              <w:pStyle w:val="TableParagraph"/>
              <w:spacing w:before="29"/>
              <w:ind w:left="329" w:right="320"/>
              <w:rPr>
                <w:sz w:val="20"/>
              </w:rPr>
            </w:pPr>
            <w:r>
              <w:rPr>
                <w:sz w:val="20"/>
              </w:rPr>
              <w:t>管护费用</w:t>
            </w:r>
          </w:p>
        </w:tc>
        <w:tc>
          <w:tcPr>
            <w:tcW w:w="1849" w:type="dxa"/>
          </w:tcPr>
          <w:p>
            <w:pPr>
              <w:pStyle w:val="TableParagraph"/>
              <w:spacing w:before="43"/>
              <w:ind w:left="475" w:right="466"/>
              <w:rPr>
                <w:rFonts w:ascii="Times New Roman"/>
                <w:sz w:val="20"/>
              </w:rPr>
            </w:pPr>
            <w:r>
              <w:rPr>
                <w:rFonts w:ascii="Times New Roman"/>
                <w:sz w:val="20"/>
              </w:rPr>
              <w:t>2.81</w:t>
            </w:r>
          </w:p>
        </w:tc>
        <w:tc>
          <w:tcPr>
            <w:tcW w:w="1710" w:type="dxa"/>
            <w:vMerge/>
            <w:tcBorders>
              <w:top w:val="nil"/>
            </w:tcBorders>
          </w:tcPr>
          <w:p>
            <w:pPr>
              <w:rPr>
                <w:sz w:val="2"/>
                <w:szCs w:val="2"/>
              </w:rPr>
            </w:pPr>
          </w:p>
        </w:tc>
      </w:tr>
      <w:tr>
        <w:trPr>
          <w:trHeight w:val="315" w:hRule="atLeast"/>
        </w:trPr>
        <w:tc>
          <w:tcPr>
            <w:tcW w:w="1193" w:type="dxa"/>
          </w:tcPr>
          <w:p>
            <w:pPr>
              <w:pStyle w:val="TableParagraph"/>
              <w:spacing w:before="42"/>
              <w:ind w:left="6"/>
              <w:rPr>
                <w:rFonts w:ascii="Times New Roman"/>
                <w:sz w:val="20"/>
              </w:rPr>
            </w:pPr>
            <w:r>
              <w:rPr>
                <w:rFonts w:ascii="Times New Roman"/>
                <w:w w:val="99"/>
                <w:sz w:val="20"/>
              </w:rPr>
              <w:t>5</w:t>
            </w:r>
          </w:p>
        </w:tc>
        <w:tc>
          <w:tcPr>
            <w:tcW w:w="2700" w:type="dxa"/>
          </w:tcPr>
          <w:p>
            <w:pPr>
              <w:pStyle w:val="TableParagraph"/>
              <w:spacing w:before="28"/>
              <w:ind w:left="326" w:right="320"/>
              <w:rPr>
                <w:sz w:val="20"/>
              </w:rPr>
            </w:pPr>
            <w:r>
              <w:rPr>
                <w:sz w:val="20"/>
              </w:rPr>
              <w:t>预备费</w:t>
            </w:r>
          </w:p>
        </w:tc>
        <w:tc>
          <w:tcPr>
            <w:tcW w:w="1849" w:type="dxa"/>
          </w:tcPr>
          <w:p>
            <w:pPr>
              <w:pStyle w:val="TableParagraph"/>
              <w:spacing w:before="42"/>
              <w:ind w:left="474" w:right="467"/>
              <w:rPr>
                <w:rFonts w:ascii="Times New Roman"/>
                <w:sz w:val="20"/>
              </w:rPr>
            </w:pPr>
            <w:r>
              <w:rPr>
                <w:rFonts w:ascii="Times New Roman"/>
                <w:sz w:val="20"/>
              </w:rPr>
              <w:t>16.15</w:t>
            </w:r>
          </w:p>
        </w:tc>
        <w:tc>
          <w:tcPr>
            <w:tcW w:w="1710" w:type="dxa"/>
          </w:tcPr>
          <w:p>
            <w:pPr>
              <w:pStyle w:val="TableParagraph"/>
              <w:spacing w:before="42"/>
              <w:ind w:left="10"/>
              <w:rPr>
                <w:rFonts w:ascii="Times New Roman"/>
                <w:sz w:val="20"/>
              </w:rPr>
            </w:pPr>
            <w:r>
              <w:rPr>
                <w:rFonts w:ascii="Times New Roman"/>
                <w:w w:val="99"/>
                <w:sz w:val="20"/>
              </w:rPr>
              <w:t>-</w:t>
            </w:r>
          </w:p>
        </w:tc>
      </w:tr>
      <w:tr>
        <w:trPr>
          <w:trHeight w:val="315" w:hRule="atLeast"/>
        </w:trPr>
        <w:tc>
          <w:tcPr>
            <w:tcW w:w="1193" w:type="dxa"/>
          </w:tcPr>
          <w:p>
            <w:pPr>
              <w:pStyle w:val="TableParagraph"/>
              <w:spacing w:before="30"/>
              <w:ind w:left="325" w:right="318"/>
              <w:rPr>
                <w:sz w:val="20"/>
              </w:rPr>
            </w:pPr>
            <w:r>
              <w:rPr>
                <w:sz w:val="20"/>
              </w:rPr>
              <w:t>（</w:t>
            </w:r>
            <w:r>
              <w:rPr>
                <w:rFonts w:ascii="Times New Roman" w:eastAsia="Times New Roman"/>
                <w:sz w:val="20"/>
              </w:rPr>
              <w:t>1</w:t>
            </w:r>
            <w:r>
              <w:rPr>
                <w:sz w:val="20"/>
              </w:rPr>
              <w:t>）</w:t>
            </w:r>
          </w:p>
        </w:tc>
        <w:tc>
          <w:tcPr>
            <w:tcW w:w="2700" w:type="dxa"/>
          </w:tcPr>
          <w:p>
            <w:pPr>
              <w:pStyle w:val="TableParagraph"/>
              <w:spacing w:before="30"/>
              <w:ind w:left="326" w:right="320"/>
              <w:rPr>
                <w:sz w:val="20"/>
              </w:rPr>
            </w:pPr>
            <w:r>
              <w:rPr>
                <w:sz w:val="20"/>
              </w:rPr>
              <w:t>基本预备费</w:t>
            </w:r>
          </w:p>
        </w:tc>
        <w:tc>
          <w:tcPr>
            <w:tcW w:w="1849" w:type="dxa"/>
          </w:tcPr>
          <w:p>
            <w:pPr>
              <w:pStyle w:val="TableParagraph"/>
              <w:spacing w:before="43"/>
              <w:ind w:left="475" w:right="466"/>
              <w:rPr>
                <w:rFonts w:ascii="Times New Roman"/>
                <w:sz w:val="20"/>
              </w:rPr>
            </w:pPr>
            <w:r>
              <w:rPr>
                <w:rFonts w:ascii="Times New Roman"/>
                <w:sz w:val="20"/>
              </w:rPr>
              <w:t>2.85</w:t>
            </w:r>
          </w:p>
        </w:tc>
        <w:tc>
          <w:tcPr>
            <w:tcW w:w="1710" w:type="dxa"/>
          </w:tcPr>
          <w:p>
            <w:pPr>
              <w:pStyle w:val="TableParagraph"/>
              <w:spacing w:before="43"/>
              <w:ind w:left="522" w:right="513"/>
              <w:rPr>
                <w:rFonts w:ascii="Times New Roman"/>
                <w:sz w:val="20"/>
              </w:rPr>
            </w:pPr>
            <w:r>
              <w:rPr>
                <w:rFonts w:ascii="Times New Roman"/>
                <w:sz w:val="20"/>
              </w:rPr>
              <w:t>4.16</w:t>
            </w:r>
          </w:p>
        </w:tc>
      </w:tr>
      <w:tr>
        <w:trPr>
          <w:trHeight w:val="315" w:hRule="atLeast"/>
        </w:trPr>
        <w:tc>
          <w:tcPr>
            <w:tcW w:w="1193" w:type="dxa"/>
          </w:tcPr>
          <w:p>
            <w:pPr>
              <w:pStyle w:val="TableParagraph"/>
              <w:spacing w:before="29"/>
              <w:ind w:left="325" w:right="318"/>
              <w:rPr>
                <w:sz w:val="20"/>
              </w:rPr>
            </w:pPr>
            <w:r>
              <w:rPr>
                <w:sz w:val="20"/>
              </w:rPr>
              <w:t>（</w:t>
            </w:r>
            <w:r>
              <w:rPr>
                <w:rFonts w:ascii="Times New Roman" w:eastAsia="Times New Roman"/>
                <w:sz w:val="20"/>
              </w:rPr>
              <w:t>2</w:t>
            </w:r>
            <w:r>
              <w:rPr>
                <w:sz w:val="20"/>
              </w:rPr>
              <w:t>）</w:t>
            </w:r>
          </w:p>
        </w:tc>
        <w:tc>
          <w:tcPr>
            <w:tcW w:w="2700" w:type="dxa"/>
          </w:tcPr>
          <w:p>
            <w:pPr>
              <w:pStyle w:val="TableParagraph"/>
              <w:spacing w:before="29"/>
              <w:ind w:left="326" w:right="320"/>
              <w:rPr>
                <w:sz w:val="20"/>
              </w:rPr>
            </w:pPr>
            <w:r>
              <w:rPr>
                <w:sz w:val="20"/>
              </w:rPr>
              <w:t>差价预备费</w:t>
            </w:r>
          </w:p>
        </w:tc>
        <w:tc>
          <w:tcPr>
            <w:tcW w:w="1849" w:type="dxa"/>
          </w:tcPr>
          <w:p>
            <w:pPr>
              <w:pStyle w:val="TableParagraph"/>
              <w:spacing w:before="42"/>
              <w:ind w:left="474" w:right="467"/>
              <w:rPr>
                <w:rFonts w:ascii="Times New Roman"/>
                <w:sz w:val="20"/>
              </w:rPr>
            </w:pPr>
            <w:r>
              <w:rPr>
                <w:rFonts w:ascii="Times New Roman"/>
                <w:sz w:val="20"/>
              </w:rPr>
              <w:t>13.30</w:t>
            </w:r>
          </w:p>
        </w:tc>
        <w:tc>
          <w:tcPr>
            <w:tcW w:w="1710" w:type="dxa"/>
          </w:tcPr>
          <w:p>
            <w:pPr>
              <w:pStyle w:val="TableParagraph"/>
              <w:spacing w:before="42"/>
              <w:ind w:left="10"/>
              <w:rPr>
                <w:rFonts w:ascii="Times New Roman"/>
                <w:sz w:val="20"/>
              </w:rPr>
            </w:pPr>
            <w:r>
              <w:rPr>
                <w:rFonts w:ascii="Times New Roman"/>
                <w:w w:val="99"/>
                <w:sz w:val="20"/>
              </w:rPr>
              <w:t>-</w:t>
            </w:r>
          </w:p>
        </w:tc>
      </w:tr>
      <w:tr>
        <w:trPr>
          <w:trHeight w:val="314" w:hRule="atLeast"/>
        </w:trPr>
        <w:tc>
          <w:tcPr>
            <w:tcW w:w="3893" w:type="dxa"/>
            <w:gridSpan w:val="2"/>
          </w:tcPr>
          <w:p>
            <w:pPr>
              <w:pStyle w:val="TableParagraph"/>
              <w:spacing w:before="28"/>
              <w:ind w:left="1423" w:right="1419"/>
              <w:rPr>
                <w:sz w:val="20"/>
              </w:rPr>
            </w:pPr>
            <w:r>
              <w:rPr>
                <w:sz w:val="20"/>
              </w:rPr>
              <w:t>静态总投资</w:t>
            </w:r>
          </w:p>
        </w:tc>
        <w:tc>
          <w:tcPr>
            <w:tcW w:w="1849" w:type="dxa"/>
          </w:tcPr>
          <w:p>
            <w:pPr>
              <w:pStyle w:val="TableParagraph"/>
              <w:spacing w:before="41"/>
              <w:ind w:left="474" w:right="467"/>
              <w:rPr>
                <w:rFonts w:ascii="Times New Roman"/>
                <w:sz w:val="20"/>
              </w:rPr>
            </w:pPr>
            <w:r>
              <w:rPr>
                <w:rFonts w:ascii="Times New Roman"/>
                <w:sz w:val="20"/>
              </w:rPr>
              <w:t>68.43</w:t>
            </w:r>
          </w:p>
        </w:tc>
        <w:tc>
          <w:tcPr>
            <w:tcW w:w="1710" w:type="dxa"/>
          </w:tcPr>
          <w:p>
            <w:pPr>
              <w:pStyle w:val="TableParagraph"/>
              <w:spacing w:before="41"/>
              <w:ind w:left="522" w:right="513"/>
              <w:rPr>
                <w:rFonts w:ascii="Times New Roman"/>
                <w:sz w:val="20"/>
              </w:rPr>
            </w:pPr>
            <w:r>
              <w:rPr>
                <w:rFonts w:ascii="Times New Roman"/>
                <w:sz w:val="20"/>
              </w:rPr>
              <w:t>100</w:t>
            </w:r>
          </w:p>
        </w:tc>
      </w:tr>
      <w:tr>
        <w:trPr>
          <w:trHeight w:val="315" w:hRule="atLeast"/>
        </w:trPr>
        <w:tc>
          <w:tcPr>
            <w:tcW w:w="3893" w:type="dxa"/>
            <w:gridSpan w:val="2"/>
          </w:tcPr>
          <w:p>
            <w:pPr>
              <w:pStyle w:val="TableParagraph"/>
              <w:spacing w:before="29"/>
              <w:ind w:left="1423" w:right="1419"/>
              <w:rPr>
                <w:sz w:val="20"/>
              </w:rPr>
            </w:pPr>
            <w:r>
              <w:rPr>
                <w:sz w:val="20"/>
              </w:rPr>
              <w:t>动态总投资</w:t>
            </w:r>
          </w:p>
        </w:tc>
        <w:tc>
          <w:tcPr>
            <w:tcW w:w="1849" w:type="dxa"/>
          </w:tcPr>
          <w:p>
            <w:pPr>
              <w:pStyle w:val="TableParagraph"/>
              <w:spacing w:before="42"/>
              <w:ind w:left="474" w:right="467"/>
              <w:rPr>
                <w:rFonts w:ascii="Times New Roman"/>
                <w:sz w:val="20"/>
              </w:rPr>
            </w:pPr>
            <w:r>
              <w:rPr>
                <w:rFonts w:ascii="Times New Roman"/>
                <w:sz w:val="20"/>
              </w:rPr>
              <w:t>81.73</w:t>
            </w:r>
          </w:p>
        </w:tc>
        <w:tc>
          <w:tcPr>
            <w:tcW w:w="1710" w:type="dxa"/>
          </w:tcPr>
          <w:p>
            <w:pPr>
              <w:pStyle w:val="TableParagraph"/>
              <w:jc w:val="left"/>
              <w:rPr>
                <w:rFonts w:ascii="Times New Roman"/>
                <w:sz w:val="20"/>
              </w:rPr>
            </w:pPr>
          </w:p>
        </w:tc>
      </w:tr>
    </w:tbl>
    <w:p>
      <w:pPr>
        <w:spacing w:before="100"/>
        <w:ind w:left="0" w:right="427" w:firstLine="0"/>
        <w:jc w:val="center"/>
        <w:rPr>
          <w:rFonts w:ascii="黑体" w:eastAsia="黑体" w:hint="eastAsia"/>
          <w:b/>
          <w:sz w:val="21"/>
        </w:rPr>
      </w:pPr>
      <w:r>
        <w:rPr>
          <w:rFonts w:ascii="黑体" w:eastAsia="黑体" w:hint="eastAsia"/>
          <w:b/>
          <w:spacing w:val="-26"/>
          <w:sz w:val="21"/>
        </w:rPr>
        <w:t>表 </w:t>
      </w:r>
      <w:r>
        <w:rPr>
          <w:rFonts w:ascii="Times New Roman" w:eastAsia="Times New Roman"/>
          <w:b/>
          <w:sz w:val="21"/>
        </w:rPr>
        <w:t>5.5-6</w:t>
      </w:r>
      <w:r>
        <w:rPr>
          <w:rFonts w:ascii="Times New Roman" w:eastAsia="Times New Roman"/>
          <w:b/>
          <w:spacing w:val="52"/>
          <w:sz w:val="21"/>
        </w:rPr>
        <w:t> </w:t>
      </w:r>
      <w:r>
        <w:rPr>
          <w:rFonts w:ascii="黑体" w:eastAsia="黑体" w:hint="eastAsia"/>
          <w:b/>
          <w:sz w:val="21"/>
        </w:rPr>
        <w:t>矿山地质环境保护动态投资估算总表</w:t>
      </w:r>
    </w:p>
    <w:p>
      <w:pPr>
        <w:pStyle w:val="BodyText"/>
        <w:spacing w:before="9"/>
        <w:rPr>
          <w:rFonts w:ascii="黑体"/>
          <w:b/>
          <w:sz w:val="7"/>
        </w:rPr>
      </w:pPr>
    </w:p>
    <w:tbl>
      <w:tblPr>
        <w:tblW w:w="0" w:type="auto"/>
        <w:jc w:val="left"/>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2567"/>
        <w:gridCol w:w="1982"/>
        <w:gridCol w:w="1710"/>
      </w:tblGrid>
      <w:tr>
        <w:trPr>
          <w:trHeight w:val="315" w:hRule="atLeast"/>
        </w:trPr>
        <w:tc>
          <w:tcPr>
            <w:tcW w:w="1193" w:type="dxa"/>
          </w:tcPr>
          <w:p>
            <w:pPr>
              <w:pStyle w:val="TableParagraph"/>
              <w:spacing w:before="28"/>
              <w:ind w:left="325" w:right="318"/>
              <w:rPr>
                <w:sz w:val="20"/>
              </w:rPr>
            </w:pPr>
            <w:r>
              <w:rPr>
                <w:sz w:val="20"/>
              </w:rPr>
              <w:t>序号</w:t>
            </w:r>
          </w:p>
        </w:tc>
        <w:tc>
          <w:tcPr>
            <w:tcW w:w="2567" w:type="dxa"/>
          </w:tcPr>
          <w:p>
            <w:pPr>
              <w:pStyle w:val="TableParagraph"/>
              <w:spacing w:before="28"/>
              <w:ind w:left="562" w:right="555"/>
              <w:rPr>
                <w:sz w:val="20"/>
              </w:rPr>
            </w:pPr>
            <w:r>
              <w:rPr>
                <w:sz w:val="20"/>
              </w:rPr>
              <w:t>工程或费用名称</w:t>
            </w:r>
          </w:p>
        </w:tc>
        <w:tc>
          <w:tcPr>
            <w:tcW w:w="1982" w:type="dxa"/>
          </w:tcPr>
          <w:p>
            <w:pPr>
              <w:pStyle w:val="TableParagraph"/>
              <w:spacing w:before="28"/>
              <w:ind w:left="541" w:right="535"/>
              <w:rPr>
                <w:sz w:val="20"/>
              </w:rPr>
            </w:pPr>
            <w:r>
              <w:rPr>
                <w:sz w:val="20"/>
              </w:rPr>
              <w:t>费用</w:t>
            </w:r>
            <w:r>
              <w:rPr>
                <w:rFonts w:ascii="Times New Roman" w:eastAsia="Times New Roman"/>
                <w:sz w:val="20"/>
              </w:rPr>
              <w:t>/</w:t>
            </w:r>
            <w:r>
              <w:rPr>
                <w:sz w:val="20"/>
              </w:rPr>
              <w:t>万元</w:t>
            </w:r>
          </w:p>
        </w:tc>
        <w:tc>
          <w:tcPr>
            <w:tcW w:w="1710" w:type="dxa"/>
          </w:tcPr>
          <w:p>
            <w:pPr>
              <w:pStyle w:val="TableParagraph"/>
              <w:spacing w:before="28"/>
              <w:ind w:left="522" w:right="514"/>
              <w:rPr>
                <w:rFonts w:ascii="Times New Roman" w:eastAsia="Times New Roman"/>
                <w:sz w:val="20"/>
              </w:rPr>
            </w:pPr>
            <w:r>
              <w:rPr>
                <w:sz w:val="20"/>
              </w:rPr>
              <w:t>费率</w:t>
            </w:r>
            <w:r>
              <w:rPr>
                <w:rFonts w:ascii="Times New Roman" w:eastAsia="Times New Roman"/>
                <w:sz w:val="20"/>
              </w:rPr>
              <w:t>/%</w:t>
            </w:r>
          </w:p>
        </w:tc>
      </w:tr>
      <w:tr>
        <w:trPr>
          <w:trHeight w:val="315" w:hRule="atLeast"/>
        </w:trPr>
        <w:tc>
          <w:tcPr>
            <w:tcW w:w="1193" w:type="dxa"/>
          </w:tcPr>
          <w:p>
            <w:pPr>
              <w:pStyle w:val="TableParagraph"/>
              <w:spacing w:before="42"/>
              <w:ind w:left="6"/>
              <w:rPr>
                <w:rFonts w:ascii="Times New Roman"/>
                <w:sz w:val="20"/>
              </w:rPr>
            </w:pPr>
            <w:r>
              <w:rPr>
                <w:rFonts w:ascii="Times New Roman"/>
                <w:w w:val="99"/>
                <w:sz w:val="20"/>
              </w:rPr>
              <w:t>1</w:t>
            </w:r>
          </w:p>
        </w:tc>
        <w:tc>
          <w:tcPr>
            <w:tcW w:w="2567" w:type="dxa"/>
          </w:tcPr>
          <w:p>
            <w:pPr>
              <w:pStyle w:val="TableParagraph"/>
              <w:spacing w:before="29"/>
              <w:ind w:left="560" w:right="555"/>
              <w:rPr>
                <w:sz w:val="20"/>
              </w:rPr>
            </w:pPr>
            <w:r>
              <w:rPr>
                <w:sz w:val="20"/>
              </w:rPr>
              <w:t>工程施工费</w:t>
            </w:r>
          </w:p>
        </w:tc>
        <w:tc>
          <w:tcPr>
            <w:tcW w:w="1982" w:type="dxa"/>
          </w:tcPr>
          <w:p>
            <w:pPr>
              <w:pStyle w:val="TableParagraph"/>
              <w:spacing w:before="45"/>
              <w:ind w:left="541" w:right="531"/>
              <w:rPr>
                <w:rFonts w:ascii="Times New Roman"/>
                <w:sz w:val="20"/>
              </w:rPr>
            </w:pPr>
            <w:r>
              <w:rPr>
                <w:rFonts w:ascii="Times New Roman"/>
                <w:sz w:val="20"/>
              </w:rPr>
              <w:t>4.22</w:t>
            </w:r>
          </w:p>
        </w:tc>
        <w:tc>
          <w:tcPr>
            <w:tcW w:w="1710" w:type="dxa"/>
          </w:tcPr>
          <w:p>
            <w:pPr>
              <w:pStyle w:val="TableParagraph"/>
              <w:spacing w:before="42"/>
              <w:ind w:left="522" w:right="513"/>
              <w:rPr>
                <w:rFonts w:ascii="Times New Roman"/>
                <w:sz w:val="20"/>
              </w:rPr>
            </w:pPr>
            <w:r>
              <w:rPr>
                <w:rFonts w:ascii="Times New Roman"/>
                <w:sz w:val="20"/>
              </w:rPr>
              <w:t>13.57</w:t>
            </w:r>
          </w:p>
        </w:tc>
      </w:tr>
      <w:tr>
        <w:trPr>
          <w:trHeight w:val="315" w:hRule="atLeast"/>
        </w:trPr>
        <w:tc>
          <w:tcPr>
            <w:tcW w:w="1193" w:type="dxa"/>
          </w:tcPr>
          <w:p>
            <w:pPr>
              <w:pStyle w:val="TableParagraph"/>
              <w:spacing w:before="41"/>
              <w:ind w:left="6"/>
              <w:rPr>
                <w:rFonts w:ascii="Times New Roman"/>
                <w:sz w:val="20"/>
              </w:rPr>
            </w:pPr>
            <w:r>
              <w:rPr>
                <w:rFonts w:ascii="Times New Roman"/>
                <w:w w:val="99"/>
                <w:sz w:val="20"/>
              </w:rPr>
              <w:t>2</w:t>
            </w:r>
          </w:p>
        </w:tc>
        <w:tc>
          <w:tcPr>
            <w:tcW w:w="2567" w:type="dxa"/>
          </w:tcPr>
          <w:p>
            <w:pPr>
              <w:pStyle w:val="TableParagraph"/>
              <w:spacing w:before="28"/>
              <w:ind w:left="562" w:right="552"/>
              <w:rPr>
                <w:sz w:val="20"/>
              </w:rPr>
            </w:pPr>
            <w:r>
              <w:rPr>
                <w:sz w:val="20"/>
              </w:rPr>
              <w:t>设备费</w:t>
            </w:r>
          </w:p>
        </w:tc>
        <w:tc>
          <w:tcPr>
            <w:tcW w:w="1982" w:type="dxa"/>
          </w:tcPr>
          <w:p>
            <w:pPr>
              <w:pStyle w:val="TableParagraph"/>
              <w:spacing w:before="41"/>
              <w:ind w:left="10"/>
              <w:rPr>
                <w:rFonts w:ascii="Times New Roman"/>
                <w:sz w:val="20"/>
              </w:rPr>
            </w:pPr>
            <w:r>
              <w:rPr>
                <w:rFonts w:ascii="Times New Roman"/>
                <w:w w:val="99"/>
                <w:sz w:val="20"/>
              </w:rPr>
              <w:t>0</w:t>
            </w:r>
          </w:p>
        </w:tc>
        <w:tc>
          <w:tcPr>
            <w:tcW w:w="1710" w:type="dxa"/>
          </w:tcPr>
          <w:p>
            <w:pPr>
              <w:pStyle w:val="TableParagraph"/>
              <w:spacing w:before="41"/>
              <w:ind w:left="522" w:right="513"/>
              <w:rPr>
                <w:rFonts w:ascii="Times New Roman"/>
                <w:sz w:val="20"/>
              </w:rPr>
            </w:pPr>
            <w:r>
              <w:rPr>
                <w:rFonts w:ascii="Times New Roman"/>
                <w:sz w:val="20"/>
              </w:rPr>
              <w:t>0.00</w:t>
            </w:r>
          </w:p>
        </w:tc>
      </w:tr>
      <w:tr>
        <w:trPr>
          <w:trHeight w:val="315" w:hRule="atLeast"/>
        </w:trPr>
        <w:tc>
          <w:tcPr>
            <w:tcW w:w="1193" w:type="dxa"/>
          </w:tcPr>
          <w:p>
            <w:pPr>
              <w:pStyle w:val="TableParagraph"/>
              <w:spacing w:before="43"/>
              <w:ind w:left="6"/>
              <w:rPr>
                <w:rFonts w:ascii="Times New Roman"/>
                <w:sz w:val="20"/>
              </w:rPr>
            </w:pPr>
            <w:r>
              <w:rPr>
                <w:rFonts w:ascii="Times New Roman"/>
                <w:w w:val="99"/>
                <w:sz w:val="20"/>
              </w:rPr>
              <w:t>3</w:t>
            </w:r>
          </w:p>
        </w:tc>
        <w:tc>
          <w:tcPr>
            <w:tcW w:w="2567" w:type="dxa"/>
          </w:tcPr>
          <w:p>
            <w:pPr>
              <w:pStyle w:val="TableParagraph"/>
              <w:spacing w:before="29"/>
              <w:ind w:left="562" w:right="555"/>
              <w:rPr>
                <w:sz w:val="20"/>
              </w:rPr>
            </w:pPr>
            <w:r>
              <w:rPr>
                <w:sz w:val="20"/>
              </w:rPr>
              <w:t>其他费用</w:t>
            </w:r>
          </w:p>
        </w:tc>
        <w:tc>
          <w:tcPr>
            <w:tcW w:w="1982" w:type="dxa"/>
          </w:tcPr>
          <w:p>
            <w:pPr>
              <w:pStyle w:val="TableParagraph"/>
              <w:spacing w:before="43"/>
              <w:ind w:left="541" w:right="531"/>
              <w:rPr>
                <w:rFonts w:ascii="Times New Roman"/>
                <w:sz w:val="20"/>
              </w:rPr>
            </w:pPr>
            <w:r>
              <w:rPr>
                <w:rFonts w:ascii="Times New Roman"/>
                <w:sz w:val="20"/>
              </w:rPr>
              <w:t>0.55</w:t>
            </w:r>
          </w:p>
        </w:tc>
        <w:tc>
          <w:tcPr>
            <w:tcW w:w="1710" w:type="dxa"/>
          </w:tcPr>
          <w:p>
            <w:pPr>
              <w:pStyle w:val="TableParagraph"/>
              <w:spacing w:before="43"/>
              <w:ind w:left="522" w:right="513"/>
              <w:rPr>
                <w:rFonts w:ascii="Times New Roman"/>
                <w:sz w:val="20"/>
              </w:rPr>
            </w:pPr>
            <w:r>
              <w:rPr>
                <w:rFonts w:ascii="Times New Roman"/>
                <w:sz w:val="20"/>
              </w:rPr>
              <w:t>1.77</w:t>
            </w:r>
          </w:p>
        </w:tc>
      </w:tr>
      <w:tr>
        <w:trPr>
          <w:trHeight w:val="312" w:hRule="atLeast"/>
        </w:trPr>
        <w:tc>
          <w:tcPr>
            <w:tcW w:w="1193" w:type="dxa"/>
          </w:tcPr>
          <w:p>
            <w:pPr>
              <w:pStyle w:val="TableParagraph"/>
              <w:spacing w:before="42"/>
              <w:ind w:left="6"/>
              <w:rPr>
                <w:rFonts w:ascii="Times New Roman"/>
                <w:sz w:val="20"/>
              </w:rPr>
            </w:pPr>
            <w:r>
              <w:rPr>
                <w:rFonts w:ascii="Times New Roman"/>
                <w:w w:val="99"/>
                <w:sz w:val="20"/>
              </w:rPr>
              <w:t>4</w:t>
            </w:r>
          </w:p>
        </w:tc>
        <w:tc>
          <w:tcPr>
            <w:tcW w:w="2567" w:type="dxa"/>
          </w:tcPr>
          <w:p>
            <w:pPr>
              <w:pStyle w:val="TableParagraph"/>
              <w:spacing w:before="29"/>
              <w:ind w:left="562" w:right="552"/>
              <w:rPr>
                <w:sz w:val="20"/>
              </w:rPr>
            </w:pPr>
            <w:r>
              <w:rPr>
                <w:sz w:val="20"/>
              </w:rPr>
              <w:t>监测费</w:t>
            </w:r>
          </w:p>
        </w:tc>
        <w:tc>
          <w:tcPr>
            <w:tcW w:w="1982" w:type="dxa"/>
          </w:tcPr>
          <w:p>
            <w:pPr>
              <w:pStyle w:val="TableParagraph"/>
              <w:spacing w:before="42"/>
              <w:ind w:left="541" w:right="531"/>
              <w:rPr>
                <w:rFonts w:ascii="Times New Roman"/>
                <w:sz w:val="20"/>
              </w:rPr>
            </w:pPr>
            <w:r>
              <w:rPr>
                <w:rFonts w:ascii="Times New Roman"/>
                <w:sz w:val="20"/>
              </w:rPr>
              <w:t>25.95</w:t>
            </w:r>
          </w:p>
        </w:tc>
        <w:tc>
          <w:tcPr>
            <w:tcW w:w="1710" w:type="dxa"/>
            <w:vMerge w:val="restart"/>
          </w:tcPr>
          <w:p>
            <w:pPr>
              <w:pStyle w:val="TableParagraph"/>
              <w:jc w:val="left"/>
              <w:rPr>
                <w:rFonts w:ascii="黑体"/>
                <w:b/>
                <w:sz w:val="22"/>
              </w:rPr>
            </w:pPr>
          </w:p>
          <w:p>
            <w:pPr>
              <w:pStyle w:val="TableParagraph"/>
              <w:spacing w:before="3"/>
              <w:jc w:val="left"/>
              <w:rPr>
                <w:rFonts w:ascii="黑体"/>
                <w:b/>
                <w:sz w:val="19"/>
              </w:rPr>
            </w:pPr>
          </w:p>
          <w:p>
            <w:pPr>
              <w:pStyle w:val="TableParagraph"/>
              <w:spacing w:before="1"/>
              <w:ind w:left="522" w:right="513"/>
              <w:rPr>
                <w:rFonts w:ascii="Times New Roman"/>
                <w:sz w:val="20"/>
              </w:rPr>
            </w:pPr>
            <w:r>
              <w:rPr>
                <w:rFonts w:ascii="Times New Roman"/>
                <w:sz w:val="20"/>
              </w:rPr>
              <w:t>83.44</w:t>
            </w:r>
          </w:p>
        </w:tc>
      </w:tr>
      <w:tr>
        <w:trPr>
          <w:trHeight w:val="315" w:hRule="atLeast"/>
        </w:trPr>
        <w:tc>
          <w:tcPr>
            <w:tcW w:w="1193" w:type="dxa"/>
          </w:tcPr>
          <w:p>
            <w:pPr>
              <w:pStyle w:val="TableParagraph"/>
              <w:spacing w:before="28"/>
              <w:ind w:left="325" w:right="318"/>
              <w:rPr>
                <w:sz w:val="20"/>
              </w:rPr>
            </w:pPr>
            <w:r>
              <w:rPr>
                <w:sz w:val="20"/>
              </w:rPr>
              <w:t>（</w:t>
            </w:r>
            <w:r>
              <w:rPr>
                <w:rFonts w:ascii="Times New Roman" w:eastAsia="Times New Roman"/>
                <w:sz w:val="20"/>
              </w:rPr>
              <w:t>1</w:t>
            </w:r>
            <w:r>
              <w:rPr>
                <w:sz w:val="20"/>
              </w:rPr>
              <w:t>）</w:t>
            </w:r>
          </w:p>
        </w:tc>
        <w:tc>
          <w:tcPr>
            <w:tcW w:w="2567" w:type="dxa"/>
          </w:tcPr>
          <w:p>
            <w:pPr>
              <w:pStyle w:val="TableParagraph"/>
              <w:spacing w:before="28"/>
              <w:ind w:left="562" w:right="552"/>
              <w:rPr>
                <w:sz w:val="20"/>
              </w:rPr>
            </w:pPr>
            <w:r>
              <w:rPr>
                <w:sz w:val="20"/>
              </w:rPr>
              <w:t>地面塌陷监测</w:t>
            </w:r>
          </w:p>
        </w:tc>
        <w:tc>
          <w:tcPr>
            <w:tcW w:w="1982" w:type="dxa"/>
          </w:tcPr>
          <w:p>
            <w:pPr>
              <w:pStyle w:val="TableParagraph"/>
              <w:spacing w:before="41"/>
              <w:ind w:left="541" w:right="531"/>
              <w:rPr>
                <w:rFonts w:ascii="Times New Roman"/>
                <w:sz w:val="20"/>
              </w:rPr>
            </w:pPr>
            <w:r>
              <w:rPr>
                <w:rFonts w:ascii="Times New Roman"/>
                <w:sz w:val="20"/>
              </w:rPr>
              <w:t>12.81</w:t>
            </w:r>
          </w:p>
        </w:tc>
        <w:tc>
          <w:tcPr>
            <w:tcW w:w="1710" w:type="dxa"/>
            <w:vMerge/>
            <w:tcBorders>
              <w:top w:val="nil"/>
            </w:tcBorders>
          </w:tcPr>
          <w:p>
            <w:pPr>
              <w:rPr>
                <w:sz w:val="2"/>
                <w:szCs w:val="2"/>
              </w:rPr>
            </w:pPr>
          </w:p>
        </w:tc>
      </w:tr>
      <w:tr>
        <w:trPr>
          <w:trHeight w:val="315" w:hRule="atLeast"/>
        </w:trPr>
        <w:tc>
          <w:tcPr>
            <w:tcW w:w="1193" w:type="dxa"/>
          </w:tcPr>
          <w:p>
            <w:pPr>
              <w:pStyle w:val="TableParagraph"/>
              <w:spacing w:before="30"/>
              <w:ind w:left="325" w:right="318"/>
              <w:rPr>
                <w:sz w:val="20"/>
              </w:rPr>
            </w:pPr>
            <w:r>
              <w:rPr>
                <w:sz w:val="20"/>
              </w:rPr>
              <w:t>（</w:t>
            </w:r>
            <w:r>
              <w:rPr>
                <w:rFonts w:ascii="Times New Roman" w:eastAsia="Times New Roman"/>
                <w:sz w:val="20"/>
              </w:rPr>
              <w:t>2</w:t>
            </w:r>
            <w:r>
              <w:rPr>
                <w:sz w:val="20"/>
              </w:rPr>
              <w:t>）</w:t>
            </w:r>
          </w:p>
        </w:tc>
        <w:tc>
          <w:tcPr>
            <w:tcW w:w="2567" w:type="dxa"/>
          </w:tcPr>
          <w:p>
            <w:pPr>
              <w:pStyle w:val="TableParagraph"/>
              <w:spacing w:before="30"/>
              <w:ind w:left="562" w:right="555"/>
              <w:rPr>
                <w:sz w:val="20"/>
              </w:rPr>
            </w:pPr>
            <w:r>
              <w:rPr>
                <w:sz w:val="20"/>
              </w:rPr>
              <w:t>地下水位监测</w:t>
            </w:r>
          </w:p>
        </w:tc>
        <w:tc>
          <w:tcPr>
            <w:tcW w:w="1982" w:type="dxa"/>
          </w:tcPr>
          <w:p>
            <w:pPr>
              <w:pStyle w:val="TableParagraph"/>
              <w:spacing w:before="43"/>
              <w:ind w:left="541" w:right="531"/>
              <w:rPr>
                <w:rFonts w:ascii="Times New Roman"/>
                <w:sz w:val="20"/>
              </w:rPr>
            </w:pPr>
            <w:r>
              <w:rPr>
                <w:rFonts w:ascii="Times New Roman"/>
                <w:sz w:val="20"/>
              </w:rPr>
              <w:t>10.34</w:t>
            </w:r>
          </w:p>
        </w:tc>
        <w:tc>
          <w:tcPr>
            <w:tcW w:w="1710" w:type="dxa"/>
            <w:vMerge/>
            <w:tcBorders>
              <w:top w:val="nil"/>
            </w:tcBorders>
          </w:tcPr>
          <w:p>
            <w:pPr>
              <w:rPr>
                <w:sz w:val="2"/>
                <w:szCs w:val="2"/>
              </w:rPr>
            </w:pPr>
          </w:p>
        </w:tc>
      </w:tr>
      <w:tr>
        <w:trPr>
          <w:trHeight w:val="315" w:hRule="atLeast"/>
        </w:trPr>
        <w:tc>
          <w:tcPr>
            <w:tcW w:w="1193" w:type="dxa"/>
          </w:tcPr>
          <w:p>
            <w:pPr>
              <w:pStyle w:val="TableParagraph"/>
              <w:spacing w:before="28"/>
              <w:ind w:left="325" w:right="318"/>
              <w:rPr>
                <w:sz w:val="20"/>
              </w:rPr>
            </w:pPr>
            <w:r>
              <w:rPr>
                <w:sz w:val="20"/>
              </w:rPr>
              <w:t>（</w:t>
            </w:r>
            <w:r>
              <w:rPr>
                <w:rFonts w:ascii="Times New Roman" w:eastAsia="Times New Roman"/>
                <w:sz w:val="20"/>
              </w:rPr>
              <w:t>3</w:t>
            </w:r>
            <w:r>
              <w:rPr>
                <w:sz w:val="20"/>
              </w:rPr>
              <w:t>）</w:t>
            </w:r>
          </w:p>
        </w:tc>
        <w:tc>
          <w:tcPr>
            <w:tcW w:w="2567" w:type="dxa"/>
          </w:tcPr>
          <w:p>
            <w:pPr>
              <w:pStyle w:val="TableParagraph"/>
              <w:spacing w:before="28"/>
              <w:ind w:left="562" w:right="555"/>
              <w:rPr>
                <w:sz w:val="20"/>
              </w:rPr>
            </w:pPr>
            <w:r>
              <w:rPr>
                <w:sz w:val="20"/>
              </w:rPr>
              <w:t>水质监测</w:t>
            </w:r>
          </w:p>
        </w:tc>
        <w:tc>
          <w:tcPr>
            <w:tcW w:w="1982" w:type="dxa"/>
          </w:tcPr>
          <w:p>
            <w:pPr>
              <w:pStyle w:val="TableParagraph"/>
              <w:spacing w:before="42"/>
              <w:ind w:left="541" w:right="531"/>
              <w:rPr>
                <w:rFonts w:ascii="Times New Roman"/>
                <w:sz w:val="20"/>
              </w:rPr>
            </w:pPr>
            <w:r>
              <w:rPr>
                <w:rFonts w:ascii="Times New Roman"/>
                <w:sz w:val="20"/>
              </w:rPr>
              <w:t>2.80</w:t>
            </w:r>
          </w:p>
        </w:tc>
        <w:tc>
          <w:tcPr>
            <w:tcW w:w="1710" w:type="dxa"/>
            <w:vMerge/>
            <w:tcBorders>
              <w:top w:val="nil"/>
            </w:tcBorders>
          </w:tcPr>
          <w:p>
            <w:pPr>
              <w:rPr>
                <w:sz w:val="2"/>
                <w:szCs w:val="2"/>
              </w:rPr>
            </w:pPr>
          </w:p>
        </w:tc>
      </w:tr>
      <w:tr>
        <w:trPr>
          <w:trHeight w:val="314" w:hRule="atLeast"/>
        </w:trPr>
        <w:tc>
          <w:tcPr>
            <w:tcW w:w="1193" w:type="dxa"/>
          </w:tcPr>
          <w:p>
            <w:pPr>
              <w:pStyle w:val="TableParagraph"/>
              <w:spacing w:before="43"/>
              <w:ind w:left="6"/>
              <w:rPr>
                <w:rFonts w:ascii="Times New Roman"/>
                <w:sz w:val="20"/>
              </w:rPr>
            </w:pPr>
            <w:r>
              <w:rPr>
                <w:rFonts w:ascii="Times New Roman"/>
                <w:w w:val="99"/>
                <w:sz w:val="20"/>
              </w:rPr>
              <w:t>5</w:t>
            </w:r>
          </w:p>
        </w:tc>
        <w:tc>
          <w:tcPr>
            <w:tcW w:w="2567" w:type="dxa"/>
          </w:tcPr>
          <w:p>
            <w:pPr>
              <w:pStyle w:val="TableParagraph"/>
              <w:spacing w:before="30"/>
              <w:ind w:left="562" w:right="552"/>
              <w:rPr>
                <w:sz w:val="20"/>
              </w:rPr>
            </w:pPr>
            <w:r>
              <w:rPr>
                <w:sz w:val="20"/>
              </w:rPr>
              <w:t>预备费</w:t>
            </w:r>
          </w:p>
        </w:tc>
        <w:tc>
          <w:tcPr>
            <w:tcW w:w="1982" w:type="dxa"/>
          </w:tcPr>
          <w:p>
            <w:pPr>
              <w:pStyle w:val="TableParagraph"/>
              <w:spacing w:before="43"/>
              <w:ind w:left="541" w:right="531"/>
              <w:rPr>
                <w:rFonts w:ascii="Times New Roman"/>
                <w:sz w:val="20"/>
              </w:rPr>
            </w:pPr>
            <w:r>
              <w:rPr>
                <w:rFonts w:ascii="Times New Roman"/>
                <w:sz w:val="20"/>
              </w:rPr>
              <w:t>3.88</w:t>
            </w:r>
          </w:p>
        </w:tc>
        <w:tc>
          <w:tcPr>
            <w:tcW w:w="1710" w:type="dxa"/>
          </w:tcPr>
          <w:p>
            <w:pPr>
              <w:pStyle w:val="TableParagraph"/>
              <w:jc w:val="left"/>
              <w:rPr>
                <w:rFonts w:ascii="Times New Roman"/>
                <w:sz w:val="20"/>
              </w:rPr>
            </w:pPr>
          </w:p>
        </w:tc>
      </w:tr>
      <w:tr>
        <w:trPr>
          <w:trHeight w:val="315" w:hRule="atLeast"/>
        </w:trPr>
        <w:tc>
          <w:tcPr>
            <w:tcW w:w="1193" w:type="dxa"/>
          </w:tcPr>
          <w:p>
            <w:pPr>
              <w:pStyle w:val="TableParagraph"/>
              <w:spacing w:before="29"/>
              <w:ind w:left="325" w:right="318"/>
              <w:rPr>
                <w:sz w:val="20"/>
              </w:rPr>
            </w:pPr>
            <w:r>
              <w:rPr>
                <w:sz w:val="20"/>
              </w:rPr>
              <w:t>（</w:t>
            </w:r>
            <w:r>
              <w:rPr>
                <w:rFonts w:ascii="Times New Roman" w:eastAsia="Times New Roman"/>
                <w:sz w:val="20"/>
              </w:rPr>
              <w:t>1</w:t>
            </w:r>
            <w:r>
              <w:rPr>
                <w:sz w:val="20"/>
              </w:rPr>
              <w:t>）</w:t>
            </w:r>
          </w:p>
        </w:tc>
        <w:tc>
          <w:tcPr>
            <w:tcW w:w="2567" w:type="dxa"/>
          </w:tcPr>
          <w:p>
            <w:pPr>
              <w:pStyle w:val="TableParagraph"/>
              <w:spacing w:before="29"/>
              <w:ind w:left="560" w:right="555"/>
              <w:rPr>
                <w:sz w:val="20"/>
              </w:rPr>
            </w:pPr>
            <w:r>
              <w:rPr>
                <w:sz w:val="20"/>
              </w:rPr>
              <w:t>基本预备费</w:t>
            </w:r>
          </w:p>
        </w:tc>
        <w:tc>
          <w:tcPr>
            <w:tcW w:w="1982" w:type="dxa"/>
          </w:tcPr>
          <w:p>
            <w:pPr>
              <w:pStyle w:val="TableParagraph"/>
              <w:spacing w:before="42"/>
              <w:ind w:left="541" w:right="531"/>
              <w:rPr>
                <w:rFonts w:ascii="Times New Roman"/>
                <w:sz w:val="20"/>
              </w:rPr>
            </w:pPr>
            <w:r>
              <w:rPr>
                <w:rFonts w:ascii="Times New Roman"/>
                <w:sz w:val="20"/>
              </w:rPr>
              <w:t>0.38</w:t>
            </w:r>
          </w:p>
        </w:tc>
        <w:tc>
          <w:tcPr>
            <w:tcW w:w="1710" w:type="dxa"/>
          </w:tcPr>
          <w:p>
            <w:pPr>
              <w:pStyle w:val="TableParagraph"/>
              <w:spacing w:before="45"/>
              <w:ind w:left="522" w:right="513"/>
              <w:rPr>
                <w:rFonts w:ascii="Times New Roman"/>
                <w:sz w:val="20"/>
              </w:rPr>
            </w:pPr>
            <w:r>
              <w:rPr>
                <w:rFonts w:ascii="Times New Roman"/>
                <w:sz w:val="20"/>
              </w:rPr>
              <w:t>1.22</w:t>
            </w:r>
          </w:p>
        </w:tc>
      </w:tr>
      <w:tr>
        <w:trPr>
          <w:trHeight w:val="312" w:hRule="atLeast"/>
        </w:trPr>
        <w:tc>
          <w:tcPr>
            <w:tcW w:w="1193" w:type="dxa"/>
          </w:tcPr>
          <w:p>
            <w:pPr>
              <w:pStyle w:val="TableParagraph"/>
              <w:spacing w:before="28"/>
              <w:ind w:left="325" w:right="318"/>
              <w:rPr>
                <w:sz w:val="20"/>
              </w:rPr>
            </w:pPr>
            <w:r>
              <w:rPr>
                <w:sz w:val="20"/>
              </w:rPr>
              <w:t>（</w:t>
            </w:r>
            <w:r>
              <w:rPr>
                <w:rFonts w:ascii="Times New Roman" w:eastAsia="Times New Roman"/>
                <w:sz w:val="20"/>
              </w:rPr>
              <w:t>2</w:t>
            </w:r>
            <w:r>
              <w:rPr>
                <w:sz w:val="20"/>
              </w:rPr>
              <w:t>）</w:t>
            </w:r>
          </w:p>
        </w:tc>
        <w:tc>
          <w:tcPr>
            <w:tcW w:w="2567" w:type="dxa"/>
          </w:tcPr>
          <w:p>
            <w:pPr>
              <w:pStyle w:val="TableParagraph"/>
              <w:spacing w:before="28"/>
              <w:ind w:left="560" w:right="555"/>
              <w:rPr>
                <w:sz w:val="20"/>
              </w:rPr>
            </w:pPr>
            <w:r>
              <w:rPr>
                <w:sz w:val="20"/>
              </w:rPr>
              <w:t>差价预备费</w:t>
            </w:r>
          </w:p>
        </w:tc>
        <w:tc>
          <w:tcPr>
            <w:tcW w:w="1982" w:type="dxa"/>
          </w:tcPr>
          <w:p>
            <w:pPr>
              <w:pStyle w:val="TableParagraph"/>
              <w:spacing w:before="41"/>
              <w:ind w:left="541" w:right="531"/>
              <w:rPr>
                <w:rFonts w:ascii="Times New Roman"/>
                <w:sz w:val="20"/>
              </w:rPr>
            </w:pPr>
            <w:r>
              <w:rPr>
                <w:rFonts w:ascii="Times New Roman"/>
                <w:sz w:val="20"/>
              </w:rPr>
              <w:t>3.50</w:t>
            </w:r>
          </w:p>
        </w:tc>
        <w:tc>
          <w:tcPr>
            <w:tcW w:w="1710" w:type="dxa"/>
          </w:tcPr>
          <w:p>
            <w:pPr>
              <w:pStyle w:val="TableParagraph"/>
              <w:jc w:val="left"/>
              <w:rPr>
                <w:rFonts w:ascii="Times New Roman"/>
                <w:sz w:val="20"/>
              </w:rPr>
            </w:pPr>
          </w:p>
        </w:tc>
      </w:tr>
      <w:tr>
        <w:trPr>
          <w:trHeight w:val="315" w:hRule="atLeast"/>
        </w:trPr>
        <w:tc>
          <w:tcPr>
            <w:tcW w:w="3760" w:type="dxa"/>
            <w:gridSpan w:val="2"/>
          </w:tcPr>
          <w:p>
            <w:pPr>
              <w:pStyle w:val="TableParagraph"/>
              <w:spacing w:before="30"/>
              <w:ind w:left="1359" w:right="1351"/>
              <w:rPr>
                <w:sz w:val="20"/>
              </w:rPr>
            </w:pPr>
            <w:r>
              <w:rPr>
                <w:sz w:val="20"/>
              </w:rPr>
              <w:t>静态总投资</w:t>
            </w:r>
          </w:p>
        </w:tc>
        <w:tc>
          <w:tcPr>
            <w:tcW w:w="1982" w:type="dxa"/>
          </w:tcPr>
          <w:p>
            <w:pPr>
              <w:pStyle w:val="TableParagraph"/>
              <w:spacing w:before="43"/>
              <w:ind w:left="541" w:right="531"/>
              <w:rPr>
                <w:rFonts w:ascii="Times New Roman"/>
                <w:sz w:val="20"/>
              </w:rPr>
            </w:pPr>
            <w:r>
              <w:rPr>
                <w:rFonts w:ascii="Times New Roman"/>
                <w:sz w:val="20"/>
              </w:rPr>
              <w:t>31.10</w:t>
            </w:r>
          </w:p>
        </w:tc>
        <w:tc>
          <w:tcPr>
            <w:tcW w:w="1710" w:type="dxa"/>
          </w:tcPr>
          <w:p>
            <w:pPr>
              <w:pStyle w:val="TableParagraph"/>
              <w:spacing w:before="43"/>
              <w:ind w:left="522" w:right="513"/>
              <w:rPr>
                <w:rFonts w:ascii="Times New Roman"/>
                <w:sz w:val="20"/>
              </w:rPr>
            </w:pPr>
            <w:r>
              <w:rPr>
                <w:rFonts w:ascii="Times New Roman"/>
                <w:sz w:val="20"/>
              </w:rPr>
              <w:t>100</w:t>
            </w:r>
          </w:p>
        </w:tc>
      </w:tr>
      <w:tr>
        <w:trPr>
          <w:trHeight w:val="315" w:hRule="atLeast"/>
        </w:trPr>
        <w:tc>
          <w:tcPr>
            <w:tcW w:w="3760" w:type="dxa"/>
            <w:gridSpan w:val="2"/>
          </w:tcPr>
          <w:p>
            <w:pPr>
              <w:pStyle w:val="TableParagraph"/>
              <w:spacing w:before="29"/>
              <w:ind w:left="1359" w:right="1351"/>
              <w:rPr>
                <w:sz w:val="20"/>
              </w:rPr>
            </w:pPr>
            <w:r>
              <w:rPr>
                <w:sz w:val="20"/>
              </w:rPr>
              <w:t>动态总投资</w:t>
            </w:r>
          </w:p>
        </w:tc>
        <w:tc>
          <w:tcPr>
            <w:tcW w:w="1982" w:type="dxa"/>
          </w:tcPr>
          <w:p>
            <w:pPr>
              <w:pStyle w:val="TableParagraph"/>
              <w:spacing w:before="42"/>
              <w:ind w:left="541" w:right="531"/>
              <w:rPr>
                <w:rFonts w:ascii="Times New Roman"/>
                <w:sz w:val="20"/>
              </w:rPr>
            </w:pPr>
            <w:r>
              <w:rPr>
                <w:rFonts w:ascii="Times New Roman"/>
                <w:sz w:val="20"/>
              </w:rPr>
              <w:t>34.60</w:t>
            </w:r>
          </w:p>
        </w:tc>
        <w:tc>
          <w:tcPr>
            <w:tcW w:w="1710" w:type="dxa"/>
          </w:tcPr>
          <w:p>
            <w:pPr>
              <w:pStyle w:val="TableParagraph"/>
              <w:jc w:val="left"/>
              <w:rPr>
                <w:rFonts w:ascii="Times New Roman"/>
                <w:sz w:val="20"/>
              </w:rPr>
            </w:pPr>
          </w:p>
        </w:tc>
      </w:tr>
    </w:tbl>
    <w:p>
      <w:pPr>
        <w:spacing w:before="100"/>
        <w:ind w:left="0" w:right="7" w:firstLine="0"/>
        <w:jc w:val="center"/>
        <w:rPr>
          <w:rFonts w:ascii="黑体" w:eastAsia="黑体" w:hint="eastAsia"/>
          <w:b/>
          <w:sz w:val="21"/>
        </w:rPr>
      </w:pPr>
      <w:r>
        <w:rPr>
          <w:rFonts w:ascii="黑体" w:eastAsia="黑体" w:hint="eastAsia"/>
          <w:b/>
          <w:spacing w:val="-28"/>
          <w:sz w:val="21"/>
        </w:rPr>
        <w:t>表 </w:t>
      </w:r>
      <w:r>
        <w:rPr>
          <w:rFonts w:ascii="Times New Roman" w:eastAsia="Times New Roman"/>
          <w:b/>
          <w:sz w:val="21"/>
        </w:rPr>
        <w:t>5.5-7</w:t>
      </w:r>
      <w:r>
        <w:rPr>
          <w:rFonts w:ascii="Times New Roman" w:eastAsia="Times New Roman"/>
          <w:b/>
          <w:spacing w:val="52"/>
          <w:sz w:val="21"/>
        </w:rPr>
        <w:t> </w:t>
      </w:r>
      <w:r>
        <w:rPr>
          <w:rFonts w:ascii="黑体" w:eastAsia="黑体" w:hint="eastAsia"/>
          <w:b/>
          <w:sz w:val="21"/>
        </w:rPr>
        <w:t>地质环境保护工程价差预备费总表</w:t>
      </w:r>
    </w:p>
    <w:p>
      <w:pPr>
        <w:pStyle w:val="BodyText"/>
        <w:spacing w:before="10"/>
        <w:rPr>
          <w:rFonts w:ascii="黑体"/>
          <w:b/>
          <w:sz w:val="7"/>
        </w:rPr>
      </w:pPr>
    </w:p>
    <w:tbl>
      <w:tblPr>
        <w:tblW w:w="0" w:type="auto"/>
        <w:jc w:val="left"/>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298"/>
        <w:gridCol w:w="1800"/>
        <w:gridCol w:w="1440"/>
        <w:gridCol w:w="2113"/>
      </w:tblGrid>
      <w:tr>
        <w:trPr>
          <w:trHeight w:val="312" w:hRule="atLeast"/>
        </w:trPr>
        <w:tc>
          <w:tcPr>
            <w:tcW w:w="1591" w:type="dxa"/>
          </w:tcPr>
          <w:p>
            <w:pPr>
              <w:pStyle w:val="TableParagraph"/>
              <w:spacing w:before="27"/>
              <w:ind w:left="274" w:right="263"/>
              <w:rPr>
                <w:b/>
                <w:sz w:val="20"/>
              </w:rPr>
            </w:pPr>
            <w:r>
              <w:rPr>
                <w:b/>
                <w:sz w:val="20"/>
              </w:rPr>
              <w:t>年份（年）</w:t>
            </w:r>
          </w:p>
        </w:tc>
        <w:tc>
          <w:tcPr>
            <w:tcW w:w="2298" w:type="dxa"/>
          </w:tcPr>
          <w:p>
            <w:pPr>
              <w:pStyle w:val="TableParagraph"/>
              <w:spacing w:before="27"/>
              <w:ind w:left="327" w:right="314"/>
              <w:rPr>
                <w:b/>
                <w:sz w:val="20"/>
              </w:rPr>
            </w:pPr>
            <w:r>
              <w:rPr>
                <w:b/>
                <w:sz w:val="20"/>
              </w:rPr>
              <w:t>静态投资（万元）</w:t>
            </w:r>
          </w:p>
        </w:tc>
        <w:tc>
          <w:tcPr>
            <w:tcW w:w="1800" w:type="dxa"/>
          </w:tcPr>
          <w:p>
            <w:pPr>
              <w:pStyle w:val="TableParagraph"/>
              <w:spacing w:before="41"/>
              <w:ind w:left="640" w:right="633"/>
              <w:rPr>
                <w:rFonts w:ascii="Times New Roman"/>
                <w:b/>
                <w:sz w:val="20"/>
              </w:rPr>
            </w:pPr>
            <w:r>
              <w:rPr>
                <w:rFonts w:ascii="Times New Roman"/>
                <w:b/>
                <w:sz w:val="20"/>
              </w:rPr>
              <w:t>1+r</w:t>
            </w:r>
          </w:p>
        </w:tc>
        <w:tc>
          <w:tcPr>
            <w:tcW w:w="1440" w:type="dxa"/>
          </w:tcPr>
          <w:p>
            <w:pPr>
              <w:pStyle w:val="TableParagraph"/>
              <w:spacing w:before="41"/>
              <w:ind w:left="692"/>
              <w:jc w:val="left"/>
              <w:rPr>
                <w:rFonts w:ascii="Times New Roman"/>
                <w:b/>
                <w:sz w:val="20"/>
              </w:rPr>
            </w:pPr>
            <w:r>
              <w:rPr>
                <w:rFonts w:ascii="Times New Roman"/>
                <w:b/>
                <w:w w:val="99"/>
                <w:sz w:val="20"/>
              </w:rPr>
              <w:t>i</w:t>
            </w:r>
          </w:p>
        </w:tc>
        <w:tc>
          <w:tcPr>
            <w:tcW w:w="2113" w:type="dxa"/>
          </w:tcPr>
          <w:p>
            <w:pPr>
              <w:pStyle w:val="TableParagraph"/>
              <w:spacing w:before="27"/>
              <w:ind w:left="133" w:right="122"/>
              <w:rPr>
                <w:b/>
                <w:sz w:val="20"/>
              </w:rPr>
            </w:pPr>
            <w:r>
              <w:rPr>
                <w:b/>
                <w:sz w:val="20"/>
              </w:rPr>
              <w:t>价差预备费（万元）</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2020</w:t>
            </w:r>
          </w:p>
        </w:tc>
        <w:tc>
          <w:tcPr>
            <w:tcW w:w="2298" w:type="dxa"/>
          </w:tcPr>
          <w:p>
            <w:pPr>
              <w:pStyle w:val="TableParagraph"/>
              <w:spacing w:before="36"/>
              <w:ind w:left="324" w:right="314"/>
              <w:rPr>
                <w:rFonts w:ascii="Times New Roman"/>
                <w:sz w:val="21"/>
              </w:rPr>
            </w:pPr>
            <w:r>
              <w:rPr>
                <w:rFonts w:ascii="Times New Roman"/>
                <w:sz w:val="21"/>
              </w:rPr>
              <w:t>5.19</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65"/>
              <w:jc w:val="left"/>
              <w:rPr>
                <w:rFonts w:ascii="Times New Roman"/>
                <w:sz w:val="21"/>
              </w:rPr>
            </w:pPr>
            <w:r>
              <w:rPr>
                <w:rFonts w:ascii="Times New Roman"/>
                <w:w w:val="99"/>
                <w:sz w:val="21"/>
              </w:rPr>
              <w:t>1</w:t>
            </w:r>
          </w:p>
        </w:tc>
        <w:tc>
          <w:tcPr>
            <w:tcW w:w="2113" w:type="dxa"/>
          </w:tcPr>
          <w:p>
            <w:pPr>
              <w:pStyle w:val="TableParagraph"/>
              <w:spacing w:before="36"/>
              <w:ind w:left="132" w:right="122"/>
              <w:rPr>
                <w:rFonts w:ascii="Times New Roman"/>
                <w:sz w:val="21"/>
              </w:rPr>
            </w:pPr>
            <w:r>
              <w:rPr>
                <w:rFonts w:ascii="Times New Roman"/>
                <w:sz w:val="21"/>
              </w:rPr>
              <w:t>0.08</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2021</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65"/>
              <w:jc w:val="left"/>
              <w:rPr>
                <w:rFonts w:ascii="Times New Roman"/>
                <w:sz w:val="21"/>
              </w:rPr>
            </w:pPr>
            <w:r>
              <w:rPr>
                <w:rFonts w:ascii="Times New Roman"/>
                <w:w w:val="99"/>
                <w:sz w:val="21"/>
              </w:rPr>
              <w:t>2</w:t>
            </w:r>
          </w:p>
        </w:tc>
        <w:tc>
          <w:tcPr>
            <w:tcW w:w="2113" w:type="dxa"/>
          </w:tcPr>
          <w:p>
            <w:pPr>
              <w:pStyle w:val="TableParagraph"/>
              <w:spacing w:before="35"/>
              <w:ind w:left="132" w:right="122"/>
              <w:rPr>
                <w:rFonts w:ascii="Times New Roman"/>
                <w:sz w:val="21"/>
              </w:rPr>
            </w:pPr>
            <w:r>
              <w:rPr>
                <w:rFonts w:ascii="Times New Roman"/>
                <w:sz w:val="21"/>
              </w:rPr>
              <w:t>0.06</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2022</w:t>
            </w:r>
          </w:p>
        </w:tc>
        <w:tc>
          <w:tcPr>
            <w:tcW w:w="2298" w:type="dxa"/>
          </w:tcPr>
          <w:p>
            <w:pPr>
              <w:pStyle w:val="TableParagraph"/>
              <w:spacing w:before="36"/>
              <w:ind w:left="324" w:right="314"/>
              <w:rPr>
                <w:rFonts w:ascii="Times New Roman"/>
                <w:sz w:val="21"/>
              </w:rPr>
            </w:pPr>
            <w:r>
              <w:rPr>
                <w:rFonts w:ascii="Times New Roman"/>
                <w:sz w:val="21"/>
              </w:rPr>
              <w:t>1.93</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65"/>
              <w:jc w:val="left"/>
              <w:rPr>
                <w:rFonts w:ascii="Times New Roman"/>
                <w:sz w:val="21"/>
              </w:rPr>
            </w:pPr>
            <w:r>
              <w:rPr>
                <w:rFonts w:ascii="Times New Roman"/>
                <w:w w:val="99"/>
                <w:sz w:val="21"/>
              </w:rPr>
              <w:t>3</w:t>
            </w:r>
          </w:p>
        </w:tc>
        <w:tc>
          <w:tcPr>
            <w:tcW w:w="2113" w:type="dxa"/>
          </w:tcPr>
          <w:p>
            <w:pPr>
              <w:pStyle w:val="TableParagraph"/>
              <w:spacing w:before="36"/>
              <w:ind w:left="132" w:right="122"/>
              <w:rPr>
                <w:rFonts w:ascii="Times New Roman"/>
                <w:sz w:val="21"/>
              </w:rPr>
            </w:pPr>
            <w:r>
              <w:rPr>
                <w:rFonts w:ascii="Times New Roman"/>
                <w:sz w:val="21"/>
              </w:rPr>
              <w:t>0.09</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2023</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65"/>
              <w:jc w:val="left"/>
              <w:rPr>
                <w:rFonts w:ascii="Times New Roman"/>
                <w:sz w:val="21"/>
              </w:rPr>
            </w:pPr>
            <w:r>
              <w:rPr>
                <w:rFonts w:ascii="Times New Roman"/>
                <w:w w:val="99"/>
                <w:sz w:val="21"/>
              </w:rPr>
              <w:t>4</w:t>
            </w:r>
          </w:p>
        </w:tc>
        <w:tc>
          <w:tcPr>
            <w:tcW w:w="2113" w:type="dxa"/>
          </w:tcPr>
          <w:p>
            <w:pPr>
              <w:pStyle w:val="TableParagraph"/>
              <w:spacing w:before="35"/>
              <w:ind w:left="132" w:right="122"/>
              <w:rPr>
                <w:rFonts w:ascii="Times New Roman"/>
                <w:sz w:val="21"/>
              </w:rPr>
            </w:pPr>
            <w:r>
              <w:rPr>
                <w:rFonts w:ascii="Times New Roman"/>
                <w:sz w:val="21"/>
              </w:rPr>
              <w:t>0.12</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2024</w:t>
            </w:r>
          </w:p>
        </w:tc>
        <w:tc>
          <w:tcPr>
            <w:tcW w:w="2298" w:type="dxa"/>
          </w:tcPr>
          <w:p>
            <w:pPr>
              <w:pStyle w:val="TableParagraph"/>
              <w:spacing w:before="37"/>
              <w:ind w:left="324" w:right="314"/>
              <w:rPr>
                <w:rFonts w:ascii="Times New Roman"/>
                <w:sz w:val="21"/>
              </w:rPr>
            </w:pPr>
            <w:r>
              <w:rPr>
                <w:rFonts w:ascii="Times New Roman"/>
                <w:sz w:val="21"/>
              </w:rPr>
              <w:t>1.93</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left="665"/>
              <w:jc w:val="left"/>
              <w:rPr>
                <w:rFonts w:ascii="Times New Roman"/>
                <w:sz w:val="21"/>
              </w:rPr>
            </w:pPr>
            <w:r>
              <w:rPr>
                <w:rFonts w:ascii="Times New Roman"/>
                <w:w w:val="99"/>
                <w:sz w:val="21"/>
              </w:rPr>
              <w:t>5</w:t>
            </w:r>
          </w:p>
        </w:tc>
        <w:tc>
          <w:tcPr>
            <w:tcW w:w="2113" w:type="dxa"/>
          </w:tcPr>
          <w:p>
            <w:pPr>
              <w:pStyle w:val="TableParagraph"/>
              <w:spacing w:before="37"/>
              <w:ind w:left="132" w:right="122"/>
              <w:rPr>
                <w:rFonts w:ascii="Times New Roman"/>
                <w:sz w:val="21"/>
              </w:rPr>
            </w:pPr>
            <w:r>
              <w:rPr>
                <w:rFonts w:ascii="Times New Roman"/>
                <w:sz w:val="21"/>
              </w:rPr>
              <w:t>0.15</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2025</w:t>
            </w:r>
          </w:p>
        </w:tc>
        <w:tc>
          <w:tcPr>
            <w:tcW w:w="2298" w:type="dxa"/>
          </w:tcPr>
          <w:p>
            <w:pPr>
              <w:pStyle w:val="TableParagraph"/>
              <w:spacing w:before="36"/>
              <w:ind w:left="324" w:right="314"/>
              <w:rPr>
                <w:rFonts w:ascii="Times New Roman"/>
                <w:sz w:val="21"/>
              </w:rPr>
            </w:pPr>
            <w:r>
              <w:rPr>
                <w:rFonts w:ascii="Times New Roman"/>
                <w:sz w:val="21"/>
              </w:rPr>
              <w:t>1.93</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65"/>
              <w:jc w:val="left"/>
              <w:rPr>
                <w:rFonts w:ascii="Times New Roman"/>
                <w:sz w:val="21"/>
              </w:rPr>
            </w:pPr>
            <w:r>
              <w:rPr>
                <w:rFonts w:ascii="Times New Roman"/>
                <w:w w:val="99"/>
                <w:sz w:val="21"/>
              </w:rPr>
              <w:t>6</w:t>
            </w:r>
          </w:p>
        </w:tc>
        <w:tc>
          <w:tcPr>
            <w:tcW w:w="2113" w:type="dxa"/>
          </w:tcPr>
          <w:p>
            <w:pPr>
              <w:pStyle w:val="TableParagraph"/>
              <w:spacing w:before="36"/>
              <w:ind w:left="132" w:right="122"/>
              <w:rPr>
                <w:rFonts w:ascii="Times New Roman"/>
                <w:sz w:val="21"/>
              </w:rPr>
            </w:pPr>
            <w:r>
              <w:rPr>
                <w:rFonts w:ascii="Times New Roman"/>
                <w:sz w:val="21"/>
              </w:rPr>
              <w:t>0.18</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2026</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65"/>
              <w:jc w:val="left"/>
              <w:rPr>
                <w:rFonts w:ascii="Times New Roman"/>
                <w:sz w:val="21"/>
              </w:rPr>
            </w:pPr>
            <w:r>
              <w:rPr>
                <w:rFonts w:ascii="Times New Roman"/>
                <w:w w:val="99"/>
                <w:sz w:val="21"/>
              </w:rPr>
              <w:t>7</w:t>
            </w:r>
          </w:p>
        </w:tc>
        <w:tc>
          <w:tcPr>
            <w:tcW w:w="2113" w:type="dxa"/>
          </w:tcPr>
          <w:p>
            <w:pPr>
              <w:pStyle w:val="TableParagraph"/>
              <w:spacing w:before="35"/>
              <w:ind w:left="132" w:right="122"/>
              <w:rPr>
                <w:rFonts w:ascii="Times New Roman"/>
                <w:sz w:val="21"/>
              </w:rPr>
            </w:pPr>
            <w:r>
              <w:rPr>
                <w:rFonts w:ascii="Times New Roman"/>
                <w:sz w:val="21"/>
              </w:rPr>
              <w:t>0.21</w:t>
            </w:r>
          </w:p>
        </w:tc>
      </w:tr>
      <w:tr>
        <w:trPr>
          <w:trHeight w:val="312" w:hRule="atLeast"/>
        </w:trPr>
        <w:tc>
          <w:tcPr>
            <w:tcW w:w="1591" w:type="dxa"/>
          </w:tcPr>
          <w:p>
            <w:pPr>
              <w:pStyle w:val="TableParagraph"/>
              <w:spacing w:before="36"/>
              <w:ind w:left="271" w:right="263"/>
              <w:rPr>
                <w:rFonts w:ascii="Times New Roman"/>
                <w:sz w:val="21"/>
              </w:rPr>
            </w:pPr>
            <w:r>
              <w:rPr>
                <w:rFonts w:ascii="Times New Roman"/>
                <w:sz w:val="21"/>
              </w:rPr>
              <w:t>2027</w:t>
            </w:r>
          </w:p>
        </w:tc>
        <w:tc>
          <w:tcPr>
            <w:tcW w:w="2298" w:type="dxa"/>
          </w:tcPr>
          <w:p>
            <w:pPr>
              <w:pStyle w:val="TableParagraph"/>
              <w:spacing w:before="36"/>
              <w:ind w:left="324" w:right="314"/>
              <w:rPr>
                <w:rFonts w:ascii="Times New Roman"/>
                <w:sz w:val="21"/>
              </w:rPr>
            </w:pPr>
            <w:r>
              <w:rPr>
                <w:rFonts w:ascii="Times New Roman"/>
                <w:sz w:val="21"/>
              </w:rPr>
              <w:t>1.93</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65"/>
              <w:jc w:val="left"/>
              <w:rPr>
                <w:rFonts w:ascii="Times New Roman"/>
                <w:sz w:val="21"/>
              </w:rPr>
            </w:pPr>
            <w:r>
              <w:rPr>
                <w:rFonts w:ascii="Times New Roman"/>
                <w:w w:val="99"/>
                <w:sz w:val="21"/>
              </w:rPr>
              <w:t>8</w:t>
            </w:r>
          </w:p>
        </w:tc>
        <w:tc>
          <w:tcPr>
            <w:tcW w:w="2113" w:type="dxa"/>
          </w:tcPr>
          <w:p>
            <w:pPr>
              <w:pStyle w:val="TableParagraph"/>
              <w:spacing w:before="36"/>
              <w:ind w:left="132" w:right="122"/>
              <w:rPr>
                <w:rFonts w:ascii="Times New Roman"/>
                <w:sz w:val="21"/>
              </w:rPr>
            </w:pPr>
            <w:r>
              <w:rPr>
                <w:rFonts w:ascii="Times New Roman"/>
                <w:sz w:val="21"/>
              </w:rPr>
              <w:t>0.24</w:t>
            </w:r>
          </w:p>
        </w:tc>
      </w:tr>
    </w:tbl>
    <w:p>
      <w:pPr>
        <w:spacing w:after="0"/>
        <w:rPr>
          <w:rFonts w:ascii="Times New Roman"/>
          <w:sz w:val="21"/>
        </w:rPr>
        <w:sectPr>
          <w:pgSz w:w="11910" w:h="16840"/>
          <w:pgMar w:header="0" w:footer="993" w:top="1440" w:bottom="1180" w:left="1040" w:right="600"/>
        </w:sectPr>
      </w:pPr>
    </w:p>
    <w:tbl>
      <w:tblPr>
        <w:tblW w:w="0" w:type="auto"/>
        <w:jc w:val="left"/>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298"/>
        <w:gridCol w:w="1800"/>
        <w:gridCol w:w="1440"/>
        <w:gridCol w:w="2113"/>
      </w:tblGrid>
      <w:tr>
        <w:trPr>
          <w:trHeight w:val="315" w:hRule="atLeast"/>
        </w:trPr>
        <w:tc>
          <w:tcPr>
            <w:tcW w:w="1591" w:type="dxa"/>
          </w:tcPr>
          <w:p>
            <w:pPr>
              <w:pStyle w:val="TableParagraph"/>
              <w:spacing w:before="35"/>
              <w:ind w:left="271" w:right="263"/>
              <w:rPr>
                <w:rFonts w:ascii="Times New Roman"/>
                <w:sz w:val="21"/>
              </w:rPr>
            </w:pPr>
            <w:r>
              <w:rPr>
                <w:rFonts w:ascii="Times New Roman"/>
                <w:sz w:val="21"/>
              </w:rPr>
              <w:t>2028</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65"/>
              <w:jc w:val="left"/>
              <w:rPr>
                <w:rFonts w:ascii="Times New Roman"/>
                <w:sz w:val="21"/>
              </w:rPr>
            </w:pPr>
            <w:r>
              <w:rPr>
                <w:rFonts w:ascii="Times New Roman"/>
                <w:w w:val="99"/>
                <w:sz w:val="21"/>
              </w:rPr>
              <w:t>9</w:t>
            </w:r>
          </w:p>
        </w:tc>
        <w:tc>
          <w:tcPr>
            <w:tcW w:w="2113" w:type="dxa"/>
          </w:tcPr>
          <w:p>
            <w:pPr>
              <w:pStyle w:val="TableParagraph"/>
              <w:spacing w:before="35"/>
              <w:ind w:left="132" w:right="122"/>
              <w:rPr>
                <w:rFonts w:ascii="Times New Roman"/>
                <w:sz w:val="21"/>
              </w:rPr>
            </w:pPr>
            <w:r>
              <w:rPr>
                <w:rFonts w:ascii="Times New Roman"/>
                <w:sz w:val="21"/>
              </w:rPr>
              <w:t>0.28</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2029</w:t>
            </w:r>
          </w:p>
        </w:tc>
        <w:tc>
          <w:tcPr>
            <w:tcW w:w="2298" w:type="dxa"/>
          </w:tcPr>
          <w:p>
            <w:pPr>
              <w:pStyle w:val="TableParagraph"/>
              <w:spacing w:before="36"/>
              <w:ind w:left="324" w:right="314"/>
              <w:rPr>
                <w:rFonts w:ascii="Times New Roman"/>
                <w:sz w:val="21"/>
              </w:rPr>
            </w:pPr>
            <w:r>
              <w:rPr>
                <w:rFonts w:ascii="Times New Roman"/>
                <w:sz w:val="21"/>
              </w:rPr>
              <w:t>1.93</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15"/>
              <w:jc w:val="left"/>
              <w:rPr>
                <w:rFonts w:ascii="Times New Roman"/>
                <w:sz w:val="21"/>
              </w:rPr>
            </w:pPr>
            <w:r>
              <w:rPr>
                <w:rFonts w:ascii="Times New Roman"/>
                <w:sz w:val="21"/>
              </w:rPr>
              <w:t>10</w:t>
            </w:r>
          </w:p>
        </w:tc>
        <w:tc>
          <w:tcPr>
            <w:tcW w:w="2113" w:type="dxa"/>
          </w:tcPr>
          <w:p>
            <w:pPr>
              <w:pStyle w:val="TableParagraph"/>
              <w:spacing w:before="36"/>
              <w:ind w:left="132" w:right="122"/>
              <w:rPr>
                <w:rFonts w:ascii="Times New Roman"/>
                <w:sz w:val="21"/>
              </w:rPr>
            </w:pPr>
            <w:r>
              <w:rPr>
                <w:rFonts w:ascii="Times New Roman"/>
                <w:sz w:val="21"/>
              </w:rPr>
              <w:t>0.31</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2030</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7"/>
              <w:jc w:val="left"/>
              <w:rPr>
                <w:rFonts w:ascii="Times New Roman"/>
                <w:sz w:val="21"/>
              </w:rPr>
            </w:pPr>
            <w:r>
              <w:rPr>
                <w:rFonts w:ascii="Times New Roman"/>
                <w:sz w:val="21"/>
              </w:rPr>
              <w:t>11</w:t>
            </w:r>
          </w:p>
        </w:tc>
        <w:tc>
          <w:tcPr>
            <w:tcW w:w="2113" w:type="dxa"/>
          </w:tcPr>
          <w:p>
            <w:pPr>
              <w:pStyle w:val="TableParagraph"/>
              <w:spacing w:before="35"/>
              <w:ind w:left="132" w:right="122"/>
              <w:rPr>
                <w:rFonts w:ascii="Times New Roman"/>
                <w:sz w:val="21"/>
              </w:rPr>
            </w:pPr>
            <w:r>
              <w:rPr>
                <w:rFonts w:ascii="Times New Roman"/>
                <w:sz w:val="21"/>
              </w:rPr>
              <w:t>0.34</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2031</w:t>
            </w:r>
          </w:p>
        </w:tc>
        <w:tc>
          <w:tcPr>
            <w:tcW w:w="2298" w:type="dxa"/>
          </w:tcPr>
          <w:p>
            <w:pPr>
              <w:pStyle w:val="TableParagraph"/>
              <w:spacing w:before="37"/>
              <w:ind w:left="324" w:right="314"/>
              <w:rPr>
                <w:rFonts w:ascii="Times New Roman"/>
                <w:sz w:val="21"/>
              </w:rPr>
            </w:pPr>
            <w:r>
              <w:rPr>
                <w:rFonts w:ascii="Times New Roman"/>
                <w:sz w:val="21"/>
              </w:rPr>
              <w:t>1.93</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left="615"/>
              <w:jc w:val="left"/>
              <w:rPr>
                <w:rFonts w:ascii="Times New Roman"/>
                <w:sz w:val="21"/>
              </w:rPr>
            </w:pPr>
            <w:r>
              <w:rPr>
                <w:rFonts w:ascii="Times New Roman"/>
                <w:sz w:val="21"/>
              </w:rPr>
              <w:t>12</w:t>
            </w:r>
          </w:p>
        </w:tc>
        <w:tc>
          <w:tcPr>
            <w:tcW w:w="2113" w:type="dxa"/>
          </w:tcPr>
          <w:p>
            <w:pPr>
              <w:pStyle w:val="TableParagraph"/>
              <w:spacing w:before="37"/>
              <w:ind w:left="132" w:right="122"/>
              <w:rPr>
                <w:rFonts w:ascii="Times New Roman"/>
                <w:sz w:val="21"/>
              </w:rPr>
            </w:pPr>
            <w:r>
              <w:rPr>
                <w:rFonts w:ascii="Times New Roman"/>
                <w:sz w:val="21"/>
              </w:rPr>
              <w:t>0.38</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2032</w:t>
            </w:r>
          </w:p>
        </w:tc>
        <w:tc>
          <w:tcPr>
            <w:tcW w:w="2298" w:type="dxa"/>
          </w:tcPr>
          <w:p>
            <w:pPr>
              <w:pStyle w:val="TableParagraph"/>
              <w:spacing w:before="36"/>
              <w:ind w:left="324" w:right="314"/>
              <w:rPr>
                <w:rFonts w:ascii="Times New Roman"/>
                <w:sz w:val="21"/>
              </w:rPr>
            </w:pPr>
            <w:r>
              <w:rPr>
                <w:rFonts w:ascii="Times New Roman"/>
                <w:sz w:val="21"/>
              </w:rPr>
              <w:t>1.93</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15"/>
              <w:jc w:val="left"/>
              <w:rPr>
                <w:rFonts w:ascii="Times New Roman"/>
                <w:sz w:val="21"/>
              </w:rPr>
            </w:pPr>
            <w:r>
              <w:rPr>
                <w:rFonts w:ascii="Times New Roman"/>
                <w:sz w:val="21"/>
              </w:rPr>
              <w:t>13</w:t>
            </w:r>
          </w:p>
        </w:tc>
        <w:tc>
          <w:tcPr>
            <w:tcW w:w="2113" w:type="dxa"/>
          </w:tcPr>
          <w:p>
            <w:pPr>
              <w:pStyle w:val="TableParagraph"/>
              <w:spacing w:before="36"/>
              <w:ind w:left="132" w:right="122"/>
              <w:rPr>
                <w:rFonts w:ascii="Times New Roman"/>
                <w:sz w:val="21"/>
              </w:rPr>
            </w:pPr>
            <w:r>
              <w:rPr>
                <w:rFonts w:ascii="Times New Roman"/>
                <w:sz w:val="21"/>
              </w:rPr>
              <w:t>0.41</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2033</w:t>
            </w:r>
          </w:p>
        </w:tc>
        <w:tc>
          <w:tcPr>
            <w:tcW w:w="2298" w:type="dxa"/>
          </w:tcPr>
          <w:p>
            <w:pPr>
              <w:pStyle w:val="TableParagraph"/>
              <w:spacing w:before="35"/>
              <w:ind w:left="324" w:right="314"/>
              <w:rPr>
                <w:rFonts w:ascii="Times New Roman"/>
                <w:sz w:val="21"/>
              </w:rPr>
            </w:pPr>
            <w:r>
              <w:rPr>
                <w:rFonts w:ascii="Times New Roman"/>
                <w:sz w:val="21"/>
              </w:rPr>
              <w:t>1.93</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5"/>
              <w:jc w:val="left"/>
              <w:rPr>
                <w:rFonts w:ascii="Times New Roman"/>
                <w:sz w:val="21"/>
              </w:rPr>
            </w:pPr>
            <w:r>
              <w:rPr>
                <w:rFonts w:ascii="Times New Roman"/>
                <w:sz w:val="21"/>
              </w:rPr>
              <w:t>14</w:t>
            </w:r>
          </w:p>
        </w:tc>
        <w:tc>
          <w:tcPr>
            <w:tcW w:w="2113" w:type="dxa"/>
          </w:tcPr>
          <w:p>
            <w:pPr>
              <w:pStyle w:val="TableParagraph"/>
              <w:spacing w:before="35"/>
              <w:ind w:left="132" w:right="122"/>
              <w:rPr>
                <w:rFonts w:ascii="Times New Roman"/>
                <w:sz w:val="21"/>
              </w:rPr>
            </w:pPr>
            <w:r>
              <w:rPr>
                <w:rFonts w:ascii="Times New Roman"/>
                <w:sz w:val="21"/>
              </w:rPr>
              <w:t>0.45</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2034</w:t>
            </w:r>
          </w:p>
        </w:tc>
        <w:tc>
          <w:tcPr>
            <w:tcW w:w="2298" w:type="dxa"/>
          </w:tcPr>
          <w:p>
            <w:pPr>
              <w:pStyle w:val="TableParagraph"/>
              <w:spacing w:before="36"/>
              <w:ind w:left="324" w:right="314"/>
              <w:rPr>
                <w:rFonts w:ascii="Times New Roman"/>
                <w:sz w:val="21"/>
              </w:rPr>
            </w:pPr>
            <w:r>
              <w:rPr>
                <w:rFonts w:ascii="Times New Roman"/>
                <w:sz w:val="21"/>
              </w:rPr>
              <w:t>0.82</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15"/>
              <w:jc w:val="left"/>
              <w:rPr>
                <w:rFonts w:ascii="Times New Roman"/>
                <w:sz w:val="21"/>
              </w:rPr>
            </w:pPr>
            <w:r>
              <w:rPr>
                <w:rFonts w:ascii="Times New Roman"/>
                <w:sz w:val="21"/>
              </w:rPr>
              <w:t>15</w:t>
            </w:r>
          </w:p>
        </w:tc>
        <w:tc>
          <w:tcPr>
            <w:tcW w:w="2113" w:type="dxa"/>
          </w:tcPr>
          <w:p>
            <w:pPr>
              <w:pStyle w:val="TableParagraph"/>
              <w:spacing w:before="36"/>
              <w:ind w:left="132" w:right="122"/>
              <w:rPr>
                <w:rFonts w:ascii="Times New Roman"/>
                <w:sz w:val="21"/>
              </w:rPr>
            </w:pPr>
            <w:r>
              <w:rPr>
                <w:rFonts w:ascii="Times New Roman"/>
                <w:sz w:val="21"/>
              </w:rPr>
              <w:t>0.21</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2035</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5"/>
              <w:jc w:val="left"/>
              <w:rPr>
                <w:rFonts w:ascii="Times New Roman"/>
                <w:sz w:val="21"/>
              </w:rPr>
            </w:pPr>
            <w:r>
              <w:rPr>
                <w:rFonts w:ascii="Times New Roman"/>
                <w:sz w:val="21"/>
              </w:rPr>
              <w:t>16</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2036</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15"/>
              <w:jc w:val="left"/>
              <w:rPr>
                <w:rFonts w:ascii="Times New Roman"/>
                <w:sz w:val="21"/>
              </w:rPr>
            </w:pPr>
            <w:r>
              <w:rPr>
                <w:rFonts w:ascii="Times New Roman"/>
                <w:sz w:val="21"/>
              </w:rPr>
              <w:t>17</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2037</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5"/>
              <w:jc w:val="left"/>
              <w:rPr>
                <w:rFonts w:ascii="Times New Roman"/>
                <w:sz w:val="21"/>
              </w:rPr>
            </w:pPr>
            <w:r>
              <w:rPr>
                <w:rFonts w:ascii="Times New Roman"/>
                <w:sz w:val="21"/>
              </w:rPr>
              <w:t>18</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2038</w:t>
            </w:r>
          </w:p>
        </w:tc>
        <w:tc>
          <w:tcPr>
            <w:tcW w:w="2298" w:type="dxa"/>
          </w:tcPr>
          <w:p>
            <w:pPr>
              <w:pStyle w:val="TableParagraph"/>
              <w:spacing w:before="37"/>
              <w:ind w:left="324" w:right="314"/>
              <w:rPr>
                <w:rFonts w:ascii="Times New Roman"/>
                <w:sz w:val="21"/>
              </w:rPr>
            </w:pPr>
            <w:r>
              <w:rPr>
                <w:rFonts w:ascii="Times New Roman"/>
                <w:sz w:val="21"/>
              </w:rPr>
              <w:t>0.00</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left="615"/>
              <w:jc w:val="left"/>
              <w:rPr>
                <w:rFonts w:ascii="Times New Roman"/>
                <w:sz w:val="21"/>
              </w:rPr>
            </w:pPr>
            <w:r>
              <w:rPr>
                <w:rFonts w:ascii="Times New Roman"/>
                <w:sz w:val="21"/>
              </w:rPr>
              <w:t>19</w:t>
            </w:r>
          </w:p>
        </w:tc>
        <w:tc>
          <w:tcPr>
            <w:tcW w:w="2113" w:type="dxa"/>
          </w:tcPr>
          <w:p>
            <w:pPr>
              <w:pStyle w:val="TableParagraph"/>
              <w:spacing w:before="37"/>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22"/>
              <w:ind w:left="270" w:right="263"/>
              <w:rPr>
                <w:sz w:val="21"/>
              </w:rPr>
            </w:pPr>
            <w:r>
              <w:rPr>
                <w:sz w:val="21"/>
              </w:rPr>
              <w:t>合计</w:t>
            </w:r>
          </w:p>
        </w:tc>
        <w:tc>
          <w:tcPr>
            <w:tcW w:w="2298" w:type="dxa"/>
          </w:tcPr>
          <w:p>
            <w:pPr>
              <w:pStyle w:val="TableParagraph"/>
              <w:spacing w:before="36"/>
              <w:ind w:left="324" w:right="314"/>
              <w:rPr>
                <w:rFonts w:ascii="Times New Roman"/>
                <w:sz w:val="21"/>
              </w:rPr>
            </w:pPr>
            <w:r>
              <w:rPr>
                <w:rFonts w:ascii="Times New Roman"/>
                <w:sz w:val="21"/>
              </w:rPr>
              <w:t>31.10</w:t>
            </w:r>
          </w:p>
        </w:tc>
        <w:tc>
          <w:tcPr>
            <w:tcW w:w="1800" w:type="dxa"/>
          </w:tcPr>
          <w:p>
            <w:pPr>
              <w:pStyle w:val="TableParagraph"/>
              <w:spacing w:before="36"/>
              <w:ind w:left="10"/>
              <w:rPr>
                <w:rFonts w:ascii="Times New Roman" w:hAnsi="Times New Roman"/>
                <w:sz w:val="21"/>
              </w:rPr>
            </w:pPr>
            <w:r>
              <w:rPr>
                <w:rFonts w:ascii="Times New Roman" w:hAnsi="Times New Roman"/>
                <w:w w:val="99"/>
                <w:sz w:val="21"/>
              </w:rPr>
              <w:t>—</w:t>
            </w:r>
          </w:p>
        </w:tc>
        <w:tc>
          <w:tcPr>
            <w:tcW w:w="1440" w:type="dxa"/>
          </w:tcPr>
          <w:p>
            <w:pPr>
              <w:pStyle w:val="TableParagraph"/>
              <w:spacing w:before="36"/>
              <w:ind w:left="615"/>
              <w:jc w:val="left"/>
              <w:rPr>
                <w:rFonts w:ascii="Times New Roman" w:hAnsi="Times New Roman"/>
                <w:sz w:val="21"/>
              </w:rPr>
            </w:pPr>
            <w:r>
              <w:rPr>
                <w:rFonts w:ascii="Times New Roman" w:hAnsi="Times New Roman"/>
                <w:w w:val="99"/>
                <w:sz w:val="21"/>
              </w:rPr>
              <w:t>—</w:t>
            </w:r>
          </w:p>
        </w:tc>
        <w:tc>
          <w:tcPr>
            <w:tcW w:w="2113" w:type="dxa"/>
          </w:tcPr>
          <w:p>
            <w:pPr>
              <w:pStyle w:val="TableParagraph"/>
              <w:spacing w:before="36"/>
              <w:ind w:left="132" w:right="122"/>
              <w:rPr>
                <w:rFonts w:ascii="Times New Roman"/>
                <w:sz w:val="21"/>
              </w:rPr>
            </w:pPr>
            <w:r>
              <w:rPr>
                <w:rFonts w:ascii="Times New Roman"/>
                <w:sz w:val="21"/>
              </w:rPr>
              <w:t>3.50</w:t>
            </w:r>
          </w:p>
        </w:tc>
      </w:tr>
    </w:tbl>
    <w:p>
      <w:pPr>
        <w:spacing w:before="98"/>
        <w:ind w:left="0" w:right="430" w:firstLine="0"/>
        <w:jc w:val="center"/>
        <w:rPr>
          <w:rFonts w:ascii="黑体" w:eastAsia="黑体" w:hint="eastAsia"/>
          <w:b/>
          <w:sz w:val="21"/>
        </w:rPr>
      </w:pPr>
      <w:r>
        <w:rPr>
          <w:rFonts w:ascii="黑体" w:eastAsia="黑体" w:hint="eastAsia"/>
          <w:b/>
          <w:spacing w:val="-26"/>
          <w:sz w:val="21"/>
        </w:rPr>
        <w:t>表 </w:t>
      </w:r>
      <w:r>
        <w:rPr>
          <w:rFonts w:ascii="Times New Roman" w:eastAsia="Times New Roman"/>
          <w:b/>
          <w:sz w:val="21"/>
        </w:rPr>
        <w:t>5.5-8</w:t>
      </w:r>
      <w:r>
        <w:rPr>
          <w:rFonts w:ascii="Times New Roman" w:eastAsia="Times New Roman"/>
          <w:b/>
          <w:spacing w:val="51"/>
          <w:sz w:val="21"/>
        </w:rPr>
        <w:t> </w:t>
      </w:r>
      <w:r>
        <w:rPr>
          <w:rFonts w:ascii="黑体" w:eastAsia="黑体" w:hint="eastAsia"/>
          <w:b/>
          <w:sz w:val="21"/>
        </w:rPr>
        <w:t>土地复垦工程动态投资估算总表</w:t>
      </w:r>
    </w:p>
    <w:p>
      <w:pPr>
        <w:pStyle w:val="BodyText"/>
        <w:spacing w:before="11"/>
        <w:rPr>
          <w:rFonts w:ascii="黑体"/>
          <w:b/>
          <w:sz w:val="7"/>
        </w:rPr>
      </w:pPr>
    </w:p>
    <w:tbl>
      <w:tblPr>
        <w:tblW w:w="0" w:type="auto"/>
        <w:jc w:val="left"/>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6"/>
        <w:gridCol w:w="2717"/>
        <w:gridCol w:w="1963"/>
        <w:gridCol w:w="1506"/>
      </w:tblGrid>
      <w:tr>
        <w:trPr>
          <w:trHeight w:val="312" w:hRule="atLeast"/>
        </w:trPr>
        <w:tc>
          <w:tcPr>
            <w:tcW w:w="1266" w:type="dxa"/>
          </w:tcPr>
          <w:p>
            <w:pPr>
              <w:pStyle w:val="TableParagraph"/>
              <w:spacing w:before="28"/>
              <w:ind w:left="361" w:right="355"/>
              <w:rPr>
                <w:sz w:val="20"/>
              </w:rPr>
            </w:pPr>
            <w:r>
              <w:rPr>
                <w:sz w:val="20"/>
              </w:rPr>
              <w:t>序 号</w:t>
            </w:r>
          </w:p>
        </w:tc>
        <w:tc>
          <w:tcPr>
            <w:tcW w:w="2717" w:type="dxa"/>
          </w:tcPr>
          <w:p>
            <w:pPr>
              <w:pStyle w:val="TableParagraph"/>
              <w:spacing w:before="28"/>
              <w:ind w:left="638" w:right="629"/>
              <w:rPr>
                <w:sz w:val="20"/>
              </w:rPr>
            </w:pPr>
            <w:r>
              <w:rPr>
                <w:sz w:val="20"/>
              </w:rPr>
              <w:t>工程或费用名称</w:t>
            </w:r>
          </w:p>
        </w:tc>
        <w:tc>
          <w:tcPr>
            <w:tcW w:w="1963" w:type="dxa"/>
          </w:tcPr>
          <w:p>
            <w:pPr>
              <w:pStyle w:val="TableParagraph"/>
              <w:spacing w:before="28"/>
              <w:ind w:left="329" w:right="322"/>
              <w:rPr>
                <w:sz w:val="20"/>
              </w:rPr>
            </w:pPr>
            <w:r>
              <w:rPr>
                <w:sz w:val="20"/>
              </w:rPr>
              <w:t>费用</w:t>
            </w:r>
            <w:r>
              <w:rPr>
                <w:rFonts w:ascii="Times New Roman" w:eastAsia="Times New Roman"/>
                <w:sz w:val="20"/>
              </w:rPr>
              <w:t>/</w:t>
            </w:r>
            <w:r>
              <w:rPr>
                <w:sz w:val="20"/>
              </w:rPr>
              <w:t>万元</w:t>
            </w:r>
          </w:p>
        </w:tc>
        <w:tc>
          <w:tcPr>
            <w:tcW w:w="1506" w:type="dxa"/>
          </w:tcPr>
          <w:p>
            <w:pPr>
              <w:pStyle w:val="TableParagraph"/>
              <w:spacing w:before="28"/>
              <w:ind w:left="420" w:right="412"/>
              <w:rPr>
                <w:rFonts w:ascii="Times New Roman" w:eastAsia="Times New Roman"/>
                <w:sz w:val="20"/>
              </w:rPr>
            </w:pPr>
            <w:r>
              <w:rPr>
                <w:sz w:val="20"/>
              </w:rPr>
              <w:t>费率</w:t>
            </w:r>
            <w:r>
              <w:rPr>
                <w:rFonts w:ascii="Times New Roman" w:eastAsia="Times New Roman"/>
                <w:sz w:val="20"/>
              </w:rPr>
              <w:t>/%</w:t>
            </w:r>
          </w:p>
        </w:tc>
      </w:tr>
      <w:tr>
        <w:trPr>
          <w:trHeight w:val="312" w:hRule="atLeast"/>
        </w:trPr>
        <w:tc>
          <w:tcPr>
            <w:tcW w:w="1266" w:type="dxa"/>
          </w:tcPr>
          <w:p>
            <w:pPr>
              <w:pStyle w:val="TableParagraph"/>
              <w:spacing w:before="41"/>
              <w:ind w:left="9"/>
              <w:rPr>
                <w:rFonts w:ascii="Times New Roman"/>
                <w:sz w:val="20"/>
              </w:rPr>
            </w:pPr>
            <w:r>
              <w:rPr>
                <w:rFonts w:ascii="Times New Roman"/>
                <w:w w:val="99"/>
                <w:sz w:val="20"/>
              </w:rPr>
              <w:t>1</w:t>
            </w:r>
          </w:p>
        </w:tc>
        <w:tc>
          <w:tcPr>
            <w:tcW w:w="2717" w:type="dxa"/>
          </w:tcPr>
          <w:p>
            <w:pPr>
              <w:pStyle w:val="TableParagraph"/>
              <w:spacing w:before="28"/>
              <w:ind w:left="636" w:right="629"/>
              <w:rPr>
                <w:sz w:val="20"/>
              </w:rPr>
            </w:pPr>
            <w:r>
              <w:rPr>
                <w:sz w:val="20"/>
              </w:rPr>
              <w:t>工程施工费</w:t>
            </w:r>
          </w:p>
        </w:tc>
        <w:tc>
          <w:tcPr>
            <w:tcW w:w="1963" w:type="dxa"/>
          </w:tcPr>
          <w:p>
            <w:pPr>
              <w:pStyle w:val="TableParagraph"/>
              <w:spacing w:before="41"/>
              <w:ind w:left="329" w:right="323"/>
              <w:rPr>
                <w:rFonts w:ascii="Times New Roman"/>
                <w:sz w:val="20"/>
              </w:rPr>
            </w:pPr>
            <w:r>
              <w:rPr>
                <w:rFonts w:ascii="Times New Roman"/>
                <w:sz w:val="20"/>
              </w:rPr>
              <w:t>27.28</w:t>
            </w:r>
          </w:p>
        </w:tc>
        <w:tc>
          <w:tcPr>
            <w:tcW w:w="1506" w:type="dxa"/>
          </w:tcPr>
          <w:p>
            <w:pPr>
              <w:pStyle w:val="TableParagraph"/>
              <w:spacing w:before="41"/>
              <w:ind w:left="419" w:right="412"/>
              <w:rPr>
                <w:rFonts w:ascii="Times New Roman"/>
                <w:sz w:val="20"/>
              </w:rPr>
            </w:pPr>
            <w:r>
              <w:rPr>
                <w:rFonts w:ascii="Times New Roman"/>
                <w:sz w:val="20"/>
              </w:rPr>
              <w:t>73.08</w:t>
            </w:r>
          </w:p>
        </w:tc>
      </w:tr>
      <w:tr>
        <w:trPr>
          <w:trHeight w:val="311" w:hRule="atLeast"/>
        </w:trPr>
        <w:tc>
          <w:tcPr>
            <w:tcW w:w="1266" w:type="dxa"/>
          </w:tcPr>
          <w:p>
            <w:pPr>
              <w:pStyle w:val="TableParagraph"/>
              <w:spacing w:before="41"/>
              <w:ind w:left="9"/>
              <w:rPr>
                <w:rFonts w:ascii="Times New Roman"/>
                <w:sz w:val="20"/>
              </w:rPr>
            </w:pPr>
            <w:r>
              <w:rPr>
                <w:rFonts w:ascii="Times New Roman"/>
                <w:w w:val="99"/>
                <w:sz w:val="20"/>
              </w:rPr>
              <w:t>2</w:t>
            </w:r>
          </w:p>
        </w:tc>
        <w:tc>
          <w:tcPr>
            <w:tcW w:w="2717" w:type="dxa"/>
          </w:tcPr>
          <w:p>
            <w:pPr>
              <w:pStyle w:val="TableParagraph"/>
              <w:spacing w:before="27"/>
              <w:ind w:left="636" w:right="629"/>
              <w:rPr>
                <w:sz w:val="20"/>
              </w:rPr>
            </w:pPr>
            <w:r>
              <w:rPr>
                <w:sz w:val="20"/>
              </w:rPr>
              <w:t>设备费</w:t>
            </w:r>
          </w:p>
        </w:tc>
        <w:tc>
          <w:tcPr>
            <w:tcW w:w="1963" w:type="dxa"/>
          </w:tcPr>
          <w:p>
            <w:pPr>
              <w:pStyle w:val="TableParagraph"/>
              <w:spacing w:before="41"/>
              <w:ind w:left="329" w:right="321"/>
              <w:rPr>
                <w:rFonts w:ascii="Times New Roman"/>
                <w:sz w:val="20"/>
              </w:rPr>
            </w:pPr>
            <w:r>
              <w:rPr>
                <w:rFonts w:ascii="Times New Roman"/>
                <w:sz w:val="20"/>
              </w:rPr>
              <w:t>0.00</w:t>
            </w:r>
          </w:p>
        </w:tc>
        <w:tc>
          <w:tcPr>
            <w:tcW w:w="1506" w:type="dxa"/>
          </w:tcPr>
          <w:p>
            <w:pPr>
              <w:pStyle w:val="TableParagraph"/>
              <w:spacing w:before="41"/>
              <w:ind w:left="420" w:right="411"/>
              <w:rPr>
                <w:rFonts w:ascii="Times New Roman"/>
                <w:sz w:val="20"/>
              </w:rPr>
            </w:pPr>
            <w:r>
              <w:rPr>
                <w:rFonts w:ascii="Times New Roman"/>
                <w:sz w:val="20"/>
              </w:rPr>
              <w:t>0.00</w:t>
            </w:r>
          </w:p>
        </w:tc>
      </w:tr>
      <w:tr>
        <w:trPr>
          <w:trHeight w:val="312" w:hRule="atLeast"/>
        </w:trPr>
        <w:tc>
          <w:tcPr>
            <w:tcW w:w="1266" w:type="dxa"/>
          </w:tcPr>
          <w:p>
            <w:pPr>
              <w:pStyle w:val="TableParagraph"/>
              <w:spacing w:before="40"/>
              <w:ind w:left="9"/>
              <w:rPr>
                <w:rFonts w:ascii="Times New Roman"/>
                <w:sz w:val="20"/>
              </w:rPr>
            </w:pPr>
            <w:r>
              <w:rPr>
                <w:rFonts w:ascii="Times New Roman"/>
                <w:w w:val="99"/>
                <w:sz w:val="20"/>
              </w:rPr>
              <w:t>3</w:t>
            </w:r>
          </w:p>
        </w:tc>
        <w:tc>
          <w:tcPr>
            <w:tcW w:w="2717" w:type="dxa"/>
          </w:tcPr>
          <w:p>
            <w:pPr>
              <w:pStyle w:val="TableParagraph"/>
              <w:spacing w:before="27"/>
              <w:ind w:left="638" w:right="629"/>
              <w:rPr>
                <w:sz w:val="20"/>
              </w:rPr>
            </w:pPr>
            <w:r>
              <w:rPr>
                <w:sz w:val="20"/>
              </w:rPr>
              <w:t>其他费用</w:t>
            </w:r>
          </w:p>
        </w:tc>
        <w:tc>
          <w:tcPr>
            <w:tcW w:w="1963" w:type="dxa"/>
          </w:tcPr>
          <w:p>
            <w:pPr>
              <w:pStyle w:val="TableParagraph"/>
              <w:spacing w:before="40"/>
              <w:ind w:left="329" w:right="321"/>
              <w:rPr>
                <w:rFonts w:ascii="Times New Roman"/>
                <w:sz w:val="20"/>
              </w:rPr>
            </w:pPr>
            <w:r>
              <w:rPr>
                <w:rFonts w:ascii="Times New Roman"/>
                <w:sz w:val="20"/>
              </w:rPr>
              <w:t>3.57</w:t>
            </w:r>
          </w:p>
        </w:tc>
        <w:tc>
          <w:tcPr>
            <w:tcW w:w="1506" w:type="dxa"/>
          </w:tcPr>
          <w:p>
            <w:pPr>
              <w:pStyle w:val="TableParagraph"/>
              <w:spacing w:before="40"/>
              <w:ind w:left="420" w:right="411"/>
              <w:rPr>
                <w:rFonts w:ascii="Times New Roman"/>
                <w:sz w:val="20"/>
              </w:rPr>
            </w:pPr>
            <w:r>
              <w:rPr>
                <w:rFonts w:ascii="Times New Roman"/>
                <w:sz w:val="20"/>
              </w:rPr>
              <w:t>9.56</w:t>
            </w:r>
          </w:p>
        </w:tc>
      </w:tr>
      <w:tr>
        <w:trPr>
          <w:trHeight w:val="311" w:hRule="atLeast"/>
        </w:trPr>
        <w:tc>
          <w:tcPr>
            <w:tcW w:w="1266" w:type="dxa"/>
          </w:tcPr>
          <w:p>
            <w:pPr>
              <w:pStyle w:val="TableParagraph"/>
              <w:spacing w:before="42"/>
              <w:ind w:left="9"/>
              <w:rPr>
                <w:rFonts w:ascii="Times New Roman"/>
                <w:sz w:val="20"/>
              </w:rPr>
            </w:pPr>
            <w:r>
              <w:rPr>
                <w:rFonts w:ascii="Times New Roman"/>
                <w:w w:val="99"/>
                <w:sz w:val="20"/>
              </w:rPr>
              <w:t>4</w:t>
            </w:r>
          </w:p>
        </w:tc>
        <w:tc>
          <w:tcPr>
            <w:tcW w:w="2717" w:type="dxa"/>
          </w:tcPr>
          <w:p>
            <w:pPr>
              <w:pStyle w:val="TableParagraph"/>
              <w:spacing w:before="29"/>
              <w:ind w:left="636" w:right="629"/>
              <w:rPr>
                <w:sz w:val="20"/>
              </w:rPr>
            </w:pPr>
            <w:r>
              <w:rPr>
                <w:sz w:val="20"/>
              </w:rPr>
              <w:t>监测与管护费</w:t>
            </w:r>
          </w:p>
        </w:tc>
        <w:tc>
          <w:tcPr>
            <w:tcW w:w="1963" w:type="dxa"/>
          </w:tcPr>
          <w:p>
            <w:pPr>
              <w:pStyle w:val="TableParagraph"/>
              <w:spacing w:before="42"/>
              <w:ind w:left="329" w:right="321"/>
              <w:rPr>
                <w:rFonts w:ascii="Times New Roman"/>
                <w:sz w:val="20"/>
              </w:rPr>
            </w:pPr>
            <w:r>
              <w:rPr>
                <w:rFonts w:ascii="Times New Roman"/>
                <w:sz w:val="20"/>
              </w:rPr>
              <w:t>4.01</w:t>
            </w:r>
          </w:p>
        </w:tc>
        <w:tc>
          <w:tcPr>
            <w:tcW w:w="1506" w:type="dxa"/>
            <w:vMerge w:val="restart"/>
          </w:tcPr>
          <w:p>
            <w:pPr>
              <w:pStyle w:val="TableParagraph"/>
              <w:spacing w:before="5"/>
              <w:jc w:val="left"/>
              <w:rPr>
                <w:rFonts w:ascii="黑体"/>
                <w:b/>
                <w:sz w:val="28"/>
              </w:rPr>
            </w:pPr>
          </w:p>
          <w:p>
            <w:pPr>
              <w:pStyle w:val="TableParagraph"/>
              <w:ind w:left="419" w:right="412"/>
              <w:rPr>
                <w:rFonts w:ascii="Times New Roman"/>
                <w:sz w:val="20"/>
              </w:rPr>
            </w:pPr>
            <w:r>
              <w:rPr>
                <w:rFonts w:ascii="Times New Roman"/>
                <w:sz w:val="20"/>
              </w:rPr>
              <w:t>10.74</w:t>
            </w:r>
          </w:p>
        </w:tc>
      </w:tr>
      <w:tr>
        <w:trPr>
          <w:trHeight w:val="312" w:hRule="atLeast"/>
        </w:trPr>
        <w:tc>
          <w:tcPr>
            <w:tcW w:w="1266" w:type="dxa"/>
          </w:tcPr>
          <w:p>
            <w:pPr>
              <w:pStyle w:val="TableParagraph"/>
              <w:spacing w:before="28"/>
              <w:ind w:left="361" w:right="355"/>
              <w:rPr>
                <w:sz w:val="20"/>
              </w:rPr>
            </w:pPr>
            <w:r>
              <w:rPr>
                <w:sz w:val="20"/>
              </w:rPr>
              <w:t>（</w:t>
            </w:r>
            <w:r>
              <w:rPr>
                <w:rFonts w:ascii="Times New Roman" w:eastAsia="Times New Roman"/>
                <w:sz w:val="20"/>
              </w:rPr>
              <w:t>1</w:t>
            </w:r>
            <w:r>
              <w:rPr>
                <w:sz w:val="20"/>
              </w:rPr>
              <w:t>）</w:t>
            </w:r>
          </w:p>
        </w:tc>
        <w:tc>
          <w:tcPr>
            <w:tcW w:w="2717" w:type="dxa"/>
          </w:tcPr>
          <w:p>
            <w:pPr>
              <w:pStyle w:val="TableParagraph"/>
              <w:spacing w:before="28"/>
              <w:ind w:left="636" w:right="629"/>
              <w:rPr>
                <w:sz w:val="20"/>
              </w:rPr>
            </w:pPr>
            <w:r>
              <w:rPr>
                <w:sz w:val="20"/>
              </w:rPr>
              <w:t>土壤质量监测</w:t>
            </w:r>
          </w:p>
        </w:tc>
        <w:tc>
          <w:tcPr>
            <w:tcW w:w="1963" w:type="dxa"/>
          </w:tcPr>
          <w:p>
            <w:pPr>
              <w:pStyle w:val="TableParagraph"/>
              <w:spacing w:before="42"/>
              <w:ind w:left="329" w:right="321"/>
              <w:rPr>
                <w:rFonts w:ascii="Times New Roman"/>
                <w:sz w:val="20"/>
              </w:rPr>
            </w:pPr>
            <w:r>
              <w:rPr>
                <w:rFonts w:ascii="Times New Roman"/>
                <w:sz w:val="20"/>
              </w:rPr>
              <w:t>1.20</w:t>
            </w:r>
          </w:p>
        </w:tc>
        <w:tc>
          <w:tcPr>
            <w:tcW w:w="1506" w:type="dxa"/>
            <w:vMerge/>
            <w:tcBorders>
              <w:top w:val="nil"/>
            </w:tcBorders>
          </w:tcPr>
          <w:p>
            <w:pPr>
              <w:rPr>
                <w:sz w:val="2"/>
                <w:szCs w:val="2"/>
              </w:rPr>
            </w:pPr>
          </w:p>
        </w:tc>
      </w:tr>
      <w:tr>
        <w:trPr>
          <w:trHeight w:val="311" w:hRule="atLeast"/>
        </w:trPr>
        <w:tc>
          <w:tcPr>
            <w:tcW w:w="1266" w:type="dxa"/>
          </w:tcPr>
          <w:p>
            <w:pPr>
              <w:pStyle w:val="TableParagraph"/>
              <w:spacing w:before="28"/>
              <w:ind w:left="361" w:right="355"/>
              <w:rPr>
                <w:sz w:val="20"/>
              </w:rPr>
            </w:pPr>
            <w:r>
              <w:rPr>
                <w:sz w:val="20"/>
              </w:rPr>
              <w:t>（</w:t>
            </w:r>
            <w:r>
              <w:rPr>
                <w:rFonts w:ascii="Times New Roman" w:eastAsia="Times New Roman"/>
                <w:sz w:val="20"/>
              </w:rPr>
              <w:t>2</w:t>
            </w:r>
            <w:r>
              <w:rPr>
                <w:sz w:val="20"/>
              </w:rPr>
              <w:t>）</w:t>
            </w:r>
          </w:p>
        </w:tc>
        <w:tc>
          <w:tcPr>
            <w:tcW w:w="2717" w:type="dxa"/>
          </w:tcPr>
          <w:p>
            <w:pPr>
              <w:pStyle w:val="TableParagraph"/>
              <w:spacing w:before="28"/>
              <w:ind w:left="636" w:right="629"/>
              <w:rPr>
                <w:sz w:val="20"/>
              </w:rPr>
            </w:pPr>
            <w:r>
              <w:rPr>
                <w:sz w:val="20"/>
              </w:rPr>
              <w:t>管护</w:t>
            </w:r>
          </w:p>
        </w:tc>
        <w:tc>
          <w:tcPr>
            <w:tcW w:w="1963" w:type="dxa"/>
          </w:tcPr>
          <w:p>
            <w:pPr>
              <w:pStyle w:val="TableParagraph"/>
              <w:spacing w:before="41"/>
              <w:ind w:left="329" w:right="321"/>
              <w:rPr>
                <w:rFonts w:ascii="Times New Roman"/>
                <w:sz w:val="20"/>
              </w:rPr>
            </w:pPr>
            <w:r>
              <w:rPr>
                <w:rFonts w:ascii="Times New Roman"/>
                <w:sz w:val="20"/>
              </w:rPr>
              <w:t>2.81</w:t>
            </w:r>
          </w:p>
        </w:tc>
        <w:tc>
          <w:tcPr>
            <w:tcW w:w="1506" w:type="dxa"/>
            <w:vMerge/>
            <w:tcBorders>
              <w:top w:val="nil"/>
            </w:tcBorders>
          </w:tcPr>
          <w:p>
            <w:pPr>
              <w:rPr>
                <w:sz w:val="2"/>
                <w:szCs w:val="2"/>
              </w:rPr>
            </w:pPr>
          </w:p>
        </w:tc>
      </w:tr>
      <w:tr>
        <w:trPr>
          <w:trHeight w:val="312" w:hRule="atLeast"/>
        </w:trPr>
        <w:tc>
          <w:tcPr>
            <w:tcW w:w="1266" w:type="dxa"/>
          </w:tcPr>
          <w:p>
            <w:pPr>
              <w:pStyle w:val="TableParagraph"/>
              <w:spacing w:before="41"/>
              <w:ind w:left="9"/>
              <w:rPr>
                <w:rFonts w:ascii="Times New Roman"/>
                <w:sz w:val="20"/>
              </w:rPr>
            </w:pPr>
            <w:r>
              <w:rPr>
                <w:rFonts w:ascii="Times New Roman"/>
                <w:w w:val="99"/>
                <w:sz w:val="20"/>
              </w:rPr>
              <w:t>5</w:t>
            </w:r>
          </w:p>
        </w:tc>
        <w:tc>
          <w:tcPr>
            <w:tcW w:w="2717" w:type="dxa"/>
          </w:tcPr>
          <w:p>
            <w:pPr>
              <w:pStyle w:val="TableParagraph"/>
              <w:spacing w:before="28"/>
              <w:ind w:left="636" w:right="629"/>
              <w:rPr>
                <w:sz w:val="20"/>
              </w:rPr>
            </w:pPr>
            <w:r>
              <w:rPr>
                <w:sz w:val="20"/>
              </w:rPr>
              <w:t>预备费</w:t>
            </w:r>
          </w:p>
        </w:tc>
        <w:tc>
          <w:tcPr>
            <w:tcW w:w="1963" w:type="dxa"/>
          </w:tcPr>
          <w:p>
            <w:pPr>
              <w:pStyle w:val="TableParagraph"/>
              <w:spacing w:before="41"/>
              <w:ind w:left="329" w:right="323"/>
              <w:rPr>
                <w:rFonts w:ascii="Times New Roman"/>
                <w:sz w:val="20"/>
              </w:rPr>
            </w:pPr>
            <w:r>
              <w:rPr>
                <w:rFonts w:ascii="Times New Roman"/>
                <w:sz w:val="20"/>
              </w:rPr>
              <w:t>12.27</w:t>
            </w:r>
          </w:p>
        </w:tc>
        <w:tc>
          <w:tcPr>
            <w:tcW w:w="1506" w:type="dxa"/>
          </w:tcPr>
          <w:p>
            <w:pPr>
              <w:pStyle w:val="TableParagraph"/>
              <w:jc w:val="left"/>
              <w:rPr>
                <w:rFonts w:ascii="Times New Roman"/>
                <w:sz w:val="20"/>
              </w:rPr>
            </w:pPr>
          </w:p>
        </w:tc>
      </w:tr>
      <w:tr>
        <w:trPr>
          <w:trHeight w:val="312" w:hRule="atLeast"/>
        </w:trPr>
        <w:tc>
          <w:tcPr>
            <w:tcW w:w="1266" w:type="dxa"/>
          </w:tcPr>
          <w:p>
            <w:pPr>
              <w:pStyle w:val="TableParagraph"/>
              <w:spacing w:before="27"/>
              <w:ind w:left="361" w:right="355"/>
              <w:rPr>
                <w:sz w:val="20"/>
              </w:rPr>
            </w:pPr>
            <w:r>
              <w:rPr>
                <w:sz w:val="20"/>
              </w:rPr>
              <w:t>（</w:t>
            </w:r>
            <w:r>
              <w:rPr>
                <w:rFonts w:ascii="Times New Roman" w:eastAsia="Times New Roman"/>
                <w:sz w:val="20"/>
              </w:rPr>
              <w:t>1</w:t>
            </w:r>
            <w:r>
              <w:rPr>
                <w:sz w:val="20"/>
              </w:rPr>
              <w:t>）</w:t>
            </w:r>
          </w:p>
        </w:tc>
        <w:tc>
          <w:tcPr>
            <w:tcW w:w="2717" w:type="dxa"/>
          </w:tcPr>
          <w:p>
            <w:pPr>
              <w:pStyle w:val="TableParagraph"/>
              <w:spacing w:before="27"/>
              <w:ind w:left="636" w:right="629"/>
              <w:rPr>
                <w:sz w:val="20"/>
              </w:rPr>
            </w:pPr>
            <w:r>
              <w:rPr>
                <w:sz w:val="20"/>
              </w:rPr>
              <w:t>基本预备费</w:t>
            </w:r>
          </w:p>
        </w:tc>
        <w:tc>
          <w:tcPr>
            <w:tcW w:w="1963" w:type="dxa"/>
          </w:tcPr>
          <w:p>
            <w:pPr>
              <w:pStyle w:val="TableParagraph"/>
              <w:spacing w:before="41"/>
              <w:ind w:left="329" w:right="321"/>
              <w:rPr>
                <w:rFonts w:ascii="Times New Roman"/>
                <w:sz w:val="20"/>
              </w:rPr>
            </w:pPr>
            <w:r>
              <w:rPr>
                <w:rFonts w:ascii="Times New Roman"/>
                <w:sz w:val="20"/>
              </w:rPr>
              <w:t>2.47</w:t>
            </w:r>
          </w:p>
        </w:tc>
        <w:tc>
          <w:tcPr>
            <w:tcW w:w="1506" w:type="dxa"/>
          </w:tcPr>
          <w:p>
            <w:pPr>
              <w:pStyle w:val="TableParagraph"/>
              <w:spacing w:before="41"/>
              <w:ind w:left="420" w:right="411"/>
              <w:rPr>
                <w:rFonts w:ascii="Times New Roman"/>
                <w:sz w:val="20"/>
              </w:rPr>
            </w:pPr>
            <w:r>
              <w:rPr>
                <w:rFonts w:ascii="Times New Roman"/>
                <w:sz w:val="20"/>
              </w:rPr>
              <w:t>6.62</w:t>
            </w:r>
          </w:p>
        </w:tc>
      </w:tr>
      <w:tr>
        <w:trPr>
          <w:trHeight w:val="311" w:hRule="atLeast"/>
        </w:trPr>
        <w:tc>
          <w:tcPr>
            <w:tcW w:w="1266" w:type="dxa"/>
          </w:tcPr>
          <w:p>
            <w:pPr>
              <w:pStyle w:val="TableParagraph"/>
              <w:spacing w:before="27"/>
              <w:ind w:left="361" w:right="355"/>
              <w:rPr>
                <w:sz w:val="20"/>
              </w:rPr>
            </w:pPr>
            <w:r>
              <w:rPr>
                <w:sz w:val="20"/>
              </w:rPr>
              <w:t>（</w:t>
            </w:r>
            <w:r>
              <w:rPr>
                <w:rFonts w:ascii="Times New Roman" w:eastAsia="Times New Roman"/>
                <w:sz w:val="20"/>
              </w:rPr>
              <w:t>2</w:t>
            </w:r>
            <w:r>
              <w:rPr>
                <w:sz w:val="20"/>
              </w:rPr>
              <w:t>）</w:t>
            </w:r>
          </w:p>
        </w:tc>
        <w:tc>
          <w:tcPr>
            <w:tcW w:w="2717" w:type="dxa"/>
          </w:tcPr>
          <w:p>
            <w:pPr>
              <w:pStyle w:val="TableParagraph"/>
              <w:spacing w:before="27"/>
              <w:ind w:left="636" w:right="629"/>
              <w:rPr>
                <w:sz w:val="20"/>
              </w:rPr>
            </w:pPr>
            <w:r>
              <w:rPr>
                <w:sz w:val="20"/>
              </w:rPr>
              <w:t>差价预备费</w:t>
            </w:r>
          </w:p>
        </w:tc>
        <w:tc>
          <w:tcPr>
            <w:tcW w:w="1963" w:type="dxa"/>
          </w:tcPr>
          <w:p>
            <w:pPr>
              <w:pStyle w:val="TableParagraph"/>
              <w:spacing w:before="40"/>
              <w:ind w:left="329" w:right="321"/>
              <w:rPr>
                <w:rFonts w:ascii="Times New Roman"/>
                <w:sz w:val="20"/>
              </w:rPr>
            </w:pPr>
            <w:r>
              <w:rPr>
                <w:rFonts w:ascii="Times New Roman"/>
                <w:sz w:val="20"/>
              </w:rPr>
              <w:t>9.80</w:t>
            </w:r>
          </w:p>
        </w:tc>
        <w:tc>
          <w:tcPr>
            <w:tcW w:w="1506" w:type="dxa"/>
          </w:tcPr>
          <w:p>
            <w:pPr>
              <w:pStyle w:val="TableParagraph"/>
              <w:jc w:val="left"/>
              <w:rPr>
                <w:rFonts w:ascii="Times New Roman"/>
                <w:sz w:val="20"/>
              </w:rPr>
            </w:pPr>
          </w:p>
        </w:tc>
      </w:tr>
      <w:tr>
        <w:trPr>
          <w:trHeight w:val="312" w:hRule="atLeast"/>
        </w:trPr>
        <w:tc>
          <w:tcPr>
            <w:tcW w:w="3983" w:type="dxa"/>
            <w:gridSpan w:val="2"/>
          </w:tcPr>
          <w:p>
            <w:pPr>
              <w:pStyle w:val="TableParagraph"/>
              <w:spacing w:before="29"/>
              <w:ind w:left="1469" w:right="1464"/>
              <w:rPr>
                <w:sz w:val="20"/>
              </w:rPr>
            </w:pPr>
            <w:r>
              <w:rPr>
                <w:sz w:val="20"/>
              </w:rPr>
              <w:t>静态总投资</w:t>
            </w:r>
          </w:p>
        </w:tc>
        <w:tc>
          <w:tcPr>
            <w:tcW w:w="1963" w:type="dxa"/>
          </w:tcPr>
          <w:p>
            <w:pPr>
              <w:pStyle w:val="TableParagraph"/>
              <w:spacing w:before="42"/>
              <w:ind w:left="329" w:right="323"/>
              <w:rPr>
                <w:rFonts w:ascii="Times New Roman"/>
                <w:sz w:val="20"/>
              </w:rPr>
            </w:pPr>
            <w:r>
              <w:rPr>
                <w:rFonts w:ascii="Times New Roman"/>
                <w:sz w:val="20"/>
              </w:rPr>
              <w:t>37.33</w:t>
            </w:r>
          </w:p>
        </w:tc>
        <w:tc>
          <w:tcPr>
            <w:tcW w:w="1506" w:type="dxa"/>
          </w:tcPr>
          <w:p>
            <w:pPr>
              <w:pStyle w:val="TableParagraph"/>
              <w:spacing w:before="42"/>
              <w:ind w:left="420" w:right="408"/>
              <w:rPr>
                <w:rFonts w:ascii="Times New Roman"/>
                <w:sz w:val="20"/>
              </w:rPr>
            </w:pPr>
            <w:r>
              <w:rPr>
                <w:rFonts w:ascii="Times New Roman"/>
                <w:sz w:val="20"/>
              </w:rPr>
              <w:t>100.00</w:t>
            </w:r>
          </w:p>
        </w:tc>
      </w:tr>
      <w:tr>
        <w:trPr>
          <w:trHeight w:val="311" w:hRule="atLeast"/>
        </w:trPr>
        <w:tc>
          <w:tcPr>
            <w:tcW w:w="3983" w:type="dxa"/>
            <w:gridSpan w:val="2"/>
          </w:tcPr>
          <w:p>
            <w:pPr>
              <w:pStyle w:val="TableParagraph"/>
              <w:spacing w:before="28"/>
              <w:ind w:left="1469" w:right="1464"/>
              <w:rPr>
                <w:sz w:val="20"/>
              </w:rPr>
            </w:pPr>
            <w:r>
              <w:rPr>
                <w:sz w:val="20"/>
              </w:rPr>
              <w:t>动态总投资</w:t>
            </w:r>
          </w:p>
        </w:tc>
        <w:tc>
          <w:tcPr>
            <w:tcW w:w="1963" w:type="dxa"/>
          </w:tcPr>
          <w:p>
            <w:pPr>
              <w:pStyle w:val="TableParagraph"/>
              <w:spacing w:before="42"/>
              <w:ind w:left="329" w:right="323"/>
              <w:rPr>
                <w:rFonts w:ascii="Times New Roman"/>
                <w:sz w:val="20"/>
              </w:rPr>
            </w:pPr>
            <w:r>
              <w:rPr>
                <w:rFonts w:ascii="Times New Roman"/>
                <w:sz w:val="20"/>
              </w:rPr>
              <w:t>47.13</w:t>
            </w:r>
          </w:p>
        </w:tc>
        <w:tc>
          <w:tcPr>
            <w:tcW w:w="1506" w:type="dxa"/>
          </w:tcPr>
          <w:p>
            <w:pPr>
              <w:pStyle w:val="TableParagraph"/>
              <w:jc w:val="left"/>
              <w:rPr>
                <w:rFonts w:ascii="Times New Roman"/>
                <w:sz w:val="20"/>
              </w:rPr>
            </w:pPr>
          </w:p>
        </w:tc>
      </w:tr>
    </w:tbl>
    <w:p>
      <w:pPr>
        <w:spacing w:before="100"/>
        <w:ind w:left="0" w:right="430" w:firstLine="0"/>
        <w:jc w:val="center"/>
        <w:rPr>
          <w:rFonts w:ascii="黑体" w:eastAsia="黑体" w:hint="eastAsia"/>
          <w:b/>
          <w:sz w:val="21"/>
        </w:rPr>
      </w:pPr>
      <w:r>
        <w:rPr>
          <w:rFonts w:ascii="黑体" w:eastAsia="黑体" w:hint="eastAsia"/>
          <w:b/>
          <w:spacing w:val="-28"/>
          <w:sz w:val="21"/>
        </w:rPr>
        <w:t>表 </w:t>
      </w:r>
      <w:r>
        <w:rPr>
          <w:rFonts w:ascii="Times New Roman" w:eastAsia="Times New Roman"/>
          <w:b/>
          <w:sz w:val="21"/>
        </w:rPr>
        <w:t>5.5-9</w:t>
      </w:r>
      <w:r>
        <w:rPr>
          <w:rFonts w:ascii="Times New Roman" w:eastAsia="Times New Roman"/>
          <w:b/>
          <w:spacing w:val="52"/>
          <w:sz w:val="21"/>
        </w:rPr>
        <w:t> </w:t>
      </w:r>
      <w:r>
        <w:rPr>
          <w:rFonts w:ascii="黑体" w:eastAsia="黑体" w:hint="eastAsia"/>
          <w:b/>
          <w:sz w:val="21"/>
        </w:rPr>
        <w:t>土地复垦工程价差预备费总表</w:t>
      </w:r>
    </w:p>
    <w:p>
      <w:pPr>
        <w:pStyle w:val="BodyText"/>
        <w:spacing w:before="9"/>
        <w:rPr>
          <w:rFonts w:ascii="黑体"/>
          <w:b/>
          <w:sz w:val="7"/>
        </w:rPr>
      </w:pPr>
    </w:p>
    <w:tbl>
      <w:tblPr>
        <w:tblW w:w="0" w:type="auto"/>
        <w:jc w:val="left"/>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298"/>
        <w:gridCol w:w="1800"/>
        <w:gridCol w:w="1440"/>
        <w:gridCol w:w="2113"/>
      </w:tblGrid>
      <w:tr>
        <w:trPr>
          <w:trHeight w:val="312" w:hRule="atLeast"/>
        </w:trPr>
        <w:tc>
          <w:tcPr>
            <w:tcW w:w="1591" w:type="dxa"/>
          </w:tcPr>
          <w:p>
            <w:pPr>
              <w:pStyle w:val="TableParagraph"/>
              <w:spacing w:before="28"/>
              <w:ind w:left="274" w:right="263"/>
              <w:rPr>
                <w:b/>
                <w:sz w:val="20"/>
              </w:rPr>
            </w:pPr>
            <w:r>
              <w:rPr>
                <w:b/>
                <w:sz w:val="20"/>
              </w:rPr>
              <w:t>年份（年）</w:t>
            </w:r>
          </w:p>
        </w:tc>
        <w:tc>
          <w:tcPr>
            <w:tcW w:w="2298" w:type="dxa"/>
          </w:tcPr>
          <w:p>
            <w:pPr>
              <w:pStyle w:val="TableParagraph"/>
              <w:spacing w:before="28"/>
              <w:ind w:left="327" w:right="314"/>
              <w:rPr>
                <w:b/>
                <w:sz w:val="20"/>
              </w:rPr>
            </w:pPr>
            <w:r>
              <w:rPr>
                <w:b/>
                <w:sz w:val="20"/>
              </w:rPr>
              <w:t>静态投资（万元）</w:t>
            </w:r>
          </w:p>
        </w:tc>
        <w:tc>
          <w:tcPr>
            <w:tcW w:w="1800" w:type="dxa"/>
          </w:tcPr>
          <w:p>
            <w:pPr>
              <w:pStyle w:val="TableParagraph"/>
              <w:spacing w:before="41"/>
              <w:ind w:left="640" w:right="633"/>
              <w:rPr>
                <w:rFonts w:ascii="Times New Roman"/>
                <w:b/>
                <w:sz w:val="20"/>
              </w:rPr>
            </w:pPr>
            <w:r>
              <w:rPr>
                <w:rFonts w:ascii="Times New Roman"/>
                <w:b/>
                <w:sz w:val="20"/>
              </w:rPr>
              <w:t>1+r</w:t>
            </w:r>
          </w:p>
        </w:tc>
        <w:tc>
          <w:tcPr>
            <w:tcW w:w="1440" w:type="dxa"/>
          </w:tcPr>
          <w:p>
            <w:pPr>
              <w:pStyle w:val="TableParagraph"/>
              <w:spacing w:before="41"/>
              <w:ind w:right="680"/>
              <w:jc w:val="right"/>
              <w:rPr>
                <w:rFonts w:ascii="Times New Roman"/>
                <w:b/>
                <w:sz w:val="20"/>
              </w:rPr>
            </w:pPr>
            <w:r>
              <w:rPr>
                <w:rFonts w:ascii="Times New Roman"/>
                <w:b/>
                <w:w w:val="99"/>
                <w:sz w:val="20"/>
              </w:rPr>
              <w:t>i</w:t>
            </w:r>
          </w:p>
        </w:tc>
        <w:tc>
          <w:tcPr>
            <w:tcW w:w="2113" w:type="dxa"/>
          </w:tcPr>
          <w:p>
            <w:pPr>
              <w:pStyle w:val="TableParagraph"/>
              <w:spacing w:before="28"/>
              <w:ind w:left="133" w:right="122"/>
              <w:rPr>
                <w:b/>
                <w:sz w:val="20"/>
              </w:rPr>
            </w:pPr>
            <w:r>
              <w:rPr>
                <w:b/>
                <w:sz w:val="20"/>
              </w:rPr>
              <w:t>价差预备费（万元）</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2020</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57"/>
              <w:jc w:val="right"/>
              <w:rPr>
                <w:rFonts w:ascii="Times New Roman"/>
                <w:sz w:val="21"/>
              </w:rPr>
            </w:pPr>
            <w:r>
              <w:rPr>
                <w:rFonts w:ascii="Times New Roman"/>
                <w:w w:val="99"/>
                <w:sz w:val="21"/>
              </w:rPr>
              <w:t>1</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2021</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57"/>
              <w:jc w:val="right"/>
              <w:rPr>
                <w:rFonts w:ascii="Times New Roman"/>
                <w:sz w:val="21"/>
              </w:rPr>
            </w:pPr>
            <w:r>
              <w:rPr>
                <w:rFonts w:ascii="Times New Roman"/>
                <w:w w:val="99"/>
                <w:sz w:val="21"/>
              </w:rPr>
              <w:t>2</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2022</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57"/>
              <w:jc w:val="right"/>
              <w:rPr>
                <w:rFonts w:ascii="Times New Roman"/>
                <w:sz w:val="21"/>
              </w:rPr>
            </w:pPr>
            <w:r>
              <w:rPr>
                <w:rFonts w:ascii="Times New Roman"/>
                <w:w w:val="99"/>
                <w:sz w:val="21"/>
              </w:rPr>
              <w:t>3</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2023</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57"/>
              <w:jc w:val="right"/>
              <w:rPr>
                <w:rFonts w:ascii="Times New Roman"/>
                <w:sz w:val="21"/>
              </w:rPr>
            </w:pPr>
            <w:r>
              <w:rPr>
                <w:rFonts w:ascii="Times New Roman"/>
                <w:w w:val="99"/>
                <w:sz w:val="21"/>
              </w:rPr>
              <w:t>4</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2024</w:t>
            </w:r>
          </w:p>
        </w:tc>
        <w:tc>
          <w:tcPr>
            <w:tcW w:w="2298" w:type="dxa"/>
          </w:tcPr>
          <w:p>
            <w:pPr>
              <w:pStyle w:val="TableParagraph"/>
              <w:spacing w:before="37"/>
              <w:ind w:left="324" w:right="314"/>
              <w:rPr>
                <w:rFonts w:ascii="Times New Roman"/>
                <w:sz w:val="21"/>
              </w:rPr>
            </w:pPr>
            <w:r>
              <w:rPr>
                <w:rFonts w:ascii="Times New Roman"/>
                <w:sz w:val="21"/>
              </w:rPr>
              <w:t>0.00</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right="657"/>
              <w:jc w:val="right"/>
              <w:rPr>
                <w:rFonts w:ascii="Times New Roman"/>
                <w:sz w:val="21"/>
              </w:rPr>
            </w:pPr>
            <w:r>
              <w:rPr>
                <w:rFonts w:ascii="Times New Roman"/>
                <w:w w:val="99"/>
                <w:sz w:val="21"/>
              </w:rPr>
              <w:t>5</w:t>
            </w:r>
          </w:p>
        </w:tc>
        <w:tc>
          <w:tcPr>
            <w:tcW w:w="2113" w:type="dxa"/>
          </w:tcPr>
          <w:p>
            <w:pPr>
              <w:pStyle w:val="TableParagraph"/>
              <w:spacing w:before="37"/>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2025</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57"/>
              <w:jc w:val="right"/>
              <w:rPr>
                <w:rFonts w:ascii="Times New Roman"/>
                <w:sz w:val="21"/>
              </w:rPr>
            </w:pPr>
            <w:r>
              <w:rPr>
                <w:rFonts w:ascii="Times New Roman"/>
                <w:w w:val="99"/>
                <w:sz w:val="21"/>
              </w:rPr>
              <w:t>6</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2026</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57"/>
              <w:jc w:val="right"/>
              <w:rPr>
                <w:rFonts w:ascii="Times New Roman"/>
                <w:sz w:val="21"/>
              </w:rPr>
            </w:pPr>
            <w:r>
              <w:rPr>
                <w:rFonts w:ascii="Times New Roman"/>
                <w:w w:val="99"/>
                <w:sz w:val="21"/>
              </w:rPr>
              <w:t>7</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2027</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57"/>
              <w:jc w:val="right"/>
              <w:rPr>
                <w:rFonts w:ascii="Times New Roman"/>
                <w:sz w:val="21"/>
              </w:rPr>
            </w:pPr>
            <w:r>
              <w:rPr>
                <w:rFonts w:ascii="Times New Roman"/>
                <w:w w:val="99"/>
                <w:sz w:val="21"/>
              </w:rPr>
              <w:t>8</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2028</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57"/>
              <w:jc w:val="right"/>
              <w:rPr>
                <w:rFonts w:ascii="Times New Roman"/>
                <w:sz w:val="21"/>
              </w:rPr>
            </w:pPr>
            <w:r>
              <w:rPr>
                <w:rFonts w:ascii="Times New Roman"/>
                <w:w w:val="99"/>
                <w:sz w:val="21"/>
              </w:rPr>
              <w:t>9</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2029</w:t>
            </w:r>
          </w:p>
        </w:tc>
        <w:tc>
          <w:tcPr>
            <w:tcW w:w="2298" w:type="dxa"/>
          </w:tcPr>
          <w:p>
            <w:pPr>
              <w:pStyle w:val="TableParagraph"/>
              <w:spacing w:before="37"/>
              <w:ind w:left="324" w:right="314"/>
              <w:rPr>
                <w:rFonts w:ascii="Times New Roman"/>
                <w:sz w:val="21"/>
              </w:rPr>
            </w:pPr>
            <w:r>
              <w:rPr>
                <w:rFonts w:ascii="Times New Roman"/>
                <w:sz w:val="21"/>
              </w:rPr>
              <w:t>0.00</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right="602"/>
              <w:jc w:val="right"/>
              <w:rPr>
                <w:rFonts w:ascii="Times New Roman"/>
                <w:sz w:val="21"/>
              </w:rPr>
            </w:pPr>
            <w:r>
              <w:rPr>
                <w:rFonts w:ascii="Times New Roman"/>
                <w:sz w:val="21"/>
              </w:rPr>
              <w:t>10</w:t>
            </w:r>
          </w:p>
        </w:tc>
        <w:tc>
          <w:tcPr>
            <w:tcW w:w="2113" w:type="dxa"/>
          </w:tcPr>
          <w:p>
            <w:pPr>
              <w:pStyle w:val="TableParagraph"/>
              <w:spacing w:before="37"/>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2030</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04"/>
              <w:jc w:val="right"/>
              <w:rPr>
                <w:rFonts w:ascii="Times New Roman"/>
                <w:sz w:val="21"/>
              </w:rPr>
            </w:pPr>
            <w:r>
              <w:rPr>
                <w:rFonts w:ascii="Times New Roman"/>
                <w:w w:val="95"/>
                <w:sz w:val="21"/>
              </w:rPr>
              <w:t>11</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2031</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02"/>
              <w:jc w:val="right"/>
              <w:rPr>
                <w:rFonts w:ascii="Times New Roman"/>
                <w:sz w:val="21"/>
              </w:rPr>
            </w:pPr>
            <w:r>
              <w:rPr>
                <w:rFonts w:ascii="Times New Roman"/>
                <w:sz w:val="21"/>
              </w:rPr>
              <w:t>12</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2032</w:t>
            </w:r>
          </w:p>
        </w:tc>
        <w:tc>
          <w:tcPr>
            <w:tcW w:w="2298" w:type="dxa"/>
          </w:tcPr>
          <w:p>
            <w:pPr>
              <w:pStyle w:val="TableParagraph"/>
              <w:spacing w:before="36"/>
              <w:ind w:left="324" w:right="314"/>
              <w:rPr>
                <w:rFonts w:ascii="Times New Roman"/>
                <w:sz w:val="21"/>
              </w:rPr>
            </w:pPr>
            <w:r>
              <w:rPr>
                <w:rFonts w:ascii="Times New Roman"/>
                <w:sz w:val="21"/>
              </w:rPr>
              <w:t>0.00</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02"/>
              <w:jc w:val="right"/>
              <w:rPr>
                <w:rFonts w:ascii="Times New Roman"/>
                <w:sz w:val="21"/>
              </w:rPr>
            </w:pPr>
            <w:r>
              <w:rPr>
                <w:rFonts w:ascii="Times New Roman"/>
                <w:sz w:val="21"/>
              </w:rPr>
              <w:t>13</w:t>
            </w:r>
          </w:p>
        </w:tc>
        <w:tc>
          <w:tcPr>
            <w:tcW w:w="2113" w:type="dxa"/>
          </w:tcPr>
          <w:p>
            <w:pPr>
              <w:pStyle w:val="TableParagraph"/>
              <w:spacing w:before="36"/>
              <w:ind w:left="132" w:right="122"/>
              <w:rPr>
                <w:rFonts w:ascii="Times New Roman"/>
                <w:sz w:val="21"/>
              </w:rPr>
            </w:pPr>
            <w:r>
              <w:rPr>
                <w:rFonts w:ascii="Times New Roman"/>
                <w:sz w:val="21"/>
              </w:rPr>
              <w:t>0.00</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2033</w:t>
            </w:r>
          </w:p>
        </w:tc>
        <w:tc>
          <w:tcPr>
            <w:tcW w:w="2298" w:type="dxa"/>
          </w:tcPr>
          <w:p>
            <w:pPr>
              <w:pStyle w:val="TableParagraph"/>
              <w:spacing w:before="35"/>
              <w:ind w:left="324" w:right="314"/>
              <w:rPr>
                <w:rFonts w:ascii="Times New Roman"/>
                <w:sz w:val="21"/>
              </w:rPr>
            </w:pPr>
            <w:r>
              <w:rPr>
                <w:rFonts w:ascii="Times New Roman"/>
                <w:sz w:val="21"/>
              </w:rPr>
              <w:t>0.00</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right="602"/>
              <w:jc w:val="right"/>
              <w:rPr>
                <w:rFonts w:ascii="Times New Roman"/>
                <w:sz w:val="21"/>
              </w:rPr>
            </w:pPr>
            <w:r>
              <w:rPr>
                <w:rFonts w:ascii="Times New Roman"/>
                <w:sz w:val="21"/>
              </w:rPr>
              <w:t>14</w:t>
            </w:r>
          </w:p>
        </w:tc>
        <w:tc>
          <w:tcPr>
            <w:tcW w:w="2113" w:type="dxa"/>
          </w:tcPr>
          <w:p>
            <w:pPr>
              <w:pStyle w:val="TableParagraph"/>
              <w:spacing w:before="35"/>
              <w:ind w:left="132" w:right="122"/>
              <w:rPr>
                <w:rFonts w:ascii="Times New Roman"/>
                <w:sz w:val="21"/>
              </w:rPr>
            </w:pPr>
            <w:r>
              <w:rPr>
                <w:rFonts w:ascii="Times New Roman"/>
                <w:sz w:val="21"/>
              </w:rPr>
              <w:t>0.00</w:t>
            </w:r>
          </w:p>
        </w:tc>
      </w:tr>
      <w:tr>
        <w:trPr>
          <w:trHeight w:val="312" w:hRule="atLeast"/>
        </w:trPr>
        <w:tc>
          <w:tcPr>
            <w:tcW w:w="1591" w:type="dxa"/>
          </w:tcPr>
          <w:p>
            <w:pPr>
              <w:pStyle w:val="TableParagraph"/>
              <w:spacing w:before="36"/>
              <w:ind w:left="271" w:right="263"/>
              <w:rPr>
                <w:rFonts w:ascii="Times New Roman"/>
                <w:sz w:val="21"/>
              </w:rPr>
            </w:pPr>
            <w:r>
              <w:rPr>
                <w:rFonts w:ascii="Times New Roman"/>
                <w:sz w:val="21"/>
              </w:rPr>
              <w:t>2034</w:t>
            </w:r>
          </w:p>
        </w:tc>
        <w:tc>
          <w:tcPr>
            <w:tcW w:w="2298" w:type="dxa"/>
          </w:tcPr>
          <w:p>
            <w:pPr>
              <w:pStyle w:val="TableParagraph"/>
              <w:spacing w:before="36"/>
              <w:ind w:left="324" w:right="314"/>
              <w:rPr>
                <w:rFonts w:ascii="Times New Roman"/>
                <w:sz w:val="21"/>
              </w:rPr>
            </w:pPr>
            <w:r>
              <w:rPr>
                <w:rFonts w:ascii="Times New Roman"/>
                <w:sz w:val="21"/>
              </w:rPr>
              <w:t>27.28</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right="602"/>
              <w:jc w:val="right"/>
              <w:rPr>
                <w:rFonts w:ascii="Times New Roman"/>
                <w:sz w:val="21"/>
              </w:rPr>
            </w:pPr>
            <w:r>
              <w:rPr>
                <w:rFonts w:ascii="Times New Roman"/>
                <w:sz w:val="21"/>
              </w:rPr>
              <w:t>15</w:t>
            </w:r>
          </w:p>
        </w:tc>
        <w:tc>
          <w:tcPr>
            <w:tcW w:w="2113" w:type="dxa"/>
          </w:tcPr>
          <w:p>
            <w:pPr>
              <w:pStyle w:val="TableParagraph"/>
              <w:spacing w:before="36"/>
              <w:ind w:left="132" w:right="122"/>
              <w:rPr>
                <w:rFonts w:ascii="Times New Roman"/>
                <w:sz w:val="21"/>
              </w:rPr>
            </w:pPr>
            <w:r>
              <w:rPr>
                <w:rFonts w:ascii="Times New Roman"/>
                <w:sz w:val="21"/>
              </w:rPr>
              <w:t>6.83</w:t>
            </w:r>
          </w:p>
        </w:tc>
      </w:tr>
    </w:tbl>
    <w:p>
      <w:pPr>
        <w:spacing w:after="0"/>
        <w:rPr>
          <w:rFonts w:ascii="Times New Roman"/>
          <w:sz w:val="21"/>
        </w:rPr>
        <w:sectPr>
          <w:pgSz w:w="11910" w:h="16840"/>
          <w:pgMar w:header="0" w:footer="993" w:top="1420" w:bottom="1180" w:left="1040" w:right="600"/>
        </w:sectPr>
      </w:pPr>
    </w:p>
    <w:tbl>
      <w:tblPr>
        <w:tblW w:w="0" w:type="auto"/>
        <w:jc w:val="left"/>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2298"/>
        <w:gridCol w:w="1800"/>
        <w:gridCol w:w="1440"/>
        <w:gridCol w:w="2113"/>
      </w:tblGrid>
      <w:tr>
        <w:trPr>
          <w:trHeight w:val="315" w:hRule="atLeast"/>
        </w:trPr>
        <w:tc>
          <w:tcPr>
            <w:tcW w:w="1591" w:type="dxa"/>
          </w:tcPr>
          <w:p>
            <w:pPr>
              <w:pStyle w:val="TableParagraph"/>
              <w:spacing w:before="35"/>
              <w:ind w:left="271" w:right="263"/>
              <w:rPr>
                <w:rFonts w:ascii="Times New Roman"/>
                <w:sz w:val="21"/>
              </w:rPr>
            </w:pPr>
            <w:r>
              <w:rPr>
                <w:rFonts w:ascii="Times New Roman"/>
                <w:sz w:val="21"/>
              </w:rPr>
              <w:t>2035</w:t>
            </w:r>
          </w:p>
        </w:tc>
        <w:tc>
          <w:tcPr>
            <w:tcW w:w="2298" w:type="dxa"/>
          </w:tcPr>
          <w:p>
            <w:pPr>
              <w:pStyle w:val="TableParagraph"/>
              <w:spacing w:before="35"/>
              <w:ind w:left="324" w:right="314"/>
              <w:rPr>
                <w:rFonts w:ascii="Times New Roman"/>
                <w:sz w:val="21"/>
              </w:rPr>
            </w:pPr>
            <w:r>
              <w:rPr>
                <w:rFonts w:ascii="Times New Roman"/>
                <w:sz w:val="21"/>
              </w:rPr>
              <w:t>1.95</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5"/>
              <w:jc w:val="left"/>
              <w:rPr>
                <w:rFonts w:ascii="Times New Roman"/>
                <w:sz w:val="21"/>
              </w:rPr>
            </w:pPr>
            <w:r>
              <w:rPr>
                <w:rFonts w:ascii="Times New Roman"/>
                <w:sz w:val="21"/>
              </w:rPr>
              <w:t>16</w:t>
            </w:r>
          </w:p>
        </w:tc>
        <w:tc>
          <w:tcPr>
            <w:tcW w:w="2113" w:type="dxa"/>
          </w:tcPr>
          <w:p>
            <w:pPr>
              <w:pStyle w:val="TableParagraph"/>
              <w:spacing w:before="35"/>
              <w:ind w:left="132" w:right="122"/>
              <w:rPr>
                <w:rFonts w:ascii="Times New Roman"/>
                <w:sz w:val="21"/>
              </w:rPr>
            </w:pPr>
            <w:r>
              <w:rPr>
                <w:rFonts w:ascii="Times New Roman"/>
                <w:sz w:val="21"/>
              </w:rPr>
              <w:t>0.52</w:t>
            </w:r>
          </w:p>
        </w:tc>
      </w:tr>
      <w:tr>
        <w:trPr>
          <w:trHeight w:val="315" w:hRule="atLeast"/>
        </w:trPr>
        <w:tc>
          <w:tcPr>
            <w:tcW w:w="1591" w:type="dxa"/>
          </w:tcPr>
          <w:p>
            <w:pPr>
              <w:pStyle w:val="TableParagraph"/>
              <w:spacing w:before="36"/>
              <w:ind w:left="271" w:right="263"/>
              <w:rPr>
                <w:rFonts w:ascii="Times New Roman"/>
                <w:sz w:val="21"/>
              </w:rPr>
            </w:pPr>
            <w:r>
              <w:rPr>
                <w:rFonts w:ascii="Times New Roman"/>
                <w:sz w:val="21"/>
              </w:rPr>
              <w:t>2036</w:t>
            </w:r>
          </w:p>
        </w:tc>
        <w:tc>
          <w:tcPr>
            <w:tcW w:w="2298" w:type="dxa"/>
          </w:tcPr>
          <w:p>
            <w:pPr>
              <w:pStyle w:val="TableParagraph"/>
              <w:spacing w:before="36"/>
              <w:ind w:left="324" w:right="314"/>
              <w:rPr>
                <w:rFonts w:ascii="Times New Roman"/>
                <w:sz w:val="21"/>
              </w:rPr>
            </w:pPr>
            <w:r>
              <w:rPr>
                <w:rFonts w:ascii="Times New Roman"/>
                <w:sz w:val="21"/>
              </w:rPr>
              <w:t>3.35</w:t>
            </w:r>
          </w:p>
        </w:tc>
        <w:tc>
          <w:tcPr>
            <w:tcW w:w="1800" w:type="dxa"/>
          </w:tcPr>
          <w:p>
            <w:pPr>
              <w:pStyle w:val="TableParagraph"/>
              <w:spacing w:before="36"/>
              <w:ind w:left="644" w:right="633"/>
              <w:rPr>
                <w:rFonts w:ascii="Times New Roman"/>
                <w:sz w:val="21"/>
              </w:rPr>
            </w:pPr>
            <w:r>
              <w:rPr>
                <w:rFonts w:ascii="Times New Roman"/>
                <w:sz w:val="21"/>
              </w:rPr>
              <w:t>1.015</w:t>
            </w:r>
          </w:p>
        </w:tc>
        <w:tc>
          <w:tcPr>
            <w:tcW w:w="1440" w:type="dxa"/>
          </w:tcPr>
          <w:p>
            <w:pPr>
              <w:pStyle w:val="TableParagraph"/>
              <w:spacing w:before="36"/>
              <w:ind w:left="615"/>
              <w:jc w:val="left"/>
              <w:rPr>
                <w:rFonts w:ascii="Times New Roman"/>
                <w:sz w:val="21"/>
              </w:rPr>
            </w:pPr>
            <w:r>
              <w:rPr>
                <w:rFonts w:ascii="Times New Roman"/>
                <w:sz w:val="21"/>
              </w:rPr>
              <w:t>17</w:t>
            </w:r>
          </w:p>
        </w:tc>
        <w:tc>
          <w:tcPr>
            <w:tcW w:w="2113" w:type="dxa"/>
          </w:tcPr>
          <w:p>
            <w:pPr>
              <w:pStyle w:val="TableParagraph"/>
              <w:spacing w:before="36"/>
              <w:ind w:left="132" w:right="122"/>
              <w:rPr>
                <w:rFonts w:ascii="Times New Roman"/>
                <w:sz w:val="21"/>
              </w:rPr>
            </w:pPr>
            <w:r>
              <w:rPr>
                <w:rFonts w:ascii="Times New Roman"/>
                <w:sz w:val="21"/>
              </w:rPr>
              <w:t>0.96</w:t>
            </w:r>
          </w:p>
        </w:tc>
      </w:tr>
      <w:tr>
        <w:trPr>
          <w:trHeight w:val="315" w:hRule="atLeast"/>
        </w:trPr>
        <w:tc>
          <w:tcPr>
            <w:tcW w:w="1591" w:type="dxa"/>
          </w:tcPr>
          <w:p>
            <w:pPr>
              <w:pStyle w:val="TableParagraph"/>
              <w:spacing w:before="35"/>
              <w:ind w:left="271" w:right="263"/>
              <w:rPr>
                <w:rFonts w:ascii="Times New Roman"/>
                <w:sz w:val="21"/>
              </w:rPr>
            </w:pPr>
            <w:r>
              <w:rPr>
                <w:rFonts w:ascii="Times New Roman"/>
                <w:sz w:val="21"/>
              </w:rPr>
              <w:t>2037</w:t>
            </w:r>
          </w:p>
        </w:tc>
        <w:tc>
          <w:tcPr>
            <w:tcW w:w="2298" w:type="dxa"/>
          </w:tcPr>
          <w:p>
            <w:pPr>
              <w:pStyle w:val="TableParagraph"/>
              <w:spacing w:before="35"/>
              <w:ind w:left="324" w:right="314"/>
              <w:rPr>
                <w:rFonts w:ascii="Times New Roman"/>
                <w:sz w:val="21"/>
              </w:rPr>
            </w:pPr>
            <w:r>
              <w:rPr>
                <w:rFonts w:ascii="Times New Roman"/>
                <w:sz w:val="21"/>
              </w:rPr>
              <w:t>3.35</w:t>
            </w:r>
          </w:p>
        </w:tc>
        <w:tc>
          <w:tcPr>
            <w:tcW w:w="1800" w:type="dxa"/>
          </w:tcPr>
          <w:p>
            <w:pPr>
              <w:pStyle w:val="TableParagraph"/>
              <w:spacing w:before="35"/>
              <w:ind w:left="644" w:right="633"/>
              <w:rPr>
                <w:rFonts w:ascii="Times New Roman"/>
                <w:sz w:val="21"/>
              </w:rPr>
            </w:pPr>
            <w:r>
              <w:rPr>
                <w:rFonts w:ascii="Times New Roman"/>
                <w:sz w:val="21"/>
              </w:rPr>
              <w:t>1.015</w:t>
            </w:r>
          </w:p>
        </w:tc>
        <w:tc>
          <w:tcPr>
            <w:tcW w:w="1440" w:type="dxa"/>
          </w:tcPr>
          <w:p>
            <w:pPr>
              <w:pStyle w:val="TableParagraph"/>
              <w:spacing w:before="35"/>
              <w:ind w:left="615"/>
              <w:jc w:val="left"/>
              <w:rPr>
                <w:rFonts w:ascii="Times New Roman"/>
                <w:sz w:val="21"/>
              </w:rPr>
            </w:pPr>
            <w:r>
              <w:rPr>
                <w:rFonts w:ascii="Times New Roman"/>
                <w:sz w:val="21"/>
              </w:rPr>
              <w:t>18</w:t>
            </w:r>
          </w:p>
        </w:tc>
        <w:tc>
          <w:tcPr>
            <w:tcW w:w="2113" w:type="dxa"/>
          </w:tcPr>
          <w:p>
            <w:pPr>
              <w:pStyle w:val="TableParagraph"/>
              <w:spacing w:before="35"/>
              <w:ind w:left="132" w:right="122"/>
              <w:rPr>
                <w:rFonts w:ascii="Times New Roman"/>
                <w:sz w:val="21"/>
              </w:rPr>
            </w:pPr>
            <w:r>
              <w:rPr>
                <w:rFonts w:ascii="Times New Roman"/>
                <w:sz w:val="21"/>
              </w:rPr>
              <w:t>1.03</w:t>
            </w:r>
          </w:p>
        </w:tc>
      </w:tr>
      <w:tr>
        <w:trPr>
          <w:trHeight w:val="315" w:hRule="atLeast"/>
        </w:trPr>
        <w:tc>
          <w:tcPr>
            <w:tcW w:w="1591" w:type="dxa"/>
          </w:tcPr>
          <w:p>
            <w:pPr>
              <w:pStyle w:val="TableParagraph"/>
              <w:spacing w:before="37"/>
              <w:ind w:left="271" w:right="263"/>
              <w:rPr>
                <w:rFonts w:ascii="Times New Roman"/>
                <w:sz w:val="21"/>
              </w:rPr>
            </w:pPr>
            <w:r>
              <w:rPr>
                <w:rFonts w:ascii="Times New Roman"/>
                <w:sz w:val="21"/>
              </w:rPr>
              <w:t>2038</w:t>
            </w:r>
          </w:p>
        </w:tc>
        <w:tc>
          <w:tcPr>
            <w:tcW w:w="2298" w:type="dxa"/>
          </w:tcPr>
          <w:p>
            <w:pPr>
              <w:pStyle w:val="TableParagraph"/>
              <w:spacing w:before="37"/>
              <w:ind w:left="324" w:right="314"/>
              <w:rPr>
                <w:rFonts w:ascii="Times New Roman"/>
                <w:sz w:val="21"/>
              </w:rPr>
            </w:pPr>
            <w:r>
              <w:rPr>
                <w:rFonts w:ascii="Times New Roman"/>
                <w:sz w:val="21"/>
              </w:rPr>
              <w:t>1.40</w:t>
            </w:r>
          </w:p>
        </w:tc>
        <w:tc>
          <w:tcPr>
            <w:tcW w:w="1800" w:type="dxa"/>
          </w:tcPr>
          <w:p>
            <w:pPr>
              <w:pStyle w:val="TableParagraph"/>
              <w:spacing w:before="37"/>
              <w:ind w:left="644" w:right="633"/>
              <w:rPr>
                <w:rFonts w:ascii="Times New Roman"/>
                <w:sz w:val="21"/>
              </w:rPr>
            </w:pPr>
            <w:r>
              <w:rPr>
                <w:rFonts w:ascii="Times New Roman"/>
                <w:sz w:val="21"/>
              </w:rPr>
              <w:t>1.015</w:t>
            </w:r>
          </w:p>
        </w:tc>
        <w:tc>
          <w:tcPr>
            <w:tcW w:w="1440" w:type="dxa"/>
          </w:tcPr>
          <w:p>
            <w:pPr>
              <w:pStyle w:val="TableParagraph"/>
              <w:spacing w:before="37"/>
              <w:ind w:left="615"/>
              <w:jc w:val="left"/>
              <w:rPr>
                <w:rFonts w:ascii="Times New Roman"/>
                <w:sz w:val="21"/>
              </w:rPr>
            </w:pPr>
            <w:r>
              <w:rPr>
                <w:rFonts w:ascii="Times New Roman"/>
                <w:sz w:val="21"/>
              </w:rPr>
              <w:t>19</w:t>
            </w:r>
          </w:p>
        </w:tc>
        <w:tc>
          <w:tcPr>
            <w:tcW w:w="2113" w:type="dxa"/>
          </w:tcPr>
          <w:p>
            <w:pPr>
              <w:pStyle w:val="TableParagraph"/>
              <w:spacing w:before="37"/>
              <w:ind w:left="132" w:right="122"/>
              <w:rPr>
                <w:rFonts w:ascii="Times New Roman"/>
                <w:sz w:val="21"/>
              </w:rPr>
            </w:pPr>
            <w:r>
              <w:rPr>
                <w:rFonts w:ascii="Times New Roman"/>
                <w:sz w:val="21"/>
              </w:rPr>
              <w:t>0.46</w:t>
            </w:r>
          </w:p>
        </w:tc>
      </w:tr>
      <w:tr>
        <w:trPr>
          <w:trHeight w:val="315" w:hRule="atLeast"/>
        </w:trPr>
        <w:tc>
          <w:tcPr>
            <w:tcW w:w="1591" w:type="dxa"/>
          </w:tcPr>
          <w:p>
            <w:pPr>
              <w:pStyle w:val="TableParagraph"/>
              <w:spacing w:before="29"/>
              <w:ind w:left="270" w:right="263"/>
              <w:rPr>
                <w:sz w:val="20"/>
              </w:rPr>
            </w:pPr>
            <w:r>
              <w:rPr>
                <w:sz w:val="20"/>
              </w:rPr>
              <w:t>合计</w:t>
            </w:r>
          </w:p>
        </w:tc>
        <w:tc>
          <w:tcPr>
            <w:tcW w:w="2298" w:type="dxa"/>
          </w:tcPr>
          <w:p>
            <w:pPr>
              <w:pStyle w:val="TableParagraph"/>
              <w:spacing w:before="36"/>
              <w:ind w:left="324" w:right="314"/>
              <w:rPr>
                <w:rFonts w:ascii="Times New Roman"/>
                <w:sz w:val="21"/>
              </w:rPr>
            </w:pPr>
            <w:r>
              <w:rPr>
                <w:rFonts w:ascii="Times New Roman"/>
                <w:sz w:val="21"/>
              </w:rPr>
              <w:t>37.33</w:t>
            </w:r>
          </w:p>
        </w:tc>
        <w:tc>
          <w:tcPr>
            <w:tcW w:w="1800" w:type="dxa"/>
          </w:tcPr>
          <w:p>
            <w:pPr>
              <w:pStyle w:val="TableParagraph"/>
              <w:spacing w:before="36"/>
              <w:ind w:left="10"/>
              <w:rPr>
                <w:rFonts w:ascii="Times New Roman" w:hAnsi="Times New Roman"/>
                <w:sz w:val="21"/>
              </w:rPr>
            </w:pPr>
            <w:r>
              <w:rPr>
                <w:rFonts w:ascii="Times New Roman" w:hAnsi="Times New Roman"/>
                <w:w w:val="99"/>
                <w:sz w:val="21"/>
              </w:rPr>
              <w:t>—</w:t>
            </w:r>
          </w:p>
        </w:tc>
        <w:tc>
          <w:tcPr>
            <w:tcW w:w="1440" w:type="dxa"/>
          </w:tcPr>
          <w:p>
            <w:pPr>
              <w:pStyle w:val="TableParagraph"/>
              <w:spacing w:before="36"/>
              <w:ind w:left="615"/>
              <w:jc w:val="left"/>
              <w:rPr>
                <w:rFonts w:ascii="Times New Roman" w:hAnsi="Times New Roman"/>
                <w:sz w:val="21"/>
              </w:rPr>
            </w:pPr>
            <w:r>
              <w:rPr>
                <w:rFonts w:ascii="Times New Roman" w:hAnsi="Times New Roman"/>
                <w:w w:val="99"/>
                <w:sz w:val="21"/>
              </w:rPr>
              <w:t>—</w:t>
            </w:r>
          </w:p>
        </w:tc>
        <w:tc>
          <w:tcPr>
            <w:tcW w:w="2113" w:type="dxa"/>
          </w:tcPr>
          <w:p>
            <w:pPr>
              <w:pStyle w:val="TableParagraph"/>
              <w:spacing w:before="36"/>
              <w:ind w:left="132" w:right="122"/>
              <w:rPr>
                <w:rFonts w:ascii="Times New Roman"/>
                <w:sz w:val="21"/>
              </w:rPr>
            </w:pPr>
            <w:r>
              <w:rPr>
                <w:rFonts w:ascii="Times New Roman"/>
                <w:sz w:val="21"/>
              </w:rPr>
              <w:t>9.80</w:t>
            </w:r>
          </w:p>
        </w:tc>
      </w:tr>
    </w:tbl>
    <w:p>
      <w:pPr>
        <w:pStyle w:val="BodyText"/>
        <w:spacing w:before="11"/>
        <w:rPr>
          <w:rFonts w:ascii="黑体"/>
          <w:b/>
          <w:sz w:val="22"/>
        </w:rPr>
      </w:pPr>
    </w:p>
    <w:p>
      <w:pPr>
        <w:pStyle w:val="Heading3"/>
        <w:numPr>
          <w:ilvl w:val="2"/>
          <w:numId w:val="41"/>
        </w:numPr>
        <w:tabs>
          <w:tab w:pos="1341" w:val="left" w:leader="none"/>
        </w:tabs>
        <w:spacing w:line="240" w:lineRule="auto" w:before="73" w:after="0"/>
        <w:ind w:left="1340" w:right="0" w:hanging="630"/>
        <w:jc w:val="left"/>
      </w:pPr>
      <w:bookmarkStart w:name="5.5.5生态管理及监控内容" w:id="198"/>
      <w:bookmarkEnd w:id="198"/>
      <w:r>
        <w:rPr>
          <w:b w:val="0"/>
        </w:rPr>
      </w:r>
      <w:bookmarkStart w:name="5.5.5生态管理及监控内容" w:id="199"/>
      <w:bookmarkEnd w:id="199"/>
      <w:r>
        <w:rPr/>
        <w:t>生态管理及监控内容</w:t>
      </w:r>
    </w:p>
    <w:p>
      <w:pPr>
        <w:pStyle w:val="BodyText"/>
        <w:spacing w:line="364" w:lineRule="auto" w:before="262"/>
        <w:ind w:left="711" w:right="1153" w:firstLine="480"/>
        <w:jc w:val="both"/>
      </w:pPr>
      <w:r>
        <w:rPr/>
        <w:t>生态管理和监控是政府环境保护机构依据国家和地方制订的有关自然资源和生态保护的法律、法规、条例、技术规范、标准等所进行的行政工作，应列为本项目日常工作的一个重要组成部分。</w:t>
      </w:r>
    </w:p>
    <w:p>
      <w:pPr>
        <w:pStyle w:val="BodyText"/>
        <w:spacing w:line="364" w:lineRule="auto" w:before="2"/>
        <w:ind w:left="711" w:right="1153" w:firstLine="480"/>
      </w:pPr>
      <w:r>
        <w:rPr/>
        <w:t>评价根据项目建设的性质、规模、生态影响的程度和范围、项目所在地的自然、经济、社会等因素提出如下生态管理及监控内容：</w:t>
      </w:r>
    </w:p>
    <w:p>
      <w:pPr>
        <w:pStyle w:val="BodyText"/>
        <w:spacing w:line="229" w:lineRule="exact"/>
        <w:ind w:left="1191"/>
      </w:pPr>
      <w:r>
        <w:rPr>
          <w:rFonts w:ascii="Times New Roman" w:eastAsia="Times New Roman"/>
        </w:rPr>
        <w:t>1</w:t>
      </w:r>
      <w:r>
        <w:rPr/>
        <w:t>、土壤质量监测</w:t>
      </w:r>
    </w:p>
    <w:p>
      <w:pPr>
        <w:pStyle w:val="BodyText"/>
        <w:spacing w:line="364" w:lineRule="auto" w:before="161"/>
        <w:ind w:left="711" w:right="1147" w:firstLine="480"/>
        <w:jc w:val="both"/>
      </w:pPr>
      <w:r>
        <w:rPr>
          <w:spacing w:val="-1"/>
        </w:rPr>
        <w:t>复垦为农、林、牧业用地的土地自然特性监测内容，为复垦区地形坡度、有</w:t>
      </w:r>
      <w:r>
        <w:rPr>
          <w:spacing w:val="-5"/>
        </w:rPr>
        <w:t>效土层厚度、土壤有效水分、土壤容重、酸碱度</w:t>
      </w:r>
      <w:r>
        <w:rPr>
          <w:spacing w:val="-3"/>
        </w:rPr>
        <w:t>（</w:t>
      </w:r>
      <w:r>
        <w:rPr>
          <w:rFonts w:ascii="Times New Roman" w:eastAsia="Times New Roman"/>
          <w:spacing w:val="-3"/>
        </w:rPr>
        <w:t>pH</w:t>
      </w:r>
      <w:r>
        <w:rPr>
          <w:spacing w:val="-3"/>
        </w:rPr>
        <w:t>）</w:t>
      </w:r>
      <w:r>
        <w:rPr>
          <w:spacing w:val="-5"/>
        </w:rPr>
        <w:t>、有机质含量、有效磷含</w:t>
      </w:r>
      <w:r>
        <w:rPr/>
        <w:t>量、全氮含量、土壤侵蚀模数等；其监测方法以《土地复垦技术标准》（试行</w:t>
      </w:r>
      <w:r>
        <w:rPr>
          <w:spacing w:val="-14"/>
        </w:rPr>
        <w:t>） </w:t>
      </w:r>
      <w:r>
        <w:rPr>
          <w:spacing w:val="-6"/>
        </w:rPr>
        <w:t>为准，监测频率为每年 </w:t>
      </w:r>
      <w:r>
        <w:rPr>
          <w:rFonts w:ascii="Times New Roman" w:eastAsia="Times New Roman"/>
        </w:rPr>
        <w:t>2 </w:t>
      </w:r>
      <w:r>
        <w:rPr/>
        <w:t>次。</w:t>
      </w:r>
    </w:p>
    <w:p>
      <w:pPr>
        <w:pStyle w:val="BodyText"/>
        <w:spacing w:line="305" w:lineRule="exact"/>
        <w:ind w:left="1191"/>
      </w:pPr>
      <w:r>
        <w:rPr>
          <w:rFonts w:ascii="Times New Roman" w:eastAsia="Times New Roman"/>
        </w:rPr>
        <w:t>2</w:t>
      </w:r>
      <w:r>
        <w:rPr/>
        <w:t>、管护措施</w:t>
      </w:r>
    </w:p>
    <w:p>
      <w:pPr>
        <w:pStyle w:val="BodyText"/>
        <w:spacing w:line="362" w:lineRule="auto" w:before="160"/>
        <w:ind w:left="711" w:right="1149" w:firstLine="480"/>
      </w:pPr>
      <w:r>
        <w:rPr/>
        <w:t>复垦土地植被管护工作对于植物的生长至关重要，植物种植之后仍需要一系列诸如补种、加种、浇水、防冻等管护措施。主要表现在以下几个方面：</w:t>
      </w:r>
    </w:p>
    <w:p>
      <w:pPr>
        <w:pStyle w:val="ListParagraph"/>
        <w:numPr>
          <w:ilvl w:val="0"/>
          <w:numId w:val="47"/>
        </w:numPr>
        <w:tabs>
          <w:tab w:pos="1793" w:val="left" w:leader="none"/>
        </w:tabs>
        <w:spacing w:line="240" w:lineRule="auto" w:before="3" w:after="0"/>
        <w:ind w:left="1793" w:right="0" w:hanging="602"/>
        <w:jc w:val="left"/>
        <w:rPr>
          <w:sz w:val="24"/>
        </w:rPr>
      </w:pPr>
      <w:r>
        <w:rPr>
          <w:sz w:val="24"/>
        </w:rPr>
        <w:t>灌溉施肥措施</w:t>
      </w:r>
    </w:p>
    <w:p>
      <w:pPr>
        <w:pStyle w:val="BodyText"/>
        <w:spacing w:line="364" w:lineRule="auto" w:before="160"/>
        <w:ind w:left="711" w:right="1149" w:firstLine="480"/>
        <w:jc w:val="both"/>
      </w:pPr>
      <w:r>
        <w:rPr/>
        <w:t>矿区气候属中温带半湿润大陆性季风气候，夏季雨量充沛，冬季寒冷少雨， 夏季能够满足植物生长的需求，不需设计专门的灌溉管道等装置。植物种植及移栽第一年，为增加出苗率以及植物的成活率需一定的灌溉施肥措施，采用水车拉水灌溉的方式，在种植或栽植后当时以及之后定期灌溉，二年之后可以转为完全依靠自然降水。</w:t>
      </w:r>
    </w:p>
    <w:p>
      <w:pPr>
        <w:pStyle w:val="BodyText"/>
        <w:spacing w:line="362" w:lineRule="auto"/>
        <w:ind w:left="711" w:right="1149" w:firstLine="480"/>
      </w:pPr>
      <w:r>
        <w:rPr/>
        <w:t>不同植物种植时可以适当施以不同量的化肥做底肥，之后土壤中的营养物质基本能够满足植物生长需要，为提高植物的长势，可采取追肥措施。</w:t>
      </w:r>
    </w:p>
    <w:p>
      <w:pPr>
        <w:pStyle w:val="ListParagraph"/>
        <w:numPr>
          <w:ilvl w:val="0"/>
          <w:numId w:val="47"/>
        </w:numPr>
        <w:tabs>
          <w:tab w:pos="1793" w:val="left" w:leader="none"/>
        </w:tabs>
        <w:spacing w:line="240" w:lineRule="auto" w:before="3" w:after="0"/>
        <w:ind w:left="1793" w:right="0" w:hanging="602"/>
        <w:jc w:val="left"/>
        <w:rPr>
          <w:sz w:val="24"/>
        </w:rPr>
      </w:pPr>
      <w:r>
        <w:rPr>
          <w:sz w:val="24"/>
        </w:rPr>
        <w:t>幼林抚育及病虫害防治措施</w:t>
      </w:r>
    </w:p>
    <w:p>
      <w:pPr>
        <w:pStyle w:val="BodyText"/>
        <w:spacing w:line="364" w:lineRule="auto" w:before="158"/>
        <w:ind w:left="711" w:right="1149" w:firstLine="480"/>
      </w:pPr>
      <w:r>
        <w:rPr/>
        <w:t>幼林抚育工作应在春末进行，以免造成水土流失。具体抚育措施为实时的进行劈灌、锄草、松土、培土、施肥等。严禁打枝，保护林下植被和枯枝落叶，以</w:t>
      </w:r>
    </w:p>
    <w:p>
      <w:pPr>
        <w:spacing w:after="0" w:line="364" w:lineRule="auto"/>
        <w:sectPr>
          <w:pgSz w:w="11910" w:h="16840"/>
          <w:pgMar w:header="0" w:footer="993" w:top="1420" w:bottom="1180" w:left="1040" w:right="600"/>
        </w:sectPr>
      </w:pPr>
    </w:p>
    <w:p>
      <w:pPr>
        <w:pStyle w:val="BodyText"/>
        <w:spacing w:before="43"/>
        <w:ind w:left="711"/>
      </w:pPr>
      <w:r>
        <w:rPr/>
        <w:t>达到保持和改良土壤，提高肥力的作用。</w:t>
      </w:r>
    </w:p>
    <w:p>
      <w:pPr>
        <w:pStyle w:val="BodyText"/>
        <w:spacing w:before="160"/>
        <w:ind w:left="1191"/>
      </w:pPr>
      <w:r>
        <w:rPr/>
        <w:t>病虫害防治以预防为主，特别是幼林阶段，需针对不同植物易染病虫害种类</w:t>
      </w:r>
    </w:p>
    <w:p>
      <w:pPr>
        <w:pStyle w:val="BodyText"/>
        <w:spacing w:line="364" w:lineRule="auto" w:before="158"/>
        <w:ind w:left="711" w:right="1149"/>
      </w:pPr>
      <w:r>
        <w:rPr/>
        <w:t>（如褐斑病、煤烟病等病虫危害），掌握病虫害发生规律，及时采取适宜的药物进行预防治疗，疏林补密，轮流封禁，保持郁闭。</w:t>
      </w:r>
    </w:p>
    <w:p>
      <w:pPr>
        <w:pStyle w:val="ListParagraph"/>
        <w:numPr>
          <w:ilvl w:val="0"/>
          <w:numId w:val="47"/>
        </w:numPr>
        <w:tabs>
          <w:tab w:pos="1793" w:val="left" w:leader="none"/>
        </w:tabs>
        <w:spacing w:line="306" w:lineRule="exact" w:before="0" w:after="0"/>
        <w:ind w:left="1793" w:right="0" w:hanging="602"/>
        <w:jc w:val="left"/>
        <w:rPr>
          <w:sz w:val="24"/>
        </w:rPr>
      </w:pPr>
      <w:r>
        <w:rPr>
          <w:sz w:val="24"/>
        </w:rPr>
        <w:t>补种加种等管护措施</w:t>
      </w:r>
    </w:p>
    <w:p>
      <w:pPr>
        <w:pStyle w:val="BodyText"/>
        <w:spacing w:line="362" w:lineRule="auto" w:before="161"/>
        <w:ind w:left="711" w:right="1149" w:firstLine="480"/>
      </w:pPr>
      <w:r>
        <w:rPr/>
        <w:t>种植后的一两个月内需要对栽植区域进行补植，确保成活率，以保证能够植被尽快覆盖地表，减少水土流失的可能。</w:t>
      </w:r>
    </w:p>
    <w:p>
      <w:pPr>
        <w:pStyle w:val="BodyText"/>
        <w:spacing w:line="364" w:lineRule="auto" w:before="5"/>
        <w:ind w:left="711" w:right="1149" w:firstLine="480"/>
        <w:jc w:val="both"/>
      </w:pPr>
      <w:r>
        <w:rPr/>
        <w:t>区域复垦后的植被为人造植被，虽在选择植物种类以及进行搭配的过程中尽量趋于合理，但是与自然植被相比仍有较多不足，因此复垦后进行封育管护，在项目区选择有代表性的地点设立长期可视的封育管理宣传牌，严禁放牧、捕杀动物等损毁林地和损毁森林的行为，聘请护林员等措施，切实保护、维护好复垦区的生态环境，以增加区域生物多样性，使其生态环境趋于合理。</w:t>
      </w:r>
    </w:p>
    <w:p>
      <w:pPr>
        <w:pStyle w:val="Heading3"/>
        <w:numPr>
          <w:ilvl w:val="2"/>
          <w:numId w:val="41"/>
        </w:numPr>
        <w:tabs>
          <w:tab w:pos="1341" w:val="left" w:leader="none"/>
        </w:tabs>
        <w:spacing w:line="358" w:lineRule="exact" w:before="0" w:after="0"/>
        <w:ind w:left="1340" w:right="0" w:hanging="630"/>
        <w:jc w:val="left"/>
      </w:pPr>
      <w:bookmarkStart w:name="5.5.6管理计划" w:id="200"/>
      <w:bookmarkEnd w:id="200"/>
      <w:r>
        <w:rPr>
          <w:b w:val="0"/>
        </w:rPr>
      </w:r>
      <w:bookmarkStart w:name="5.5.6管理计划" w:id="201"/>
      <w:bookmarkEnd w:id="201"/>
      <w:r>
        <w:rPr>
          <w:spacing w:val="-1"/>
          <w:w w:val="95"/>
        </w:rPr>
        <w:t>管理计划</w:t>
      </w:r>
    </w:p>
    <w:p>
      <w:pPr>
        <w:pStyle w:val="ListParagraph"/>
        <w:numPr>
          <w:ilvl w:val="3"/>
          <w:numId w:val="41"/>
        </w:numPr>
        <w:tabs>
          <w:tab w:pos="1432" w:val="left" w:leader="none"/>
        </w:tabs>
        <w:spacing w:line="240" w:lineRule="auto" w:before="264" w:after="0"/>
        <w:ind w:left="1432" w:right="0" w:hanging="721"/>
        <w:jc w:val="left"/>
        <w:rPr>
          <w:rFonts w:ascii="Times New Roman" w:eastAsia="Times New Roman"/>
          <w:sz w:val="24"/>
        </w:rPr>
      </w:pPr>
      <w:r>
        <w:rPr>
          <w:sz w:val="24"/>
        </w:rPr>
        <w:t>管理体系</w:t>
      </w:r>
    </w:p>
    <w:p>
      <w:pPr>
        <w:pStyle w:val="BodyText"/>
        <w:spacing w:line="364" w:lineRule="auto" w:before="161"/>
        <w:ind w:left="711" w:right="1153" w:firstLine="480"/>
        <w:jc w:val="both"/>
      </w:pPr>
      <w:r>
        <w:rPr>
          <w:spacing w:val="-1"/>
        </w:rPr>
        <w:t>环境管理对搞好环境监督、环境规划、有效治理矿区环境具有重要意义。矿</w:t>
      </w:r>
      <w:r>
        <w:rPr>
          <w:spacing w:val="-12"/>
        </w:rPr>
        <w:t>井应设环保科，定员 </w:t>
      </w:r>
      <w:r>
        <w:rPr>
          <w:rFonts w:ascii="Times New Roman" w:eastAsia="Times New Roman"/>
        </w:rPr>
        <w:t>1</w:t>
      </w:r>
      <w:r>
        <w:rPr/>
        <w:t>～</w:t>
      </w:r>
      <w:r>
        <w:rPr>
          <w:rFonts w:ascii="Times New Roman" w:eastAsia="Times New Roman"/>
        </w:rPr>
        <w:t>2 </w:t>
      </w:r>
      <w:r>
        <w:rPr>
          <w:spacing w:val="-10"/>
        </w:rPr>
        <w:t>人，其职责是积极贯彻执行环境保护法规、标准及水土</w:t>
      </w:r>
      <w:r>
        <w:rPr/>
        <w:t>保持法，组织制定环保、水保管理规章制度并监督执行。</w:t>
      </w:r>
    </w:p>
    <w:p>
      <w:pPr>
        <w:pStyle w:val="ListParagraph"/>
        <w:numPr>
          <w:ilvl w:val="3"/>
          <w:numId w:val="41"/>
        </w:numPr>
        <w:tabs>
          <w:tab w:pos="1432" w:val="left" w:leader="none"/>
        </w:tabs>
        <w:spacing w:line="240" w:lineRule="auto" w:before="2" w:after="0"/>
        <w:ind w:left="1432" w:right="0" w:hanging="721"/>
        <w:jc w:val="left"/>
        <w:rPr>
          <w:rFonts w:ascii="Times New Roman" w:eastAsia="Times New Roman"/>
          <w:sz w:val="24"/>
        </w:rPr>
      </w:pPr>
      <w:r>
        <w:rPr>
          <w:sz w:val="24"/>
        </w:rPr>
        <w:t>管理机构的职责</w:t>
      </w:r>
    </w:p>
    <w:p>
      <w:pPr>
        <w:pStyle w:val="ListParagraph"/>
        <w:numPr>
          <w:ilvl w:val="0"/>
          <w:numId w:val="48"/>
        </w:numPr>
        <w:tabs>
          <w:tab w:pos="1793" w:val="left" w:leader="none"/>
        </w:tabs>
        <w:spacing w:line="364" w:lineRule="auto" w:before="160" w:after="0"/>
        <w:ind w:left="711" w:right="1153" w:firstLine="480"/>
        <w:jc w:val="left"/>
        <w:rPr>
          <w:sz w:val="24"/>
        </w:rPr>
      </w:pPr>
      <w:r>
        <w:rPr>
          <w:spacing w:val="-5"/>
          <w:sz w:val="24"/>
        </w:rPr>
        <w:t>贯彻执行国家及省市各项环保方针、政策和法规，制定本项目的生态</w:t>
      </w:r>
      <w:r>
        <w:rPr>
          <w:spacing w:val="-4"/>
          <w:sz w:val="24"/>
        </w:rPr>
        <w:t>环境管理办法。</w:t>
      </w:r>
    </w:p>
    <w:p>
      <w:pPr>
        <w:pStyle w:val="ListParagraph"/>
        <w:numPr>
          <w:ilvl w:val="0"/>
          <w:numId w:val="48"/>
        </w:numPr>
        <w:tabs>
          <w:tab w:pos="1793" w:val="left" w:leader="none"/>
        </w:tabs>
        <w:spacing w:line="364" w:lineRule="auto" w:before="1" w:after="0"/>
        <w:ind w:left="711" w:right="1153" w:firstLine="480"/>
        <w:jc w:val="both"/>
        <w:rPr>
          <w:sz w:val="24"/>
        </w:rPr>
      </w:pPr>
      <w:r>
        <w:rPr>
          <w:spacing w:val="-3"/>
          <w:sz w:val="24"/>
        </w:rPr>
        <w:t>对项目实施涉及的生态环保工作进行监督管理，制定项目的生态环境</w:t>
      </w:r>
      <w:r>
        <w:rPr>
          <w:spacing w:val="-5"/>
          <w:sz w:val="24"/>
        </w:rPr>
        <w:t>管理与工作计划并进行实施，负责项目建设中各项生态环保措施实施的监督和日常管理工作。</w:t>
      </w:r>
    </w:p>
    <w:p>
      <w:pPr>
        <w:pStyle w:val="ListParagraph"/>
        <w:numPr>
          <w:ilvl w:val="0"/>
          <w:numId w:val="48"/>
        </w:numPr>
        <w:tabs>
          <w:tab w:pos="1793" w:val="left" w:leader="none"/>
        </w:tabs>
        <w:spacing w:line="364" w:lineRule="auto" w:before="2" w:after="0"/>
        <w:ind w:left="711" w:right="1153" w:firstLine="480"/>
        <w:jc w:val="left"/>
        <w:rPr>
          <w:sz w:val="24"/>
        </w:rPr>
      </w:pPr>
      <w:r>
        <w:rPr>
          <w:spacing w:val="-4"/>
          <w:sz w:val="24"/>
        </w:rPr>
        <w:t>组织开展本项目的生态环保宣传，提高各级管理人员和施工人员的生</w:t>
      </w:r>
      <w:r>
        <w:rPr>
          <w:spacing w:val="-5"/>
          <w:sz w:val="24"/>
        </w:rPr>
        <w:t>态环保意识和管理水平。</w:t>
      </w:r>
    </w:p>
    <w:p>
      <w:pPr>
        <w:pStyle w:val="ListParagraph"/>
        <w:numPr>
          <w:ilvl w:val="0"/>
          <w:numId w:val="48"/>
        </w:numPr>
        <w:tabs>
          <w:tab w:pos="1793" w:val="left" w:leader="none"/>
        </w:tabs>
        <w:spacing w:line="364" w:lineRule="auto" w:before="1" w:after="0"/>
        <w:ind w:left="711" w:right="1153" w:firstLine="480"/>
        <w:jc w:val="left"/>
        <w:rPr>
          <w:sz w:val="24"/>
        </w:rPr>
      </w:pPr>
      <w:r>
        <w:rPr>
          <w:spacing w:val="-9"/>
          <w:sz w:val="24"/>
        </w:rPr>
        <w:t>组织、领导项目在施工期、营运期的生态环保科研和信息工作，推广</w:t>
      </w:r>
      <w:r>
        <w:rPr>
          <w:spacing w:val="-4"/>
          <w:sz w:val="24"/>
        </w:rPr>
        <w:t>先进的生态环保经验和技术。</w:t>
      </w:r>
    </w:p>
    <w:p>
      <w:pPr>
        <w:pStyle w:val="ListParagraph"/>
        <w:numPr>
          <w:ilvl w:val="0"/>
          <w:numId w:val="48"/>
        </w:numPr>
        <w:tabs>
          <w:tab w:pos="1793" w:val="left" w:leader="none"/>
        </w:tabs>
        <w:spacing w:line="240" w:lineRule="auto" w:before="1" w:after="0"/>
        <w:ind w:left="1793" w:right="0" w:hanging="602"/>
        <w:jc w:val="left"/>
        <w:rPr>
          <w:sz w:val="24"/>
        </w:rPr>
      </w:pPr>
      <w:r>
        <w:rPr>
          <w:sz w:val="24"/>
        </w:rPr>
        <w:t>下达项目在施工期、营运期的生态环境监测任务。</w:t>
      </w:r>
    </w:p>
    <w:p>
      <w:pPr>
        <w:pStyle w:val="ListParagraph"/>
        <w:numPr>
          <w:ilvl w:val="0"/>
          <w:numId w:val="48"/>
        </w:numPr>
        <w:tabs>
          <w:tab w:pos="1793" w:val="left" w:leader="none"/>
        </w:tabs>
        <w:spacing w:line="240" w:lineRule="auto" w:before="161" w:after="0"/>
        <w:ind w:left="1793" w:right="0" w:hanging="602"/>
        <w:jc w:val="left"/>
        <w:rPr>
          <w:sz w:val="24"/>
        </w:rPr>
      </w:pPr>
      <w:r>
        <w:rPr>
          <w:sz w:val="24"/>
        </w:rPr>
        <w:t>负责项目在施工期、营运期的生态破坏事故的调查和处理。</w:t>
      </w:r>
    </w:p>
    <w:p>
      <w:pPr>
        <w:spacing w:after="0" w:line="240" w:lineRule="auto"/>
        <w:jc w:val="left"/>
        <w:rPr>
          <w:sz w:val="24"/>
        </w:rPr>
        <w:sectPr>
          <w:pgSz w:w="11910" w:h="16840"/>
          <w:pgMar w:header="0" w:footer="993" w:top="1380" w:bottom="1180" w:left="1040" w:right="600"/>
        </w:sectPr>
      </w:pPr>
    </w:p>
    <w:p>
      <w:pPr>
        <w:pStyle w:val="ListParagraph"/>
        <w:numPr>
          <w:ilvl w:val="0"/>
          <w:numId w:val="48"/>
        </w:numPr>
        <w:tabs>
          <w:tab w:pos="1793" w:val="left" w:leader="none"/>
        </w:tabs>
        <w:spacing w:line="364" w:lineRule="auto" w:before="62" w:after="0"/>
        <w:ind w:left="711" w:right="1153" w:firstLine="480"/>
        <w:jc w:val="left"/>
        <w:rPr>
          <w:sz w:val="24"/>
        </w:rPr>
      </w:pPr>
      <w:r>
        <w:rPr>
          <w:spacing w:val="-3"/>
          <w:sz w:val="24"/>
        </w:rPr>
        <w:t>做好生态环保工作方面的横向和纵向协调工作，负责生态环境监测和</w:t>
      </w:r>
      <w:r>
        <w:rPr>
          <w:spacing w:val="-5"/>
          <w:sz w:val="24"/>
        </w:rPr>
        <w:t>科研等资料汇总整理工作，及时上报各级环保部门，积极推动项目生态环保工作</w:t>
      </w:r>
      <w:r>
        <w:rPr>
          <w:spacing w:val="-18"/>
          <w:sz w:val="24"/>
        </w:rPr>
        <w:t>。</w:t>
      </w:r>
    </w:p>
    <w:p>
      <w:pPr>
        <w:pStyle w:val="Heading3"/>
        <w:numPr>
          <w:ilvl w:val="2"/>
          <w:numId w:val="41"/>
        </w:numPr>
        <w:tabs>
          <w:tab w:pos="1341" w:val="left" w:leader="none"/>
        </w:tabs>
        <w:spacing w:line="282" w:lineRule="exact" w:before="0" w:after="0"/>
        <w:ind w:left="1340" w:right="0" w:hanging="630"/>
        <w:jc w:val="left"/>
      </w:pPr>
      <w:bookmarkStart w:name="5.5.7监测计划" w:id="202"/>
      <w:bookmarkEnd w:id="202"/>
      <w:r>
        <w:rPr>
          <w:b w:val="0"/>
        </w:rPr>
      </w:r>
      <w:bookmarkStart w:name="5.5.7监测计划" w:id="203"/>
      <w:bookmarkEnd w:id="203"/>
      <w:r>
        <w:rPr/>
        <w:t>监测计划</w:t>
      </w:r>
    </w:p>
    <w:p>
      <w:pPr>
        <w:pStyle w:val="ListParagraph"/>
        <w:numPr>
          <w:ilvl w:val="0"/>
          <w:numId w:val="49"/>
        </w:numPr>
        <w:tabs>
          <w:tab w:pos="1553" w:val="left" w:leader="none"/>
        </w:tabs>
        <w:spacing w:line="240" w:lineRule="auto" w:before="185" w:after="0"/>
        <w:ind w:left="1553" w:right="0" w:hanging="362"/>
        <w:jc w:val="left"/>
        <w:rPr>
          <w:sz w:val="24"/>
        </w:rPr>
      </w:pPr>
      <w:r>
        <w:rPr>
          <w:sz w:val="24"/>
        </w:rPr>
        <w:t>地质环境监测</w:t>
      </w:r>
    </w:p>
    <w:p>
      <w:pPr>
        <w:pStyle w:val="BodyText"/>
        <w:spacing w:line="364" w:lineRule="auto" w:before="161"/>
        <w:ind w:left="711" w:right="1153" w:firstLine="480"/>
        <w:jc w:val="both"/>
      </w:pPr>
      <w:r>
        <w:rPr/>
        <w:t>根据矿山开发利用方案与地质灾害评估，地下开采引起采空区上部产生地面塌陷的虽然轻微，考虑矿山周围居民点及对矿山生产监测的需要，建议在矿山正常生产期间和闭坑后仍需要在矿山采空区上部范围内特别加强地面塌陷监测。</w:t>
      </w:r>
    </w:p>
    <w:p>
      <w:pPr>
        <w:pStyle w:val="ListParagraph"/>
        <w:numPr>
          <w:ilvl w:val="0"/>
          <w:numId w:val="50"/>
        </w:numPr>
        <w:tabs>
          <w:tab w:pos="1793" w:val="left" w:leader="none"/>
        </w:tabs>
        <w:spacing w:line="304" w:lineRule="exact" w:before="0" w:after="0"/>
        <w:ind w:left="1793" w:right="0" w:hanging="602"/>
        <w:jc w:val="left"/>
        <w:rPr>
          <w:sz w:val="24"/>
        </w:rPr>
      </w:pPr>
      <w:r>
        <w:rPr>
          <w:sz w:val="24"/>
        </w:rPr>
        <w:t>监测内容</w:t>
      </w:r>
    </w:p>
    <w:p>
      <w:pPr>
        <w:pStyle w:val="BodyText"/>
        <w:spacing w:before="160"/>
        <w:ind w:left="1191"/>
      </w:pPr>
      <w:r>
        <w:rPr/>
        <w:t>监测采空区地面情况，以了解矿区内地表的下沉变化情况。</w:t>
      </w:r>
    </w:p>
    <w:p>
      <w:pPr>
        <w:pStyle w:val="ListParagraph"/>
        <w:numPr>
          <w:ilvl w:val="0"/>
          <w:numId w:val="50"/>
        </w:numPr>
        <w:tabs>
          <w:tab w:pos="1793" w:val="left" w:leader="none"/>
        </w:tabs>
        <w:spacing w:line="240" w:lineRule="auto" w:before="158" w:after="0"/>
        <w:ind w:left="1793" w:right="0" w:hanging="602"/>
        <w:jc w:val="left"/>
        <w:rPr>
          <w:sz w:val="24"/>
        </w:rPr>
      </w:pPr>
      <w:r>
        <w:rPr>
          <w:sz w:val="24"/>
        </w:rPr>
        <w:t>监测点的布设</w:t>
      </w:r>
    </w:p>
    <w:p>
      <w:pPr>
        <w:pStyle w:val="BodyText"/>
        <w:spacing w:before="161"/>
        <w:ind w:left="1191"/>
      </w:pPr>
      <w:r>
        <w:rPr/>
        <w:t>在采空区内沿周边及轴线，共布置监测点</w:t>
      </w:r>
      <w:r>
        <w:rPr>
          <w:rFonts w:ascii="Times New Roman" w:eastAsia="Times New Roman"/>
        </w:rPr>
        <w:t>6</w:t>
      </w:r>
      <w:r>
        <w:rPr/>
        <w:t>个，监测地面变化情况。</w:t>
      </w:r>
    </w:p>
    <w:p>
      <w:pPr>
        <w:pStyle w:val="ListParagraph"/>
        <w:numPr>
          <w:ilvl w:val="0"/>
          <w:numId w:val="50"/>
        </w:numPr>
        <w:tabs>
          <w:tab w:pos="1793" w:val="left" w:leader="none"/>
        </w:tabs>
        <w:spacing w:line="240" w:lineRule="auto" w:before="158" w:after="0"/>
        <w:ind w:left="1793" w:right="0" w:hanging="602"/>
        <w:jc w:val="left"/>
        <w:rPr>
          <w:sz w:val="24"/>
        </w:rPr>
      </w:pPr>
      <w:r>
        <w:rPr>
          <w:sz w:val="24"/>
        </w:rPr>
        <w:t>监测方法</w:t>
      </w:r>
    </w:p>
    <w:p>
      <w:pPr>
        <w:pStyle w:val="BodyText"/>
        <w:spacing w:line="362" w:lineRule="auto" w:before="160"/>
        <w:ind w:left="711" w:right="1191" w:firstLine="480"/>
      </w:pPr>
      <w:r>
        <w:rPr/>
        <w:t>由矿山指定人员定期巡视，当发现明显沉降时企业聘请专业人员，采用</w:t>
      </w:r>
      <w:r>
        <w:rPr>
          <w:rFonts w:ascii="Times New Roman" w:eastAsia="Times New Roman"/>
        </w:rPr>
        <w:t>GPS </w:t>
      </w:r>
      <w:r>
        <w:rPr/>
        <w:t>定位法，按照《全球定位系统（</w:t>
      </w:r>
      <w:r>
        <w:rPr>
          <w:rFonts w:ascii="Times New Roman" w:eastAsia="Times New Roman"/>
        </w:rPr>
        <w:t>GPS</w:t>
      </w:r>
      <w:r>
        <w:rPr/>
        <w:t>）测量规范》（</w:t>
      </w:r>
      <w:r>
        <w:rPr>
          <w:rFonts w:ascii="Times New Roman" w:eastAsia="Times New Roman"/>
        </w:rPr>
        <w:t>GB/T 18314</w:t>
      </w:r>
      <w:r>
        <w:rPr/>
        <w:t>）进行测量。</w:t>
      </w:r>
    </w:p>
    <w:p>
      <w:pPr>
        <w:pStyle w:val="BodyText"/>
        <w:spacing w:line="364" w:lineRule="auto" w:before="5"/>
        <w:ind w:left="711" w:right="1073" w:firstLine="480"/>
      </w:pPr>
      <w:r>
        <w:rPr/>
        <w:t>共布设</w:t>
      </w:r>
      <w:r>
        <w:rPr>
          <w:rFonts w:ascii="Times New Roman" w:eastAsia="Times New Roman"/>
        </w:rPr>
        <w:t>10</w:t>
      </w:r>
      <w:r>
        <w:rPr/>
        <w:t>个</w:t>
      </w:r>
      <w:r>
        <w:rPr>
          <w:rFonts w:ascii="Times New Roman" w:eastAsia="Times New Roman"/>
        </w:rPr>
        <w:t>GPS</w:t>
      </w:r>
      <w:r>
        <w:rPr/>
        <w:t>点，采用</w:t>
      </w:r>
      <w:r>
        <w:rPr>
          <w:rFonts w:ascii="Times New Roman" w:eastAsia="Times New Roman"/>
        </w:rPr>
        <w:t>GPS</w:t>
      </w:r>
      <w:r>
        <w:rPr/>
        <w:t>快速静态定位测量，采空区监测网采用</w:t>
      </w:r>
      <w:r>
        <w:rPr>
          <w:rFonts w:ascii="Times New Roman" w:eastAsia="Times New Roman"/>
        </w:rPr>
        <w:t>C</w:t>
      </w:r>
      <w:r>
        <w:rPr/>
        <w:t>级精度布设。</w:t>
      </w:r>
      <w:r>
        <w:rPr>
          <w:rFonts w:ascii="Times New Roman" w:eastAsia="Times New Roman"/>
        </w:rPr>
        <w:t>C</w:t>
      </w:r>
      <w:r>
        <w:rPr/>
        <w:t>级</w:t>
      </w:r>
      <w:r>
        <w:rPr>
          <w:rFonts w:ascii="Times New Roman" w:eastAsia="Times New Roman"/>
        </w:rPr>
        <w:t>GPS</w:t>
      </w:r>
      <w:r>
        <w:rPr/>
        <w:t>点按</w:t>
      </w:r>
      <w:r>
        <w:rPr>
          <w:rFonts w:ascii="Times New Roman" w:eastAsia="Times New Roman"/>
        </w:rPr>
        <w:t>GB12898</w:t>
      </w:r>
      <w:r>
        <w:rPr/>
        <w:t>四级水准进行高程联测。监测地面的变形趋势。</w:t>
      </w:r>
    </w:p>
    <w:p>
      <w:pPr>
        <w:pStyle w:val="BodyText"/>
        <w:spacing w:line="362" w:lineRule="auto"/>
        <w:ind w:left="711" w:right="1153" w:firstLine="480"/>
      </w:pPr>
      <w:r>
        <w:rPr/>
        <w:t>监测频率为每月</w:t>
      </w:r>
      <w:r>
        <w:rPr>
          <w:rFonts w:ascii="Times New Roman" w:eastAsia="Times New Roman"/>
        </w:rPr>
        <w:t>1</w:t>
      </w:r>
      <w:r>
        <w:rPr/>
        <w:t>次，雨季</w:t>
      </w:r>
      <w:r>
        <w:rPr>
          <w:rFonts w:ascii="Times New Roman" w:eastAsia="Times New Roman"/>
        </w:rPr>
        <w:t>7</w:t>
      </w:r>
      <w:r>
        <w:rPr/>
        <w:t>、</w:t>
      </w:r>
      <w:r>
        <w:rPr>
          <w:rFonts w:ascii="Times New Roman" w:eastAsia="Times New Roman"/>
        </w:rPr>
        <w:t>8</w:t>
      </w:r>
      <w:r>
        <w:rPr/>
        <w:t>、</w:t>
      </w:r>
      <w:r>
        <w:rPr>
          <w:rFonts w:ascii="Times New Roman" w:eastAsia="Times New Roman"/>
        </w:rPr>
        <w:t>9</w:t>
      </w:r>
      <w:r>
        <w:rPr/>
        <w:t>月份加密，每月加密一次，每年</w:t>
      </w:r>
      <w:r>
        <w:rPr>
          <w:rFonts w:ascii="Times New Roman" w:eastAsia="Times New Roman"/>
        </w:rPr>
        <w:t>15</w:t>
      </w:r>
      <w:r>
        <w:rPr/>
        <w:t>次，发现变形量明显增加时可增加监测频率。</w:t>
      </w:r>
    </w:p>
    <w:p>
      <w:pPr>
        <w:pStyle w:val="ListParagraph"/>
        <w:numPr>
          <w:ilvl w:val="0"/>
          <w:numId w:val="50"/>
        </w:numPr>
        <w:tabs>
          <w:tab w:pos="1793" w:val="left" w:leader="none"/>
        </w:tabs>
        <w:spacing w:line="240" w:lineRule="auto" w:before="4" w:after="0"/>
        <w:ind w:left="1793" w:right="0" w:hanging="602"/>
        <w:jc w:val="left"/>
        <w:rPr>
          <w:sz w:val="24"/>
        </w:rPr>
      </w:pPr>
      <w:r>
        <w:rPr>
          <w:sz w:val="24"/>
        </w:rPr>
        <w:t>监测周期</w:t>
      </w:r>
    </w:p>
    <w:p>
      <w:pPr>
        <w:pStyle w:val="BodyText"/>
        <w:spacing w:before="161"/>
        <w:ind w:left="1191"/>
      </w:pPr>
      <w:r>
        <w:rPr/>
        <w:t>每月监测一次，雨季</w:t>
      </w:r>
      <w:r>
        <w:rPr>
          <w:rFonts w:ascii="Times New Roman" w:eastAsia="Times New Roman"/>
        </w:rPr>
        <w:t>6</w:t>
      </w:r>
      <w:r>
        <w:rPr/>
        <w:t>、</w:t>
      </w:r>
      <w:r>
        <w:rPr>
          <w:rFonts w:ascii="Times New Roman" w:eastAsia="Times New Roman"/>
        </w:rPr>
        <w:t>7</w:t>
      </w:r>
      <w:r>
        <w:rPr/>
        <w:t>、</w:t>
      </w:r>
      <w:r>
        <w:rPr>
          <w:rFonts w:ascii="Times New Roman" w:eastAsia="Times New Roman"/>
        </w:rPr>
        <w:t>8</w:t>
      </w:r>
      <w:r>
        <w:rPr/>
        <w:t>月份加密，每月加密一次。</w:t>
      </w:r>
    </w:p>
    <w:p>
      <w:pPr>
        <w:pStyle w:val="ListParagraph"/>
        <w:numPr>
          <w:ilvl w:val="0"/>
          <w:numId w:val="50"/>
        </w:numPr>
        <w:tabs>
          <w:tab w:pos="1793" w:val="left" w:leader="none"/>
        </w:tabs>
        <w:spacing w:line="240" w:lineRule="auto" w:before="158" w:after="0"/>
        <w:ind w:left="1793" w:right="0" w:hanging="602"/>
        <w:jc w:val="left"/>
        <w:rPr>
          <w:sz w:val="24"/>
        </w:rPr>
      </w:pPr>
      <w:r>
        <w:rPr>
          <w:sz w:val="24"/>
        </w:rPr>
        <w:t>监测工程量</w:t>
      </w:r>
    </w:p>
    <w:p>
      <w:pPr>
        <w:pStyle w:val="BodyText"/>
        <w:spacing w:before="160"/>
        <w:ind w:left="1191"/>
      </w:pPr>
      <w:r>
        <w:rPr/>
        <w:t>每年</w:t>
      </w:r>
      <w:r>
        <w:rPr>
          <w:rFonts w:ascii="Times New Roman" w:eastAsia="Times New Roman"/>
        </w:rPr>
        <w:t>15</w:t>
      </w:r>
      <w:r>
        <w:rPr/>
        <w:t>次，共监测</w:t>
      </w:r>
      <w:r>
        <w:rPr>
          <w:rFonts w:ascii="Times New Roman" w:eastAsia="Times New Roman"/>
        </w:rPr>
        <w:t>13.9</w:t>
      </w:r>
      <w:r>
        <w:rPr/>
        <w:t>年，</w:t>
      </w:r>
      <w:r>
        <w:rPr>
          <w:rFonts w:ascii="Times New Roman" w:eastAsia="Times New Roman"/>
        </w:rPr>
        <w:t>6</w:t>
      </w:r>
      <w:r>
        <w:rPr/>
        <w:t>个监测点，共</w:t>
      </w:r>
      <w:r>
        <w:rPr>
          <w:rFonts w:ascii="Times New Roman" w:eastAsia="Times New Roman"/>
        </w:rPr>
        <w:t>1251</w:t>
      </w:r>
      <w:r>
        <w:rPr/>
        <w:t>次。</w:t>
      </w:r>
    </w:p>
    <w:p>
      <w:pPr>
        <w:pStyle w:val="BodyText"/>
        <w:spacing w:before="158"/>
        <w:ind w:left="1191"/>
      </w:pPr>
      <w:r>
        <w:rPr>
          <w:rFonts w:ascii="Times New Roman" w:eastAsia="Times New Roman"/>
        </w:rPr>
        <w:t>2</w:t>
      </w:r>
      <w:r>
        <w:rPr/>
        <w:t>、地下水监测</w:t>
      </w:r>
    </w:p>
    <w:p>
      <w:pPr>
        <w:pStyle w:val="ListParagraph"/>
        <w:numPr>
          <w:ilvl w:val="0"/>
          <w:numId w:val="51"/>
        </w:numPr>
        <w:tabs>
          <w:tab w:pos="1793" w:val="left" w:leader="none"/>
        </w:tabs>
        <w:spacing w:line="240" w:lineRule="auto" w:before="161" w:after="0"/>
        <w:ind w:left="1793" w:right="0" w:hanging="602"/>
        <w:jc w:val="left"/>
        <w:rPr>
          <w:sz w:val="24"/>
        </w:rPr>
      </w:pPr>
      <w:r>
        <w:rPr>
          <w:sz w:val="24"/>
        </w:rPr>
        <w:t>监测内容</w:t>
      </w:r>
    </w:p>
    <w:p>
      <w:pPr>
        <w:pStyle w:val="BodyText"/>
        <w:spacing w:before="158"/>
        <w:ind w:left="1191"/>
      </w:pPr>
      <w:r>
        <w:rPr/>
        <w:t>对地下水位、水质进行监测。</w:t>
      </w:r>
    </w:p>
    <w:p>
      <w:pPr>
        <w:pStyle w:val="ListParagraph"/>
        <w:numPr>
          <w:ilvl w:val="0"/>
          <w:numId w:val="51"/>
        </w:numPr>
        <w:tabs>
          <w:tab w:pos="1793" w:val="left" w:leader="none"/>
        </w:tabs>
        <w:spacing w:line="240" w:lineRule="auto" w:before="160" w:after="0"/>
        <w:ind w:left="1793" w:right="0" w:hanging="602"/>
        <w:jc w:val="left"/>
        <w:rPr>
          <w:sz w:val="24"/>
        </w:rPr>
      </w:pPr>
      <w:r>
        <w:rPr>
          <w:sz w:val="24"/>
        </w:rPr>
        <w:t>监测点的布置</w:t>
      </w:r>
    </w:p>
    <w:p>
      <w:pPr>
        <w:pStyle w:val="BodyText"/>
        <w:spacing w:before="158"/>
        <w:ind w:left="1191"/>
      </w:pPr>
      <w:r>
        <w:rPr/>
        <w:t>在矿区工业广场内设置二个地下水位监测点。</w:t>
      </w:r>
    </w:p>
    <w:p>
      <w:pPr>
        <w:pStyle w:val="ListParagraph"/>
        <w:numPr>
          <w:ilvl w:val="0"/>
          <w:numId w:val="51"/>
        </w:numPr>
        <w:tabs>
          <w:tab w:pos="1793" w:val="left" w:leader="none"/>
        </w:tabs>
        <w:spacing w:line="240" w:lineRule="auto" w:before="161" w:after="0"/>
        <w:ind w:left="1793" w:right="0" w:hanging="602"/>
        <w:jc w:val="left"/>
        <w:rPr>
          <w:sz w:val="24"/>
        </w:rPr>
      </w:pPr>
      <w:r>
        <w:rPr>
          <w:sz w:val="24"/>
        </w:rPr>
        <w:t>监测周期</w:t>
      </w:r>
    </w:p>
    <w:p>
      <w:pPr>
        <w:pStyle w:val="BodyText"/>
        <w:spacing w:line="364" w:lineRule="auto" w:before="158"/>
        <w:ind w:left="711" w:right="1149" w:firstLine="480"/>
      </w:pPr>
      <w:r>
        <w:rPr>
          <w:spacing w:val="-4"/>
        </w:rPr>
        <w:t>水位监测利用矿区内水井，每月监测一次，雨季</w:t>
      </w:r>
      <w:r>
        <w:rPr>
          <w:rFonts w:ascii="Times New Roman" w:eastAsia="Times New Roman"/>
        </w:rPr>
        <w:t>6</w:t>
      </w:r>
      <w:r>
        <w:rPr>
          <w:spacing w:val="-24"/>
        </w:rPr>
        <w:t>、</w:t>
      </w:r>
      <w:r>
        <w:rPr>
          <w:rFonts w:ascii="Times New Roman" w:eastAsia="Times New Roman"/>
        </w:rPr>
        <w:t>7</w:t>
      </w:r>
      <w:r>
        <w:rPr>
          <w:spacing w:val="-24"/>
        </w:rPr>
        <w:t>、</w:t>
      </w:r>
      <w:r>
        <w:rPr>
          <w:rFonts w:ascii="Times New Roman" w:eastAsia="Times New Roman"/>
        </w:rPr>
        <w:t>8</w:t>
      </w:r>
      <w:r>
        <w:rPr>
          <w:spacing w:val="-7"/>
        </w:rPr>
        <w:t>月份加密，每月加密</w:t>
      </w:r>
      <w:r>
        <w:rPr/>
        <w:t>一次。水质监测每年</w:t>
      </w:r>
      <w:r>
        <w:rPr>
          <w:rFonts w:ascii="Times New Roman" w:eastAsia="Times New Roman"/>
        </w:rPr>
        <w:t>2</w:t>
      </w:r>
      <w:r>
        <w:rPr/>
        <w:t>次。</w:t>
      </w:r>
    </w:p>
    <w:p>
      <w:pPr>
        <w:spacing w:after="0" w:line="364" w:lineRule="auto"/>
        <w:sectPr>
          <w:pgSz w:w="11910" w:h="16840"/>
          <w:pgMar w:header="0" w:footer="993" w:top="1440" w:bottom="1180" w:left="1040" w:right="600"/>
        </w:sectPr>
      </w:pPr>
    </w:p>
    <w:p>
      <w:pPr>
        <w:pStyle w:val="ListParagraph"/>
        <w:numPr>
          <w:ilvl w:val="0"/>
          <w:numId w:val="51"/>
        </w:numPr>
        <w:tabs>
          <w:tab w:pos="1793" w:val="left" w:leader="none"/>
        </w:tabs>
        <w:spacing w:line="240" w:lineRule="auto" w:before="63" w:after="0"/>
        <w:ind w:left="1793" w:right="0" w:hanging="602"/>
        <w:jc w:val="left"/>
        <w:rPr>
          <w:sz w:val="24"/>
        </w:rPr>
      </w:pPr>
      <w:r>
        <w:rPr>
          <w:sz w:val="24"/>
        </w:rPr>
        <w:t>监测工程量</w:t>
      </w:r>
    </w:p>
    <w:p>
      <w:pPr>
        <w:pStyle w:val="BodyText"/>
        <w:spacing w:line="362" w:lineRule="auto" w:before="160"/>
        <w:ind w:left="1191" w:right="4213"/>
      </w:pPr>
      <w:r>
        <w:rPr/>
        <w:t>水位监测每年</w:t>
      </w:r>
      <w:r>
        <w:rPr>
          <w:rFonts w:ascii="Times New Roman" w:eastAsia="Times New Roman"/>
        </w:rPr>
        <w:t>15</w:t>
      </w:r>
      <w:r>
        <w:rPr/>
        <w:t>次，共监测</w:t>
      </w:r>
      <w:r>
        <w:rPr>
          <w:rFonts w:ascii="Times New Roman" w:eastAsia="Times New Roman"/>
        </w:rPr>
        <w:t>13.9</w:t>
      </w:r>
      <w:r>
        <w:rPr/>
        <w:t>年，共</w:t>
      </w:r>
      <w:r>
        <w:rPr>
          <w:rFonts w:ascii="Times New Roman" w:eastAsia="Times New Roman"/>
        </w:rPr>
        <w:t>417</w:t>
      </w:r>
      <w:r>
        <w:rPr/>
        <w:t>次。水质监测每年</w:t>
      </w:r>
      <w:r>
        <w:rPr>
          <w:rFonts w:ascii="Times New Roman" w:eastAsia="Times New Roman"/>
        </w:rPr>
        <w:t>2</w:t>
      </w:r>
      <w:r>
        <w:rPr/>
        <w:t>次，监测</w:t>
      </w:r>
      <w:r>
        <w:rPr>
          <w:rFonts w:ascii="Times New Roman" w:eastAsia="Times New Roman"/>
        </w:rPr>
        <w:t>13.9</w:t>
      </w:r>
      <w:r>
        <w:rPr/>
        <w:t>年，监测</w:t>
      </w:r>
      <w:r>
        <w:rPr>
          <w:rFonts w:ascii="Times New Roman" w:eastAsia="Times New Roman"/>
        </w:rPr>
        <w:t>56</w:t>
      </w:r>
      <w:r>
        <w:rPr/>
        <w:t>次。</w:t>
      </w:r>
    </w:p>
    <w:p>
      <w:pPr>
        <w:spacing w:before="4"/>
        <w:ind w:left="0" w:right="10" w:firstLine="0"/>
        <w:jc w:val="center"/>
        <w:rPr>
          <w:rFonts w:ascii="黑体" w:eastAsia="黑体" w:hint="eastAsia"/>
          <w:b/>
          <w:sz w:val="21"/>
        </w:rPr>
      </w:pPr>
      <w:r>
        <w:rPr>
          <w:rFonts w:ascii="黑体" w:eastAsia="黑体" w:hint="eastAsia"/>
          <w:b/>
          <w:sz w:val="21"/>
        </w:rPr>
        <w:t>表 </w:t>
      </w:r>
      <w:r>
        <w:rPr>
          <w:rFonts w:ascii="Times New Roman" w:eastAsia="Times New Roman"/>
          <w:b/>
          <w:sz w:val="21"/>
        </w:rPr>
        <w:t>5-5 </w:t>
      </w:r>
      <w:r>
        <w:rPr>
          <w:rFonts w:ascii="黑体" w:eastAsia="黑体" w:hint="eastAsia"/>
          <w:b/>
          <w:sz w:val="21"/>
        </w:rPr>
        <w:t>矿山地质环境监测工程量表</w:t>
      </w:r>
    </w:p>
    <w:p>
      <w:pPr>
        <w:pStyle w:val="BodyText"/>
        <w:spacing w:before="10"/>
        <w:rPr>
          <w:rFonts w:ascii="黑体"/>
          <w:b/>
          <w:sz w:val="10"/>
        </w:rPr>
      </w:pPr>
    </w:p>
    <w:tbl>
      <w:tblPr>
        <w:tblW w:w="0" w:type="auto"/>
        <w:jc w:val="lef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0"/>
        <w:gridCol w:w="2322"/>
        <w:gridCol w:w="2185"/>
        <w:gridCol w:w="1462"/>
      </w:tblGrid>
      <w:tr>
        <w:trPr>
          <w:trHeight w:val="272" w:hRule="atLeast"/>
        </w:trPr>
        <w:tc>
          <w:tcPr>
            <w:tcW w:w="2560" w:type="dxa"/>
          </w:tcPr>
          <w:p>
            <w:pPr>
              <w:pStyle w:val="TableParagraph"/>
              <w:spacing w:line="252" w:lineRule="exact"/>
              <w:ind w:left="628" w:right="620"/>
              <w:rPr>
                <w:rFonts w:ascii="仿宋" w:eastAsia="仿宋" w:hint="eastAsia"/>
                <w:sz w:val="21"/>
              </w:rPr>
            </w:pPr>
            <w:r>
              <w:rPr>
                <w:rFonts w:ascii="仿宋" w:eastAsia="仿宋" w:hint="eastAsia"/>
                <w:sz w:val="21"/>
              </w:rPr>
              <w:t>监测内容</w:t>
            </w:r>
          </w:p>
        </w:tc>
        <w:tc>
          <w:tcPr>
            <w:tcW w:w="2322" w:type="dxa"/>
          </w:tcPr>
          <w:p>
            <w:pPr>
              <w:pStyle w:val="TableParagraph"/>
              <w:spacing w:line="252" w:lineRule="exact"/>
              <w:ind w:left="693" w:right="685"/>
              <w:rPr>
                <w:rFonts w:ascii="仿宋" w:eastAsia="仿宋" w:hint="eastAsia"/>
                <w:sz w:val="21"/>
              </w:rPr>
            </w:pPr>
            <w:r>
              <w:rPr>
                <w:rFonts w:ascii="仿宋" w:eastAsia="仿宋" w:hint="eastAsia"/>
                <w:sz w:val="21"/>
              </w:rPr>
              <w:t>监测频率</w:t>
            </w:r>
          </w:p>
        </w:tc>
        <w:tc>
          <w:tcPr>
            <w:tcW w:w="2185" w:type="dxa"/>
          </w:tcPr>
          <w:p>
            <w:pPr>
              <w:pStyle w:val="TableParagraph"/>
              <w:spacing w:line="252" w:lineRule="exact"/>
              <w:ind w:left="229" w:right="226"/>
              <w:rPr>
                <w:rFonts w:ascii="仿宋" w:eastAsia="仿宋" w:hint="eastAsia"/>
                <w:sz w:val="21"/>
              </w:rPr>
            </w:pPr>
            <w:r>
              <w:rPr>
                <w:rFonts w:ascii="仿宋" w:eastAsia="仿宋" w:hint="eastAsia"/>
                <w:sz w:val="21"/>
              </w:rPr>
              <w:t>监测点数量（个）</w:t>
            </w:r>
          </w:p>
        </w:tc>
        <w:tc>
          <w:tcPr>
            <w:tcW w:w="1462" w:type="dxa"/>
          </w:tcPr>
          <w:p>
            <w:pPr>
              <w:pStyle w:val="TableParagraph"/>
              <w:spacing w:line="252" w:lineRule="exact"/>
              <w:ind w:left="394" w:right="387"/>
              <w:rPr>
                <w:rFonts w:ascii="仿宋" w:eastAsia="仿宋" w:hint="eastAsia"/>
                <w:sz w:val="21"/>
              </w:rPr>
            </w:pPr>
            <w:r>
              <w:rPr>
                <w:rFonts w:ascii="仿宋" w:eastAsia="仿宋" w:hint="eastAsia"/>
                <w:sz w:val="21"/>
              </w:rPr>
              <w:t>工程量</w:t>
            </w:r>
          </w:p>
        </w:tc>
      </w:tr>
      <w:tr>
        <w:trPr>
          <w:trHeight w:val="817" w:hRule="atLeast"/>
        </w:trPr>
        <w:tc>
          <w:tcPr>
            <w:tcW w:w="2560" w:type="dxa"/>
          </w:tcPr>
          <w:p>
            <w:pPr>
              <w:pStyle w:val="TableParagraph"/>
              <w:spacing w:before="3"/>
              <w:jc w:val="left"/>
              <w:rPr>
                <w:rFonts w:ascii="黑体"/>
                <w:b/>
                <w:sz w:val="21"/>
              </w:rPr>
            </w:pPr>
          </w:p>
          <w:p>
            <w:pPr>
              <w:pStyle w:val="TableParagraph"/>
              <w:ind w:left="628" w:right="622"/>
              <w:rPr>
                <w:rFonts w:ascii="仿宋" w:eastAsia="仿宋" w:hint="eastAsia"/>
                <w:sz w:val="21"/>
              </w:rPr>
            </w:pPr>
            <w:r>
              <w:rPr>
                <w:rFonts w:ascii="仿宋" w:eastAsia="仿宋" w:hint="eastAsia"/>
                <w:sz w:val="21"/>
              </w:rPr>
              <w:t>地面塌陷监测</w:t>
            </w:r>
          </w:p>
        </w:tc>
        <w:tc>
          <w:tcPr>
            <w:tcW w:w="2322" w:type="dxa"/>
          </w:tcPr>
          <w:p>
            <w:pPr>
              <w:pStyle w:val="TableParagraph"/>
              <w:spacing w:line="242" w:lineRule="auto" w:before="1"/>
              <w:ind w:left="107" w:right="-15"/>
              <w:jc w:val="left"/>
              <w:rPr>
                <w:rFonts w:ascii="仿宋" w:eastAsia="仿宋" w:hint="eastAsia"/>
                <w:sz w:val="21"/>
              </w:rPr>
            </w:pPr>
            <w:r>
              <w:rPr>
                <w:rFonts w:ascii="仿宋" w:eastAsia="仿宋" w:hint="eastAsia"/>
                <w:spacing w:val="-12"/>
                <w:sz w:val="21"/>
              </w:rPr>
              <w:t>每月监测一次，雨季 </w:t>
            </w:r>
            <w:r>
              <w:rPr>
                <w:rFonts w:ascii="Times New Roman" w:eastAsia="Times New Roman"/>
                <w:sz w:val="21"/>
              </w:rPr>
              <w:t>6</w:t>
            </w:r>
            <w:r>
              <w:rPr>
                <w:rFonts w:ascii="仿宋" w:eastAsia="仿宋" w:hint="eastAsia"/>
                <w:sz w:val="21"/>
              </w:rPr>
              <w:t>、</w:t>
            </w:r>
            <w:r>
              <w:rPr>
                <w:rFonts w:ascii="Times New Roman" w:eastAsia="Times New Roman"/>
                <w:sz w:val="21"/>
              </w:rPr>
              <w:t>7</w:t>
            </w:r>
            <w:r>
              <w:rPr>
                <w:rFonts w:ascii="仿宋" w:eastAsia="仿宋" w:hint="eastAsia"/>
                <w:spacing w:val="-22"/>
                <w:sz w:val="21"/>
              </w:rPr>
              <w:t>、</w:t>
            </w:r>
            <w:r>
              <w:rPr>
                <w:rFonts w:ascii="Times New Roman" w:eastAsia="Times New Roman"/>
                <w:sz w:val="21"/>
              </w:rPr>
              <w:t>8</w:t>
            </w:r>
            <w:r>
              <w:rPr>
                <w:rFonts w:ascii="Times New Roman" w:eastAsia="Times New Roman"/>
                <w:spacing w:val="-3"/>
                <w:sz w:val="21"/>
              </w:rPr>
              <w:t> </w:t>
            </w:r>
            <w:r>
              <w:rPr>
                <w:rFonts w:ascii="仿宋" w:eastAsia="仿宋" w:hint="eastAsia"/>
                <w:spacing w:val="-5"/>
                <w:sz w:val="21"/>
              </w:rPr>
              <w:t>月份加密，每月加</w:t>
            </w:r>
          </w:p>
          <w:p>
            <w:pPr>
              <w:pStyle w:val="TableParagraph"/>
              <w:spacing w:line="252" w:lineRule="exact" w:before="1"/>
              <w:ind w:left="741"/>
              <w:jc w:val="left"/>
              <w:rPr>
                <w:rFonts w:ascii="仿宋" w:eastAsia="仿宋" w:hint="eastAsia"/>
                <w:sz w:val="21"/>
              </w:rPr>
            </w:pPr>
            <w:r>
              <w:rPr>
                <w:rFonts w:ascii="仿宋" w:eastAsia="仿宋" w:hint="eastAsia"/>
                <w:sz w:val="21"/>
              </w:rPr>
              <w:t>密一次。</w:t>
            </w:r>
          </w:p>
        </w:tc>
        <w:tc>
          <w:tcPr>
            <w:tcW w:w="2185" w:type="dxa"/>
          </w:tcPr>
          <w:p>
            <w:pPr>
              <w:pStyle w:val="TableParagraph"/>
              <w:spacing w:before="4"/>
              <w:jc w:val="left"/>
              <w:rPr>
                <w:rFonts w:ascii="黑体"/>
                <w:b/>
                <w:sz w:val="22"/>
              </w:rPr>
            </w:pPr>
          </w:p>
          <w:p>
            <w:pPr>
              <w:pStyle w:val="TableParagraph"/>
              <w:ind w:left="9"/>
              <w:rPr>
                <w:rFonts w:ascii="Times New Roman"/>
                <w:sz w:val="21"/>
              </w:rPr>
            </w:pPr>
            <w:r>
              <w:rPr>
                <w:rFonts w:ascii="Times New Roman"/>
                <w:w w:val="99"/>
                <w:sz w:val="21"/>
              </w:rPr>
              <w:t>6</w:t>
            </w:r>
          </w:p>
        </w:tc>
        <w:tc>
          <w:tcPr>
            <w:tcW w:w="1462" w:type="dxa"/>
          </w:tcPr>
          <w:p>
            <w:pPr>
              <w:pStyle w:val="TableParagraph"/>
              <w:spacing w:before="4"/>
              <w:jc w:val="left"/>
              <w:rPr>
                <w:rFonts w:ascii="黑体"/>
                <w:b/>
                <w:sz w:val="22"/>
              </w:rPr>
            </w:pPr>
          </w:p>
          <w:p>
            <w:pPr>
              <w:pStyle w:val="TableParagraph"/>
              <w:ind w:left="394" w:right="384"/>
              <w:rPr>
                <w:rFonts w:ascii="Times New Roman"/>
                <w:sz w:val="21"/>
              </w:rPr>
            </w:pPr>
            <w:r>
              <w:rPr>
                <w:rFonts w:ascii="Times New Roman"/>
                <w:sz w:val="21"/>
              </w:rPr>
              <w:t>1251</w:t>
            </w:r>
          </w:p>
        </w:tc>
      </w:tr>
      <w:tr>
        <w:trPr>
          <w:trHeight w:val="817" w:hRule="atLeast"/>
        </w:trPr>
        <w:tc>
          <w:tcPr>
            <w:tcW w:w="2560" w:type="dxa"/>
          </w:tcPr>
          <w:p>
            <w:pPr>
              <w:pStyle w:val="TableParagraph"/>
              <w:spacing w:before="3"/>
              <w:jc w:val="left"/>
              <w:rPr>
                <w:rFonts w:ascii="黑体"/>
                <w:b/>
                <w:sz w:val="21"/>
              </w:rPr>
            </w:pPr>
          </w:p>
          <w:p>
            <w:pPr>
              <w:pStyle w:val="TableParagraph"/>
              <w:ind w:left="628" w:right="622"/>
              <w:rPr>
                <w:rFonts w:ascii="仿宋" w:eastAsia="仿宋" w:hint="eastAsia"/>
                <w:sz w:val="21"/>
              </w:rPr>
            </w:pPr>
            <w:r>
              <w:rPr>
                <w:rFonts w:ascii="仿宋" w:eastAsia="仿宋" w:hint="eastAsia"/>
                <w:sz w:val="21"/>
              </w:rPr>
              <w:t>地下水位监测</w:t>
            </w:r>
          </w:p>
        </w:tc>
        <w:tc>
          <w:tcPr>
            <w:tcW w:w="2322" w:type="dxa"/>
          </w:tcPr>
          <w:p>
            <w:pPr>
              <w:pStyle w:val="TableParagraph"/>
              <w:spacing w:line="268" w:lineRule="exact"/>
              <w:ind w:left="107" w:right="-15"/>
              <w:jc w:val="left"/>
              <w:rPr>
                <w:rFonts w:ascii="仿宋" w:eastAsia="仿宋" w:hint="eastAsia"/>
                <w:sz w:val="21"/>
              </w:rPr>
            </w:pPr>
            <w:r>
              <w:rPr>
                <w:rFonts w:ascii="仿宋" w:eastAsia="仿宋" w:hint="eastAsia"/>
                <w:spacing w:val="-12"/>
                <w:sz w:val="21"/>
              </w:rPr>
              <w:t>每月监测一次，雨季 </w:t>
            </w:r>
            <w:r>
              <w:rPr>
                <w:rFonts w:ascii="Times New Roman" w:eastAsia="Times New Roman"/>
                <w:sz w:val="21"/>
              </w:rPr>
              <w:t>6</w:t>
            </w:r>
            <w:r>
              <w:rPr>
                <w:rFonts w:ascii="仿宋" w:eastAsia="仿宋" w:hint="eastAsia"/>
                <w:sz w:val="21"/>
              </w:rPr>
              <w:t>、</w:t>
            </w:r>
          </w:p>
          <w:p>
            <w:pPr>
              <w:pStyle w:val="TableParagraph"/>
              <w:spacing w:line="270" w:lineRule="atLeast" w:before="3"/>
              <w:ind w:left="741" w:right="34" w:hanging="634"/>
              <w:jc w:val="left"/>
              <w:rPr>
                <w:rFonts w:ascii="仿宋" w:eastAsia="仿宋" w:hint="eastAsia"/>
                <w:sz w:val="21"/>
              </w:rPr>
            </w:pPr>
            <w:r>
              <w:rPr>
                <w:rFonts w:ascii="Times New Roman" w:eastAsia="Times New Roman"/>
                <w:sz w:val="21"/>
              </w:rPr>
              <w:t>7</w:t>
            </w:r>
            <w:r>
              <w:rPr>
                <w:rFonts w:ascii="仿宋" w:eastAsia="仿宋" w:hint="eastAsia"/>
                <w:sz w:val="21"/>
              </w:rPr>
              <w:t>、</w:t>
            </w:r>
            <w:r>
              <w:rPr>
                <w:rFonts w:ascii="Times New Roman" w:eastAsia="Times New Roman"/>
                <w:sz w:val="21"/>
              </w:rPr>
              <w:t>8 </w:t>
            </w:r>
            <w:r>
              <w:rPr>
                <w:rFonts w:ascii="仿宋" w:eastAsia="仿宋" w:hint="eastAsia"/>
                <w:sz w:val="21"/>
              </w:rPr>
              <w:t>月份加密，每月加密一次。</w:t>
            </w:r>
          </w:p>
        </w:tc>
        <w:tc>
          <w:tcPr>
            <w:tcW w:w="2185" w:type="dxa"/>
          </w:tcPr>
          <w:p>
            <w:pPr>
              <w:pStyle w:val="TableParagraph"/>
              <w:spacing w:before="4"/>
              <w:jc w:val="left"/>
              <w:rPr>
                <w:rFonts w:ascii="黑体"/>
                <w:b/>
                <w:sz w:val="22"/>
              </w:rPr>
            </w:pPr>
          </w:p>
          <w:p>
            <w:pPr>
              <w:pStyle w:val="TableParagraph"/>
              <w:ind w:left="9"/>
              <w:rPr>
                <w:rFonts w:ascii="Times New Roman"/>
                <w:sz w:val="21"/>
              </w:rPr>
            </w:pPr>
            <w:r>
              <w:rPr>
                <w:rFonts w:ascii="Times New Roman"/>
                <w:w w:val="99"/>
                <w:sz w:val="21"/>
              </w:rPr>
              <w:t>2</w:t>
            </w:r>
          </w:p>
        </w:tc>
        <w:tc>
          <w:tcPr>
            <w:tcW w:w="1462" w:type="dxa"/>
          </w:tcPr>
          <w:p>
            <w:pPr>
              <w:pStyle w:val="TableParagraph"/>
              <w:spacing w:before="4"/>
              <w:jc w:val="left"/>
              <w:rPr>
                <w:rFonts w:ascii="黑体"/>
                <w:b/>
                <w:sz w:val="22"/>
              </w:rPr>
            </w:pPr>
          </w:p>
          <w:p>
            <w:pPr>
              <w:pStyle w:val="TableParagraph"/>
              <w:ind w:left="394" w:right="384"/>
              <w:rPr>
                <w:rFonts w:ascii="Times New Roman"/>
                <w:sz w:val="21"/>
              </w:rPr>
            </w:pPr>
            <w:r>
              <w:rPr>
                <w:rFonts w:ascii="Times New Roman"/>
                <w:sz w:val="21"/>
              </w:rPr>
              <w:t>417</w:t>
            </w:r>
          </w:p>
        </w:tc>
      </w:tr>
      <w:tr>
        <w:trPr>
          <w:trHeight w:val="311" w:hRule="atLeast"/>
        </w:trPr>
        <w:tc>
          <w:tcPr>
            <w:tcW w:w="2560" w:type="dxa"/>
          </w:tcPr>
          <w:p>
            <w:pPr>
              <w:pStyle w:val="TableParagraph"/>
              <w:spacing w:before="19"/>
              <w:ind w:left="628" w:right="620"/>
              <w:rPr>
                <w:rFonts w:ascii="仿宋" w:eastAsia="仿宋" w:hint="eastAsia"/>
                <w:sz w:val="21"/>
              </w:rPr>
            </w:pPr>
            <w:r>
              <w:rPr>
                <w:rFonts w:ascii="仿宋" w:eastAsia="仿宋" w:hint="eastAsia"/>
                <w:sz w:val="21"/>
              </w:rPr>
              <w:t>水质监测</w:t>
            </w:r>
          </w:p>
        </w:tc>
        <w:tc>
          <w:tcPr>
            <w:tcW w:w="2322" w:type="dxa"/>
          </w:tcPr>
          <w:p>
            <w:pPr>
              <w:pStyle w:val="TableParagraph"/>
              <w:spacing w:before="19"/>
              <w:ind w:left="693" w:right="685"/>
              <w:rPr>
                <w:rFonts w:ascii="仿宋" w:eastAsia="仿宋" w:hint="eastAsia"/>
                <w:sz w:val="21"/>
              </w:rPr>
            </w:pPr>
            <w:r>
              <w:rPr>
                <w:rFonts w:ascii="仿宋" w:eastAsia="仿宋" w:hint="eastAsia"/>
                <w:sz w:val="21"/>
              </w:rPr>
              <w:t>每年 </w:t>
            </w:r>
            <w:r>
              <w:rPr>
                <w:rFonts w:ascii="Times New Roman" w:eastAsia="Times New Roman"/>
                <w:sz w:val="21"/>
              </w:rPr>
              <w:t>2 </w:t>
            </w:r>
            <w:r>
              <w:rPr>
                <w:rFonts w:ascii="仿宋" w:eastAsia="仿宋" w:hint="eastAsia"/>
                <w:sz w:val="21"/>
              </w:rPr>
              <w:t>次</w:t>
            </w:r>
          </w:p>
        </w:tc>
        <w:tc>
          <w:tcPr>
            <w:tcW w:w="2185" w:type="dxa"/>
          </w:tcPr>
          <w:p>
            <w:pPr>
              <w:pStyle w:val="TableParagraph"/>
              <w:spacing w:before="33"/>
              <w:ind w:left="9"/>
              <w:rPr>
                <w:rFonts w:ascii="Times New Roman"/>
                <w:sz w:val="21"/>
              </w:rPr>
            </w:pPr>
            <w:r>
              <w:rPr>
                <w:rFonts w:ascii="Times New Roman"/>
                <w:w w:val="99"/>
                <w:sz w:val="21"/>
              </w:rPr>
              <w:t>2</w:t>
            </w:r>
          </w:p>
        </w:tc>
        <w:tc>
          <w:tcPr>
            <w:tcW w:w="1462" w:type="dxa"/>
          </w:tcPr>
          <w:p>
            <w:pPr>
              <w:pStyle w:val="TableParagraph"/>
              <w:spacing w:before="33"/>
              <w:ind w:left="394" w:right="384"/>
              <w:rPr>
                <w:rFonts w:ascii="Times New Roman"/>
                <w:sz w:val="21"/>
              </w:rPr>
            </w:pPr>
            <w:r>
              <w:rPr>
                <w:rFonts w:ascii="Times New Roman"/>
                <w:sz w:val="21"/>
              </w:rPr>
              <w:t>56</w:t>
            </w:r>
          </w:p>
        </w:tc>
      </w:tr>
    </w:tbl>
    <w:p>
      <w:pPr>
        <w:pStyle w:val="Heading3"/>
        <w:numPr>
          <w:ilvl w:val="2"/>
          <w:numId w:val="41"/>
        </w:numPr>
        <w:tabs>
          <w:tab w:pos="1341" w:val="left" w:leader="none"/>
        </w:tabs>
        <w:spacing w:line="240" w:lineRule="auto" w:before="2" w:after="0"/>
        <w:ind w:left="1340" w:right="0" w:hanging="630"/>
        <w:jc w:val="left"/>
      </w:pPr>
      <w:bookmarkStart w:name="5.5.8生态管理指标" w:id="204"/>
      <w:bookmarkEnd w:id="204"/>
      <w:r>
        <w:rPr>
          <w:b w:val="0"/>
        </w:rPr>
      </w:r>
      <w:bookmarkStart w:name="5.5.8生态管理指标" w:id="205"/>
      <w:bookmarkEnd w:id="205"/>
      <w:r>
        <w:rPr/>
        <w:t>生态管理指标</w:t>
      </w:r>
    </w:p>
    <w:p>
      <w:pPr>
        <w:pStyle w:val="BodyText"/>
        <w:spacing w:line="364" w:lineRule="auto" w:before="264"/>
        <w:ind w:left="711" w:right="1153" w:firstLine="480"/>
      </w:pPr>
      <w:r>
        <w:rPr/>
        <w:t>评价根据项目区自然环境条件以及生态系统各要素的特征，提出如下管理指标：</w:t>
      </w:r>
    </w:p>
    <w:p>
      <w:pPr>
        <w:pStyle w:val="BodyText"/>
        <w:spacing w:before="1"/>
        <w:ind w:left="1191"/>
      </w:pPr>
      <w:bookmarkStart w:name="（1）因项目建设减少的生物量损失在3～4年间完全得到补偿；" w:id="206"/>
      <w:bookmarkEnd w:id="206"/>
      <w:r>
        <w:rPr/>
      </w:r>
      <w:r>
        <w:rPr/>
        <w:t>（</w:t>
      </w:r>
      <w:r>
        <w:rPr>
          <w:rFonts w:ascii="Times New Roman" w:eastAsia="Times New Roman"/>
        </w:rPr>
        <w:t>1</w:t>
      </w:r>
      <w:r>
        <w:rPr/>
        <w:t>）因项目建设减少的生物量损失在 </w:t>
      </w:r>
      <w:r>
        <w:rPr>
          <w:rFonts w:ascii="Times New Roman" w:eastAsia="Times New Roman"/>
        </w:rPr>
        <w:t>3</w:t>
      </w:r>
      <w:r>
        <w:rPr/>
        <w:t>～</w:t>
      </w:r>
      <w:r>
        <w:rPr>
          <w:rFonts w:ascii="Times New Roman" w:eastAsia="Times New Roman"/>
        </w:rPr>
        <w:t>4 </w:t>
      </w:r>
      <w:r>
        <w:rPr/>
        <w:t>年间完全得到补偿；</w:t>
      </w:r>
    </w:p>
    <w:p>
      <w:pPr>
        <w:pStyle w:val="BodyText"/>
        <w:spacing w:before="161"/>
        <w:ind w:left="1191"/>
      </w:pPr>
      <w:r>
        <w:rPr/>
        <w:t>（</w:t>
      </w:r>
      <w:r>
        <w:rPr>
          <w:rFonts w:ascii="Times New Roman" w:eastAsia="Times New Roman"/>
        </w:rPr>
        <w:t>2</w:t>
      </w:r>
      <w:r>
        <w:rPr/>
        <w:t>）</w:t>
      </w:r>
      <w:r>
        <w:rPr>
          <w:rFonts w:ascii="Times New Roman" w:eastAsia="Times New Roman"/>
        </w:rPr>
        <w:t>5 </w:t>
      </w:r>
      <w:r>
        <w:rPr/>
        <w:t>年后水土流失强度维持现有水平，水土流失总治理度达到 </w:t>
      </w:r>
      <w:r>
        <w:rPr>
          <w:rFonts w:ascii="Times New Roman" w:eastAsia="Times New Roman"/>
        </w:rPr>
        <w:t>100%</w:t>
      </w:r>
      <w:r>
        <w:rPr/>
        <w:t>；</w:t>
      </w:r>
    </w:p>
    <w:p>
      <w:pPr>
        <w:pStyle w:val="BodyText"/>
        <w:spacing w:before="160"/>
        <w:ind w:left="1191"/>
      </w:pPr>
      <w:bookmarkStart w:name="（3）沉陷土地整治率达95%以上；" w:id="207"/>
      <w:bookmarkEnd w:id="207"/>
      <w:r>
        <w:rPr/>
      </w:r>
      <w:r>
        <w:rPr/>
        <w:t>（</w:t>
      </w:r>
      <w:r>
        <w:rPr>
          <w:rFonts w:ascii="Times New Roman" w:eastAsia="Times New Roman"/>
        </w:rPr>
        <w:t>3</w:t>
      </w:r>
      <w:r>
        <w:rPr/>
        <w:t>）沉陷土地整治率达 </w:t>
      </w:r>
      <w:r>
        <w:rPr>
          <w:rFonts w:ascii="Times New Roman" w:eastAsia="Times New Roman"/>
        </w:rPr>
        <w:t>95%</w:t>
      </w:r>
      <w:r>
        <w:rPr/>
        <w:t>以上；</w:t>
      </w:r>
    </w:p>
    <w:p>
      <w:pPr>
        <w:pStyle w:val="BodyText"/>
        <w:spacing w:before="161"/>
        <w:ind w:left="1191"/>
      </w:pPr>
      <w:r>
        <w:rPr/>
        <w:t>定期对井田区域生态现状进行监测分析，优化生态恢复方案。</w:t>
      </w:r>
    </w:p>
    <w:p>
      <w:pPr>
        <w:spacing w:after="0"/>
        <w:sectPr>
          <w:pgSz w:w="11910" w:h="16840"/>
          <w:pgMar w:header="0" w:footer="993" w:top="1360" w:bottom="1180" w:left="1040" w:right="600"/>
        </w:sectPr>
      </w:pPr>
    </w:p>
    <w:p>
      <w:pPr>
        <w:pStyle w:val="Heading1"/>
        <w:numPr>
          <w:ilvl w:val="1"/>
          <w:numId w:val="49"/>
        </w:numPr>
        <w:tabs>
          <w:tab w:pos="3424" w:val="left" w:leader="none"/>
        </w:tabs>
        <w:spacing w:line="240" w:lineRule="auto" w:before="43" w:after="0"/>
        <w:ind w:left="3424" w:right="435" w:hanging="3424"/>
        <w:jc w:val="left"/>
      </w:pPr>
      <w:bookmarkStart w:name="6.地下水环境影响分析" w:id="208"/>
      <w:bookmarkEnd w:id="208"/>
      <w:r>
        <w:rPr>
          <w:b w:val="0"/>
        </w:rPr>
      </w:r>
      <w:bookmarkStart w:name="_bookmark28" w:id="209"/>
      <w:bookmarkEnd w:id="209"/>
      <w:r>
        <w:rPr>
          <w:b w:val="0"/>
        </w:rPr>
      </w:r>
      <w:bookmarkStart w:name="_bookmark28" w:id="210"/>
      <w:bookmarkEnd w:id="210"/>
      <w:r>
        <w:rPr/>
        <w:t>地下水环境影响分析</w:t>
      </w:r>
    </w:p>
    <w:p>
      <w:pPr>
        <w:pStyle w:val="BodyText"/>
        <w:spacing w:before="7"/>
        <w:rPr>
          <w:b/>
          <w:sz w:val="22"/>
        </w:rPr>
      </w:pPr>
    </w:p>
    <w:p>
      <w:pPr>
        <w:pStyle w:val="Heading2"/>
        <w:numPr>
          <w:ilvl w:val="1"/>
          <w:numId w:val="52"/>
        </w:numPr>
        <w:tabs>
          <w:tab w:pos="1161" w:val="left" w:leader="none"/>
        </w:tabs>
        <w:spacing w:line="240" w:lineRule="auto" w:before="68" w:after="0"/>
        <w:ind w:left="1160" w:right="0" w:hanging="450"/>
        <w:jc w:val="left"/>
        <w:rPr>
          <w:rFonts w:ascii="Times New Roman" w:eastAsia="Times New Roman"/>
        </w:rPr>
      </w:pPr>
      <w:bookmarkStart w:name="6.1概述" w:id="211"/>
      <w:bookmarkEnd w:id="211"/>
      <w:r>
        <w:rPr>
          <w:b w:val="0"/>
        </w:rPr>
      </w:r>
      <w:bookmarkStart w:name="_bookmark29" w:id="212"/>
      <w:bookmarkEnd w:id="212"/>
      <w:r>
        <w:rPr>
          <w:b w:val="0"/>
        </w:rPr>
      </w:r>
      <w:bookmarkStart w:name="_bookmark29" w:id="213"/>
      <w:bookmarkEnd w:id="213"/>
      <w:r>
        <w:rPr/>
        <w:t>概述</w:t>
      </w:r>
    </w:p>
    <w:p>
      <w:pPr>
        <w:pStyle w:val="Heading3"/>
        <w:numPr>
          <w:ilvl w:val="2"/>
          <w:numId w:val="52"/>
        </w:numPr>
        <w:tabs>
          <w:tab w:pos="1341" w:val="left" w:leader="none"/>
        </w:tabs>
        <w:spacing w:line="240" w:lineRule="auto" w:before="279" w:after="0"/>
        <w:ind w:left="1340" w:right="0" w:hanging="630"/>
        <w:jc w:val="left"/>
      </w:pPr>
      <w:bookmarkStart w:name="6.1.1评价工作等级" w:id="214"/>
      <w:bookmarkEnd w:id="214"/>
      <w:r>
        <w:rPr>
          <w:b w:val="0"/>
        </w:rPr>
      </w:r>
      <w:bookmarkStart w:name="6.1.1评价工作等级" w:id="215"/>
      <w:bookmarkEnd w:id="215"/>
      <w:r>
        <w:rPr/>
        <w:t>评价工作等级</w:t>
      </w:r>
    </w:p>
    <w:p>
      <w:pPr>
        <w:pStyle w:val="BodyText"/>
        <w:spacing w:before="10"/>
        <w:rPr>
          <w:b/>
          <w:sz w:val="32"/>
        </w:rPr>
      </w:pPr>
    </w:p>
    <w:p>
      <w:pPr>
        <w:pStyle w:val="BodyText"/>
        <w:spacing w:line="364" w:lineRule="auto"/>
        <w:ind w:left="711" w:right="1149" w:firstLine="480"/>
        <w:jc w:val="both"/>
      </w:pPr>
      <w:r>
        <w:rPr/>
        <w:t>根据《环境影响评价技术导则 地下水环境》（</w:t>
      </w:r>
      <w:r>
        <w:rPr>
          <w:rFonts w:ascii="Times New Roman" w:eastAsia="Times New Roman"/>
        </w:rPr>
        <w:t>HJ 610-2016</w:t>
      </w:r>
      <w:r>
        <w:rPr/>
        <w:t>）对建设项目地下水评价的要求，根据建设项目行业分类和地下水环境敏感程度分级进行判定， 确定该项目地下水环境影响评价工作等级。详见 </w:t>
      </w:r>
      <w:r>
        <w:rPr>
          <w:rFonts w:ascii="Times New Roman" w:eastAsia="Times New Roman"/>
        </w:rPr>
        <w:t>2.4.5 </w:t>
      </w:r>
      <w:r>
        <w:rPr/>
        <w:t>章节。</w:t>
      </w:r>
    </w:p>
    <w:p>
      <w:pPr>
        <w:pStyle w:val="Heading3"/>
        <w:numPr>
          <w:ilvl w:val="2"/>
          <w:numId w:val="52"/>
        </w:numPr>
        <w:tabs>
          <w:tab w:pos="1341" w:val="left" w:leader="none"/>
        </w:tabs>
        <w:spacing w:line="240" w:lineRule="auto" w:before="80" w:after="0"/>
        <w:ind w:left="1340" w:right="0" w:hanging="630"/>
        <w:jc w:val="left"/>
      </w:pPr>
      <w:bookmarkStart w:name="6.1.2调查评价区范围" w:id="216"/>
      <w:bookmarkEnd w:id="216"/>
      <w:r>
        <w:rPr>
          <w:b w:val="0"/>
        </w:rPr>
      </w:r>
      <w:bookmarkStart w:name="6.1.2调查评价区范围" w:id="217"/>
      <w:bookmarkEnd w:id="217"/>
      <w:r>
        <w:rPr/>
        <w:t>调查评价区范围</w:t>
      </w:r>
    </w:p>
    <w:p>
      <w:pPr>
        <w:pStyle w:val="BodyText"/>
        <w:spacing w:before="10"/>
        <w:rPr>
          <w:b/>
          <w:sz w:val="32"/>
        </w:rPr>
      </w:pPr>
    </w:p>
    <w:p>
      <w:pPr>
        <w:pStyle w:val="BodyText"/>
        <w:spacing w:line="364" w:lineRule="auto"/>
        <w:ind w:left="711" w:right="1029" w:firstLine="480"/>
      </w:pPr>
      <w:r>
        <w:rPr/>
        <w:t>参照项目的评价等级，为了说明地下水环境的基本状况，依据项目区周边的地质、水文地质条件和地形、地貌特征，确定项目地下水评价范围，该矿区地处</w:t>
      </w:r>
      <w:r>
        <w:rPr>
          <w:spacing w:val="-13"/>
        </w:rPr>
        <w:t>低山丘陵地区，地形东南高西北低，地面标高 </w:t>
      </w:r>
      <w:r>
        <w:rPr>
          <w:rFonts w:ascii="Times New Roman" w:eastAsia="Times New Roman"/>
        </w:rPr>
        <w:t>160</w:t>
      </w:r>
      <w:r>
        <w:rPr/>
        <w:t>～</w:t>
      </w:r>
      <w:r>
        <w:rPr>
          <w:rFonts w:ascii="Times New Roman" w:eastAsia="Times New Roman"/>
        </w:rPr>
        <w:t>240m</w:t>
      </w:r>
      <w:r>
        <w:rPr>
          <w:spacing w:val="-8"/>
        </w:rPr>
        <w:t>。井区地面有人工松林， </w:t>
      </w:r>
      <w:r>
        <w:rPr/>
        <w:t>无居民区、建筑物及地表水体。处于历年来最高洪水位标高以上（最高洪水位为</w:t>
      </w:r>
    </w:p>
    <w:p>
      <w:pPr>
        <w:pStyle w:val="BodyText"/>
        <w:spacing w:before="2"/>
        <w:ind w:left="711"/>
      </w:pPr>
      <w:r>
        <w:rPr>
          <w:rFonts w:ascii="Times New Roman" w:eastAsia="Times New Roman"/>
        </w:rPr>
        <w:t>+139.33m</w:t>
      </w:r>
      <w:r>
        <w:rPr/>
        <w:t>），不受洪水威胁。</w:t>
      </w:r>
    </w:p>
    <w:p>
      <w:pPr>
        <w:pStyle w:val="Heading2"/>
        <w:numPr>
          <w:ilvl w:val="1"/>
          <w:numId w:val="52"/>
        </w:numPr>
        <w:tabs>
          <w:tab w:pos="1238" w:val="left" w:leader="none"/>
        </w:tabs>
        <w:spacing w:line="240" w:lineRule="auto" w:before="199" w:after="0"/>
        <w:ind w:left="1237" w:right="0" w:hanging="527"/>
        <w:jc w:val="left"/>
        <w:rPr>
          <w:rFonts w:ascii="Times New Roman" w:eastAsia="Times New Roman"/>
        </w:rPr>
      </w:pPr>
      <w:bookmarkStart w:name="6.2 地层和构造" w:id="218"/>
      <w:bookmarkEnd w:id="218"/>
      <w:r>
        <w:rPr>
          <w:b w:val="0"/>
        </w:rPr>
      </w:r>
      <w:bookmarkStart w:name="_bookmark30" w:id="219"/>
      <w:bookmarkEnd w:id="219"/>
      <w:r>
        <w:rPr>
          <w:b w:val="0"/>
        </w:rPr>
      </w:r>
      <w:bookmarkStart w:name="_bookmark30" w:id="220"/>
      <w:bookmarkEnd w:id="220"/>
      <w:r>
        <w:rPr/>
        <w:t>地层和构造</w:t>
      </w:r>
    </w:p>
    <w:p>
      <w:pPr>
        <w:pStyle w:val="Heading3"/>
        <w:numPr>
          <w:ilvl w:val="2"/>
          <w:numId w:val="52"/>
        </w:numPr>
        <w:tabs>
          <w:tab w:pos="1413" w:val="left" w:leader="none"/>
        </w:tabs>
        <w:spacing w:line="240" w:lineRule="auto" w:before="123" w:after="0"/>
        <w:ind w:left="1412" w:right="0" w:hanging="702"/>
        <w:jc w:val="left"/>
      </w:pPr>
      <w:bookmarkStart w:name="6.2.1 地层" w:id="221"/>
      <w:bookmarkEnd w:id="221"/>
      <w:r>
        <w:rPr>
          <w:b w:val="0"/>
        </w:rPr>
      </w:r>
      <w:bookmarkStart w:name="6.2.1 地层" w:id="222"/>
      <w:bookmarkEnd w:id="222"/>
      <w:r>
        <w:rPr/>
        <w:t>地层</w:t>
      </w:r>
    </w:p>
    <w:p>
      <w:pPr>
        <w:pStyle w:val="BodyText"/>
        <w:spacing w:before="185"/>
        <w:ind w:left="1191"/>
      </w:pPr>
      <w:r>
        <w:rPr/>
        <w:t>评价区区域各组地层特征由下至上分别叙述如下：</w:t>
      </w:r>
    </w:p>
    <w:p>
      <w:pPr>
        <w:pStyle w:val="ListParagraph"/>
        <w:numPr>
          <w:ilvl w:val="3"/>
          <w:numId w:val="52"/>
        </w:numPr>
        <w:tabs>
          <w:tab w:pos="1793" w:val="left" w:leader="none"/>
        </w:tabs>
        <w:spacing w:line="240" w:lineRule="auto" w:before="159" w:after="0"/>
        <w:ind w:left="1793" w:right="0" w:hanging="602"/>
        <w:jc w:val="left"/>
        <w:rPr>
          <w:sz w:val="24"/>
        </w:rPr>
      </w:pPr>
      <w:r>
        <w:rPr>
          <w:sz w:val="24"/>
        </w:rPr>
        <w:t>下元古界大盘道组</w:t>
      </w:r>
    </w:p>
    <w:p>
      <w:pPr>
        <w:pStyle w:val="BodyText"/>
        <w:spacing w:line="364" w:lineRule="auto" w:before="160"/>
        <w:ind w:left="711" w:right="1149" w:firstLine="480"/>
        <w:jc w:val="both"/>
      </w:pPr>
      <w:r>
        <w:rPr/>
        <w:t>是一套海相陆源火山碎屑</w:t>
      </w:r>
      <w:r>
        <w:rPr>
          <w:rFonts w:ascii="Times New Roman" w:hAnsi="Times New Roman" w:eastAsia="Times New Roman"/>
        </w:rPr>
        <w:t>—</w:t>
      </w:r>
      <w:r>
        <w:rPr>
          <w:spacing w:val="-13"/>
        </w:rPr>
        <w:t>碳酸盐建造，厚度大于 </w:t>
      </w:r>
      <w:r>
        <w:rPr>
          <w:rFonts w:ascii="Times New Roman" w:hAnsi="Times New Roman" w:eastAsia="Times New Roman"/>
        </w:rPr>
        <w:t>4000 </w:t>
      </w:r>
      <w:r>
        <w:rPr>
          <w:spacing w:val="-9"/>
        </w:rPr>
        <w:t>米，是该地区煤系地</w:t>
      </w:r>
      <w:r>
        <w:rPr>
          <w:spacing w:val="-1"/>
        </w:rPr>
        <w:t>层基底。本组岩性主要由暗褐色黑云、斜长片麻岩，辉石麻粒岩，石墨片岩，透</w:t>
      </w:r>
      <w:r>
        <w:rPr/>
        <w:t>辉大理岩，磁铁石英岩等组成，遭受强烈混合岩化。</w:t>
      </w:r>
    </w:p>
    <w:p>
      <w:pPr>
        <w:pStyle w:val="ListParagraph"/>
        <w:numPr>
          <w:ilvl w:val="3"/>
          <w:numId w:val="52"/>
        </w:numPr>
        <w:tabs>
          <w:tab w:pos="1793" w:val="left" w:leader="none"/>
        </w:tabs>
        <w:spacing w:line="304" w:lineRule="exact" w:before="0" w:after="0"/>
        <w:ind w:left="1793" w:right="0" w:hanging="602"/>
        <w:jc w:val="left"/>
        <w:rPr>
          <w:sz w:val="24"/>
        </w:rPr>
      </w:pPr>
      <w:r>
        <w:rPr>
          <w:sz w:val="24"/>
        </w:rPr>
        <w:t>古生界泥盆系中统黑山组</w:t>
      </w:r>
    </w:p>
    <w:p>
      <w:pPr>
        <w:pStyle w:val="BodyText"/>
        <w:spacing w:line="364" w:lineRule="auto" w:before="161"/>
        <w:ind w:left="711" w:right="1084" w:firstLine="480"/>
      </w:pPr>
      <w:r>
        <w:rPr/>
        <w:t>厚度大于 </w:t>
      </w:r>
      <w:r>
        <w:rPr>
          <w:rFonts w:ascii="Times New Roman" w:eastAsia="Times New Roman"/>
        </w:rPr>
        <w:t>250 </w:t>
      </w:r>
      <w:r>
        <w:rPr/>
        <w:t>米，岩性为凝灰质砂页岩、砂岩。结晶灰岩，夹有中酸性火山角砾岩等组成。</w:t>
      </w:r>
    </w:p>
    <w:p>
      <w:pPr>
        <w:pStyle w:val="ListParagraph"/>
        <w:numPr>
          <w:ilvl w:val="3"/>
          <w:numId w:val="52"/>
        </w:numPr>
        <w:tabs>
          <w:tab w:pos="1793" w:val="left" w:leader="none"/>
        </w:tabs>
        <w:spacing w:line="306" w:lineRule="exact" w:before="0" w:after="0"/>
        <w:ind w:left="1793" w:right="0" w:hanging="602"/>
        <w:jc w:val="left"/>
        <w:rPr>
          <w:sz w:val="24"/>
        </w:rPr>
      </w:pPr>
      <w:r>
        <w:rPr>
          <w:sz w:val="24"/>
        </w:rPr>
        <w:t>中生界侏罗系中统绥缤组</w:t>
      </w:r>
    </w:p>
    <w:p>
      <w:pPr>
        <w:pStyle w:val="BodyText"/>
        <w:spacing w:before="160"/>
        <w:ind w:left="1191"/>
        <w:rPr>
          <w:rFonts w:ascii="Times New Roman" w:eastAsia="Times New Roman"/>
        </w:rPr>
      </w:pPr>
      <w:r>
        <w:rPr/>
        <w:t>是一套海相沉积建造，岩性主要由深灰色略带绿色粉砂岩，单层厚度达 </w:t>
      </w:r>
      <w:r>
        <w:rPr>
          <w:rFonts w:ascii="Times New Roman" w:eastAsia="Times New Roman"/>
        </w:rPr>
        <w:t>120</w:t>
      </w:r>
    </w:p>
    <w:p>
      <w:pPr>
        <w:pStyle w:val="BodyText"/>
        <w:spacing w:line="364" w:lineRule="auto" w:before="158"/>
        <w:ind w:left="711" w:right="1086"/>
      </w:pPr>
      <w:r>
        <w:rPr/>
        <w:t>余米，夹有薄层细砂岩，控制厚度 </w:t>
      </w:r>
      <w:r>
        <w:rPr>
          <w:rFonts w:ascii="Times New Roman" w:eastAsia="Times New Roman"/>
        </w:rPr>
        <w:t>480 </w:t>
      </w:r>
      <w:r>
        <w:rPr/>
        <w:t>米，该组地层中富含双壳类海相化石及沟鞭藻类化石。</w:t>
      </w:r>
    </w:p>
    <w:p>
      <w:pPr>
        <w:pStyle w:val="ListParagraph"/>
        <w:numPr>
          <w:ilvl w:val="3"/>
          <w:numId w:val="52"/>
        </w:numPr>
        <w:tabs>
          <w:tab w:pos="1793" w:val="left" w:leader="none"/>
        </w:tabs>
        <w:spacing w:line="306" w:lineRule="exact" w:before="0" w:after="0"/>
        <w:ind w:left="1793" w:right="0" w:hanging="602"/>
        <w:jc w:val="left"/>
        <w:rPr>
          <w:sz w:val="24"/>
        </w:rPr>
      </w:pPr>
      <w:r>
        <w:rPr>
          <w:sz w:val="24"/>
        </w:rPr>
        <w:t>侏罗系上统东荣组</w:t>
      </w:r>
    </w:p>
    <w:p>
      <w:pPr>
        <w:spacing w:after="0" w:line="306" w:lineRule="exact"/>
        <w:jc w:val="left"/>
        <w:rPr>
          <w:sz w:val="24"/>
        </w:rPr>
        <w:sectPr>
          <w:pgSz w:w="11910" w:h="16840"/>
          <w:pgMar w:header="0" w:footer="993" w:top="1380" w:bottom="1180" w:left="1040" w:right="600"/>
        </w:sectPr>
      </w:pPr>
    </w:p>
    <w:p>
      <w:pPr>
        <w:pStyle w:val="BodyText"/>
        <w:spacing w:line="364" w:lineRule="auto" w:before="43"/>
        <w:ind w:left="711" w:right="1149" w:firstLine="480"/>
        <w:jc w:val="both"/>
      </w:pPr>
      <w:r>
        <w:rPr>
          <w:spacing w:val="-1"/>
        </w:rPr>
        <w:t>同下伏绥滨组为整合接触，是一套滨海相沉积，岩性主要由厚层深灰色粉砂</w:t>
      </w:r>
      <w:r>
        <w:rPr>
          <w:spacing w:val="-5"/>
        </w:rPr>
        <w:t>岩及黑色泥岩为主，最大厚度 </w:t>
      </w:r>
      <w:r>
        <w:rPr>
          <w:rFonts w:ascii="Times New Roman" w:eastAsia="Times New Roman"/>
        </w:rPr>
        <w:t>450 </w:t>
      </w:r>
      <w:r>
        <w:rPr>
          <w:spacing w:val="-1"/>
        </w:rPr>
        <w:t>米，夹有薄层细砂岩组成。含有丰富的各门类</w:t>
      </w:r>
      <w:r>
        <w:rPr/>
        <w:t>化石。</w:t>
      </w:r>
    </w:p>
    <w:p>
      <w:pPr>
        <w:pStyle w:val="ListParagraph"/>
        <w:numPr>
          <w:ilvl w:val="3"/>
          <w:numId w:val="52"/>
        </w:numPr>
        <w:tabs>
          <w:tab w:pos="1793" w:val="left" w:leader="none"/>
        </w:tabs>
        <w:spacing w:line="307" w:lineRule="exact" w:before="0" w:after="0"/>
        <w:ind w:left="1793" w:right="0" w:hanging="602"/>
        <w:jc w:val="left"/>
        <w:rPr>
          <w:sz w:val="24"/>
        </w:rPr>
      </w:pPr>
      <w:r>
        <w:rPr>
          <w:sz w:val="24"/>
        </w:rPr>
        <w:t>白垩系下统城子河组</w:t>
      </w:r>
    </w:p>
    <w:p>
      <w:pPr>
        <w:pStyle w:val="BodyText"/>
        <w:spacing w:before="158"/>
        <w:ind w:left="1191"/>
        <w:jc w:val="both"/>
      </w:pPr>
      <w:r>
        <w:rPr/>
        <w:t>是双鸭山地区的主要含煤地层，控制厚度在安邦河地区 </w:t>
      </w:r>
      <w:r>
        <w:rPr>
          <w:rFonts w:ascii="Times New Roman" w:eastAsia="Times New Roman"/>
        </w:rPr>
        <w:t>550 </w:t>
      </w:r>
      <w:r>
        <w:rPr/>
        <w:t>米，而往东到七</w:t>
      </w:r>
    </w:p>
    <w:p>
      <w:pPr>
        <w:pStyle w:val="BodyText"/>
        <w:spacing w:line="364" w:lineRule="auto" w:before="160"/>
        <w:ind w:left="711" w:right="1149"/>
        <w:jc w:val="both"/>
      </w:pPr>
      <w:r>
        <w:rPr>
          <w:spacing w:val="-12"/>
        </w:rPr>
        <w:t>星河地区，最厚达 </w:t>
      </w:r>
      <w:r>
        <w:rPr>
          <w:rFonts w:ascii="Times New Roman" w:eastAsia="Times New Roman"/>
        </w:rPr>
        <w:t>850 </w:t>
      </w:r>
      <w:r>
        <w:rPr>
          <w:spacing w:val="-11"/>
        </w:rPr>
        <w:t>余米，是一套非海相碎屑岩组。含煤 </w:t>
      </w:r>
      <w:r>
        <w:rPr>
          <w:rFonts w:ascii="Times New Roman" w:eastAsia="Times New Roman"/>
        </w:rPr>
        <w:t>40 </w:t>
      </w:r>
      <w:r>
        <w:rPr>
          <w:spacing w:val="-7"/>
        </w:rPr>
        <w:t>余层，其中可采煤</w:t>
      </w:r>
      <w:r>
        <w:rPr>
          <w:spacing w:val="-1"/>
        </w:rPr>
        <w:t>层发育由西往东逐渐增多，岩性主要由深灰色粉砂岩、灰白色中细砂岩组成，夹</w:t>
      </w:r>
      <w:r>
        <w:rPr>
          <w:spacing w:val="-30"/>
        </w:rPr>
        <w:t>有 </w:t>
      </w:r>
      <w:r>
        <w:rPr>
          <w:rFonts w:ascii="Times New Roman" w:eastAsia="Times New Roman"/>
        </w:rPr>
        <w:t>10 </w:t>
      </w:r>
      <w:r>
        <w:rPr/>
        <w:t>多层绿色凝灰岩。</w:t>
      </w:r>
    </w:p>
    <w:p>
      <w:pPr>
        <w:pStyle w:val="ListParagraph"/>
        <w:numPr>
          <w:ilvl w:val="3"/>
          <w:numId w:val="52"/>
        </w:numPr>
        <w:tabs>
          <w:tab w:pos="1793" w:val="left" w:leader="none"/>
        </w:tabs>
        <w:spacing w:line="307" w:lineRule="exact" w:before="0" w:after="0"/>
        <w:ind w:left="1793" w:right="0" w:hanging="602"/>
        <w:jc w:val="left"/>
        <w:rPr>
          <w:sz w:val="24"/>
        </w:rPr>
      </w:pPr>
      <w:r>
        <w:rPr>
          <w:sz w:val="24"/>
        </w:rPr>
        <w:t>白垩系下统穆棱组</w:t>
      </w:r>
    </w:p>
    <w:p>
      <w:pPr>
        <w:pStyle w:val="BodyText"/>
        <w:spacing w:before="158"/>
        <w:ind w:left="1191"/>
        <w:jc w:val="both"/>
      </w:pPr>
      <w:r>
        <w:rPr/>
        <w:t>是一套深水湖泊相沉积地层，控制厚度 </w:t>
      </w:r>
      <w:r>
        <w:rPr>
          <w:rFonts w:ascii="Times New Roman" w:eastAsia="Times New Roman"/>
        </w:rPr>
        <w:t>700 </w:t>
      </w:r>
      <w:r>
        <w:rPr/>
        <w:t>余米，岩性主要由厚层深灰色粉</w:t>
      </w:r>
    </w:p>
    <w:p>
      <w:pPr>
        <w:pStyle w:val="BodyText"/>
        <w:spacing w:before="158"/>
        <w:ind w:left="711"/>
        <w:jc w:val="both"/>
      </w:pPr>
      <w:r>
        <w:rPr/>
        <w:t>砂岩与厚层黑灰色泥岩为主，夹有薄层细砂岩组成，含有 </w:t>
      </w:r>
      <w:r>
        <w:rPr>
          <w:rFonts w:ascii="Times New Roman" w:hAnsi="Times New Roman" w:eastAsia="Times New Roman"/>
        </w:rPr>
        <w:t>3—4 </w:t>
      </w:r>
      <w:r>
        <w:rPr/>
        <w:t>层薄煤，均不可采。</w:t>
      </w:r>
    </w:p>
    <w:p>
      <w:pPr>
        <w:pStyle w:val="ListParagraph"/>
        <w:numPr>
          <w:ilvl w:val="3"/>
          <w:numId w:val="52"/>
        </w:numPr>
        <w:tabs>
          <w:tab w:pos="1793" w:val="left" w:leader="none"/>
        </w:tabs>
        <w:spacing w:line="240" w:lineRule="auto" w:before="161" w:after="0"/>
        <w:ind w:left="1793" w:right="0" w:hanging="602"/>
        <w:jc w:val="left"/>
        <w:rPr>
          <w:sz w:val="24"/>
        </w:rPr>
      </w:pPr>
      <w:r>
        <w:rPr>
          <w:sz w:val="24"/>
        </w:rPr>
        <w:t>白垩系下统东山组</w:t>
      </w:r>
    </w:p>
    <w:p>
      <w:pPr>
        <w:pStyle w:val="BodyText"/>
        <w:spacing w:line="362" w:lineRule="auto" w:before="160"/>
        <w:ind w:left="711" w:right="1149" w:firstLine="480"/>
      </w:pPr>
      <w:r>
        <w:rPr/>
        <w:t>岩性主要由安山角砾凝灰岩、凝灰角砾岩、厚层粉砂岩、泥岩等组成，控制最大厚度 </w:t>
      </w:r>
      <w:r>
        <w:rPr>
          <w:rFonts w:ascii="Times New Roman" w:eastAsia="Times New Roman"/>
        </w:rPr>
        <w:t>650 </w:t>
      </w:r>
      <w:r>
        <w:rPr/>
        <w:t>余米。不整合覆于穆棱组、城子河组之上。</w:t>
      </w:r>
    </w:p>
    <w:p>
      <w:pPr>
        <w:pStyle w:val="ListParagraph"/>
        <w:numPr>
          <w:ilvl w:val="3"/>
          <w:numId w:val="52"/>
        </w:numPr>
        <w:tabs>
          <w:tab w:pos="1793" w:val="left" w:leader="none"/>
        </w:tabs>
        <w:spacing w:line="240" w:lineRule="auto" w:before="5" w:after="0"/>
        <w:ind w:left="1793" w:right="0" w:hanging="602"/>
        <w:jc w:val="left"/>
        <w:rPr>
          <w:sz w:val="24"/>
        </w:rPr>
      </w:pPr>
      <w:r>
        <w:rPr>
          <w:sz w:val="24"/>
        </w:rPr>
        <w:t>白垩系上统松木河组</w:t>
      </w:r>
    </w:p>
    <w:p>
      <w:pPr>
        <w:pStyle w:val="BodyText"/>
        <w:spacing w:line="364" w:lineRule="auto" w:before="159"/>
        <w:ind w:left="711" w:right="1149" w:firstLine="480"/>
      </w:pPr>
      <w:r>
        <w:rPr>
          <w:spacing w:val="-1"/>
        </w:rPr>
        <w:t>不整合覆于城子河组穆棱组之上，岩性主要由灰绿色、紫红色安山玢岩、凝</w:t>
      </w:r>
      <w:r>
        <w:rPr>
          <w:spacing w:val="-3"/>
        </w:rPr>
        <w:t>灰质熔岩、米黄色流纹岩等组成，厚度大于 </w:t>
      </w:r>
      <w:r>
        <w:rPr>
          <w:rFonts w:ascii="Times New Roman" w:eastAsia="Times New Roman"/>
        </w:rPr>
        <w:t>250 </w:t>
      </w:r>
      <w:r>
        <w:rPr/>
        <w:t>米。</w:t>
      </w:r>
    </w:p>
    <w:p>
      <w:pPr>
        <w:pStyle w:val="ListParagraph"/>
        <w:numPr>
          <w:ilvl w:val="3"/>
          <w:numId w:val="52"/>
        </w:numPr>
        <w:tabs>
          <w:tab w:pos="1793" w:val="left" w:leader="none"/>
        </w:tabs>
        <w:spacing w:line="306" w:lineRule="exact" w:before="0" w:after="0"/>
        <w:ind w:left="1793" w:right="0" w:hanging="602"/>
        <w:jc w:val="left"/>
        <w:rPr>
          <w:sz w:val="24"/>
        </w:rPr>
      </w:pPr>
      <w:r>
        <w:rPr>
          <w:sz w:val="24"/>
        </w:rPr>
        <w:t>新生界下新近系宝泉岭组</w:t>
      </w:r>
    </w:p>
    <w:p>
      <w:pPr>
        <w:pStyle w:val="BodyText"/>
        <w:spacing w:line="362" w:lineRule="auto" w:before="160"/>
        <w:ind w:left="711" w:right="1084" w:firstLine="480"/>
      </w:pPr>
      <w:r>
        <w:rPr/>
        <w:t>钻孔控制厚度 </w:t>
      </w:r>
      <w:r>
        <w:rPr>
          <w:rFonts w:ascii="Times New Roman" w:eastAsia="Times New Roman"/>
        </w:rPr>
        <w:t>380 </w:t>
      </w:r>
      <w:r>
        <w:rPr/>
        <w:t>余米，含多层可采褐煤，岩性以黑褐色泥岩，粉砂岩含砾粗砂岩等组成。</w:t>
      </w:r>
    </w:p>
    <w:p>
      <w:pPr>
        <w:pStyle w:val="ListParagraph"/>
        <w:numPr>
          <w:ilvl w:val="3"/>
          <w:numId w:val="52"/>
        </w:numPr>
        <w:tabs>
          <w:tab w:pos="1913" w:val="left" w:leader="none"/>
        </w:tabs>
        <w:spacing w:line="240" w:lineRule="auto" w:before="5" w:after="0"/>
        <w:ind w:left="1913" w:right="0" w:hanging="722"/>
        <w:jc w:val="left"/>
        <w:rPr>
          <w:sz w:val="24"/>
        </w:rPr>
      </w:pPr>
      <w:r>
        <w:rPr>
          <w:sz w:val="24"/>
        </w:rPr>
        <w:t>新生界上第三系富锦组</w:t>
      </w:r>
    </w:p>
    <w:p>
      <w:pPr>
        <w:pStyle w:val="BodyText"/>
        <w:spacing w:line="364" w:lineRule="auto" w:before="158"/>
        <w:ind w:left="711" w:right="1149" w:firstLine="480"/>
      </w:pPr>
      <w:r>
        <w:rPr/>
        <w:t>不整合于穆棱组、城子河组地层之上，岩性以细砂岩、中砂岩、泥岩为主， 控制最大厚度达 </w:t>
      </w:r>
      <w:r>
        <w:rPr>
          <w:rFonts w:ascii="Times New Roman" w:eastAsia="Times New Roman"/>
        </w:rPr>
        <w:t>500 </w:t>
      </w:r>
      <w:r>
        <w:rPr/>
        <w:t>余米，含有褐煤多层均未达到可采厚度。</w:t>
      </w:r>
    </w:p>
    <w:p>
      <w:pPr>
        <w:pStyle w:val="ListParagraph"/>
        <w:numPr>
          <w:ilvl w:val="3"/>
          <w:numId w:val="52"/>
        </w:numPr>
        <w:tabs>
          <w:tab w:pos="1904" w:val="left" w:leader="none"/>
        </w:tabs>
        <w:spacing w:line="240" w:lineRule="auto" w:before="1" w:after="0"/>
        <w:ind w:left="1903" w:right="0" w:hanging="713"/>
        <w:jc w:val="left"/>
        <w:rPr>
          <w:sz w:val="24"/>
        </w:rPr>
      </w:pPr>
      <w:r>
        <w:rPr>
          <w:sz w:val="24"/>
        </w:rPr>
        <w:t>第四系全新统地层。</w:t>
      </w:r>
    </w:p>
    <w:p>
      <w:pPr>
        <w:pStyle w:val="Heading3"/>
        <w:numPr>
          <w:ilvl w:val="2"/>
          <w:numId w:val="52"/>
        </w:numPr>
        <w:tabs>
          <w:tab w:pos="1413" w:val="left" w:leader="none"/>
        </w:tabs>
        <w:spacing w:line="240" w:lineRule="auto" w:before="159" w:after="0"/>
        <w:ind w:left="1412" w:right="0" w:hanging="702"/>
        <w:jc w:val="left"/>
      </w:pPr>
      <w:r>
        <w:rPr/>
        <w:t>构造</w:t>
      </w:r>
    </w:p>
    <w:p>
      <w:pPr>
        <w:pStyle w:val="BodyText"/>
        <w:spacing w:before="185"/>
        <w:ind w:left="1191"/>
      </w:pPr>
      <w:r>
        <w:rPr/>
        <w:t>区域构造</w:t>
      </w:r>
    </w:p>
    <w:p>
      <w:pPr>
        <w:pStyle w:val="BodyText"/>
        <w:spacing w:before="7"/>
        <w:rPr>
          <w:sz w:val="18"/>
        </w:rPr>
      </w:pPr>
    </w:p>
    <w:p>
      <w:pPr>
        <w:pStyle w:val="BodyText"/>
        <w:spacing w:line="364" w:lineRule="auto"/>
        <w:ind w:left="711" w:right="1153" w:firstLine="480"/>
        <w:jc w:val="both"/>
      </w:pPr>
      <w:r>
        <w:rPr/>
        <w:t>双鸭山煤田位于三江—穆棱河聚煤区的西南部。三江—穆棱河聚煤区属新华夏系第二隆起带上的一个拗折带，东邻那丹哈达岭燕山期褶皱带，西侧是林口— 悦来镇海西期凸起，是从印支期发育起来的一个中生代弧形拗折带，从下白垩世</w:t>
      </w:r>
    </w:p>
    <w:p>
      <w:pPr>
        <w:spacing w:after="0" w:line="364" w:lineRule="auto"/>
        <w:jc w:val="both"/>
        <w:sectPr>
          <w:pgSz w:w="11910" w:h="16840"/>
          <w:pgMar w:header="0" w:footer="993" w:top="1380" w:bottom="1180" w:left="1040" w:right="600"/>
        </w:sectPr>
      </w:pPr>
    </w:p>
    <w:p>
      <w:pPr>
        <w:pStyle w:val="BodyText"/>
        <w:spacing w:before="42"/>
        <w:ind w:left="711"/>
      </w:pPr>
      <w:r>
        <w:rPr/>
        <w:t>开始沉积城子河组和穆棱组含煤地层。</w:t>
      </w:r>
    </w:p>
    <w:p>
      <w:pPr>
        <w:pStyle w:val="BodyText"/>
        <w:spacing w:line="364" w:lineRule="auto" w:before="81"/>
        <w:ind w:left="711" w:right="1149" w:firstLine="480"/>
        <w:jc w:val="both"/>
      </w:pPr>
      <w:r>
        <w:rPr/>
        <w:t>双鸭山煤田总体形态，处于安邦河—七星河弧形复式向斜的中段，南侧为双桦煤田，北侧为集贤煤田。双鸭山煤田是一个东西向展布的弧形向斜构造，地层倾角南翼陡、北翼缓，被后期的双鸭山—宝清七星镇弧形逆冲断层（双鸭山煤田南部断层）切割破坏，是改造双鸭山煤田现存格局的主干断裂。</w:t>
      </w:r>
    </w:p>
    <w:p>
      <w:pPr>
        <w:pStyle w:val="Heading3"/>
        <w:numPr>
          <w:ilvl w:val="2"/>
          <w:numId w:val="52"/>
        </w:numPr>
        <w:tabs>
          <w:tab w:pos="1341" w:val="left" w:leader="none"/>
        </w:tabs>
        <w:spacing w:line="357" w:lineRule="exact" w:before="0" w:after="0"/>
        <w:ind w:left="1340" w:right="0" w:hanging="630"/>
        <w:jc w:val="left"/>
      </w:pPr>
      <w:bookmarkStart w:name="6.2.3矿区地层" w:id="223"/>
      <w:bookmarkEnd w:id="223"/>
      <w:r>
        <w:rPr>
          <w:b w:val="0"/>
        </w:rPr>
      </w:r>
      <w:bookmarkStart w:name="6.2.3矿区地层" w:id="224"/>
      <w:bookmarkEnd w:id="224"/>
      <w:r>
        <w:rPr/>
        <w:t>矿区地层</w:t>
      </w:r>
    </w:p>
    <w:p>
      <w:pPr>
        <w:pStyle w:val="BodyText"/>
        <w:spacing w:line="364" w:lineRule="auto" w:before="185"/>
        <w:ind w:left="711" w:right="1149" w:firstLine="480"/>
        <w:jc w:val="both"/>
      </w:pPr>
      <w:r>
        <w:rPr/>
        <w:t>整合矿区范围含煤地层为下白垩统穆棱组及城子河组，具有经济开采价值的煤层都赋存在城子河组中，本次核实煤层赋存于城子河组，该岩组根据岩相组合及含煤性特征，划分上、下两个含煤层段。</w:t>
      </w:r>
    </w:p>
    <w:p>
      <w:pPr>
        <w:pStyle w:val="BodyText"/>
        <w:spacing w:line="364" w:lineRule="auto"/>
        <w:ind w:left="711" w:right="1033" w:firstLine="480"/>
        <w:rPr>
          <w:rFonts w:ascii="Times New Roman" w:eastAsia="Times New Roman"/>
        </w:rPr>
      </w:pPr>
      <w:r>
        <w:rPr/>
        <w:t>上含煤段：是本区的主要含煤段，各可采煤层均赋存在此段内，上含煤段是从穆棱组底界面到该区的</w:t>
      </w:r>
      <w:r>
        <w:rPr>
          <w:rFonts w:ascii="Times New Roman" w:eastAsia="Times New Roman"/>
        </w:rPr>
        <w:t>40</w:t>
      </w:r>
      <w:r>
        <w:rPr/>
        <w:t>层底板之下</w:t>
      </w:r>
      <w:r>
        <w:rPr>
          <w:rFonts w:ascii="Times New Roman" w:eastAsia="Times New Roman"/>
        </w:rPr>
        <w:t>10</w:t>
      </w:r>
      <w:r>
        <w:rPr/>
        <w:t>余米处的一层含砾粗砂岩为界，控制厚度</w:t>
      </w:r>
      <w:r>
        <w:rPr>
          <w:rFonts w:ascii="Times New Roman" w:eastAsia="Times New Roman"/>
        </w:rPr>
        <w:t>300</w:t>
      </w:r>
      <w:r>
        <w:rPr/>
        <w:t>余米，含煤</w:t>
      </w:r>
      <w:r>
        <w:rPr>
          <w:rFonts w:ascii="Times New Roman" w:eastAsia="Times New Roman"/>
        </w:rPr>
        <w:t>15</w:t>
      </w:r>
      <w:r>
        <w:rPr/>
        <w:t>层，其中可采及临近可采的煤层有</w:t>
      </w:r>
      <w:r>
        <w:rPr>
          <w:rFonts w:ascii="Times New Roman" w:eastAsia="Times New Roman"/>
        </w:rPr>
        <w:t>4</w:t>
      </w:r>
      <w:r>
        <w:rPr/>
        <w:t>层，由上到下称为</w:t>
      </w:r>
      <w:r>
        <w:rPr>
          <w:rFonts w:ascii="Times New Roman" w:eastAsia="Times New Roman"/>
        </w:rPr>
        <w:t>5</w:t>
      </w:r>
      <w:r>
        <w:rPr/>
        <w:t>、</w:t>
      </w:r>
      <w:r>
        <w:rPr>
          <w:rFonts w:ascii="Times New Roman" w:eastAsia="Times New Roman"/>
        </w:rPr>
        <w:t>10</w:t>
      </w:r>
      <w:r>
        <w:rPr/>
        <w:t>、</w:t>
      </w:r>
      <w:r>
        <w:rPr>
          <w:rFonts w:ascii="Times New Roman" w:eastAsia="Times New Roman"/>
        </w:rPr>
        <w:t>15</w:t>
      </w:r>
      <w:r>
        <w:rPr/>
        <w:t>、</w:t>
      </w:r>
      <w:r>
        <w:rPr>
          <w:rFonts w:ascii="Times New Roman" w:eastAsia="Times New Roman"/>
        </w:rPr>
        <w:t>20</w:t>
      </w:r>
      <w:r>
        <w:rPr/>
        <w:t>、</w:t>
      </w:r>
      <w:r>
        <w:rPr>
          <w:rFonts w:ascii="Times New Roman" w:eastAsia="Times New Roman"/>
        </w:rPr>
        <w:t>30</w:t>
      </w:r>
      <w:r>
        <w:rPr/>
        <w:t>、</w:t>
      </w:r>
      <w:r>
        <w:rPr>
          <w:rFonts w:ascii="Times New Roman" w:eastAsia="Times New Roman"/>
        </w:rPr>
        <w:t>40</w:t>
      </w:r>
      <w:r>
        <w:rPr/>
        <w:t>层煤，在本区域内</w:t>
      </w:r>
      <w:r>
        <w:rPr>
          <w:rFonts w:ascii="Times New Roman" w:eastAsia="Times New Roman"/>
        </w:rPr>
        <w:t>5</w:t>
      </w:r>
      <w:r>
        <w:rPr/>
        <w:t>层只有</w:t>
      </w:r>
      <w:r>
        <w:rPr>
          <w:rFonts w:ascii="Times New Roman" w:eastAsia="Times New Roman"/>
        </w:rPr>
        <w:t>56-87</w:t>
      </w:r>
      <w:r>
        <w:rPr/>
        <w:t>孔见煤厚</w:t>
      </w:r>
      <w:r>
        <w:rPr>
          <w:rFonts w:ascii="Times New Roman" w:eastAsia="Times New Roman"/>
        </w:rPr>
        <w:t>0.51</w:t>
      </w:r>
      <w:r>
        <w:rPr/>
        <w:t>和主井下山见</w:t>
      </w:r>
      <w:r>
        <w:rPr>
          <w:rFonts w:ascii="Times New Roman" w:eastAsia="Times New Roman"/>
        </w:rPr>
        <w:t>2</w:t>
      </w:r>
      <w:r>
        <w:rPr/>
        <w:t>层， 煤厚</w:t>
      </w:r>
      <w:r>
        <w:rPr>
          <w:rFonts w:ascii="Times New Roman" w:eastAsia="Times New Roman"/>
        </w:rPr>
        <w:t>0.55</w:t>
      </w:r>
      <w:r>
        <w:rPr/>
        <w:t>米，</w:t>
      </w:r>
      <w:r>
        <w:rPr>
          <w:rFonts w:ascii="Times New Roman" w:eastAsia="Times New Roman"/>
        </w:rPr>
        <w:t>2007-6</w:t>
      </w:r>
      <w:r>
        <w:rPr/>
        <w:t>，</w:t>
      </w:r>
      <w:r>
        <w:rPr>
          <w:rFonts w:ascii="Times New Roman" w:eastAsia="Times New Roman"/>
        </w:rPr>
        <w:t>56-84</w:t>
      </w:r>
      <w:r>
        <w:rPr/>
        <w:t>、</w:t>
      </w:r>
      <w:r>
        <w:rPr>
          <w:rFonts w:ascii="Times New Roman" w:eastAsia="Times New Roman"/>
        </w:rPr>
        <w:t>57-99</w:t>
      </w:r>
      <w:r>
        <w:rPr/>
        <w:t>、</w:t>
      </w:r>
      <w:r>
        <w:rPr>
          <w:rFonts w:ascii="Times New Roman" w:eastAsia="Times New Roman"/>
        </w:rPr>
        <w:t>57-130</w:t>
      </w:r>
      <w:r>
        <w:rPr/>
        <w:t>、</w:t>
      </w:r>
      <w:r>
        <w:rPr>
          <w:rFonts w:ascii="Times New Roman" w:eastAsia="Times New Roman"/>
        </w:rPr>
        <w:t>2007-1</w:t>
      </w:r>
      <w:r>
        <w:rPr/>
        <w:t>、</w:t>
      </w:r>
      <w:r>
        <w:rPr>
          <w:rFonts w:ascii="Times New Roman" w:eastAsia="Times New Roman"/>
        </w:rPr>
        <w:t>2007-2</w:t>
      </w:r>
      <w:r>
        <w:rPr/>
        <w:t>、</w:t>
      </w:r>
      <w:r>
        <w:rPr>
          <w:rFonts w:ascii="Times New Roman" w:eastAsia="Times New Roman"/>
        </w:rPr>
        <w:t>2007-4</w:t>
      </w:r>
      <w:r>
        <w:rPr/>
        <w:t>、</w:t>
      </w:r>
      <w:r>
        <w:rPr>
          <w:rFonts w:ascii="Times New Roman" w:eastAsia="Times New Roman"/>
        </w:rPr>
        <w:t>2007-5</w:t>
      </w:r>
    </w:p>
    <w:p>
      <w:pPr>
        <w:pStyle w:val="BodyText"/>
        <w:spacing w:line="362" w:lineRule="auto"/>
        <w:ind w:left="711" w:right="1084"/>
      </w:pPr>
      <w:r>
        <w:rPr/>
        <w:t>等八个钻孔没见</w:t>
      </w:r>
      <w:r>
        <w:rPr>
          <w:rFonts w:ascii="Times New Roman" w:eastAsia="Times New Roman"/>
        </w:rPr>
        <w:t>5</w:t>
      </w:r>
      <w:r>
        <w:rPr/>
        <w:t>层煤，在整合矿区内局部可采，</w:t>
      </w:r>
      <w:r>
        <w:rPr>
          <w:rFonts w:ascii="Times New Roman" w:eastAsia="Times New Roman"/>
        </w:rPr>
        <w:t>12</w:t>
      </w:r>
      <w:r>
        <w:rPr/>
        <w:t>个钻孔中、</w:t>
      </w:r>
      <w:r>
        <w:rPr>
          <w:rFonts w:ascii="Times New Roman" w:eastAsia="Times New Roman"/>
        </w:rPr>
        <w:t>15</w:t>
      </w:r>
      <w:r>
        <w:rPr/>
        <w:t>层煤厚小于</w:t>
      </w:r>
      <w:r>
        <w:rPr>
          <w:rFonts w:ascii="Times New Roman" w:eastAsia="Times New Roman"/>
        </w:rPr>
        <w:t>0.41 </w:t>
      </w:r>
      <w:r>
        <w:rPr/>
        <w:t>米。该段岩性由深灰色粉砂岩与灰白色中、细砂岩为主。</w:t>
      </w:r>
    </w:p>
    <w:p>
      <w:pPr>
        <w:pStyle w:val="BodyText"/>
        <w:spacing w:line="364" w:lineRule="auto" w:before="1"/>
        <w:ind w:left="711" w:right="1149" w:firstLine="480"/>
        <w:jc w:val="both"/>
      </w:pPr>
      <w:r>
        <w:rPr>
          <w:spacing w:val="-1"/>
        </w:rPr>
        <w:t>下含煤段：指从上含煤段底界面以下到煤系基底之间这段地层，该段地层主</w:t>
      </w:r>
      <w:r>
        <w:rPr>
          <w:spacing w:val="-3"/>
        </w:rPr>
        <w:t>要受基底起伏影响厚度变化较大，最大控制厚度</w:t>
      </w:r>
      <w:r>
        <w:rPr>
          <w:rFonts w:ascii="Times New Roman" w:hAnsi="Times New Roman" w:eastAsia="Times New Roman"/>
        </w:rPr>
        <w:t>200</w:t>
      </w:r>
      <w:r>
        <w:rPr>
          <w:spacing w:val="-7"/>
        </w:rPr>
        <w:t>余米，最薄处不足</w:t>
      </w:r>
      <w:r>
        <w:rPr>
          <w:rFonts w:ascii="Times New Roman" w:hAnsi="Times New Roman" w:eastAsia="Times New Roman"/>
        </w:rPr>
        <w:t>50</w:t>
      </w:r>
      <w:r>
        <w:rPr>
          <w:spacing w:val="-15"/>
        </w:rPr>
        <w:t>米。该段</w:t>
      </w:r>
      <w:r>
        <w:rPr>
          <w:spacing w:val="-1"/>
        </w:rPr>
        <w:t>内岩性主要以灰白色中、粗砂岩为主，夹有薄层深灰色粉砂岩，含煤</w:t>
      </w:r>
      <w:r>
        <w:rPr>
          <w:rFonts w:ascii="Times New Roman" w:hAnsi="Times New Roman" w:eastAsia="Times New Roman"/>
        </w:rPr>
        <w:t>3—5</w:t>
      </w:r>
      <w:r>
        <w:rPr>
          <w:spacing w:val="-5"/>
        </w:rPr>
        <w:t>层但均</w:t>
      </w:r>
      <w:r>
        <w:rPr/>
        <w:t>不可采。不整合覆于下元古界大盘道组地层或海西期花岗岩之上。</w:t>
      </w:r>
    </w:p>
    <w:p>
      <w:pPr>
        <w:pStyle w:val="Heading3"/>
        <w:numPr>
          <w:ilvl w:val="2"/>
          <w:numId w:val="52"/>
        </w:numPr>
        <w:tabs>
          <w:tab w:pos="1341" w:val="left" w:leader="none"/>
        </w:tabs>
        <w:spacing w:line="240" w:lineRule="auto" w:before="0" w:after="0"/>
        <w:ind w:left="1340" w:right="0" w:hanging="630"/>
        <w:jc w:val="left"/>
      </w:pPr>
      <w:bookmarkStart w:name="6.2.4火成岩及岩浆岩活动" w:id="225"/>
      <w:bookmarkEnd w:id="225"/>
      <w:r>
        <w:rPr>
          <w:b w:val="0"/>
        </w:rPr>
      </w:r>
      <w:bookmarkStart w:name="6.2.4火成岩及岩浆岩活动" w:id="226"/>
      <w:bookmarkEnd w:id="226"/>
      <w:r>
        <w:rPr/>
        <w:t>火成岩及岩浆岩活动</w:t>
      </w:r>
    </w:p>
    <w:p>
      <w:pPr>
        <w:pStyle w:val="BodyText"/>
        <w:spacing w:line="364" w:lineRule="auto" w:before="186"/>
        <w:ind w:left="711" w:right="1149" w:firstLine="480"/>
        <w:jc w:val="both"/>
      </w:pPr>
      <w:r>
        <w:rPr>
          <w:spacing w:val="-1"/>
        </w:rPr>
        <w:t>该矿区的岩浆活动频繁，主要是中性侵入岩体。其形成年代是中生代在成煤的后期。其产状主要是以岩床、岩墙或岩脉形式产出，岩性为闪长岩类，沿着西</w:t>
      </w:r>
      <w:r>
        <w:rPr>
          <w:spacing w:val="-7"/>
        </w:rPr>
        <w:t>部断层上升并侵入到含煤地层中，使其质变劣。如在矿区北部的</w:t>
      </w:r>
      <w:r>
        <w:rPr>
          <w:rFonts w:ascii="Times New Roman" w:hAnsi="Times New Roman" w:eastAsia="Times New Roman"/>
        </w:rPr>
        <w:t>57—130</w:t>
      </w:r>
      <w:r>
        <w:rPr/>
        <w:t>号钻孔</w:t>
      </w:r>
      <w:r>
        <w:rPr>
          <w:rFonts w:ascii="Times New Roman" w:hAnsi="Times New Roman" w:eastAsia="Times New Roman"/>
          <w:spacing w:val="-8"/>
        </w:rPr>
        <w:t>20 </w:t>
      </w:r>
      <w:r>
        <w:rPr>
          <w:spacing w:val="-1"/>
        </w:rPr>
        <w:t>煤层在精查地质报告中就推断是闪长岩的隆起边缘带，通过生产补充勘探比如</w:t>
      </w:r>
      <w:r>
        <w:rPr>
          <w:rFonts w:ascii="Times New Roman" w:hAnsi="Times New Roman" w:eastAsia="Times New Roman"/>
          <w:spacing w:val="-7"/>
        </w:rPr>
        <w:t>20 </w:t>
      </w:r>
      <w:r>
        <w:rPr>
          <w:spacing w:val="7"/>
        </w:rPr>
        <w:t>煤层位于矿区东北部附近的第Ⅱ地质勘探线的</w:t>
      </w:r>
      <w:r>
        <w:rPr>
          <w:rFonts w:ascii="Times New Roman" w:hAnsi="Times New Roman" w:eastAsia="Times New Roman"/>
        </w:rPr>
        <w:t>2007-6</w:t>
      </w:r>
      <w:r>
        <w:rPr>
          <w:spacing w:val="6"/>
        </w:rPr>
        <w:t>号孔和第Ⅲ地质勘探线的</w:t>
      </w:r>
      <w:r>
        <w:rPr>
          <w:rFonts w:ascii="Times New Roman" w:hAnsi="Times New Roman" w:eastAsia="Times New Roman"/>
          <w:spacing w:val="6"/>
        </w:rPr>
        <w:t>2007-3</w:t>
      </w:r>
      <w:r>
        <w:rPr>
          <w:spacing w:val="-2"/>
        </w:rPr>
        <w:t>号孔均被火成岩侵蚀。经推断，火成岩侵蚀面积达</w:t>
      </w:r>
      <w:r>
        <w:rPr>
          <w:rFonts w:ascii="Times New Roman" w:hAnsi="Times New Roman" w:eastAsia="Times New Roman"/>
        </w:rPr>
        <w:t>25678</w:t>
      </w:r>
      <w:r>
        <w:rPr>
          <w:spacing w:val="-7"/>
        </w:rPr>
        <w:t>平方米。这和附近</w:t>
      </w:r>
      <w:r>
        <w:rPr>
          <w:spacing w:val="-1"/>
        </w:rPr>
        <w:t>的秃顶山闪长岩突起有密切的关联。矿区南部经原东盛主、副井证实也存有火成</w:t>
      </w:r>
      <w:r>
        <w:rPr/>
        <w:t>岩。</w:t>
      </w:r>
    </w:p>
    <w:p>
      <w:pPr>
        <w:spacing w:after="0" w:line="364" w:lineRule="auto"/>
        <w:jc w:val="both"/>
        <w:sectPr>
          <w:pgSz w:w="11910" w:h="16840"/>
          <w:pgMar w:header="0" w:footer="993" w:top="1460" w:bottom="1180" w:left="1040" w:right="600"/>
        </w:sectPr>
      </w:pPr>
    </w:p>
    <w:p>
      <w:pPr>
        <w:pStyle w:val="Heading2"/>
        <w:numPr>
          <w:ilvl w:val="1"/>
          <w:numId w:val="52"/>
        </w:numPr>
        <w:tabs>
          <w:tab w:pos="1161" w:val="left" w:leader="none"/>
        </w:tabs>
        <w:spacing w:line="240" w:lineRule="auto" w:before="43" w:after="0"/>
        <w:ind w:left="1160" w:right="0" w:hanging="450"/>
        <w:jc w:val="left"/>
        <w:rPr>
          <w:rFonts w:ascii="Times New Roman" w:eastAsia="Times New Roman"/>
        </w:rPr>
      </w:pPr>
      <w:bookmarkStart w:name="6.3水文地质条件" w:id="227"/>
      <w:bookmarkEnd w:id="227"/>
      <w:r>
        <w:rPr>
          <w:b w:val="0"/>
        </w:rPr>
      </w:r>
      <w:bookmarkStart w:name="_bookmark31" w:id="228"/>
      <w:bookmarkEnd w:id="228"/>
      <w:r>
        <w:rPr>
          <w:b w:val="0"/>
        </w:rPr>
      </w:r>
      <w:bookmarkStart w:name="_bookmark31" w:id="229"/>
      <w:bookmarkEnd w:id="229"/>
      <w:r>
        <w:rPr/>
        <w:t>水文地质条件</w:t>
      </w:r>
    </w:p>
    <w:p>
      <w:pPr>
        <w:pStyle w:val="Heading3"/>
        <w:numPr>
          <w:ilvl w:val="2"/>
          <w:numId w:val="52"/>
        </w:numPr>
        <w:tabs>
          <w:tab w:pos="1413" w:val="left" w:leader="none"/>
        </w:tabs>
        <w:spacing w:line="240" w:lineRule="auto" w:before="120" w:after="0"/>
        <w:ind w:left="1412" w:right="0" w:hanging="702"/>
        <w:jc w:val="left"/>
      </w:pPr>
      <w:bookmarkStart w:name="6.3.1 评价区含水层" w:id="230"/>
      <w:bookmarkEnd w:id="230"/>
      <w:r>
        <w:rPr>
          <w:b w:val="0"/>
        </w:rPr>
      </w:r>
      <w:bookmarkStart w:name="6.3.1 评价区含水层" w:id="231"/>
      <w:bookmarkEnd w:id="231"/>
      <w:r>
        <w:rPr/>
        <w:t>评价区含水层</w:t>
      </w:r>
    </w:p>
    <w:p>
      <w:pPr>
        <w:pStyle w:val="BodyText"/>
        <w:spacing w:line="364" w:lineRule="auto" w:before="185"/>
        <w:ind w:left="711" w:right="1153" w:firstLine="480"/>
      </w:pPr>
      <w:r>
        <w:rPr/>
        <w:t>本区分为孔隙含水层和基岩裂隙含水带。现将评价区各含水层分述如下：详见综合水文地质图 </w:t>
      </w:r>
      <w:r>
        <w:rPr>
          <w:rFonts w:ascii="Times New Roman" w:eastAsia="Times New Roman"/>
        </w:rPr>
        <w:t>6.3-1</w:t>
      </w:r>
      <w:r>
        <w:rPr/>
        <w:t>。</w:t>
      </w:r>
    </w:p>
    <w:p>
      <w:pPr>
        <w:pStyle w:val="BodyText"/>
        <w:spacing w:before="78"/>
        <w:ind w:left="1271"/>
      </w:pPr>
      <w:r>
        <w:rPr/>
        <w:t>①孔隙含水层</w:t>
      </w:r>
    </w:p>
    <w:p>
      <w:pPr>
        <w:pStyle w:val="BodyText"/>
        <w:spacing w:line="364" w:lineRule="auto" w:before="161"/>
        <w:ind w:left="711" w:right="1152" w:firstLine="559"/>
      </w:pPr>
      <w:r>
        <w:rPr/>
        <w:t>主要为第四系孔隙含水层，全区发育，厚度一般在 </w:t>
      </w:r>
      <w:r>
        <w:rPr>
          <w:rFonts w:ascii="Times New Roman" w:eastAsia="Times New Roman"/>
        </w:rPr>
        <w:t>30</w:t>
      </w:r>
      <w:r>
        <w:rPr/>
        <w:t>～</w:t>
      </w:r>
      <w:r>
        <w:rPr>
          <w:rFonts w:ascii="Times New Roman" w:eastAsia="Times New Roman"/>
        </w:rPr>
        <w:t>45 m</w:t>
      </w:r>
      <w:r>
        <w:rPr/>
        <w:t>，由东往西逐渐增厚，依据成因类型分山前河流冲积含水层和七星河冲积含水层。</w:t>
      </w:r>
    </w:p>
    <w:p>
      <w:pPr>
        <w:pStyle w:val="BodyText"/>
        <w:spacing w:line="364" w:lineRule="auto" w:before="1"/>
        <w:ind w:left="711" w:right="1074" w:firstLine="559"/>
      </w:pPr>
      <w:r>
        <w:rPr/>
        <w:t>山前河流冲积潜水含水层分布于西部，岩性主要由砂、砾、卵石等组成，为灰黄及黄色，厚度 </w:t>
      </w:r>
      <w:r>
        <w:rPr>
          <w:rFonts w:ascii="Times New Roman" w:eastAsia="Times New Roman"/>
        </w:rPr>
        <w:t>30</w:t>
      </w:r>
      <w:r>
        <w:rPr/>
        <w:t>～</w:t>
      </w:r>
      <w:r>
        <w:rPr>
          <w:rFonts w:ascii="Times New Roman" w:eastAsia="Times New Roman"/>
        </w:rPr>
        <w:t>40 m</w:t>
      </w:r>
      <w:r>
        <w:rPr/>
        <w:t>。</w:t>
      </w:r>
    </w:p>
    <w:p>
      <w:pPr>
        <w:pStyle w:val="BodyText"/>
        <w:spacing w:line="364" w:lineRule="auto" w:before="1"/>
        <w:ind w:left="711" w:right="1153" w:firstLine="559"/>
      </w:pPr>
      <w:r>
        <w:rPr/>
        <w:t>山前河流冲积承压水含层分布于矿区以南，岩性多以粗砂为主，厚度 </w:t>
      </w:r>
      <w:r>
        <w:rPr>
          <w:rFonts w:ascii="Times New Roman" w:eastAsia="Times New Roman"/>
        </w:rPr>
        <w:t>20</w:t>
      </w:r>
      <w:r>
        <w:rPr/>
        <w:t>～ </w:t>
      </w:r>
      <w:r>
        <w:rPr>
          <w:rFonts w:ascii="Times New Roman" w:eastAsia="Times New Roman"/>
        </w:rPr>
        <w:t>30 m</w:t>
      </w:r>
      <w:r>
        <w:rPr/>
        <w:t>。</w:t>
      </w:r>
    </w:p>
    <w:p>
      <w:pPr>
        <w:pStyle w:val="BodyText"/>
        <w:spacing w:line="364" w:lineRule="auto" w:before="1"/>
        <w:ind w:left="711" w:right="1033" w:firstLine="559"/>
      </w:pPr>
      <w:r>
        <w:rPr>
          <w:spacing w:val="-10"/>
        </w:rPr>
        <w:t>七星河冲积含水层主要分布于北部及东南部，北部岩性主要由中砂岩、粗砂、</w:t>
      </w:r>
      <w:r>
        <w:rPr/>
        <w:t>砾砂岩，富水性强，渗透性好。东南部岩性以细砂、粉砂等组成，厚度不均，由</w:t>
      </w:r>
      <w:r>
        <w:rPr>
          <w:spacing w:val="-12"/>
        </w:rPr>
        <w:t>北往南逐渐减少。单位涌水量 </w:t>
      </w:r>
      <w:r>
        <w:rPr>
          <w:rFonts w:ascii="Times New Roman" w:eastAsia="Times New Roman"/>
        </w:rPr>
        <w:t>0.17-0.184 </w:t>
      </w:r>
      <w:r>
        <w:rPr/>
        <w:t>升</w:t>
      </w:r>
      <w:r>
        <w:rPr>
          <w:rFonts w:ascii="Times New Roman" w:eastAsia="Times New Roman"/>
        </w:rPr>
        <w:t>/</w:t>
      </w:r>
      <w:r>
        <w:rPr>
          <w:spacing w:val="-31"/>
        </w:rPr>
        <w:t>秒 </w:t>
      </w:r>
      <w:r>
        <w:rPr>
          <w:rFonts w:ascii="Times New Roman" w:eastAsia="Times New Roman"/>
          <w:spacing w:val="-33"/>
        </w:rPr>
        <w:t>m</w:t>
      </w:r>
      <w:r>
        <w:rPr>
          <w:spacing w:val="-15"/>
        </w:rPr>
        <w:t>，渗透系数为 </w:t>
      </w:r>
      <w:r>
        <w:rPr>
          <w:rFonts w:ascii="Times New Roman" w:eastAsia="Times New Roman"/>
        </w:rPr>
        <w:t>1.160-25.515 m/</w:t>
      </w:r>
      <w:r>
        <w:rPr>
          <w:spacing w:val="-7"/>
        </w:rPr>
        <w:t>日。</w:t>
      </w:r>
    </w:p>
    <w:p>
      <w:pPr>
        <w:pStyle w:val="BodyText"/>
        <w:spacing w:before="2"/>
        <w:ind w:left="1271"/>
      </w:pPr>
      <w:r>
        <w:rPr/>
        <w:t>②基岩裂隙含水层</w:t>
      </w:r>
    </w:p>
    <w:p>
      <w:pPr>
        <w:pStyle w:val="BodyText"/>
        <w:spacing w:before="161"/>
        <w:ind w:left="1271"/>
      </w:pPr>
      <w:r>
        <w:rPr/>
        <w:t>本区分为煤系裂隙含水带和煤系基底裂隙含水带。</w:t>
      </w:r>
    </w:p>
    <w:p>
      <w:pPr>
        <w:pStyle w:val="BodyText"/>
        <w:spacing w:line="364" w:lineRule="auto" w:before="160"/>
        <w:ind w:left="711" w:right="1097" w:firstLine="559"/>
      </w:pPr>
      <w:r>
        <w:rPr/>
        <w:t>煤系裂隙含水带：浅部裂隙发育，厚度 </w:t>
      </w:r>
      <w:r>
        <w:rPr>
          <w:rFonts w:ascii="Times New Roman" w:eastAsia="Times New Roman"/>
        </w:rPr>
        <w:t>30</w:t>
      </w:r>
      <w:r>
        <w:rPr/>
        <w:t>～</w:t>
      </w:r>
      <w:r>
        <w:rPr>
          <w:rFonts w:ascii="Times New Roman" w:eastAsia="Times New Roman"/>
        </w:rPr>
        <w:t>150 m</w:t>
      </w:r>
      <w:r>
        <w:rPr/>
        <w:t>，埋藏深度 </w:t>
      </w:r>
      <w:r>
        <w:rPr>
          <w:rFonts w:ascii="Times New Roman" w:eastAsia="Times New Roman"/>
        </w:rPr>
        <w:t>50</w:t>
      </w:r>
      <w:r>
        <w:rPr/>
        <w:t>～</w:t>
      </w:r>
      <w:r>
        <w:rPr>
          <w:rFonts w:ascii="Times New Roman" w:eastAsia="Times New Roman"/>
        </w:rPr>
        <w:t>250m</w:t>
      </w:r>
      <w:r>
        <w:rPr/>
        <w:t>， 单位涌水量 </w:t>
      </w:r>
      <w:r>
        <w:rPr>
          <w:rFonts w:ascii="Times New Roman" w:eastAsia="Times New Roman"/>
        </w:rPr>
        <w:t>0.089</w:t>
      </w:r>
      <w:r>
        <w:rPr/>
        <w:t>～</w:t>
      </w:r>
      <w:r>
        <w:rPr>
          <w:rFonts w:ascii="Times New Roman" w:eastAsia="Times New Roman"/>
        </w:rPr>
        <w:t>0.095 </w:t>
      </w:r>
      <w:r>
        <w:rPr/>
        <w:t>升</w:t>
      </w:r>
      <w:r>
        <w:rPr>
          <w:rFonts w:ascii="Times New Roman" w:eastAsia="Times New Roman"/>
        </w:rPr>
        <w:t>/</w:t>
      </w:r>
      <w:r>
        <w:rPr/>
        <w:t>秒 </w:t>
      </w:r>
      <w:r>
        <w:rPr>
          <w:rFonts w:ascii="Times New Roman" w:eastAsia="Times New Roman"/>
        </w:rPr>
        <w:t>m</w:t>
      </w:r>
      <w:r>
        <w:rPr/>
        <w:t>，渗透系数 </w:t>
      </w:r>
      <w:r>
        <w:rPr>
          <w:rFonts w:ascii="Times New Roman" w:eastAsia="Times New Roman"/>
        </w:rPr>
        <w:t>0.0624</w:t>
      </w:r>
      <w:r>
        <w:rPr/>
        <w:t>～</w:t>
      </w:r>
      <w:r>
        <w:rPr>
          <w:rFonts w:ascii="Times New Roman" w:eastAsia="Times New Roman"/>
        </w:rPr>
        <w:t>0.106m/</w:t>
      </w:r>
      <w:r>
        <w:rPr/>
        <w:t>日。</w:t>
      </w:r>
    </w:p>
    <w:p>
      <w:pPr>
        <w:pStyle w:val="BodyText"/>
        <w:spacing w:line="229" w:lineRule="exact"/>
        <w:ind w:left="1191"/>
      </w:pPr>
      <w:r>
        <w:rPr/>
        <w:t>煤系基底裂隙含水带：主要分布于本区的北部及南部基底隆起部分，由花岗</w:t>
      </w:r>
    </w:p>
    <w:p>
      <w:pPr>
        <w:pStyle w:val="BodyText"/>
        <w:spacing w:line="364" w:lineRule="auto" w:before="161"/>
        <w:ind w:left="711" w:right="1149"/>
        <w:jc w:val="both"/>
      </w:pPr>
      <w:r>
        <w:rPr/>
        <w:t>岩组成，表面风化强烈，岩石破碎，裂隙不发育，不利于地下水的补给，地表出露处为潜水，低处为承压水，出露面积小，补给条件不好，含水微弱。通过副井井筒，在井筒门往下 </w:t>
      </w:r>
      <w:r>
        <w:rPr>
          <w:rFonts w:ascii="Times New Roman" w:eastAsia="Times New Roman"/>
        </w:rPr>
        <w:t>120 m </w:t>
      </w:r>
      <w:r>
        <w:rPr/>
        <w:t>揭露了土黄色的花岗岩。</w:t>
      </w:r>
    </w:p>
    <w:p>
      <w:pPr>
        <w:pStyle w:val="Heading3"/>
        <w:numPr>
          <w:ilvl w:val="2"/>
          <w:numId w:val="52"/>
        </w:numPr>
        <w:tabs>
          <w:tab w:pos="1341" w:val="left" w:leader="none"/>
        </w:tabs>
        <w:spacing w:line="357" w:lineRule="exact" w:before="0" w:after="0"/>
        <w:ind w:left="1340" w:right="0" w:hanging="630"/>
        <w:jc w:val="left"/>
      </w:pPr>
      <w:bookmarkStart w:name="6.3.2地下水补给、径流及排泄条件" w:id="232"/>
      <w:bookmarkEnd w:id="232"/>
      <w:r>
        <w:rPr>
          <w:b w:val="0"/>
        </w:rPr>
      </w:r>
      <w:bookmarkStart w:name="6.3.2地下水补给、径流及排泄条件" w:id="233"/>
      <w:bookmarkEnd w:id="233"/>
      <w:r>
        <w:rPr/>
        <w:t>地下水补给、径流及排泄条件</w:t>
      </w:r>
    </w:p>
    <w:p>
      <w:pPr>
        <w:pStyle w:val="BodyText"/>
        <w:spacing w:line="364" w:lineRule="auto" w:before="185"/>
        <w:ind w:left="711" w:right="1149" w:firstLine="480"/>
      </w:pPr>
      <w:r>
        <w:rPr/>
        <w:t>从矿井调查资料得知；本矿区地下水的动态变化特征和大气降水变化规律基本相吻合。</w:t>
      </w:r>
    </w:p>
    <w:p>
      <w:pPr>
        <w:pStyle w:val="BodyText"/>
        <w:spacing w:line="364" w:lineRule="auto"/>
        <w:ind w:left="711" w:right="1029" w:firstLine="480"/>
        <w:jc w:val="both"/>
      </w:pPr>
      <w:r>
        <w:rPr/>
        <w:t>七、八月份降雨量集中期，地下水位高；一、二月份，地下水位低。上述规律说明本矿区地下水的主要补给来源为大气降水。上部风化裂隙含水层即全区的地下水积极循环带，位于地下水的分水岭地带，上部残积层很薄，基岩大部分裸</w:t>
      </w:r>
      <w:r>
        <w:rPr>
          <w:spacing w:val="-12"/>
        </w:rPr>
        <w:t>露，有利于大气降水的垂直渗透补给，地下水以垂直运动为主为地下水的补给区。</w:t>
      </w:r>
    </w:p>
    <w:p>
      <w:pPr>
        <w:spacing w:after="0" w:line="364" w:lineRule="auto"/>
        <w:jc w:val="both"/>
        <w:sectPr>
          <w:footerReference w:type="default" r:id="rId40"/>
          <w:pgSz w:w="11910" w:h="16840"/>
          <w:pgMar w:footer="993" w:header="0" w:top="1500" w:bottom="1180" w:left="1040" w:right="600"/>
          <w:pgNumType w:start="100"/>
        </w:sectPr>
      </w:pPr>
    </w:p>
    <w:p>
      <w:pPr>
        <w:pStyle w:val="BodyText"/>
        <w:spacing w:line="364" w:lineRule="auto" w:before="43"/>
        <w:ind w:left="711" w:right="1149"/>
        <w:jc w:val="both"/>
      </w:pPr>
      <w:r>
        <w:rPr/>
        <w:t>位于地下水以补给迳流为主，地下水表现为垂直、水平运动，为地下水的补给径流区。位于地下水以径流汇集到河谷地带，部分溢出地表，部分以地下迳流方式排泄出本矿区。</w:t>
      </w:r>
    </w:p>
    <w:p>
      <w:pPr>
        <w:pStyle w:val="BodyText"/>
        <w:spacing w:line="364" w:lineRule="auto"/>
        <w:ind w:left="711" w:right="1147" w:firstLine="480"/>
        <w:jc w:val="both"/>
      </w:pPr>
      <w:r>
        <w:rPr>
          <w:spacing w:val="-1"/>
        </w:rPr>
        <w:t>在矿井开采过程中，白垩系下统裂隙含水带煤系各层间含水层是矿床充水的</w:t>
      </w:r>
      <w:r>
        <w:rPr>
          <w:spacing w:val="-5"/>
        </w:rPr>
        <w:t>主要来源。由于双阳煤矿已将 </w:t>
      </w:r>
      <w:r>
        <w:rPr>
          <w:rFonts w:ascii="Times New Roman" w:eastAsia="Times New Roman"/>
        </w:rPr>
        <w:t>5 </w:t>
      </w:r>
      <w:r>
        <w:rPr>
          <w:spacing w:val="-1"/>
        </w:rPr>
        <w:t>上层下覆的煤层开采完，东盛煤矿整合矿区范围</w:t>
      </w:r>
      <w:r>
        <w:rPr>
          <w:spacing w:val="-4"/>
        </w:rPr>
        <w:t>处于双阳煤矿东采区疏干区之中，目前形成垂深 </w:t>
      </w:r>
      <w:r>
        <w:rPr>
          <w:rFonts w:ascii="Times New Roman" w:eastAsia="Times New Roman"/>
        </w:rPr>
        <w:t>600 </w:t>
      </w:r>
      <w:r>
        <w:rPr>
          <w:rFonts w:ascii="Times New Roman" w:eastAsia="Times New Roman"/>
          <w:spacing w:val="-4"/>
        </w:rPr>
        <w:t>m</w:t>
      </w:r>
      <w:r>
        <w:rPr>
          <w:spacing w:val="-12"/>
        </w:rPr>
        <w:t>，影响半径 </w:t>
      </w:r>
      <w:r>
        <w:rPr>
          <w:rFonts w:ascii="Times New Roman" w:eastAsia="Times New Roman"/>
        </w:rPr>
        <w:t>2000</w:t>
      </w:r>
      <w:r>
        <w:rPr/>
        <w:t>～</w:t>
      </w:r>
      <w:r>
        <w:rPr>
          <w:rFonts w:ascii="Times New Roman" w:eastAsia="Times New Roman"/>
        </w:rPr>
        <w:t>3000 </w:t>
      </w:r>
      <w:r>
        <w:rPr>
          <w:rFonts w:ascii="Times New Roman" w:eastAsia="Times New Roman"/>
          <w:spacing w:val="-15"/>
        </w:rPr>
        <w:t>m </w:t>
      </w:r>
      <w:r>
        <w:rPr>
          <w:spacing w:val="-1"/>
        </w:rPr>
        <w:t>大型降落漏斗。因此，整合区的矿井涌水主要来源断层水及少量的上覆岩层裂隙</w:t>
      </w:r>
      <w:r>
        <w:rPr/>
        <w:t>水。</w:t>
      </w:r>
    </w:p>
    <w:p>
      <w:pPr>
        <w:pStyle w:val="BodyText"/>
        <w:spacing w:line="362" w:lineRule="auto"/>
        <w:ind w:left="711" w:right="1149" w:firstLine="480"/>
        <w:jc w:val="both"/>
      </w:pPr>
      <w:r>
        <w:rPr/>
        <w:t>综上所述，东盛煤矿为基岩裂隙充水矿床，矿区内没有发现生产矿井，其主要充水含水层和构造破碎带富水性中等，地形有自然排水条件，区内没有大的地表水体，第四系覆盖面积小且薄，水文地质类型为Ⅱ类Ⅱ型。</w:t>
      </w:r>
    </w:p>
    <w:p>
      <w:pPr>
        <w:pStyle w:val="Heading3"/>
        <w:numPr>
          <w:ilvl w:val="2"/>
          <w:numId w:val="52"/>
        </w:numPr>
        <w:tabs>
          <w:tab w:pos="1341" w:val="left" w:leader="none"/>
        </w:tabs>
        <w:spacing w:line="240" w:lineRule="auto" w:before="4" w:after="0"/>
        <w:ind w:left="1340" w:right="0" w:hanging="630"/>
        <w:jc w:val="left"/>
      </w:pPr>
      <w:bookmarkStart w:name="6.3.3矿区涌水量" w:id="234"/>
      <w:bookmarkEnd w:id="234"/>
      <w:r>
        <w:rPr>
          <w:b w:val="0"/>
        </w:rPr>
      </w:r>
      <w:bookmarkStart w:name="6.3.3矿区涌水量" w:id="235"/>
      <w:bookmarkEnd w:id="235"/>
      <w:r>
        <w:rPr/>
        <w:t>矿区涌水量</w:t>
      </w:r>
    </w:p>
    <w:p>
      <w:pPr>
        <w:pStyle w:val="BodyText"/>
        <w:spacing w:line="364" w:lineRule="auto" w:before="186"/>
        <w:ind w:left="711" w:right="1153" w:firstLine="480"/>
        <w:jc w:val="both"/>
      </w:pPr>
      <w:r>
        <w:rPr/>
        <w:t>根据《双鸭山市东盛矿业集团有限公司水文地质类型划分报告》，改扩建后矿井正常涌水量为 </w:t>
      </w:r>
      <w:r>
        <w:rPr>
          <w:rFonts w:ascii="Times New Roman" w:eastAsia="Times New Roman"/>
        </w:rPr>
        <w:t>20m</w:t>
      </w:r>
      <w:r>
        <w:rPr>
          <w:rFonts w:ascii="Times New Roman" w:eastAsia="Times New Roman"/>
          <w:position w:val="8"/>
          <w:sz w:val="15"/>
        </w:rPr>
        <w:t>3</w:t>
      </w:r>
      <w:r>
        <w:rPr>
          <w:rFonts w:ascii="Times New Roman" w:eastAsia="Times New Roman"/>
        </w:rPr>
        <w:t>/h</w:t>
      </w:r>
      <w:r>
        <w:rPr/>
        <w:t>，最大涌水量为 </w:t>
      </w:r>
      <w:r>
        <w:rPr>
          <w:rFonts w:ascii="Times New Roman" w:eastAsia="Times New Roman"/>
        </w:rPr>
        <w:t>50m</w:t>
      </w:r>
      <w:r>
        <w:rPr>
          <w:rFonts w:ascii="Times New Roman" w:eastAsia="Times New Roman"/>
          <w:position w:val="8"/>
          <w:sz w:val="15"/>
        </w:rPr>
        <w:t>3</w:t>
      </w:r>
      <w:r>
        <w:rPr>
          <w:rFonts w:ascii="Times New Roman" w:eastAsia="Times New Roman"/>
        </w:rPr>
        <w:t>/h</w:t>
      </w:r>
      <w:r>
        <w:rPr/>
        <w:t>。</w:t>
      </w:r>
    </w:p>
    <w:p>
      <w:pPr>
        <w:pStyle w:val="Heading2"/>
        <w:numPr>
          <w:ilvl w:val="1"/>
          <w:numId w:val="52"/>
        </w:numPr>
        <w:tabs>
          <w:tab w:pos="1161" w:val="left" w:leader="none"/>
        </w:tabs>
        <w:spacing w:line="240" w:lineRule="auto" w:before="116" w:after="0"/>
        <w:ind w:left="1160" w:right="0" w:hanging="450"/>
        <w:jc w:val="left"/>
        <w:rPr>
          <w:rFonts w:ascii="Times New Roman" w:eastAsia="Times New Roman"/>
        </w:rPr>
      </w:pPr>
      <w:bookmarkStart w:name="6.4地下水环境质量现状评价" w:id="236"/>
      <w:bookmarkEnd w:id="236"/>
      <w:r>
        <w:rPr>
          <w:b w:val="0"/>
        </w:rPr>
      </w:r>
      <w:bookmarkStart w:name="_bookmark32" w:id="237"/>
      <w:bookmarkEnd w:id="237"/>
      <w:r>
        <w:rPr>
          <w:b w:val="0"/>
        </w:rPr>
      </w:r>
      <w:bookmarkStart w:name="_bookmark32" w:id="238"/>
      <w:bookmarkEnd w:id="238"/>
      <w:r>
        <w:rPr/>
        <w:t>地下水环境质量现状评价</w:t>
      </w:r>
    </w:p>
    <w:p>
      <w:pPr>
        <w:pStyle w:val="Heading3"/>
        <w:numPr>
          <w:ilvl w:val="2"/>
          <w:numId w:val="52"/>
        </w:numPr>
        <w:tabs>
          <w:tab w:pos="1413" w:val="left" w:leader="none"/>
        </w:tabs>
        <w:spacing w:line="240" w:lineRule="auto" w:before="123" w:after="0"/>
        <w:ind w:left="1412" w:right="0" w:hanging="702"/>
        <w:jc w:val="left"/>
      </w:pPr>
      <w:bookmarkStart w:name="6.4.1 地下水环境质量现状监测" w:id="239"/>
      <w:bookmarkEnd w:id="239"/>
      <w:r>
        <w:rPr>
          <w:b w:val="0"/>
        </w:rPr>
      </w:r>
      <w:bookmarkStart w:name="6.4.1 地下水环境质量现状监测" w:id="240"/>
      <w:bookmarkEnd w:id="240"/>
      <w:r>
        <w:rPr/>
        <w:t>地下水环境质量现状监测</w:t>
      </w:r>
    </w:p>
    <w:p>
      <w:pPr>
        <w:pStyle w:val="Heading4"/>
        <w:numPr>
          <w:ilvl w:val="3"/>
          <w:numId w:val="53"/>
        </w:numPr>
        <w:tabs>
          <w:tab w:pos="1432" w:val="left" w:leader="none"/>
        </w:tabs>
        <w:spacing w:line="240" w:lineRule="auto" w:before="185" w:after="0"/>
        <w:ind w:left="1432" w:right="0" w:hanging="721"/>
        <w:jc w:val="left"/>
      </w:pPr>
      <w:r>
        <w:rPr/>
        <w:t>现状调查及监测点布设</w:t>
      </w:r>
    </w:p>
    <w:p>
      <w:pPr>
        <w:pStyle w:val="BodyText"/>
        <w:spacing w:before="158"/>
        <w:ind w:left="1191"/>
      </w:pPr>
      <w:r>
        <w:rPr>
          <w:rFonts w:ascii="Times New Roman" w:eastAsia="Times New Roman"/>
        </w:rPr>
        <w:t>1</w:t>
      </w:r>
      <w:r>
        <w:rPr/>
        <w:t>、监测时间与频率</w:t>
      </w:r>
    </w:p>
    <w:p>
      <w:pPr>
        <w:pStyle w:val="BodyText"/>
        <w:spacing w:before="161"/>
        <w:ind w:left="1191"/>
        <w:rPr>
          <w:rFonts w:ascii="Times New Roman" w:eastAsia="Times New Roman"/>
        </w:rPr>
      </w:pPr>
      <w:r>
        <w:rPr/>
        <w:t>本项目地下水现状监测委托黑龙江康和检测有限公司完成。监测时间为 </w:t>
      </w:r>
      <w:r>
        <w:rPr>
          <w:rFonts w:ascii="Times New Roman" w:eastAsia="Times New Roman"/>
        </w:rPr>
        <w:t>2020</w:t>
      </w:r>
    </w:p>
    <w:p>
      <w:pPr>
        <w:pStyle w:val="BodyText"/>
        <w:spacing w:before="160"/>
        <w:ind w:left="711"/>
        <w:jc w:val="both"/>
      </w:pPr>
      <w:r>
        <w:rPr/>
        <w:t>年 </w:t>
      </w:r>
      <w:r>
        <w:rPr>
          <w:rFonts w:ascii="Times New Roman" w:eastAsia="Times New Roman"/>
        </w:rPr>
        <w:t>6 </w:t>
      </w:r>
      <w:r>
        <w:rPr/>
        <w:t>月 </w:t>
      </w:r>
      <w:r>
        <w:rPr>
          <w:rFonts w:ascii="Times New Roman" w:eastAsia="Times New Roman"/>
        </w:rPr>
        <w:t>18 </w:t>
      </w:r>
      <w:r>
        <w:rPr/>
        <w:t>日，监测频率为 </w:t>
      </w:r>
      <w:r>
        <w:rPr>
          <w:rFonts w:ascii="Times New Roman" w:eastAsia="Times New Roman"/>
        </w:rPr>
        <w:t>1 </w:t>
      </w:r>
      <w:r>
        <w:rPr/>
        <w:t>天。</w:t>
      </w:r>
    </w:p>
    <w:p>
      <w:pPr>
        <w:pStyle w:val="BodyText"/>
        <w:spacing w:before="158"/>
        <w:ind w:left="1191"/>
      </w:pPr>
      <w:r>
        <w:rPr>
          <w:rFonts w:ascii="Times New Roman" w:eastAsia="Times New Roman"/>
        </w:rPr>
        <w:t>2</w:t>
      </w:r>
      <w:r>
        <w:rPr/>
        <w:t>、监测点布设</w:t>
      </w:r>
    </w:p>
    <w:p>
      <w:pPr>
        <w:pStyle w:val="BodyText"/>
        <w:spacing w:before="161"/>
        <w:ind w:left="1191"/>
      </w:pPr>
      <w:r>
        <w:rPr/>
        <w:t>本项目在待建场地周边设置 </w:t>
      </w:r>
      <w:r>
        <w:rPr>
          <w:rFonts w:ascii="Times New Roman" w:eastAsia="Times New Roman"/>
        </w:rPr>
        <w:t>3 </w:t>
      </w:r>
      <w:r>
        <w:rPr/>
        <w:t>个地下水水质和水位监测点，另设 </w:t>
      </w:r>
      <w:r>
        <w:rPr>
          <w:rFonts w:ascii="Times New Roman" w:eastAsia="Times New Roman"/>
        </w:rPr>
        <w:t>3 </w:t>
      </w:r>
      <w:r>
        <w:rPr/>
        <w:t>个地下水</w:t>
      </w:r>
    </w:p>
    <w:p>
      <w:pPr>
        <w:pStyle w:val="BodyText"/>
        <w:spacing w:line="364" w:lineRule="auto" w:before="158"/>
        <w:ind w:left="711" w:right="1153"/>
      </w:pPr>
      <w:r>
        <w:rPr>
          <w:spacing w:val="-8"/>
        </w:rPr>
        <w:t>水位监测点，于 </w:t>
      </w:r>
      <w:r>
        <w:rPr>
          <w:rFonts w:ascii="Times New Roman" w:eastAsia="Times New Roman"/>
        </w:rPr>
        <w:t>2020 </w:t>
      </w:r>
      <w:r>
        <w:rPr>
          <w:spacing w:val="-30"/>
        </w:rPr>
        <w:t>年 </w:t>
      </w:r>
      <w:r>
        <w:rPr>
          <w:rFonts w:ascii="Times New Roman" w:eastAsia="Times New Roman"/>
        </w:rPr>
        <w:t>6 </w:t>
      </w:r>
      <w:r>
        <w:rPr>
          <w:spacing w:val="-30"/>
        </w:rPr>
        <w:t>月 </w:t>
      </w:r>
      <w:r>
        <w:rPr>
          <w:rFonts w:ascii="Times New Roman" w:eastAsia="Times New Roman"/>
        </w:rPr>
        <w:t>18 </w:t>
      </w:r>
      <w:r>
        <w:rPr>
          <w:spacing w:val="-1"/>
        </w:rPr>
        <w:t>日对水质进行了一次取样监测，对各监测点水位</w:t>
      </w:r>
      <w:r>
        <w:rPr>
          <w:spacing w:val="-5"/>
        </w:rPr>
        <w:t>进行了测量。监测点概况见表 </w:t>
      </w:r>
      <w:r>
        <w:rPr>
          <w:rFonts w:ascii="Times New Roman" w:eastAsia="Times New Roman"/>
        </w:rPr>
        <w:t>6.4-1</w:t>
      </w:r>
      <w:r>
        <w:rPr/>
        <w:t>。</w:t>
      </w:r>
    </w:p>
    <w:p>
      <w:pPr>
        <w:pStyle w:val="Heading4"/>
        <w:spacing w:line="306" w:lineRule="exact" w:after="3"/>
        <w:ind w:left="2893"/>
      </w:pPr>
      <w:r>
        <w:rPr/>
        <w:t>表 </w:t>
      </w:r>
      <w:r>
        <w:rPr>
          <w:rFonts w:ascii="Times New Roman" w:eastAsia="Times New Roman"/>
        </w:rPr>
        <w:t>6.4-1  </w:t>
      </w:r>
      <w:r>
        <w:rPr/>
        <w:t>地下水水质监测点概况表</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735"/>
        <w:gridCol w:w="1457"/>
        <w:gridCol w:w="1052"/>
        <w:gridCol w:w="1063"/>
        <w:gridCol w:w="1387"/>
        <w:gridCol w:w="1904"/>
      </w:tblGrid>
      <w:tr>
        <w:trPr>
          <w:trHeight w:val="623" w:hRule="atLeast"/>
        </w:trPr>
        <w:tc>
          <w:tcPr>
            <w:tcW w:w="924" w:type="dxa"/>
          </w:tcPr>
          <w:p>
            <w:pPr>
              <w:pStyle w:val="TableParagraph"/>
              <w:spacing w:before="22"/>
              <w:ind w:left="125" w:right="118"/>
              <w:rPr>
                <w:sz w:val="21"/>
              </w:rPr>
            </w:pPr>
            <w:r>
              <w:rPr>
                <w:sz w:val="21"/>
              </w:rPr>
              <w:t>监测点</w:t>
            </w:r>
          </w:p>
          <w:p>
            <w:pPr>
              <w:pStyle w:val="TableParagraph"/>
              <w:spacing w:before="42"/>
              <w:ind w:left="125" w:right="118"/>
              <w:rPr>
                <w:sz w:val="21"/>
              </w:rPr>
            </w:pPr>
            <w:r>
              <w:rPr>
                <w:sz w:val="21"/>
              </w:rPr>
              <w:t>类型</w:t>
            </w:r>
          </w:p>
        </w:tc>
        <w:tc>
          <w:tcPr>
            <w:tcW w:w="735" w:type="dxa"/>
          </w:tcPr>
          <w:p>
            <w:pPr>
              <w:pStyle w:val="TableParagraph"/>
              <w:spacing w:before="177"/>
              <w:ind w:left="155"/>
              <w:jc w:val="left"/>
              <w:rPr>
                <w:sz w:val="21"/>
              </w:rPr>
            </w:pPr>
            <w:r>
              <w:rPr>
                <w:sz w:val="21"/>
              </w:rPr>
              <w:t>编号</w:t>
            </w:r>
          </w:p>
        </w:tc>
        <w:tc>
          <w:tcPr>
            <w:tcW w:w="1457" w:type="dxa"/>
          </w:tcPr>
          <w:p>
            <w:pPr>
              <w:pStyle w:val="TableParagraph"/>
              <w:spacing w:before="177"/>
              <w:ind w:left="496" w:right="491"/>
              <w:rPr>
                <w:sz w:val="21"/>
              </w:rPr>
            </w:pPr>
            <w:r>
              <w:rPr>
                <w:sz w:val="21"/>
              </w:rPr>
              <w:t>坐标</w:t>
            </w:r>
          </w:p>
        </w:tc>
        <w:tc>
          <w:tcPr>
            <w:tcW w:w="1052" w:type="dxa"/>
          </w:tcPr>
          <w:p>
            <w:pPr>
              <w:pStyle w:val="TableParagraph"/>
              <w:spacing w:before="177"/>
              <w:ind w:left="106" w:right="-15"/>
              <w:rPr>
                <w:sz w:val="21"/>
              </w:rPr>
            </w:pPr>
            <w:r>
              <w:rPr>
                <w:spacing w:val="-31"/>
                <w:sz w:val="21"/>
              </w:rPr>
              <w:t>井深</w:t>
            </w:r>
            <w:r>
              <w:rPr>
                <w:sz w:val="21"/>
              </w:rPr>
              <w:t>（</w:t>
            </w:r>
            <w:r>
              <w:rPr>
                <w:rFonts w:ascii="Times New Roman" w:eastAsia="Times New Roman"/>
                <w:sz w:val="21"/>
              </w:rPr>
              <w:t>m</w:t>
            </w:r>
            <w:r>
              <w:rPr>
                <w:sz w:val="21"/>
              </w:rPr>
              <w:t>）</w:t>
            </w:r>
          </w:p>
        </w:tc>
        <w:tc>
          <w:tcPr>
            <w:tcW w:w="1063" w:type="dxa"/>
          </w:tcPr>
          <w:p>
            <w:pPr>
              <w:pStyle w:val="TableParagraph"/>
              <w:spacing w:before="177"/>
              <w:ind w:left="150" w:right="139"/>
              <w:rPr>
                <w:rFonts w:ascii="Times New Roman" w:eastAsia="Times New Roman"/>
                <w:sz w:val="21"/>
              </w:rPr>
            </w:pPr>
            <w:r>
              <w:rPr>
                <w:sz w:val="21"/>
              </w:rPr>
              <w:t>水位</w:t>
            </w:r>
            <w:r>
              <w:rPr>
                <w:rFonts w:ascii="Times New Roman" w:eastAsia="Times New Roman"/>
                <w:sz w:val="21"/>
              </w:rPr>
              <w:t>(m)</w:t>
            </w:r>
          </w:p>
        </w:tc>
        <w:tc>
          <w:tcPr>
            <w:tcW w:w="1387" w:type="dxa"/>
          </w:tcPr>
          <w:p>
            <w:pPr>
              <w:pStyle w:val="TableParagraph"/>
              <w:spacing w:before="177"/>
              <w:ind w:left="148" w:right="139"/>
              <w:rPr>
                <w:sz w:val="21"/>
              </w:rPr>
            </w:pPr>
            <w:r>
              <w:rPr>
                <w:sz w:val="21"/>
              </w:rPr>
              <w:t>监测井功能</w:t>
            </w:r>
          </w:p>
        </w:tc>
        <w:tc>
          <w:tcPr>
            <w:tcW w:w="1904" w:type="dxa"/>
          </w:tcPr>
          <w:p>
            <w:pPr>
              <w:pStyle w:val="TableParagraph"/>
              <w:spacing w:before="177"/>
              <w:ind w:left="510" w:right="504"/>
              <w:rPr>
                <w:sz w:val="21"/>
              </w:rPr>
            </w:pPr>
            <w:r>
              <w:rPr>
                <w:sz w:val="21"/>
              </w:rPr>
              <w:t>监测层位</w:t>
            </w:r>
          </w:p>
        </w:tc>
      </w:tr>
      <w:tr>
        <w:trPr>
          <w:trHeight w:val="624" w:hRule="atLeast"/>
        </w:trPr>
        <w:tc>
          <w:tcPr>
            <w:tcW w:w="924" w:type="dxa"/>
            <w:vMerge w:val="restart"/>
          </w:tcPr>
          <w:p>
            <w:pPr>
              <w:pStyle w:val="TableParagraph"/>
              <w:spacing w:line="278" w:lineRule="auto" w:before="26"/>
              <w:ind w:left="146" w:right="136"/>
              <w:jc w:val="both"/>
              <w:rPr>
                <w:sz w:val="21"/>
              </w:rPr>
            </w:pPr>
            <w:r>
              <w:rPr>
                <w:spacing w:val="-6"/>
                <w:sz w:val="21"/>
              </w:rPr>
              <w:t>地下水水质、</w:t>
            </w:r>
            <w:r>
              <w:rPr>
                <w:spacing w:val="-6"/>
                <w:w w:val="95"/>
                <w:sz w:val="21"/>
              </w:rPr>
              <w:t>水位监</w:t>
            </w:r>
          </w:p>
          <w:p>
            <w:pPr>
              <w:pStyle w:val="TableParagraph"/>
              <w:spacing w:line="269" w:lineRule="exact"/>
              <w:ind w:left="251"/>
              <w:jc w:val="left"/>
              <w:rPr>
                <w:sz w:val="21"/>
              </w:rPr>
            </w:pPr>
            <w:r>
              <w:rPr>
                <w:spacing w:val="-1"/>
                <w:w w:val="95"/>
                <w:sz w:val="21"/>
              </w:rPr>
              <w:t>测点</w:t>
            </w:r>
          </w:p>
        </w:tc>
        <w:tc>
          <w:tcPr>
            <w:tcW w:w="735" w:type="dxa"/>
          </w:tcPr>
          <w:p>
            <w:pPr>
              <w:pStyle w:val="TableParagraph"/>
              <w:spacing w:before="191"/>
              <w:ind w:left="203"/>
              <w:jc w:val="left"/>
              <w:rPr>
                <w:rFonts w:ascii="Times New Roman"/>
                <w:sz w:val="21"/>
              </w:rPr>
            </w:pPr>
            <w:r>
              <w:rPr>
                <w:rFonts w:ascii="Times New Roman"/>
                <w:sz w:val="21"/>
              </w:rPr>
              <w:t>JC1</w:t>
            </w:r>
          </w:p>
        </w:tc>
        <w:tc>
          <w:tcPr>
            <w:tcW w:w="1457" w:type="dxa"/>
          </w:tcPr>
          <w:p>
            <w:pPr>
              <w:pStyle w:val="TableParagraph"/>
              <w:spacing w:before="35"/>
              <w:ind w:left="107"/>
              <w:jc w:val="left"/>
              <w:rPr>
                <w:rFonts w:ascii="Times New Roman" w:hAnsi="Times New Roman"/>
                <w:sz w:val="21"/>
              </w:rPr>
            </w:pPr>
            <w:r>
              <w:rPr>
                <w:rFonts w:ascii="Times New Roman" w:hAnsi="Times New Roman"/>
                <w:sz w:val="21"/>
              </w:rPr>
              <w:t>131°10'34.00"</w:t>
            </w:r>
          </w:p>
          <w:p>
            <w:pPr>
              <w:pStyle w:val="TableParagraph"/>
              <w:spacing w:before="71"/>
              <w:ind w:left="107"/>
              <w:jc w:val="left"/>
              <w:rPr>
                <w:rFonts w:ascii="Times New Roman" w:hAnsi="Times New Roman"/>
                <w:sz w:val="21"/>
              </w:rPr>
            </w:pPr>
            <w:r>
              <w:rPr>
                <w:rFonts w:ascii="Times New Roman" w:hAnsi="Times New Roman"/>
                <w:sz w:val="21"/>
              </w:rPr>
              <w:t>46°34'37.01"</w:t>
            </w:r>
          </w:p>
        </w:tc>
        <w:tc>
          <w:tcPr>
            <w:tcW w:w="1052" w:type="dxa"/>
          </w:tcPr>
          <w:p>
            <w:pPr>
              <w:pStyle w:val="TableParagraph"/>
              <w:spacing w:before="191"/>
              <w:ind w:left="106" w:right="96"/>
              <w:rPr>
                <w:rFonts w:ascii="Times New Roman"/>
                <w:sz w:val="21"/>
              </w:rPr>
            </w:pPr>
            <w:r>
              <w:rPr>
                <w:rFonts w:ascii="Times New Roman"/>
                <w:sz w:val="21"/>
              </w:rPr>
              <w:t>15</w:t>
            </w:r>
          </w:p>
        </w:tc>
        <w:tc>
          <w:tcPr>
            <w:tcW w:w="1063" w:type="dxa"/>
          </w:tcPr>
          <w:p>
            <w:pPr>
              <w:pStyle w:val="TableParagraph"/>
              <w:spacing w:before="191"/>
              <w:ind w:left="7"/>
              <w:rPr>
                <w:rFonts w:ascii="Times New Roman"/>
                <w:sz w:val="21"/>
              </w:rPr>
            </w:pPr>
            <w:r>
              <w:rPr>
                <w:rFonts w:ascii="Times New Roman"/>
                <w:w w:val="99"/>
                <w:sz w:val="21"/>
              </w:rPr>
              <w:t>8</w:t>
            </w:r>
          </w:p>
        </w:tc>
        <w:tc>
          <w:tcPr>
            <w:tcW w:w="1387" w:type="dxa"/>
          </w:tcPr>
          <w:p>
            <w:pPr>
              <w:pStyle w:val="TableParagraph"/>
              <w:spacing w:before="21"/>
              <w:ind w:left="148" w:right="139"/>
              <w:rPr>
                <w:sz w:val="21"/>
              </w:rPr>
            </w:pPr>
            <w:r>
              <w:rPr>
                <w:sz w:val="21"/>
              </w:rPr>
              <w:t>矿区生活水</w:t>
            </w:r>
          </w:p>
          <w:p>
            <w:pPr>
              <w:pStyle w:val="TableParagraph"/>
              <w:spacing w:before="43"/>
              <w:ind w:left="146" w:right="139"/>
              <w:rPr>
                <w:sz w:val="21"/>
              </w:rPr>
            </w:pPr>
            <w:r>
              <w:rPr>
                <w:sz w:val="21"/>
              </w:rPr>
              <w:t>水源井</w:t>
            </w:r>
          </w:p>
        </w:tc>
        <w:tc>
          <w:tcPr>
            <w:tcW w:w="1904" w:type="dxa"/>
          </w:tcPr>
          <w:p>
            <w:pPr>
              <w:pStyle w:val="TableParagraph"/>
              <w:spacing w:before="177"/>
              <w:ind w:left="510" w:right="502"/>
              <w:rPr>
                <w:sz w:val="21"/>
              </w:rPr>
            </w:pPr>
            <w:r>
              <w:rPr>
                <w:sz w:val="21"/>
              </w:rPr>
              <w:t>潜水</w:t>
            </w:r>
          </w:p>
        </w:tc>
      </w:tr>
      <w:tr>
        <w:trPr>
          <w:trHeight w:val="622" w:hRule="atLeast"/>
        </w:trPr>
        <w:tc>
          <w:tcPr>
            <w:tcW w:w="924" w:type="dxa"/>
            <w:vMerge/>
            <w:tcBorders>
              <w:top w:val="nil"/>
            </w:tcBorders>
          </w:tcPr>
          <w:p>
            <w:pPr>
              <w:rPr>
                <w:sz w:val="2"/>
                <w:szCs w:val="2"/>
              </w:rPr>
            </w:pPr>
          </w:p>
        </w:tc>
        <w:tc>
          <w:tcPr>
            <w:tcW w:w="735" w:type="dxa"/>
          </w:tcPr>
          <w:p>
            <w:pPr>
              <w:pStyle w:val="TableParagraph"/>
              <w:spacing w:before="191"/>
              <w:ind w:left="203"/>
              <w:jc w:val="left"/>
              <w:rPr>
                <w:rFonts w:ascii="Times New Roman"/>
                <w:sz w:val="21"/>
              </w:rPr>
            </w:pPr>
            <w:r>
              <w:rPr>
                <w:rFonts w:ascii="Times New Roman"/>
                <w:sz w:val="21"/>
              </w:rPr>
              <w:t>JC2</w:t>
            </w:r>
          </w:p>
        </w:tc>
        <w:tc>
          <w:tcPr>
            <w:tcW w:w="1457" w:type="dxa"/>
          </w:tcPr>
          <w:p>
            <w:pPr>
              <w:pStyle w:val="TableParagraph"/>
              <w:spacing w:before="35"/>
              <w:ind w:left="126"/>
              <w:jc w:val="left"/>
              <w:rPr>
                <w:rFonts w:ascii="Times New Roman" w:hAnsi="Times New Roman"/>
                <w:sz w:val="21"/>
              </w:rPr>
            </w:pPr>
            <w:r>
              <w:rPr>
                <w:rFonts w:ascii="Times New Roman" w:hAnsi="Times New Roman"/>
                <w:sz w:val="21"/>
              </w:rPr>
              <w:t>131°10'54.02"</w:t>
            </w:r>
          </w:p>
          <w:p>
            <w:pPr>
              <w:pStyle w:val="TableParagraph"/>
              <w:spacing w:before="70"/>
              <w:ind w:left="179"/>
              <w:jc w:val="left"/>
              <w:rPr>
                <w:rFonts w:ascii="Times New Roman" w:hAnsi="Times New Roman"/>
                <w:sz w:val="21"/>
              </w:rPr>
            </w:pPr>
            <w:r>
              <w:rPr>
                <w:rFonts w:ascii="Times New Roman" w:hAnsi="Times New Roman"/>
                <w:sz w:val="21"/>
              </w:rPr>
              <w:t>46°34'47.00"</w:t>
            </w:r>
          </w:p>
        </w:tc>
        <w:tc>
          <w:tcPr>
            <w:tcW w:w="1052" w:type="dxa"/>
          </w:tcPr>
          <w:p>
            <w:pPr>
              <w:pStyle w:val="TableParagraph"/>
              <w:spacing w:before="191"/>
              <w:ind w:left="106" w:right="96"/>
              <w:rPr>
                <w:rFonts w:ascii="Times New Roman"/>
                <w:sz w:val="21"/>
              </w:rPr>
            </w:pPr>
            <w:r>
              <w:rPr>
                <w:rFonts w:ascii="Times New Roman"/>
                <w:sz w:val="21"/>
              </w:rPr>
              <w:t>18</w:t>
            </w:r>
          </w:p>
        </w:tc>
        <w:tc>
          <w:tcPr>
            <w:tcW w:w="1063" w:type="dxa"/>
          </w:tcPr>
          <w:p>
            <w:pPr>
              <w:pStyle w:val="TableParagraph"/>
              <w:spacing w:before="191"/>
              <w:ind w:left="146" w:right="139"/>
              <w:rPr>
                <w:rFonts w:ascii="Times New Roman"/>
                <w:sz w:val="21"/>
              </w:rPr>
            </w:pPr>
            <w:r>
              <w:rPr>
                <w:rFonts w:ascii="Times New Roman"/>
                <w:sz w:val="21"/>
              </w:rPr>
              <w:t>10</w:t>
            </w:r>
          </w:p>
        </w:tc>
        <w:tc>
          <w:tcPr>
            <w:tcW w:w="1387" w:type="dxa"/>
          </w:tcPr>
          <w:p>
            <w:pPr>
              <w:pStyle w:val="TableParagraph"/>
              <w:spacing w:before="177"/>
              <w:ind w:left="148" w:right="139"/>
              <w:rPr>
                <w:sz w:val="21"/>
              </w:rPr>
            </w:pPr>
            <w:r>
              <w:rPr>
                <w:sz w:val="21"/>
              </w:rPr>
              <w:t>灌溉用水井</w:t>
            </w:r>
          </w:p>
        </w:tc>
        <w:tc>
          <w:tcPr>
            <w:tcW w:w="1904" w:type="dxa"/>
          </w:tcPr>
          <w:p>
            <w:pPr>
              <w:pStyle w:val="TableParagraph"/>
              <w:spacing w:before="177"/>
              <w:ind w:left="510" w:right="502"/>
              <w:rPr>
                <w:sz w:val="21"/>
              </w:rPr>
            </w:pPr>
            <w:r>
              <w:rPr>
                <w:sz w:val="21"/>
              </w:rPr>
              <w:t>潜水</w:t>
            </w:r>
          </w:p>
        </w:tc>
      </w:tr>
    </w:tbl>
    <w:p>
      <w:pPr>
        <w:spacing w:after="0"/>
        <w:rPr>
          <w:sz w:val="21"/>
        </w:rPr>
        <w:sectPr>
          <w:pgSz w:w="11910" w:h="16840"/>
          <w:pgMar w:header="0" w:footer="993" w:top="1380" w:bottom="1180" w:left="1040" w:right="600"/>
        </w:sect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735"/>
        <w:gridCol w:w="1457"/>
        <w:gridCol w:w="1052"/>
        <w:gridCol w:w="1063"/>
        <w:gridCol w:w="1387"/>
        <w:gridCol w:w="1904"/>
      </w:tblGrid>
      <w:tr>
        <w:trPr>
          <w:trHeight w:val="652" w:hRule="atLeast"/>
        </w:trPr>
        <w:tc>
          <w:tcPr>
            <w:tcW w:w="924" w:type="dxa"/>
          </w:tcPr>
          <w:p>
            <w:pPr>
              <w:pStyle w:val="TableParagraph"/>
              <w:jc w:val="left"/>
              <w:rPr>
                <w:rFonts w:ascii="Times New Roman"/>
                <w:sz w:val="20"/>
              </w:rPr>
            </w:pPr>
          </w:p>
        </w:tc>
        <w:tc>
          <w:tcPr>
            <w:tcW w:w="735" w:type="dxa"/>
          </w:tcPr>
          <w:p>
            <w:pPr>
              <w:pStyle w:val="TableParagraph"/>
              <w:jc w:val="left"/>
              <w:rPr>
                <w:b/>
                <w:sz w:val="16"/>
              </w:rPr>
            </w:pPr>
          </w:p>
          <w:p>
            <w:pPr>
              <w:pStyle w:val="TableParagraph"/>
              <w:ind w:left="203"/>
              <w:jc w:val="left"/>
              <w:rPr>
                <w:rFonts w:ascii="Times New Roman"/>
                <w:sz w:val="21"/>
              </w:rPr>
            </w:pPr>
            <w:r>
              <w:rPr>
                <w:rFonts w:ascii="Times New Roman"/>
                <w:sz w:val="21"/>
              </w:rPr>
              <w:t>JC3</w:t>
            </w:r>
          </w:p>
        </w:tc>
        <w:tc>
          <w:tcPr>
            <w:tcW w:w="1457" w:type="dxa"/>
          </w:tcPr>
          <w:p>
            <w:pPr>
              <w:pStyle w:val="TableParagraph"/>
              <w:spacing w:before="49"/>
              <w:ind w:left="179"/>
              <w:jc w:val="left"/>
              <w:rPr>
                <w:rFonts w:ascii="Times New Roman" w:hAnsi="Times New Roman"/>
                <w:sz w:val="21"/>
              </w:rPr>
            </w:pPr>
            <w:r>
              <w:rPr>
                <w:rFonts w:ascii="Times New Roman" w:hAnsi="Times New Roman"/>
                <w:sz w:val="21"/>
              </w:rPr>
              <w:t>131°9'55.95"</w:t>
            </w:r>
          </w:p>
          <w:p>
            <w:pPr>
              <w:pStyle w:val="TableParagraph"/>
              <w:spacing w:before="71"/>
              <w:ind w:left="179"/>
              <w:jc w:val="left"/>
              <w:rPr>
                <w:rFonts w:ascii="Times New Roman" w:hAnsi="Times New Roman"/>
                <w:sz w:val="21"/>
              </w:rPr>
            </w:pPr>
            <w:r>
              <w:rPr>
                <w:rFonts w:ascii="Times New Roman" w:hAnsi="Times New Roman"/>
                <w:sz w:val="21"/>
              </w:rPr>
              <w:t>46°34'59.19"</w:t>
            </w:r>
          </w:p>
        </w:tc>
        <w:tc>
          <w:tcPr>
            <w:tcW w:w="1052" w:type="dxa"/>
          </w:tcPr>
          <w:p>
            <w:pPr>
              <w:pStyle w:val="TableParagraph"/>
              <w:jc w:val="left"/>
              <w:rPr>
                <w:b/>
                <w:sz w:val="16"/>
              </w:rPr>
            </w:pPr>
          </w:p>
          <w:p>
            <w:pPr>
              <w:pStyle w:val="TableParagraph"/>
              <w:ind w:left="106" w:right="96"/>
              <w:rPr>
                <w:rFonts w:ascii="Times New Roman"/>
                <w:sz w:val="21"/>
              </w:rPr>
            </w:pPr>
            <w:r>
              <w:rPr>
                <w:rFonts w:ascii="Times New Roman"/>
                <w:sz w:val="21"/>
              </w:rPr>
              <w:t>25</w:t>
            </w:r>
          </w:p>
        </w:tc>
        <w:tc>
          <w:tcPr>
            <w:tcW w:w="1063" w:type="dxa"/>
          </w:tcPr>
          <w:p>
            <w:pPr>
              <w:pStyle w:val="TableParagraph"/>
              <w:jc w:val="left"/>
              <w:rPr>
                <w:b/>
                <w:sz w:val="16"/>
              </w:rPr>
            </w:pPr>
          </w:p>
          <w:p>
            <w:pPr>
              <w:pStyle w:val="TableParagraph"/>
              <w:ind w:left="146" w:right="139"/>
              <w:rPr>
                <w:rFonts w:ascii="Times New Roman"/>
                <w:sz w:val="21"/>
              </w:rPr>
            </w:pPr>
            <w:r>
              <w:rPr>
                <w:rFonts w:ascii="Times New Roman"/>
                <w:sz w:val="21"/>
              </w:rPr>
              <w:t>13</w:t>
            </w:r>
          </w:p>
        </w:tc>
        <w:tc>
          <w:tcPr>
            <w:tcW w:w="1387" w:type="dxa"/>
          </w:tcPr>
          <w:p>
            <w:pPr>
              <w:pStyle w:val="TableParagraph"/>
              <w:spacing w:before="35"/>
              <w:ind w:left="148" w:right="139"/>
              <w:rPr>
                <w:sz w:val="21"/>
              </w:rPr>
            </w:pPr>
            <w:r>
              <w:rPr>
                <w:sz w:val="21"/>
              </w:rPr>
              <w:t>遗弃饮用水</w:t>
            </w:r>
          </w:p>
          <w:p>
            <w:pPr>
              <w:pStyle w:val="TableParagraph"/>
              <w:spacing w:before="43"/>
              <w:ind w:left="146" w:right="139"/>
              <w:rPr>
                <w:sz w:val="21"/>
              </w:rPr>
            </w:pPr>
            <w:r>
              <w:rPr>
                <w:sz w:val="21"/>
              </w:rPr>
              <w:t>水源井</w:t>
            </w:r>
          </w:p>
        </w:tc>
        <w:tc>
          <w:tcPr>
            <w:tcW w:w="1904" w:type="dxa"/>
          </w:tcPr>
          <w:p>
            <w:pPr>
              <w:pStyle w:val="TableParagraph"/>
              <w:spacing w:before="12"/>
              <w:jc w:val="left"/>
              <w:rPr>
                <w:b/>
                <w:sz w:val="14"/>
              </w:rPr>
            </w:pPr>
          </w:p>
          <w:p>
            <w:pPr>
              <w:pStyle w:val="TableParagraph"/>
              <w:ind w:left="742"/>
              <w:jc w:val="left"/>
              <w:rPr>
                <w:sz w:val="21"/>
              </w:rPr>
            </w:pPr>
            <w:r>
              <w:rPr>
                <w:sz w:val="21"/>
              </w:rPr>
              <w:t>潜水</w:t>
            </w:r>
          </w:p>
        </w:tc>
      </w:tr>
      <w:tr>
        <w:trPr>
          <w:trHeight w:val="624" w:hRule="atLeast"/>
        </w:trPr>
        <w:tc>
          <w:tcPr>
            <w:tcW w:w="924" w:type="dxa"/>
            <w:vMerge w:val="restart"/>
          </w:tcPr>
          <w:p>
            <w:pPr>
              <w:pStyle w:val="TableParagraph"/>
              <w:jc w:val="left"/>
              <w:rPr>
                <w:b/>
                <w:sz w:val="20"/>
              </w:rPr>
            </w:pPr>
          </w:p>
          <w:p>
            <w:pPr>
              <w:pStyle w:val="TableParagraph"/>
              <w:spacing w:before="11"/>
              <w:jc w:val="left"/>
              <w:rPr>
                <w:b/>
                <w:sz w:val="18"/>
              </w:rPr>
            </w:pPr>
          </w:p>
          <w:p>
            <w:pPr>
              <w:pStyle w:val="TableParagraph"/>
              <w:spacing w:line="278" w:lineRule="auto"/>
              <w:ind w:left="146" w:right="136"/>
              <w:jc w:val="both"/>
              <w:rPr>
                <w:sz w:val="21"/>
              </w:rPr>
            </w:pPr>
            <w:r>
              <w:rPr>
                <w:sz w:val="21"/>
              </w:rPr>
              <w:t>地下水水位监测点</w:t>
            </w:r>
          </w:p>
        </w:tc>
        <w:tc>
          <w:tcPr>
            <w:tcW w:w="735" w:type="dxa"/>
          </w:tcPr>
          <w:p>
            <w:pPr>
              <w:pStyle w:val="TableParagraph"/>
              <w:spacing w:before="190"/>
              <w:ind w:left="158"/>
              <w:jc w:val="left"/>
              <w:rPr>
                <w:rFonts w:ascii="Times New Roman"/>
                <w:sz w:val="21"/>
              </w:rPr>
            </w:pPr>
            <w:r>
              <w:rPr>
                <w:rFonts w:ascii="Times New Roman"/>
                <w:sz w:val="21"/>
              </w:rPr>
              <w:t>SW1</w:t>
            </w:r>
          </w:p>
        </w:tc>
        <w:tc>
          <w:tcPr>
            <w:tcW w:w="1457" w:type="dxa"/>
          </w:tcPr>
          <w:p>
            <w:pPr>
              <w:pStyle w:val="TableParagraph"/>
              <w:spacing w:before="34"/>
              <w:ind w:left="126"/>
              <w:jc w:val="left"/>
              <w:rPr>
                <w:rFonts w:ascii="Times New Roman" w:hAnsi="Times New Roman"/>
                <w:sz w:val="21"/>
              </w:rPr>
            </w:pPr>
            <w:r>
              <w:rPr>
                <w:rFonts w:ascii="Times New Roman" w:hAnsi="Times New Roman"/>
                <w:sz w:val="21"/>
              </w:rPr>
              <w:t>131°10'56.89"</w:t>
            </w:r>
          </w:p>
          <w:p>
            <w:pPr>
              <w:pStyle w:val="TableParagraph"/>
              <w:spacing w:before="71"/>
              <w:ind w:left="179"/>
              <w:jc w:val="left"/>
              <w:rPr>
                <w:rFonts w:ascii="Times New Roman" w:hAnsi="Times New Roman"/>
                <w:sz w:val="21"/>
              </w:rPr>
            </w:pPr>
            <w:r>
              <w:rPr>
                <w:rFonts w:ascii="Times New Roman" w:hAnsi="Times New Roman"/>
                <w:sz w:val="21"/>
              </w:rPr>
              <w:t>46°34'53.34"</w:t>
            </w:r>
          </w:p>
        </w:tc>
        <w:tc>
          <w:tcPr>
            <w:tcW w:w="1052" w:type="dxa"/>
          </w:tcPr>
          <w:p>
            <w:pPr>
              <w:pStyle w:val="TableParagraph"/>
              <w:spacing w:before="190"/>
              <w:ind w:left="106" w:right="96"/>
              <w:rPr>
                <w:rFonts w:ascii="Times New Roman"/>
                <w:sz w:val="21"/>
              </w:rPr>
            </w:pPr>
            <w:r>
              <w:rPr>
                <w:rFonts w:ascii="Times New Roman"/>
                <w:sz w:val="21"/>
              </w:rPr>
              <w:t>18</w:t>
            </w:r>
          </w:p>
        </w:tc>
        <w:tc>
          <w:tcPr>
            <w:tcW w:w="1063" w:type="dxa"/>
          </w:tcPr>
          <w:p>
            <w:pPr>
              <w:pStyle w:val="TableParagraph"/>
              <w:spacing w:before="190"/>
              <w:ind w:left="7"/>
              <w:rPr>
                <w:rFonts w:ascii="Times New Roman"/>
                <w:sz w:val="21"/>
              </w:rPr>
            </w:pPr>
            <w:r>
              <w:rPr>
                <w:rFonts w:ascii="Times New Roman"/>
                <w:w w:val="99"/>
                <w:sz w:val="21"/>
              </w:rPr>
              <w:t>8</w:t>
            </w:r>
          </w:p>
        </w:tc>
        <w:tc>
          <w:tcPr>
            <w:tcW w:w="1387" w:type="dxa"/>
          </w:tcPr>
          <w:p>
            <w:pPr>
              <w:pStyle w:val="TableParagraph"/>
              <w:spacing w:before="176"/>
              <w:ind w:left="148" w:right="139"/>
              <w:rPr>
                <w:sz w:val="21"/>
              </w:rPr>
            </w:pPr>
            <w:r>
              <w:rPr>
                <w:sz w:val="21"/>
              </w:rPr>
              <w:t>灌溉用水井</w:t>
            </w:r>
          </w:p>
        </w:tc>
        <w:tc>
          <w:tcPr>
            <w:tcW w:w="1904" w:type="dxa"/>
          </w:tcPr>
          <w:p>
            <w:pPr>
              <w:pStyle w:val="TableParagraph"/>
              <w:spacing w:before="176"/>
              <w:ind w:left="742"/>
              <w:jc w:val="left"/>
              <w:rPr>
                <w:sz w:val="21"/>
              </w:rPr>
            </w:pPr>
            <w:r>
              <w:rPr>
                <w:sz w:val="21"/>
              </w:rPr>
              <w:t>潜水</w:t>
            </w:r>
          </w:p>
        </w:tc>
      </w:tr>
      <w:tr>
        <w:trPr>
          <w:trHeight w:val="623" w:hRule="atLeast"/>
        </w:trPr>
        <w:tc>
          <w:tcPr>
            <w:tcW w:w="924" w:type="dxa"/>
            <w:vMerge/>
            <w:tcBorders>
              <w:top w:val="nil"/>
            </w:tcBorders>
          </w:tcPr>
          <w:p>
            <w:pPr>
              <w:rPr>
                <w:sz w:val="2"/>
                <w:szCs w:val="2"/>
              </w:rPr>
            </w:pPr>
          </w:p>
        </w:tc>
        <w:tc>
          <w:tcPr>
            <w:tcW w:w="735" w:type="dxa"/>
          </w:tcPr>
          <w:p>
            <w:pPr>
              <w:pStyle w:val="TableParagraph"/>
              <w:spacing w:before="190"/>
              <w:ind w:left="158"/>
              <w:jc w:val="left"/>
              <w:rPr>
                <w:rFonts w:ascii="Times New Roman"/>
                <w:sz w:val="21"/>
              </w:rPr>
            </w:pPr>
            <w:r>
              <w:rPr>
                <w:rFonts w:ascii="Times New Roman"/>
                <w:sz w:val="21"/>
              </w:rPr>
              <w:t>SW2</w:t>
            </w:r>
          </w:p>
        </w:tc>
        <w:tc>
          <w:tcPr>
            <w:tcW w:w="1457" w:type="dxa"/>
          </w:tcPr>
          <w:p>
            <w:pPr>
              <w:pStyle w:val="TableParagraph"/>
              <w:spacing w:before="34"/>
              <w:ind w:left="126"/>
              <w:jc w:val="left"/>
              <w:rPr>
                <w:rFonts w:ascii="Times New Roman" w:hAnsi="Times New Roman"/>
                <w:sz w:val="21"/>
              </w:rPr>
            </w:pPr>
            <w:r>
              <w:rPr>
                <w:rFonts w:ascii="Times New Roman" w:hAnsi="Times New Roman"/>
                <w:sz w:val="21"/>
              </w:rPr>
              <w:t>131°10'39.83"</w:t>
            </w:r>
          </w:p>
          <w:p>
            <w:pPr>
              <w:pStyle w:val="TableParagraph"/>
              <w:spacing w:before="70"/>
              <w:ind w:left="179"/>
              <w:jc w:val="left"/>
              <w:rPr>
                <w:rFonts w:ascii="Times New Roman" w:hAnsi="Times New Roman"/>
                <w:sz w:val="21"/>
              </w:rPr>
            </w:pPr>
            <w:r>
              <w:rPr>
                <w:rFonts w:ascii="Times New Roman" w:hAnsi="Times New Roman"/>
                <w:sz w:val="21"/>
              </w:rPr>
              <w:t>46°34'42.85"</w:t>
            </w:r>
          </w:p>
        </w:tc>
        <w:tc>
          <w:tcPr>
            <w:tcW w:w="1052" w:type="dxa"/>
          </w:tcPr>
          <w:p>
            <w:pPr>
              <w:pStyle w:val="TableParagraph"/>
              <w:spacing w:before="190"/>
              <w:ind w:left="106" w:right="96"/>
              <w:rPr>
                <w:rFonts w:ascii="Times New Roman"/>
                <w:sz w:val="21"/>
              </w:rPr>
            </w:pPr>
            <w:r>
              <w:rPr>
                <w:rFonts w:ascii="Times New Roman"/>
                <w:sz w:val="21"/>
              </w:rPr>
              <w:t>20</w:t>
            </w:r>
          </w:p>
        </w:tc>
        <w:tc>
          <w:tcPr>
            <w:tcW w:w="1063" w:type="dxa"/>
          </w:tcPr>
          <w:p>
            <w:pPr>
              <w:pStyle w:val="TableParagraph"/>
              <w:spacing w:before="190"/>
              <w:ind w:left="146" w:right="139"/>
              <w:rPr>
                <w:rFonts w:ascii="Times New Roman"/>
                <w:sz w:val="21"/>
              </w:rPr>
            </w:pPr>
            <w:r>
              <w:rPr>
                <w:rFonts w:ascii="Times New Roman"/>
                <w:sz w:val="21"/>
              </w:rPr>
              <w:t>10</w:t>
            </w:r>
          </w:p>
        </w:tc>
        <w:tc>
          <w:tcPr>
            <w:tcW w:w="1387" w:type="dxa"/>
          </w:tcPr>
          <w:p>
            <w:pPr>
              <w:pStyle w:val="TableParagraph"/>
              <w:spacing w:before="176"/>
              <w:ind w:left="148" w:right="139"/>
              <w:rPr>
                <w:sz w:val="21"/>
              </w:rPr>
            </w:pPr>
            <w:r>
              <w:rPr>
                <w:sz w:val="21"/>
              </w:rPr>
              <w:t>灌溉用水井</w:t>
            </w:r>
          </w:p>
        </w:tc>
        <w:tc>
          <w:tcPr>
            <w:tcW w:w="1904" w:type="dxa"/>
          </w:tcPr>
          <w:p>
            <w:pPr>
              <w:pStyle w:val="TableParagraph"/>
              <w:spacing w:before="176"/>
              <w:ind w:left="742"/>
              <w:jc w:val="left"/>
              <w:rPr>
                <w:sz w:val="21"/>
              </w:rPr>
            </w:pPr>
            <w:r>
              <w:rPr>
                <w:sz w:val="21"/>
              </w:rPr>
              <w:t>潜水</w:t>
            </w:r>
          </w:p>
        </w:tc>
      </w:tr>
      <w:tr>
        <w:trPr>
          <w:trHeight w:val="624" w:hRule="atLeast"/>
        </w:trPr>
        <w:tc>
          <w:tcPr>
            <w:tcW w:w="924" w:type="dxa"/>
            <w:vMerge/>
            <w:tcBorders>
              <w:top w:val="nil"/>
            </w:tcBorders>
          </w:tcPr>
          <w:p>
            <w:pPr>
              <w:rPr>
                <w:sz w:val="2"/>
                <w:szCs w:val="2"/>
              </w:rPr>
            </w:pPr>
          </w:p>
        </w:tc>
        <w:tc>
          <w:tcPr>
            <w:tcW w:w="735" w:type="dxa"/>
          </w:tcPr>
          <w:p>
            <w:pPr>
              <w:pStyle w:val="TableParagraph"/>
              <w:spacing w:before="192"/>
              <w:ind w:left="158"/>
              <w:jc w:val="left"/>
              <w:rPr>
                <w:rFonts w:ascii="Times New Roman"/>
                <w:sz w:val="21"/>
              </w:rPr>
            </w:pPr>
            <w:r>
              <w:rPr>
                <w:rFonts w:ascii="Times New Roman"/>
                <w:sz w:val="21"/>
              </w:rPr>
              <w:t>SW3</w:t>
            </w:r>
          </w:p>
        </w:tc>
        <w:tc>
          <w:tcPr>
            <w:tcW w:w="1457" w:type="dxa"/>
          </w:tcPr>
          <w:p>
            <w:pPr>
              <w:pStyle w:val="TableParagraph"/>
              <w:spacing w:before="36"/>
              <w:ind w:left="179"/>
              <w:jc w:val="left"/>
              <w:rPr>
                <w:rFonts w:ascii="Times New Roman" w:hAnsi="Times New Roman"/>
                <w:sz w:val="21"/>
              </w:rPr>
            </w:pPr>
            <w:r>
              <w:rPr>
                <w:rFonts w:ascii="Times New Roman" w:hAnsi="Times New Roman"/>
                <w:sz w:val="21"/>
              </w:rPr>
              <w:t>131°9'49.89"</w:t>
            </w:r>
          </w:p>
          <w:p>
            <w:pPr>
              <w:pStyle w:val="TableParagraph"/>
              <w:spacing w:before="70"/>
              <w:ind w:left="219"/>
              <w:jc w:val="left"/>
              <w:rPr>
                <w:rFonts w:ascii="Times New Roman"/>
                <w:sz w:val="21"/>
              </w:rPr>
            </w:pPr>
            <w:r>
              <w:rPr>
                <w:rFonts w:ascii="Times New Roman"/>
                <w:sz w:val="21"/>
              </w:rPr>
              <w:t>4634'44.58"</w:t>
            </w:r>
          </w:p>
        </w:tc>
        <w:tc>
          <w:tcPr>
            <w:tcW w:w="1052" w:type="dxa"/>
          </w:tcPr>
          <w:p>
            <w:pPr>
              <w:pStyle w:val="TableParagraph"/>
              <w:spacing w:before="192"/>
              <w:ind w:left="106" w:right="96"/>
              <w:rPr>
                <w:rFonts w:ascii="Times New Roman"/>
                <w:sz w:val="21"/>
              </w:rPr>
            </w:pPr>
            <w:r>
              <w:rPr>
                <w:rFonts w:ascii="Times New Roman"/>
                <w:sz w:val="21"/>
              </w:rPr>
              <w:t>28</w:t>
            </w:r>
          </w:p>
        </w:tc>
        <w:tc>
          <w:tcPr>
            <w:tcW w:w="1063" w:type="dxa"/>
          </w:tcPr>
          <w:p>
            <w:pPr>
              <w:pStyle w:val="TableParagraph"/>
              <w:spacing w:before="192"/>
              <w:ind w:left="146" w:right="139"/>
              <w:rPr>
                <w:rFonts w:ascii="Times New Roman"/>
                <w:sz w:val="21"/>
              </w:rPr>
            </w:pPr>
            <w:r>
              <w:rPr>
                <w:rFonts w:ascii="Times New Roman"/>
                <w:sz w:val="21"/>
              </w:rPr>
              <w:t>12</w:t>
            </w:r>
          </w:p>
        </w:tc>
        <w:tc>
          <w:tcPr>
            <w:tcW w:w="1387" w:type="dxa"/>
          </w:tcPr>
          <w:p>
            <w:pPr>
              <w:pStyle w:val="TableParagraph"/>
              <w:spacing w:before="22"/>
              <w:ind w:left="148" w:right="139"/>
              <w:rPr>
                <w:sz w:val="21"/>
              </w:rPr>
            </w:pPr>
            <w:r>
              <w:rPr>
                <w:sz w:val="21"/>
              </w:rPr>
              <w:t>遗弃饮用水</w:t>
            </w:r>
          </w:p>
          <w:p>
            <w:pPr>
              <w:pStyle w:val="TableParagraph"/>
              <w:spacing w:before="43"/>
              <w:ind w:left="146" w:right="139"/>
              <w:rPr>
                <w:sz w:val="21"/>
              </w:rPr>
            </w:pPr>
            <w:r>
              <w:rPr>
                <w:sz w:val="21"/>
              </w:rPr>
              <w:t>水源井</w:t>
            </w:r>
          </w:p>
        </w:tc>
        <w:tc>
          <w:tcPr>
            <w:tcW w:w="1904" w:type="dxa"/>
          </w:tcPr>
          <w:p>
            <w:pPr>
              <w:pStyle w:val="TableParagraph"/>
              <w:spacing w:before="178"/>
              <w:ind w:left="742"/>
              <w:jc w:val="left"/>
              <w:rPr>
                <w:sz w:val="21"/>
              </w:rPr>
            </w:pPr>
            <w:r>
              <w:rPr>
                <w:sz w:val="21"/>
              </w:rPr>
              <w:t>潜水</w:t>
            </w:r>
          </w:p>
        </w:tc>
      </w:tr>
    </w:tbl>
    <w:p>
      <w:pPr>
        <w:pStyle w:val="ListParagraph"/>
        <w:numPr>
          <w:ilvl w:val="3"/>
          <w:numId w:val="53"/>
        </w:numPr>
        <w:tabs>
          <w:tab w:pos="1432" w:val="left" w:leader="none"/>
        </w:tabs>
        <w:spacing w:line="240" w:lineRule="auto" w:before="1" w:after="0"/>
        <w:ind w:left="1432" w:right="0" w:hanging="721"/>
        <w:jc w:val="left"/>
        <w:rPr>
          <w:b/>
          <w:sz w:val="24"/>
        </w:rPr>
      </w:pPr>
      <w:r>
        <w:rPr>
          <w:b/>
          <w:sz w:val="24"/>
        </w:rPr>
        <w:t>监测项目</w:t>
      </w:r>
    </w:p>
    <w:p>
      <w:pPr>
        <w:pStyle w:val="BodyText"/>
        <w:spacing w:line="364" w:lineRule="auto" w:before="158"/>
        <w:ind w:left="711" w:right="1012" w:firstLine="480"/>
      </w:pPr>
      <w:r>
        <w:rPr/>
        <w:pict>
          <v:shape style="position:absolute;margin-left:128.880005pt;margin-top:83.868317pt;width:3.9pt;height:8.65pt;mso-position-horizontal-relative:page;mso-position-vertical-relative:paragraph;z-index:-285921280" type="#_x0000_t202" filled="false" stroked="false">
            <v:textbox inset="0,0,0,0">
              <w:txbxContent>
                <w:p>
                  <w:pPr>
                    <w:spacing w:line="171" w:lineRule="exact" w:before="0"/>
                    <w:ind w:left="0" w:right="0" w:firstLine="0"/>
                    <w:jc w:val="left"/>
                    <w:rPr>
                      <w:rFonts w:ascii="Times New Roman"/>
                      <w:sz w:val="15"/>
                    </w:rPr>
                  </w:pPr>
                  <w:r>
                    <w:rPr>
                      <w:rFonts w:ascii="Times New Roman"/>
                      <w:w w:val="104"/>
                      <w:sz w:val="15"/>
                    </w:rPr>
                    <w:t>4</w:t>
                  </w:r>
                </w:p>
              </w:txbxContent>
            </v:textbox>
            <w10:wrap type="none"/>
          </v:shape>
        </w:pict>
      </w:r>
      <w:r>
        <w:rPr/>
        <w:pict>
          <v:shape style="position:absolute;margin-left:450.480011pt;margin-top:60.589314pt;width:49.65pt;height:8.65pt;mso-position-horizontal-relative:page;mso-position-vertical-relative:paragraph;z-index:-285920256" type="#_x0000_t202" filled="false" stroked="false">
            <v:textbox inset="0,0,0,0">
              <w:txbxContent>
                <w:p>
                  <w:pPr>
                    <w:tabs>
                      <w:tab w:pos="914" w:val="left" w:leader="none"/>
                    </w:tabs>
                    <w:spacing w:line="171" w:lineRule="exact" w:before="0"/>
                    <w:ind w:left="0" w:right="0" w:firstLine="0"/>
                    <w:jc w:val="left"/>
                    <w:rPr>
                      <w:rFonts w:ascii="Times New Roman"/>
                      <w:sz w:val="15"/>
                    </w:rPr>
                  </w:pPr>
                  <w:r>
                    <w:rPr>
                      <w:rFonts w:ascii="Times New Roman"/>
                      <w:w w:val="105"/>
                      <w:sz w:val="15"/>
                    </w:rPr>
                    <w:t>3</w:t>
                    <w:tab/>
                  </w:r>
                  <w:r>
                    <w:rPr>
                      <w:rFonts w:ascii="Times New Roman"/>
                      <w:spacing w:val="-20"/>
                      <w:w w:val="105"/>
                      <w:sz w:val="15"/>
                    </w:rPr>
                    <w:t>3</w:t>
                  </w:r>
                </w:p>
              </w:txbxContent>
            </v:textbox>
            <w10:wrap type="none"/>
          </v:shape>
        </w:pict>
      </w:r>
      <w:r>
        <w:rPr>
          <w:spacing w:val="-1"/>
        </w:rPr>
        <w:t>水质监测项目：</w:t>
      </w:r>
      <w:r>
        <w:rPr>
          <w:rFonts w:ascii="Times New Roman" w:eastAsia="Times New Roman"/>
          <w:spacing w:val="-3"/>
        </w:rPr>
        <w:t>pH</w:t>
      </w:r>
      <w:r>
        <w:rPr>
          <w:spacing w:val="-8"/>
        </w:rPr>
        <w:t>、氨氮、硝酸盐、亚硝酸盐、总硬度、高锰酸盐指数、溶解性总固体、铁、锰、铅、六价铬、氯化物、硫酸盐、细菌总数、总大肠菌群、</w:t>
      </w:r>
      <w:r>
        <w:rPr>
          <w:spacing w:val="-19"/>
        </w:rPr>
        <w:t>挥发性酚类、氰化物、砷、汞、氟化物、镉、</w:t>
      </w:r>
      <w:r>
        <w:rPr>
          <w:rFonts w:ascii="Times New Roman" w:eastAsia="Times New Roman"/>
        </w:rPr>
        <w:t>K</w:t>
      </w:r>
      <w:r>
        <w:rPr>
          <w:rFonts w:ascii="Times New Roman" w:eastAsia="Times New Roman"/>
          <w:position w:val="8"/>
          <w:sz w:val="15"/>
        </w:rPr>
        <w:t>+</w:t>
      </w:r>
      <w:r>
        <w:rPr>
          <w:spacing w:val="-41"/>
        </w:rPr>
        <w:t>、</w:t>
      </w:r>
      <w:r>
        <w:rPr>
          <w:rFonts w:ascii="Times New Roman" w:eastAsia="Times New Roman"/>
        </w:rPr>
        <w:t>Na</w:t>
      </w:r>
      <w:r>
        <w:rPr>
          <w:rFonts w:ascii="Times New Roman" w:eastAsia="Times New Roman"/>
          <w:position w:val="8"/>
          <w:sz w:val="15"/>
        </w:rPr>
        <w:t>+</w:t>
      </w:r>
      <w:r>
        <w:rPr>
          <w:spacing w:val="-39"/>
        </w:rPr>
        <w:t>、</w:t>
      </w:r>
      <w:r>
        <w:rPr>
          <w:rFonts w:ascii="Times New Roman" w:eastAsia="Times New Roman"/>
        </w:rPr>
        <w:t>Ca</w:t>
      </w:r>
      <w:r>
        <w:rPr>
          <w:rFonts w:ascii="Times New Roman" w:eastAsia="Times New Roman"/>
          <w:position w:val="8"/>
          <w:sz w:val="15"/>
        </w:rPr>
        <w:t>2+</w:t>
      </w:r>
      <w:r>
        <w:rPr>
          <w:spacing w:val="-41"/>
        </w:rPr>
        <w:t>、</w:t>
      </w:r>
      <w:r>
        <w:rPr>
          <w:rFonts w:ascii="Times New Roman" w:eastAsia="Times New Roman"/>
        </w:rPr>
        <w:t>Mg</w:t>
      </w:r>
      <w:r>
        <w:rPr>
          <w:rFonts w:ascii="Times New Roman" w:eastAsia="Times New Roman"/>
          <w:position w:val="8"/>
          <w:sz w:val="15"/>
        </w:rPr>
        <w:t>2+</w:t>
      </w:r>
      <w:r>
        <w:rPr>
          <w:spacing w:val="-41"/>
        </w:rPr>
        <w:t>、</w:t>
      </w:r>
      <w:r>
        <w:rPr>
          <w:rFonts w:ascii="Times New Roman" w:eastAsia="Times New Roman"/>
        </w:rPr>
        <w:t>CO </w:t>
      </w:r>
      <w:r>
        <w:rPr>
          <w:rFonts w:ascii="Times New Roman" w:eastAsia="Times New Roman"/>
          <w:position w:val="8"/>
          <w:sz w:val="15"/>
        </w:rPr>
        <w:t>2-</w:t>
      </w:r>
      <w:r>
        <w:rPr>
          <w:spacing w:val="-41"/>
        </w:rPr>
        <w:t>、</w:t>
      </w:r>
      <w:r>
        <w:rPr>
          <w:rFonts w:ascii="Times New Roman" w:eastAsia="Times New Roman"/>
        </w:rPr>
        <w:t>HCO </w:t>
      </w:r>
      <w:r>
        <w:rPr>
          <w:rFonts w:ascii="Times New Roman" w:eastAsia="Times New Roman"/>
          <w:position w:val="8"/>
          <w:sz w:val="15"/>
        </w:rPr>
        <w:t>-</w:t>
      </w:r>
      <w:r>
        <w:rPr/>
        <w:t>、</w:t>
      </w:r>
      <w:r>
        <w:rPr>
          <w:rFonts w:ascii="Times New Roman" w:eastAsia="Times New Roman"/>
        </w:rPr>
        <w:t>Cl</w:t>
      </w:r>
      <w:r>
        <w:rPr>
          <w:rFonts w:ascii="Times New Roman" w:eastAsia="Times New Roman"/>
          <w:position w:val="8"/>
          <w:sz w:val="15"/>
        </w:rPr>
        <w:t>-</w:t>
      </w:r>
      <w:r>
        <w:rPr/>
        <w:t>、</w:t>
      </w:r>
      <w:r>
        <w:rPr>
          <w:rFonts w:ascii="Times New Roman" w:eastAsia="Times New Roman"/>
        </w:rPr>
        <w:t>SO </w:t>
      </w:r>
      <w:r>
        <w:rPr>
          <w:rFonts w:ascii="Times New Roman" w:eastAsia="Times New Roman"/>
          <w:position w:val="8"/>
          <w:sz w:val="15"/>
        </w:rPr>
        <w:t>2-</w:t>
      </w:r>
      <w:r>
        <w:rPr>
          <w:spacing w:val="-30"/>
        </w:rPr>
        <w:t>共 </w:t>
      </w:r>
      <w:r>
        <w:rPr>
          <w:rFonts w:ascii="Times New Roman" w:eastAsia="Times New Roman"/>
        </w:rPr>
        <w:t>29 </w:t>
      </w:r>
      <w:r>
        <w:rPr/>
        <w:t>项。</w:t>
      </w:r>
    </w:p>
    <w:p>
      <w:pPr>
        <w:pStyle w:val="Heading4"/>
        <w:numPr>
          <w:ilvl w:val="3"/>
          <w:numId w:val="53"/>
        </w:numPr>
        <w:tabs>
          <w:tab w:pos="1432" w:val="left" w:leader="none"/>
        </w:tabs>
        <w:spacing w:line="240" w:lineRule="auto" w:before="0" w:after="0"/>
        <w:ind w:left="1432" w:right="0" w:hanging="721"/>
        <w:jc w:val="left"/>
      </w:pPr>
      <w:r>
        <w:rPr/>
        <w:t>监测分析方法</w:t>
      </w:r>
    </w:p>
    <w:p>
      <w:pPr>
        <w:pStyle w:val="BodyText"/>
        <w:spacing w:line="364" w:lineRule="auto" w:before="159"/>
        <w:ind w:left="711" w:right="1073" w:firstLine="480"/>
      </w:pPr>
      <w:r>
        <w:rPr/>
        <w:t>采样和分析方法按照《地下水环境监测技术规范》（</w:t>
      </w:r>
      <w:r>
        <w:rPr>
          <w:rFonts w:ascii="Times New Roman" w:eastAsia="Times New Roman"/>
        </w:rPr>
        <w:t>HJ/T64-2004</w:t>
      </w:r>
      <w:r>
        <w:rPr/>
        <w:t>）和《生活饮用水标准检验方法》（</w:t>
      </w:r>
      <w:r>
        <w:rPr>
          <w:rFonts w:ascii="Times New Roman" w:eastAsia="Times New Roman"/>
        </w:rPr>
        <w:t>GB5750-2006</w:t>
      </w:r>
      <w:r>
        <w:rPr/>
        <w:t>）执行，监测分析方法见表 </w:t>
      </w:r>
      <w:r>
        <w:rPr>
          <w:rFonts w:ascii="Times New Roman" w:eastAsia="Times New Roman"/>
        </w:rPr>
        <w:t>6.4-2</w:t>
      </w:r>
      <w:r>
        <w:rPr/>
        <w:t>。</w:t>
      </w:r>
    </w:p>
    <w:p>
      <w:pPr>
        <w:pStyle w:val="Heading4"/>
        <w:tabs>
          <w:tab w:pos="4832" w:val="left" w:leader="none"/>
        </w:tabs>
        <w:spacing w:before="77"/>
        <w:ind w:left="3793"/>
      </w:pPr>
      <w:r>
        <w:rPr/>
        <w:t>表</w:t>
      </w:r>
      <w:r>
        <w:rPr>
          <w:spacing w:val="-62"/>
        </w:rPr>
        <w:t> </w:t>
      </w:r>
      <w:r>
        <w:rPr>
          <w:rFonts w:ascii="Times New Roman" w:eastAsia="Times New Roman"/>
        </w:rPr>
        <w:t>6.4-2</w:t>
        <w:tab/>
      </w:r>
      <w:r>
        <w:rPr/>
        <w:t>地下水检测方法</w:t>
      </w:r>
    </w:p>
    <w:p>
      <w:pPr>
        <w:pStyle w:val="BodyText"/>
        <w:spacing w:before="4"/>
        <w:rPr>
          <w:b/>
          <w:sz w:val="6"/>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4"/>
        <w:gridCol w:w="7088"/>
      </w:tblGrid>
      <w:tr>
        <w:trPr>
          <w:trHeight w:val="425" w:hRule="atLeast"/>
        </w:trPr>
        <w:tc>
          <w:tcPr>
            <w:tcW w:w="1434" w:type="dxa"/>
          </w:tcPr>
          <w:p>
            <w:pPr>
              <w:pStyle w:val="TableParagraph"/>
              <w:spacing w:before="76"/>
              <w:ind w:left="171" w:right="163"/>
              <w:rPr>
                <w:sz w:val="21"/>
              </w:rPr>
            </w:pPr>
            <w:r>
              <w:rPr>
                <w:sz w:val="21"/>
              </w:rPr>
              <w:t>检测项目</w:t>
            </w:r>
          </w:p>
        </w:tc>
        <w:tc>
          <w:tcPr>
            <w:tcW w:w="7088" w:type="dxa"/>
          </w:tcPr>
          <w:p>
            <w:pPr>
              <w:pStyle w:val="TableParagraph"/>
              <w:spacing w:before="76"/>
              <w:ind w:left="38" w:right="32"/>
              <w:rPr>
                <w:sz w:val="21"/>
              </w:rPr>
            </w:pPr>
            <w:r>
              <w:rPr>
                <w:sz w:val="21"/>
              </w:rPr>
              <w:t>检测依据</w:t>
            </w:r>
          </w:p>
        </w:tc>
      </w:tr>
      <w:tr>
        <w:trPr>
          <w:trHeight w:val="425" w:hRule="atLeast"/>
        </w:trPr>
        <w:tc>
          <w:tcPr>
            <w:tcW w:w="1434" w:type="dxa"/>
          </w:tcPr>
          <w:p>
            <w:pPr>
              <w:pStyle w:val="TableParagraph"/>
              <w:spacing w:before="91"/>
              <w:ind w:left="171" w:right="163"/>
              <w:rPr>
                <w:rFonts w:ascii="Times New Roman"/>
                <w:sz w:val="21"/>
              </w:rPr>
            </w:pPr>
            <w:r>
              <w:rPr>
                <w:rFonts w:ascii="Times New Roman"/>
                <w:sz w:val="21"/>
              </w:rPr>
              <w:t>pH</w:t>
            </w:r>
          </w:p>
        </w:tc>
        <w:tc>
          <w:tcPr>
            <w:tcW w:w="7088" w:type="dxa"/>
          </w:tcPr>
          <w:p>
            <w:pPr>
              <w:pStyle w:val="TableParagraph"/>
              <w:spacing w:before="78"/>
              <w:ind w:left="40" w:right="28"/>
              <w:rPr>
                <w:rFonts w:ascii="Times New Roman" w:eastAsia="Times New Roman"/>
                <w:sz w:val="21"/>
              </w:rPr>
            </w:pPr>
            <w:r>
              <w:rPr>
                <w:sz w:val="21"/>
              </w:rPr>
              <w:t>水质 </w:t>
            </w:r>
            <w:r>
              <w:rPr>
                <w:rFonts w:ascii="Times New Roman" w:eastAsia="Times New Roman"/>
                <w:sz w:val="21"/>
              </w:rPr>
              <w:t>pH </w:t>
            </w:r>
            <w:r>
              <w:rPr>
                <w:sz w:val="21"/>
              </w:rPr>
              <w:t>值的测定玻璃电极法 </w:t>
            </w:r>
            <w:r>
              <w:rPr>
                <w:rFonts w:ascii="Times New Roman" w:eastAsia="Times New Roman"/>
                <w:sz w:val="21"/>
              </w:rPr>
              <w:t>GB/T 6920-1986</w:t>
            </w:r>
          </w:p>
        </w:tc>
      </w:tr>
      <w:tr>
        <w:trPr>
          <w:trHeight w:val="425" w:hRule="atLeast"/>
        </w:trPr>
        <w:tc>
          <w:tcPr>
            <w:tcW w:w="1434" w:type="dxa"/>
          </w:tcPr>
          <w:p>
            <w:pPr>
              <w:pStyle w:val="TableParagraph"/>
              <w:spacing w:before="77"/>
              <w:ind w:left="169" w:right="163"/>
              <w:rPr>
                <w:sz w:val="21"/>
              </w:rPr>
            </w:pPr>
            <w:r>
              <w:rPr>
                <w:sz w:val="21"/>
              </w:rPr>
              <w:t>氨氮</w:t>
            </w:r>
          </w:p>
        </w:tc>
        <w:tc>
          <w:tcPr>
            <w:tcW w:w="7088" w:type="dxa"/>
          </w:tcPr>
          <w:p>
            <w:pPr>
              <w:pStyle w:val="TableParagraph"/>
              <w:spacing w:before="77"/>
              <w:ind w:left="40" w:right="28"/>
              <w:rPr>
                <w:rFonts w:ascii="Times New Roman" w:eastAsia="Times New Roman"/>
                <w:sz w:val="21"/>
              </w:rPr>
            </w:pPr>
            <w:r>
              <w:rPr>
                <w:sz w:val="21"/>
              </w:rPr>
              <w:t>水质 氨氮的测定 纳氏试剂分光光度法 </w:t>
            </w:r>
            <w:r>
              <w:rPr>
                <w:rFonts w:ascii="Times New Roman" w:eastAsia="Times New Roman"/>
                <w:sz w:val="21"/>
              </w:rPr>
              <w:t>HJ 535-2009</w:t>
            </w:r>
          </w:p>
        </w:tc>
      </w:tr>
      <w:tr>
        <w:trPr>
          <w:trHeight w:val="623" w:hRule="atLeast"/>
        </w:trPr>
        <w:tc>
          <w:tcPr>
            <w:tcW w:w="1434" w:type="dxa"/>
          </w:tcPr>
          <w:p>
            <w:pPr>
              <w:pStyle w:val="TableParagraph"/>
              <w:spacing w:before="177"/>
              <w:ind w:left="169" w:right="163"/>
              <w:rPr>
                <w:sz w:val="21"/>
              </w:rPr>
            </w:pPr>
            <w:r>
              <w:rPr>
                <w:sz w:val="21"/>
              </w:rPr>
              <w:t>硝酸盐</w:t>
            </w:r>
          </w:p>
        </w:tc>
        <w:tc>
          <w:tcPr>
            <w:tcW w:w="7088" w:type="dxa"/>
          </w:tcPr>
          <w:p>
            <w:pPr>
              <w:pStyle w:val="TableParagraph"/>
              <w:spacing w:before="21"/>
              <w:ind w:left="38" w:right="32"/>
              <w:rPr>
                <w:sz w:val="21"/>
              </w:rPr>
            </w:pPr>
            <w:r>
              <w:rPr>
                <w:sz w:val="21"/>
              </w:rPr>
              <w:t>生活饮用水标准检验方法无机非金属指标（</w:t>
            </w:r>
            <w:r>
              <w:rPr>
                <w:rFonts w:ascii="Times New Roman" w:eastAsia="Times New Roman"/>
                <w:sz w:val="21"/>
              </w:rPr>
              <w:t>5.2 </w:t>
            </w:r>
            <w:r>
              <w:rPr>
                <w:sz w:val="21"/>
              </w:rPr>
              <w:t>紫外分光光度法）</w:t>
            </w:r>
          </w:p>
          <w:p>
            <w:pPr>
              <w:pStyle w:val="TableParagraph"/>
              <w:spacing w:before="57"/>
              <w:ind w:left="40" w:right="30"/>
              <w:rPr>
                <w:rFonts w:ascii="Times New Roman"/>
                <w:sz w:val="21"/>
              </w:rPr>
            </w:pPr>
            <w:r>
              <w:rPr>
                <w:rFonts w:ascii="Times New Roman"/>
                <w:sz w:val="21"/>
              </w:rPr>
              <w:t>GB/T 5750.5-2006</w:t>
            </w:r>
          </w:p>
        </w:tc>
      </w:tr>
      <w:tr>
        <w:trPr>
          <w:trHeight w:val="425" w:hRule="atLeast"/>
        </w:trPr>
        <w:tc>
          <w:tcPr>
            <w:tcW w:w="1434" w:type="dxa"/>
          </w:tcPr>
          <w:p>
            <w:pPr>
              <w:pStyle w:val="TableParagraph"/>
              <w:spacing w:before="76"/>
              <w:ind w:left="171" w:right="163"/>
              <w:rPr>
                <w:sz w:val="21"/>
              </w:rPr>
            </w:pPr>
            <w:r>
              <w:rPr>
                <w:sz w:val="21"/>
              </w:rPr>
              <w:t>亚硝酸盐</w:t>
            </w:r>
          </w:p>
        </w:tc>
        <w:tc>
          <w:tcPr>
            <w:tcW w:w="7088" w:type="dxa"/>
          </w:tcPr>
          <w:p>
            <w:pPr>
              <w:pStyle w:val="TableParagraph"/>
              <w:spacing w:before="76"/>
              <w:ind w:left="40" w:right="30"/>
              <w:rPr>
                <w:rFonts w:ascii="Times New Roman" w:eastAsia="Times New Roman"/>
                <w:sz w:val="21"/>
              </w:rPr>
            </w:pPr>
            <w:r>
              <w:rPr>
                <w:sz w:val="21"/>
              </w:rPr>
              <w:t>水质亚硝酸盐氮的测定分光光度法 </w:t>
            </w:r>
            <w:r>
              <w:rPr>
                <w:rFonts w:ascii="Times New Roman" w:eastAsia="Times New Roman"/>
                <w:sz w:val="21"/>
              </w:rPr>
              <w:t>GB/T 7493-1987</w:t>
            </w:r>
          </w:p>
        </w:tc>
      </w:tr>
      <w:tr>
        <w:trPr>
          <w:trHeight w:val="425" w:hRule="atLeast"/>
        </w:trPr>
        <w:tc>
          <w:tcPr>
            <w:tcW w:w="1434" w:type="dxa"/>
          </w:tcPr>
          <w:p>
            <w:pPr>
              <w:pStyle w:val="TableParagraph"/>
              <w:spacing w:before="78"/>
              <w:ind w:left="169" w:right="163"/>
              <w:rPr>
                <w:sz w:val="21"/>
              </w:rPr>
            </w:pPr>
            <w:r>
              <w:rPr>
                <w:sz w:val="21"/>
              </w:rPr>
              <w:t>总硬度</w:t>
            </w:r>
          </w:p>
        </w:tc>
        <w:tc>
          <w:tcPr>
            <w:tcW w:w="7088" w:type="dxa"/>
          </w:tcPr>
          <w:p>
            <w:pPr>
              <w:pStyle w:val="TableParagraph"/>
              <w:spacing w:before="78"/>
              <w:ind w:left="40" w:right="28"/>
              <w:rPr>
                <w:rFonts w:ascii="Times New Roman" w:eastAsia="Times New Roman"/>
                <w:sz w:val="21"/>
              </w:rPr>
            </w:pPr>
            <w:r>
              <w:rPr>
                <w:sz w:val="21"/>
              </w:rPr>
              <w:t>水质钙和镁总量的测定 </w:t>
            </w:r>
            <w:r>
              <w:rPr>
                <w:rFonts w:ascii="Times New Roman" w:eastAsia="Times New Roman"/>
                <w:sz w:val="21"/>
              </w:rPr>
              <w:t>EDTA </w:t>
            </w:r>
            <w:r>
              <w:rPr>
                <w:sz w:val="21"/>
              </w:rPr>
              <w:t>滴定法 </w:t>
            </w:r>
            <w:r>
              <w:rPr>
                <w:rFonts w:ascii="Times New Roman" w:eastAsia="Times New Roman"/>
                <w:sz w:val="21"/>
              </w:rPr>
              <w:t>GB/T 7477-1987</w:t>
            </w:r>
          </w:p>
        </w:tc>
      </w:tr>
      <w:tr>
        <w:trPr>
          <w:trHeight w:val="623" w:hRule="atLeast"/>
        </w:trPr>
        <w:tc>
          <w:tcPr>
            <w:tcW w:w="1434" w:type="dxa"/>
          </w:tcPr>
          <w:p>
            <w:pPr>
              <w:pStyle w:val="TableParagraph"/>
              <w:spacing w:before="22"/>
              <w:ind w:left="171" w:right="163"/>
              <w:rPr>
                <w:sz w:val="21"/>
              </w:rPr>
            </w:pPr>
            <w:r>
              <w:rPr>
                <w:sz w:val="21"/>
              </w:rPr>
              <w:t>高锰酸盐指</w:t>
            </w:r>
          </w:p>
          <w:p>
            <w:pPr>
              <w:pStyle w:val="TableParagraph"/>
              <w:spacing w:before="43"/>
              <w:ind w:left="8"/>
              <w:rPr>
                <w:sz w:val="21"/>
              </w:rPr>
            </w:pPr>
            <w:r>
              <w:rPr>
                <w:w w:val="99"/>
                <w:sz w:val="21"/>
              </w:rPr>
              <w:t>数</w:t>
            </w:r>
          </w:p>
        </w:tc>
        <w:tc>
          <w:tcPr>
            <w:tcW w:w="7088" w:type="dxa"/>
          </w:tcPr>
          <w:p>
            <w:pPr>
              <w:pStyle w:val="TableParagraph"/>
              <w:spacing w:before="178"/>
              <w:ind w:left="40" w:right="28"/>
              <w:rPr>
                <w:rFonts w:ascii="Times New Roman" w:eastAsia="Times New Roman"/>
                <w:sz w:val="21"/>
              </w:rPr>
            </w:pPr>
            <w:r>
              <w:rPr>
                <w:sz w:val="21"/>
              </w:rPr>
              <w:t>水质高锰酸盐指数的测定 </w:t>
            </w:r>
            <w:r>
              <w:rPr>
                <w:rFonts w:ascii="Times New Roman" w:eastAsia="Times New Roman"/>
                <w:sz w:val="21"/>
              </w:rPr>
              <w:t>GB 11892-1989</w:t>
            </w:r>
          </w:p>
        </w:tc>
      </w:tr>
      <w:tr>
        <w:trPr>
          <w:trHeight w:val="624" w:hRule="atLeast"/>
        </w:trPr>
        <w:tc>
          <w:tcPr>
            <w:tcW w:w="1434" w:type="dxa"/>
          </w:tcPr>
          <w:p>
            <w:pPr>
              <w:pStyle w:val="TableParagraph"/>
              <w:spacing w:before="21"/>
              <w:ind w:left="171" w:right="163"/>
              <w:rPr>
                <w:sz w:val="21"/>
              </w:rPr>
            </w:pPr>
            <w:r>
              <w:rPr>
                <w:sz w:val="21"/>
              </w:rPr>
              <w:t>溶解性总固</w:t>
            </w:r>
          </w:p>
          <w:p>
            <w:pPr>
              <w:pStyle w:val="TableParagraph"/>
              <w:spacing w:before="43"/>
              <w:ind w:left="8"/>
              <w:rPr>
                <w:sz w:val="21"/>
              </w:rPr>
            </w:pPr>
            <w:r>
              <w:rPr>
                <w:w w:val="99"/>
                <w:sz w:val="21"/>
              </w:rPr>
              <w:t>体</w:t>
            </w:r>
          </w:p>
        </w:tc>
        <w:tc>
          <w:tcPr>
            <w:tcW w:w="7088" w:type="dxa"/>
          </w:tcPr>
          <w:p>
            <w:pPr>
              <w:pStyle w:val="TableParagraph"/>
              <w:spacing w:before="21"/>
              <w:ind w:left="40" w:right="32"/>
              <w:rPr>
                <w:sz w:val="21"/>
              </w:rPr>
            </w:pPr>
            <w:r>
              <w:rPr>
                <w:sz w:val="21"/>
              </w:rPr>
              <w:t>生活饮用水标准检验方法感官性状和物理指标（</w:t>
            </w:r>
            <w:r>
              <w:rPr>
                <w:rFonts w:ascii="Times New Roman" w:eastAsia="Times New Roman"/>
                <w:sz w:val="21"/>
              </w:rPr>
              <w:t>8.1 </w:t>
            </w:r>
            <w:r>
              <w:rPr>
                <w:sz w:val="21"/>
              </w:rPr>
              <w:t>称量法）</w:t>
            </w:r>
          </w:p>
          <w:p>
            <w:pPr>
              <w:pStyle w:val="TableParagraph"/>
              <w:spacing w:before="57"/>
              <w:ind w:left="40" w:right="30"/>
              <w:rPr>
                <w:rFonts w:ascii="Times New Roman"/>
                <w:sz w:val="21"/>
              </w:rPr>
            </w:pPr>
            <w:r>
              <w:rPr>
                <w:rFonts w:ascii="Times New Roman"/>
                <w:sz w:val="21"/>
              </w:rPr>
              <w:t>GB/T 5750.4-2006</w:t>
            </w:r>
          </w:p>
        </w:tc>
      </w:tr>
      <w:tr>
        <w:trPr>
          <w:trHeight w:val="425" w:hRule="atLeast"/>
        </w:trPr>
        <w:tc>
          <w:tcPr>
            <w:tcW w:w="1434" w:type="dxa"/>
          </w:tcPr>
          <w:p>
            <w:pPr>
              <w:pStyle w:val="TableParagraph"/>
              <w:spacing w:before="76"/>
              <w:ind w:left="8"/>
              <w:rPr>
                <w:sz w:val="21"/>
              </w:rPr>
            </w:pPr>
            <w:r>
              <w:rPr>
                <w:w w:val="99"/>
                <w:sz w:val="21"/>
              </w:rPr>
              <w:t>铁</w:t>
            </w:r>
          </w:p>
        </w:tc>
        <w:tc>
          <w:tcPr>
            <w:tcW w:w="7088" w:type="dxa"/>
          </w:tcPr>
          <w:p>
            <w:pPr>
              <w:pStyle w:val="TableParagraph"/>
              <w:spacing w:before="76"/>
              <w:ind w:left="40" w:right="28"/>
              <w:rPr>
                <w:rFonts w:ascii="Times New Roman" w:eastAsia="Times New Roman"/>
                <w:sz w:val="21"/>
              </w:rPr>
            </w:pPr>
            <w:r>
              <w:rPr>
                <w:sz w:val="21"/>
              </w:rPr>
              <w:t>水质铁、锰的测定火焰原子吸收分光光度法 </w:t>
            </w:r>
            <w:r>
              <w:rPr>
                <w:rFonts w:ascii="Times New Roman" w:eastAsia="Times New Roman"/>
                <w:sz w:val="21"/>
              </w:rPr>
              <w:t>GB 11911-1989</w:t>
            </w:r>
          </w:p>
        </w:tc>
      </w:tr>
      <w:tr>
        <w:trPr>
          <w:trHeight w:val="425" w:hRule="atLeast"/>
        </w:trPr>
        <w:tc>
          <w:tcPr>
            <w:tcW w:w="1434" w:type="dxa"/>
          </w:tcPr>
          <w:p>
            <w:pPr>
              <w:pStyle w:val="TableParagraph"/>
              <w:spacing w:before="76"/>
              <w:ind w:left="8"/>
              <w:rPr>
                <w:sz w:val="21"/>
              </w:rPr>
            </w:pPr>
            <w:r>
              <w:rPr>
                <w:w w:val="99"/>
                <w:sz w:val="21"/>
              </w:rPr>
              <w:t>锰</w:t>
            </w:r>
          </w:p>
        </w:tc>
        <w:tc>
          <w:tcPr>
            <w:tcW w:w="7088" w:type="dxa"/>
          </w:tcPr>
          <w:p>
            <w:pPr>
              <w:pStyle w:val="TableParagraph"/>
              <w:spacing w:before="76"/>
              <w:ind w:left="40" w:right="28"/>
              <w:rPr>
                <w:rFonts w:ascii="Times New Roman" w:eastAsia="Times New Roman"/>
                <w:sz w:val="21"/>
              </w:rPr>
            </w:pPr>
            <w:r>
              <w:rPr>
                <w:sz w:val="21"/>
              </w:rPr>
              <w:t>水质铁、锰的测定火焰原子吸收分光光度法 </w:t>
            </w:r>
            <w:r>
              <w:rPr>
                <w:rFonts w:ascii="Times New Roman" w:eastAsia="Times New Roman"/>
                <w:sz w:val="21"/>
              </w:rPr>
              <w:t>GB 11911-1989</w:t>
            </w:r>
          </w:p>
        </w:tc>
      </w:tr>
      <w:tr>
        <w:trPr>
          <w:trHeight w:val="624" w:hRule="atLeast"/>
        </w:trPr>
        <w:tc>
          <w:tcPr>
            <w:tcW w:w="1434" w:type="dxa"/>
          </w:tcPr>
          <w:p>
            <w:pPr>
              <w:pStyle w:val="TableParagraph"/>
              <w:spacing w:before="176"/>
              <w:ind w:left="8"/>
              <w:rPr>
                <w:sz w:val="21"/>
              </w:rPr>
            </w:pPr>
            <w:r>
              <w:rPr>
                <w:w w:val="99"/>
                <w:sz w:val="21"/>
              </w:rPr>
              <w:t>铅</w:t>
            </w:r>
          </w:p>
        </w:tc>
        <w:tc>
          <w:tcPr>
            <w:tcW w:w="7088" w:type="dxa"/>
          </w:tcPr>
          <w:p>
            <w:pPr>
              <w:pStyle w:val="TableParagraph"/>
              <w:spacing w:before="20"/>
              <w:ind w:left="40" w:right="32"/>
              <w:rPr>
                <w:sz w:val="21"/>
              </w:rPr>
            </w:pPr>
            <w:r>
              <w:rPr>
                <w:sz w:val="21"/>
              </w:rPr>
              <w:t>生活饮用水标准检验方法金属指标 （</w:t>
            </w:r>
            <w:r>
              <w:rPr>
                <w:rFonts w:ascii="Times New Roman" w:eastAsia="Times New Roman"/>
                <w:sz w:val="21"/>
              </w:rPr>
              <w:t>11.1 </w:t>
            </w:r>
            <w:r>
              <w:rPr>
                <w:sz w:val="21"/>
              </w:rPr>
              <w:t>无火焰原子吸收分光光度法）</w:t>
            </w:r>
          </w:p>
          <w:p>
            <w:pPr>
              <w:pStyle w:val="TableParagraph"/>
              <w:spacing w:before="57"/>
              <w:ind w:left="40" w:right="30"/>
              <w:rPr>
                <w:rFonts w:ascii="Times New Roman"/>
                <w:sz w:val="21"/>
              </w:rPr>
            </w:pPr>
            <w:r>
              <w:rPr>
                <w:rFonts w:ascii="Times New Roman"/>
                <w:sz w:val="21"/>
              </w:rPr>
              <w:t>GB/T 5750.6-2006</w:t>
            </w:r>
          </w:p>
        </w:tc>
      </w:tr>
      <w:tr>
        <w:trPr>
          <w:trHeight w:val="425" w:hRule="atLeast"/>
        </w:trPr>
        <w:tc>
          <w:tcPr>
            <w:tcW w:w="1434" w:type="dxa"/>
          </w:tcPr>
          <w:p>
            <w:pPr>
              <w:pStyle w:val="TableParagraph"/>
              <w:spacing w:before="77"/>
              <w:ind w:left="169" w:right="163"/>
              <w:rPr>
                <w:sz w:val="21"/>
              </w:rPr>
            </w:pPr>
            <w:r>
              <w:rPr>
                <w:sz w:val="21"/>
              </w:rPr>
              <w:t>六价铬</w:t>
            </w:r>
          </w:p>
        </w:tc>
        <w:tc>
          <w:tcPr>
            <w:tcW w:w="7088" w:type="dxa"/>
          </w:tcPr>
          <w:p>
            <w:pPr>
              <w:pStyle w:val="TableParagraph"/>
              <w:spacing w:before="77"/>
              <w:ind w:left="40" w:right="30"/>
              <w:rPr>
                <w:rFonts w:ascii="Times New Roman" w:eastAsia="Times New Roman"/>
                <w:sz w:val="21"/>
              </w:rPr>
            </w:pPr>
            <w:r>
              <w:rPr>
                <w:sz w:val="21"/>
              </w:rPr>
              <w:t>水质六价铬的测定二苯碳酰二肼分光光度法 </w:t>
            </w:r>
            <w:r>
              <w:rPr>
                <w:rFonts w:ascii="Times New Roman" w:eastAsia="Times New Roman"/>
                <w:sz w:val="21"/>
              </w:rPr>
              <w:t>GB/T 7467-1987</w:t>
            </w:r>
          </w:p>
        </w:tc>
      </w:tr>
      <w:tr>
        <w:trPr>
          <w:trHeight w:val="425" w:hRule="atLeast"/>
        </w:trPr>
        <w:tc>
          <w:tcPr>
            <w:tcW w:w="1434" w:type="dxa"/>
          </w:tcPr>
          <w:p>
            <w:pPr>
              <w:pStyle w:val="TableParagraph"/>
              <w:spacing w:before="76"/>
              <w:ind w:left="169" w:right="163"/>
              <w:rPr>
                <w:sz w:val="21"/>
              </w:rPr>
            </w:pPr>
            <w:r>
              <w:rPr>
                <w:sz w:val="21"/>
              </w:rPr>
              <w:t>氯化物</w:t>
            </w:r>
          </w:p>
        </w:tc>
        <w:tc>
          <w:tcPr>
            <w:tcW w:w="7088" w:type="dxa"/>
          </w:tcPr>
          <w:p>
            <w:pPr>
              <w:pStyle w:val="TableParagraph"/>
              <w:spacing w:before="76"/>
              <w:ind w:left="40" w:right="28"/>
              <w:rPr>
                <w:rFonts w:ascii="Times New Roman" w:eastAsia="Times New Roman"/>
                <w:sz w:val="21"/>
              </w:rPr>
            </w:pPr>
            <w:r>
              <w:rPr>
                <w:sz w:val="21"/>
              </w:rPr>
              <w:t>水质氯化物的测定硝酸银滴定法 </w:t>
            </w:r>
            <w:r>
              <w:rPr>
                <w:rFonts w:ascii="Times New Roman" w:eastAsia="Times New Roman"/>
                <w:sz w:val="21"/>
              </w:rPr>
              <w:t>GB 11896-1989</w:t>
            </w:r>
          </w:p>
        </w:tc>
      </w:tr>
      <w:tr>
        <w:trPr>
          <w:trHeight w:val="422" w:hRule="atLeast"/>
        </w:trPr>
        <w:tc>
          <w:tcPr>
            <w:tcW w:w="1434" w:type="dxa"/>
          </w:tcPr>
          <w:p>
            <w:pPr>
              <w:pStyle w:val="TableParagraph"/>
              <w:spacing w:before="76"/>
              <w:ind w:left="169" w:right="163"/>
              <w:rPr>
                <w:sz w:val="21"/>
              </w:rPr>
            </w:pPr>
            <w:r>
              <w:rPr>
                <w:sz w:val="21"/>
              </w:rPr>
              <w:t>硫酸盐</w:t>
            </w:r>
          </w:p>
        </w:tc>
        <w:tc>
          <w:tcPr>
            <w:tcW w:w="7088" w:type="dxa"/>
          </w:tcPr>
          <w:p>
            <w:pPr>
              <w:pStyle w:val="TableParagraph"/>
              <w:spacing w:before="76"/>
              <w:ind w:left="40" w:right="28"/>
              <w:rPr>
                <w:rFonts w:ascii="Times New Roman" w:eastAsia="Times New Roman"/>
                <w:sz w:val="21"/>
              </w:rPr>
            </w:pPr>
            <w:r>
              <w:rPr>
                <w:sz w:val="21"/>
              </w:rPr>
              <w:t>水质硫酸盐的测定铬酸钡分光光度法（试行）</w:t>
            </w:r>
            <w:r>
              <w:rPr>
                <w:rFonts w:ascii="Times New Roman" w:eastAsia="Times New Roman"/>
                <w:sz w:val="21"/>
              </w:rPr>
              <w:t>HJ/T 342-2007</w:t>
            </w:r>
          </w:p>
        </w:tc>
      </w:tr>
    </w:tbl>
    <w:p>
      <w:pPr>
        <w:spacing w:after="0"/>
        <w:rPr>
          <w:rFonts w:ascii="Times New Roman" w:eastAsia="Times New Roman"/>
          <w:sz w:val="21"/>
        </w:rPr>
        <w:sectPr>
          <w:pgSz w:w="11910" w:h="16840"/>
          <w:pgMar w:header="0" w:footer="993" w:top="1420" w:bottom="1180" w:left="1040" w:right="600"/>
        </w:sect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4"/>
        <w:gridCol w:w="7088"/>
      </w:tblGrid>
      <w:tr>
        <w:trPr>
          <w:trHeight w:val="425" w:hRule="atLeast"/>
        </w:trPr>
        <w:tc>
          <w:tcPr>
            <w:tcW w:w="1434" w:type="dxa"/>
          </w:tcPr>
          <w:p>
            <w:pPr>
              <w:pStyle w:val="TableParagraph"/>
              <w:spacing w:before="76"/>
              <w:ind w:left="171" w:right="163"/>
              <w:rPr>
                <w:sz w:val="21"/>
              </w:rPr>
            </w:pPr>
            <w:r>
              <w:rPr>
                <w:sz w:val="21"/>
              </w:rPr>
              <w:t>检测项目</w:t>
            </w:r>
          </w:p>
        </w:tc>
        <w:tc>
          <w:tcPr>
            <w:tcW w:w="7088" w:type="dxa"/>
          </w:tcPr>
          <w:p>
            <w:pPr>
              <w:pStyle w:val="TableParagraph"/>
              <w:spacing w:before="76"/>
              <w:ind w:left="38" w:right="32"/>
              <w:rPr>
                <w:sz w:val="21"/>
              </w:rPr>
            </w:pPr>
            <w:r>
              <w:rPr>
                <w:sz w:val="21"/>
              </w:rPr>
              <w:t>检测依据</w:t>
            </w:r>
          </w:p>
        </w:tc>
      </w:tr>
      <w:tr>
        <w:trPr>
          <w:trHeight w:val="435" w:hRule="atLeast"/>
        </w:trPr>
        <w:tc>
          <w:tcPr>
            <w:tcW w:w="1434" w:type="dxa"/>
          </w:tcPr>
          <w:p>
            <w:pPr>
              <w:pStyle w:val="TableParagraph"/>
              <w:spacing w:before="83"/>
              <w:ind w:left="171" w:right="163"/>
              <w:rPr>
                <w:sz w:val="21"/>
              </w:rPr>
            </w:pPr>
            <w:r>
              <w:rPr>
                <w:sz w:val="21"/>
              </w:rPr>
              <w:t>细菌总数</w:t>
            </w:r>
          </w:p>
        </w:tc>
        <w:tc>
          <w:tcPr>
            <w:tcW w:w="7088" w:type="dxa"/>
          </w:tcPr>
          <w:p>
            <w:pPr>
              <w:pStyle w:val="TableParagraph"/>
              <w:spacing w:before="83"/>
              <w:ind w:left="40" w:right="28"/>
              <w:rPr>
                <w:rFonts w:ascii="Times New Roman" w:eastAsia="Times New Roman"/>
                <w:sz w:val="21"/>
              </w:rPr>
            </w:pPr>
            <w:r>
              <w:rPr>
                <w:sz w:val="21"/>
              </w:rPr>
              <w:t>生活饮用水标准检验方法微生物指标（</w:t>
            </w:r>
            <w:r>
              <w:rPr>
                <w:rFonts w:ascii="Times New Roman" w:eastAsia="Times New Roman"/>
                <w:sz w:val="21"/>
              </w:rPr>
              <w:t>1.1 </w:t>
            </w:r>
            <w:r>
              <w:rPr>
                <w:sz w:val="21"/>
              </w:rPr>
              <w:t>平皿计数法）</w:t>
            </w:r>
            <w:r>
              <w:rPr>
                <w:rFonts w:ascii="Times New Roman" w:eastAsia="Times New Roman"/>
                <w:sz w:val="21"/>
              </w:rPr>
              <w:t>GB/T 5750.12-2006</w:t>
            </w:r>
          </w:p>
        </w:tc>
      </w:tr>
      <w:tr>
        <w:trPr>
          <w:trHeight w:val="425" w:hRule="atLeast"/>
        </w:trPr>
        <w:tc>
          <w:tcPr>
            <w:tcW w:w="1434" w:type="dxa"/>
          </w:tcPr>
          <w:p>
            <w:pPr>
              <w:pStyle w:val="TableParagraph"/>
              <w:spacing w:before="76"/>
              <w:ind w:left="171" w:right="163"/>
              <w:rPr>
                <w:sz w:val="21"/>
              </w:rPr>
            </w:pPr>
            <w:r>
              <w:rPr>
                <w:sz w:val="21"/>
              </w:rPr>
              <w:t>总大肠菌群</w:t>
            </w:r>
          </w:p>
        </w:tc>
        <w:tc>
          <w:tcPr>
            <w:tcW w:w="7088" w:type="dxa"/>
          </w:tcPr>
          <w:p>
            <w:pPr>
              <w:pStyle w:val="TableParagraph"/>
              <w:spacing w:before="76"/>
              <w:ind w:left="40" w:right="28"/>
              <w:rPr>
                <w:rFonts w:ascii="Times New Roman" w:eastAsia="Times New Roman"/>
                <w:sz w:val="21"/>
              </w:rPr>
            </w:pPr>
            <w:r>
              <w:rPr>
                <w:sz w:val="21"/>
              </w:rPr>
              <w:t>生活饮用水标准检验方法微生物指标（</w:t>
            </w:r>
            <w:r>
              <w:rPr>
                <w:rFonts w:ascii="Times New Roman" w:eastAsia="Times New Roman"/>
                <w:sz w:val="21"/>
              </w:rPr>
              <w:t>2.1 </w:t>
            </w:r>
            <w:r>
              <w:rPr>
                <w:sz w:val="21"/>
              </w:rPr>
              <w:t>多管发酵法）</w:t>
            </w:r>
            <w:r>
              <w:rPr>
                <w:rFonts w:ascii="Times New Roman" w:eastAsia="Times New Roman"/>
                <w:sz w:val="21"/>
              </w:rPr>
              <w:t>GB/T 5750.12-2006</w:t>
            </w:r>
          </w:p>
        </w:tc>
      </w:tr>
      <w:tr>
        <w:trPr>
          <w:trHeight w:val="425" w:hRule="atLeast"/>
        </w:trPr>
        <w:tc>
          <w:tcPr>
            <w:tcW w:w="1434" w:type="dxa"/>
          </w:tcPr>
          <w:p>
            <w:pPr>
              <w:pStyle w:val="TableParagraph"/>
              <w:spacing w:before="78"/>
              <w:ind w:left="171" w:right="163"/>
              <w:rPr>
                <w:sz w:val="21"/>
              </w:rPr>
            </w:pPr>
            <w:r>
              <w:rPr>
                <w:sz w:val="21"/>
              </w:rPr>
              <w:t>挥发性酚类</w:t>
            </w:r>
          </w:p>
        </w:tc>
        <w:tc>
          <w:tcPr>
            <w:tcW w:w="7088" w:type="dxa"/>
          </w:tcPr>
          <w:p>
            <w:pPr>
              <w:pStyle w:val="TableParagraph"/>
              <w:spacing w:before="78"/>
              <w:ind w:left="40" w:right="28"/>
              <w:rPr>
                <w:rFonts w:ascii="Times New Roman" w:eastAsia="Times New Roman"/>
                <w:sz w:val="21"/>
              </w:rPr>
            </w:pPr>
            <w:r>
              <w:rPr>
                <w:sz w:val="21"/>
              </w:rPr>
              <w:t>水质挥发酚的测定 </w:t>
            </w:r>
            <w:r>
              <w:rPr>
                <w:rFonts w:ascii="Times New Roman" w:eastAsia="Times New Roman"/>
                <w:sz w:val="21"/>
              </w:rPr>
              <w:t>4-</w:t>
            </w:r>
            <w:r>
              <w:rPr>
                <w:sz w:val="21"/>
              </w:rPr>
              <w:t>氨基安替比林分光光度法 </w:t>
            </w:r>
            <w:r>
              <w:rPr>
                <w:rFonts w:ascii="Times New Roman" w:eastAsia="Times New Roman"/>
                <w:sz w:val="21"/>
              </w:rPr>
              <w:t>HJ 503-2009</w:t>
            </w:r>
          </w:p>
        </w:tc>
      </w:tr>
      <w:tr>
        <w:trPr>
          <w:trHeight w:val="624" w:hRule="atLeast"/>
        </w:trPr>
        <w:tc>
          <w:tcPr>
            <w:tcW w:w="1434" w:type="dxa"/>
          </w:tcPr>
          <w:p>
            <w:pPr>
              <w:pStyle w:val="TableParagraph"/>
              <w:spacing w:before="178"/>
              <w:ind w:left="169" w:right="163"/>
              <w:rPr>
                <w:sz w:val="21"/>
              </w:rPr>
            </w:pPr>
            <w:r>
              <w:rPr>
                <w:sz w:val="21"/>
              </w:rPr>
              <w:t>氰化物</w:t>
            </w:r>
          </w:p>
        </w:tc>
        <w:tc>
          <w:tcPr>
            <w:tcW w:w="7088" w:type="dxa"/>
          </w:tcPr>
          <w:p>
            <w:pPr>
              <w:pStyle w:val="TableParagraph"/>
              <w:spacing w:before="22"/>
              <w:ind w:left="108" w:right="-15"/>
              <w:jc w:val="left"/>
              <w:rPr>
                <w:sz w:val="21"/>
              </w:rPr>
            </w:pPr>
            <w:r>
              <w:rPr>
                <w:spacing w:val="-6"/>
                <w:sz w:val="21"/>
              </w:rPr>
              <w:t>生活饮用水标准检验方法无机非金属指标</w:t>
            </w:r>
            <w:r>
              <w:rPr>
                <w:sz w:val="21"/>
              </w:rPr>
              <w:t>（</w:t>
            </w:r>
            <w:r>
              <w:rPr>
                <w:rFonts w:ascii="Times New Roman" w:eastAsia="Times New Roman"/>
                <w:sz w:val="21"/>
              </w:rPr>
              <w:t>4.2</w:t>
            </w:r>
            <w:r>
              <w:rPr>
                <w:rFonts w:ascii="Times New Roman" w:eastAsia="Times New Roman"/>
                <w:spacing w:val="-35"/>
                <w:sz w:val="21"/>
              </w:rPr>
              <w:t> </w:t>
            </w:r>
            <w:r>
              <w:rPr>
                <w:sz w:val="21"/>
              </w:rPr>
              <w:t>异烟酸</w:t>
            </w:r>
            <w:r>
              <w:rPr>
                <w:rFonts w:ascii="Times New Roman" w:eastAsia="Times New Roman"/>
                <w:sz w:val="21"/>
              </w:rPr>
              <w:t>-</w:t>
            </w:r>
            <w:r>
              <w:rPr>
                <w:sz w:val="21"/>
              </w:rPr>
              <w:t>巴比妥酸分光光度法）</w:t>
            </w:r>
          </w:p>
          <w:p>
            <w:pPr>
              <w:pStyle w:val="TableParagraph"/>
              <w:spacing w:before="57"/>
              <w:ind w:left="40" w:right="30"/>
              <w:rPr>
                <w:rFonts w:ascii="Times New Roman"/>
                <w:sz w:val="21"/>
              </w:rPr>
            </w:pPr>
            <w:r>
              <w:rPr>
                <w:rFonts w:ascii="Times New Roman"/>
                <w:sz w:val="21"/>
              </w:rPr>
              <w:t>GB/T 5750.5-2006</w:t>
            </w:r>
          </w:p>
        </w:tc>
      </w:tr>
      <w:tr>
        <w:trPr>
          <w:trHeight w:val="425" w:hRule="atLeast"/>
        </w:trPr>
        <w:tc>
          <w:tcPr>
            <w:tcW w:w="1434" w:type="dxa"/>
          </w:tcPr>
          <w:p>
            <w:pPr>
              <w:pStyle w:val="TableParagraph"/>
              <w:spacing w:before="77"/>
              <w:ind w:left="8"/>
              <w:rPr>
                <w:sz w:val="21"/>
              </w:rPr>
            </w:pPr>
            <w:r>
              <w:rPr>
                <w:w w:val="99"/>
                <w:sz w:val="21"/>
              </w:rPr>
              <w:t>砷</w:t>
            </w:r>
          </w:p>
        </w:tc>
        <w:tc>
          <w:tcPr>
            <w:tcW w:w="7088" w:type="dxa"/>
          </w:tcPr>
          <w:p>
            <w:pPr>
              <w:pStyle w:val="TableParagraph"/>
              <w:spacing w:before="77"/>
              <w:ind w:left="40" w:right="30"/>
              <w:rPr>
                <w:rFonts w:ascii="Times New Roman" w:eastAsia="Times New Roman"/>
                <w:sz w:val="21"/>
              </w:rPr>
            </w:pPr>
            <w:r>
              <w:rPr>
                <w:sz w:val="21"/>
              </w:rPr>
              <w:t>水质汞、砷、硒、铋和锑的测定原子荧光法 </w:t>
            </w:r>
            <w:r>
              <w:rPr>
                <w:rFonts w:ascii="Times New Roman" w:eastAsia="Times New Roman"/>
                <w:sz w:val="21"/>
              </w:rPr>
              <w:t>HJ 694-2014</w:t>
            </w:r>
          </w:p>
        </w:tc>
      </w:tr>
      <w:tr>
        <w:trPr>
          <w:trHeight w:val="425" w:hRule="atLeast"/>
        </w:trPr>
        <w:tc>
          <w:tcPr>
            <w:tcW w:w="1434" w:type="dxa"/>
          </w:tcPr>
          <w:p>
            <w:pPr>
              <w:pStyle w:val="TableParagraph"/>
              <w:spacing w:before="76"/>
              <w:ind w:left="8"/>
              <w:rPr>
                <w:sz w:val="21"/>
              </w:rPr>
            </w:pPr>
            <w:r>
              <w:rPr>
                <w:w w:val="99"/>
                <w:sz w:val="21"/>
              </w:rPr>
              <w:t>汞</w:t>
            </w:r>
          </w:p>
        </w:tc>
        <w:tc>
          <w:tcPr>
            <w:tcW w:w="7088" w:type="dxa"/>
          </w:tcPr>
          <w:p>
            <w:pPr>
              <w:pStyle w:val="TableParagraph"/>
              <w:spacing w:before="76"/>
              <w:ind w:left="40" w:right="30"/>
              <w:rPr>
                <w:rFonts w:ascii="Times New Roman" w:eastAsia="Times New Roman"/>
                <w:sz w:val="21"/>
              </w:rPr>
            </w:pPr>
            <w:r>
              <w:rPr>
                <w:sz w:val="21"/>
              </w:rPr>
              <w:t>水质汞、砷、硒、铋和锑的测定原子荧光法 </w:t>
            </w:r>
            <w:r>
              <w:rPr>
                <w:rFonts w:ascii="Times New Roman" w:eastAsia="Times New Roman"/>
                <w:sz w:val="21"/>
              </w:rPr>
              <w:t>HJ 694-2014</w:t>
            </w:r>
          </w:p>
        </w:tc>
      </w:tr>
      <w:tr>
        <w:trPr>
          <w:trHeight w:val="425" w:hRule="atLeast"/>
        </w:trPr>
        <w:tc>
          <w:tcPr>
            <w:tcW w:w="1434" w:type="dxa"/>
          </w:tcPr>
          <w:p>
            <w:pPr>
              <w:pStyle w:val="TableParagraph"/>
              <w:spacing w:before="78"/>
              <w:ind w:left="169" w:right="163"/>
              <w:rPr>
                <w:sz w:val="21"/>
              </w:rPr>
            </w:pPr>
            <w:r>
              <w:rPr>
                <w:sz w:val="21"/>
              </w:rPr>
              <w:t>氟化物</w:t>
            </w:r>
          </w:p>
        </w:tc>
        <w:tc>
          <w:tcPr>
            <w:tcW w:w="7088" w:type="dxa"/>
          </w:tcPr>
          <w:p>
            <w:pPr>
              <w:pStyle w:val="TableParagraph"/>
              <w:spacing w:before="78"/>
              <w:ind w:left="40" w:right="30"/>
              <w:rPr>
                <w:rFonts w:ascii="Times New Roman" w:eastAsia="Times New Roman"/>
                <w:sz w:val="21"/>
              </w:rPr>
            </w:pPr>
            <w:r>
              <w:rPr>
                <w:sz w:val="21"/>
              </w:rPr>
              <w:t>水质氟化物的测定离子选择电极法 </w:t>
            </w:r>
            <w:r>
              <w:rPr>
                <w:rFonts w:ascii="Times New Roman" w:eastAsia="Times New Roman"/>
                <w:sz w:val="21"/>
              </w:rPr>
              <w:t>GB7484-1987</w:t>
            </w:r>
          </w:p>
        </w:tc>
      </w:tr>
      <w:tr>
        <w:trPr>
          <w:trHeight w:val="623" w:hRule="atLeast"/>
        </w:trPr>
        <w:tc>
          <w:tcPr>
            <w:tcW w:w="1434" w:type="dxa"/>
          </w:tcPr>
          <w:p>
            <w:pPr>
              <w:pStyle w:val="TableParagraph"/>
              <w:spacing w:before="176"/>
              <w:ind w:left="8"/>
              <w:rPr>
                <w:sz w:val="21"/>
              </w:rPr>
            </w:pPr>
            <w:r>
              <w:rPr>
                <w:w w:val="99"/>
                <w:sz w:val="21"/>
              </w:rPr>
              <w:t>镉</w:t>
            </w:r>
          </w:p>
        </w:tc>
        <w:tc>
          <w:tcPr>
            <w:tcW w:w="7088" w:type="dxa"/>
          </w:tcPr>
          <w:p>
            <w:pPr>
              <w:pStyle w:val="TableParagraph"/>
              <w:spacing w:before="20"/>
              <w:ind w:left="40" w:right="32"/>
              <w:rPr>
                <w:sz w:val="21"/>
              </w:rPr>
            </w:pPr>
            <w:r>
              <w:rPr>
                <w:sz w:val="21"/>
              </w:rPr>
              <w:t>生活饮用水标准检验方法金属指标（</w:t>
            </w:r>
            <w:r>
              <w:rPr>
                <w:rFonts w:ascii="Times New Roman" w:eastAsia="Times New Roman"/>
                <w:sz w:val="21"/>
              </w:rPr>
              <w:t>9.1 </w:t>
            </w:r>
            <w:r>
              <w:rPr>
                <w:sz w:val="21"/>
              </w:rPr>
              <w:t>无火焰原子吸收分光光度法）</w:t>
            </w:r>
          </w:p>
          <w:p>
            <w:pPr>
              <w:pStyle w:val="TableParagraph"/>
              <w:spacing w:before="57"/>
              <w:ind w:left="40" w:right="30"/>
              <w:rPr>
                <w:rFonts w:ascii="Times New Roman"/>
                <w:sz w:val="21"/>
              </w:rPr>
            </w:pPr>
            <w:r>
              <w:rPr>
                <w:rFonts w:ascii="Times New Roman"/>
                <w:sz w:val="21"/>
              </w:rPr>
              <w:t>GB/T 5750.6-2006</w:t>
            </w:r>
          </w:p>
        </w:tc>
      </w:tr>
      <w:tr>
        <w:trPr>
          <w:trHeight w:val="624" w:hRule="atLeast"/>
        </w:trPr>
        <w:tc>
          <w:tcPr>
            <w:tcW w:w="1434" w:type="dxa"/>
          </w:tcPr>
          <w:p>
            <w:pPr>
              <w:pStyle w:val="TableParagraph"/>
              <w:spacing w:before="192"/>
              <w:ind w:left="171" w:right="163"/>
              <w:rPr>
                <w:rFonts w:ascii="Times New Roman"/>
                <w:sz w:val="13"/>
              </w:rPr>
            </w:pPr>
            <w:r>
              <w:rPr>
                <w:rFonts w:ascii="Times New Roman"/>
                <w:position w:val="-6"/>
                <w:sz w:val="21"/>
              </w:rPr>
              <w:t>K</w:t>
            </w:r>
            <w:r>
              <w:rPr>
                <w:rFonts w:ascii="Times New Roman"/>
                <w:sz w:val="13"/>
              </w:rPr>
              <w:t>+</w:t>
            </w:r>
          </w:p>
        </w:tc>
        <w:tc>
          <w:tcPr>
            <w:tcW w:w="7088" w:type="dxa"/>
          </w:tcPr>
          <w:p>
            <w:pPr>
              <w:pStyle w:val="TableParagraph"/>
              <w:spacing w:line="181" w:lineRule="exact" w:before="22"/>
              <w:ind w:left="40" w:right="22"/>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）的测定离子色谱法</w:t>
            </w:r>
          </w:p>
          <w:p>
            <w:pPr>
              <w:pStyle w:val="TableParagraph"/>
              <w:spacing w:line="74" w:lineRule="exact"/>
              <w:ind w:right="415"/>
              <w:rPr>
                <w:rFonts w:ascii="Times New Roman"/>
                <w:sz w:val="13"/>
              </w:rPr>
            </w:pPr>
            <w:r>
              <w:rPr>
                <w:rFonts w:ascii="Times New Roman"/>
                <w:w w:val="105"/>
                <w:sz w:val="13"/>
              </w:rPr>
              <w:t>4</w:t>
            </w:r>
          </w:p>
          <w:p>
            <w:pPr>
              <w:pStyle w:val="TableParagraph"/>
              <w:spacing w:before="71"/>
              <w:ind w:left="40" w:right="31"/>
              <w:rPr>
                <w:rFonts w:ascii="Times New Roman"/>
                <w:sz w:val="21"/>
              </w:rPr>
            </w:pPr>
            <w:r>
              <w:rPr>
                <w:rFonts w:ascii="Times New Roman"/>
                <w:sz w:val="21"/>
              </w:rPr>
              <w:t>HJ812-2016</w:t>
            </w:r>
          </w:p>
        </w:tc>
      </w:tr>
      <w:tr>
        <w:trPr>
          <w:trHeight w:val="623" w:hRule="atLeast"/>
        </w:trPr>
        <w:tc>
          <w:tcPr>
            <w:tcW w:w="1434" w:type="dxa"/>
          </w:tcPr>
          <w:p>
            <w:pPr>
              <w:pStyle w:val="TableParagraph"/>
              <w:spacing w:before="191"/>
              <w:ind w:left="171" w:right="160"/>
              <w:rPr>
                <w:rFonts w:ascii="Times New Roman"/>
                <w:sz w:val="13"/>
              </w:rPr>
            </w:pPr>
            <w:r>
              <w:rPr>
                <w:rFonts w:ascii="Times New Roman"/>
                <w:sz w:val="21"/>
              </w:rPr>
              <w:t>Na</w:t>
            </w:r>
            <w:r>
              <w:rPr>
                <w:rFonts w:ascii="Times New Roman"/>
                <w:position w:val="7"/>
                <w:sz w:val="13"/>
              </w:rPr>
              <w:t>+</w:t>
            </w:r>
          </w:p>
        </w:tc>
        <w:tc>
          <w:tcPr>
            <w:tcW w:w="7088" w:type="dxa"/>
          </w:tcPr>
          <w:p>
            <w:pPr>
              <w:pStyle w:val="TableParagraph"/>
              <w:spacing w:line="181" w:lineRule="exact" w:before="21"/>
              <w:ind w:left="40" w:right="22"/>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）的测定离子色谱法</w:t>
            </w:r>
          </w:p>
          <w:p>
            <w:pPr>
              <w:pStyle w:val="TableParagraph"/>
              <w:spacing w:line="74" w:lineRule="exact"/>
              <w:ind w:right="415"/>
              <w:rPr>
                <w:rFonts w:ascii="Times New Roman"/>
                <w:sz w:val="13"/>
              </w:rPr>
            </w:pPr>
            <w:r>
              <w:rPr>
                <w:rFonts w:ascii="Times New Roman"/>
                <w:w w:val="105"/>
                <w:sz w:val="13"/>
              </w:rPr>
              <w:t>4</w:t>
            </w:r>
          </w:p>
          <w:p>
            <w:pPr>
              <w:pStyle w:val="TableParagraph"/>
              <w:spacing w:before="71"/>
              <w:ind w:left="40" w:right="31"/>
              <w:rPr>
                <w:rFonts w:ascii="Times New Roman"/>
                <w:sz w:val="21"/>
              </w:rPr>
            </w:pPr>
            <w:r>
              <w:rPr>
                <w:rFonts w:ascii="Times New Roman"/>
                <w:sz w:val="21"/>
              </w:rPr>
              <w:t>HJ812-2016</w:t>
            </w:r>
          </w:p>
        </w:tc>
      </w:tr>
      <w:tr>
        <w:trPr>
          <w:trHeight w:val="624" w:hRule="atLeast"/>
        </w:trPr>
        <w:tc>
          <w:tcPr>
            <w:tcW w:w="1434" w:type="dxa"/>
          </w:tcPr>
          <w:p>
            <w:pPr>
              <w:pStyle w:val="TableParagraph"/>
              <w:spacing w:before="191"/>
              <w:ind w:left="171" w:right="160"/>
              <w:rPr>
                <w:rFonts w:ascii="Times New Roman"/>
                <w:sz w:val="13"/>
              </w:rPr>
            </w:pPr>
            <w:r>
              <w:rPr>
                <w:rFonts w:ascii="Times New Roman"/>
                <w:position w:val="-6"/>
                <w:sz w:val="21"/>
              </w:rPr>
              <w:t>Ca</w:t>
            </w:r>
            <w:r>
              <w:rPr>
                <w:rFonts w:ascii="Times New Roman"/>
                <w:sz w:val="13"/>
              </w:rPr>
              <w:t>2+</w:t>
            </w:r>
          </w:p>
        </w:tc>
        <w:tc>
          <w:tcPr>
            <w:tcW w:w="7088" w:type="dxa"/>
          </w:tcPr>
          <w:p>
            <w:pPr>
              <w:pStyle w:val="TableParagraph"/>
              <w:spacing w:line="181" w:lineRule="exact" w:before="21"/>
              <w:ind w:left="40" w:right="22"/>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）的测定离子色谱法</w:t>
            </w:r>
          </w:p>
          <w:p>
            <w:pPr>
              <w:pStyle w:val="TableParagraph"/>
              <w:spacing w:line="74" w:lineRule="exact"/>
              <w:ind w:right="415"/>
              <w:rPr>
                <w:rFonts w:ascii="Times New Roman"/>
                <w:sz w:val="13"/>
              </w:rPr>
            </w:pPr>
            <w:r>
              <w:rPr>
                <w:rFonts w:ascii="Times New Roman"/>
                <w:w w:val="105"/>
                <w:sz w:val="13"/>
              </w:rPr>
              <w:t>4</w:t>
            </w:r>
          </w:p>
          <w:p>
            <w:pPr>
              <w:pStyle w:val="TableParagraph"/>
              <w:spacing w:before="71"/>
              <w:ind w:left="40" w:right="31"/>
              <w:rPr>
                <w:rFonts w:ascii="Times New Roman"/>
                <w:sz w:val="21"/>
              </w:rPr>
            </w:pPr>
            <w:r>
              <w:rPr>
                <w:rFonts w:ascii="Times New Roman"/>
                <w:sz w:val="21"/>
              </w:rPr>
              <w:t>HJ812-2016</w:t>
            </w:r>
          </w:p>
        </w:tc>
      </w:tr>
      <w:tr>
        <w:trPr>
          <w:trHeight w:val="623" w:hRule="atLeast"/>
        </w:trPr>
        <w:tc>
          <w:tcPr>
            <w:tcW w:w="1434" w:type="dxa"/>
          </w:tcPr>
          <w:p>
            <w:pPr>
              <w:pStyle w:val="TableParagraph"/>
              <w:spacing w:before="191"/>
              <w:ind w:left="171" w:right="160"/>
              <w:rPr>
                <w:rFonts w:ascii="Times New Roman"/>
                <w:sz w:val="13"/>
              </w:rPr>
            </w:pPr>
            <w:r>
              <w:rPr>
                <w:rFonts w:ascii="Times New Roman"/>
                <w:position w:val="-6"/>
                <w:sz w:val="21"/>
              </w:rPr>
              <w:t>Mg</w:t>
            </w:r>
            <w:r>
              <w:rPr>
                <w:rFonts w:ascii="Times New Roman"/>
                <w:sz w:val="13"/>
              </w:rPr>
              <w:t>2+</w:t>
            </w:r>
          </w:p>
        </w:tc>
        <w:tc>
          <w:tcPr>
            <w:tcW w:w="7088" w:type="dxa"/>
          </w:tcPr>
          <w:p>
            <w:pPr>
              <w:pStyle w:val="TableParagraph"/>
              <w:spacing w:line="181" w:lineRule="exact" w:before="20"/>
              <w:ind w:left="40" w:right="22"/>
              <w:rPr>
                <w:sz w:val="21"/>
              </w:rPr>
            </w:pPr>
            <w:r>
              <w:rPr>
                <w:sz w:val="21"/>
              </w:rPr>
              <w:t>水质可溶性阳离子（</w:t>
            </w:r>
            <w:r>
              <w:rPr>
                <w:rFonts w:ascii="Times New Roman" w:eastAsia="Times New Roman"/>
                <w:sz w:val="21"/>
              </w:rPr>
              <w:t>Li</w:t>
            </w:r>
            <w:r>
              <w:rPr>
                <w:rFonts w:ascii="Times New Roman" w:eastAsia="Times New Roman"/>
                <w:position w:val="7"/>
                <w:sz w:val="13"/>
              </w:rPr>
              <w:t>+</w:t>
            </w:r>
            <w:r>
              <w:rPr>
                <w:sz w:val="21"/>
              </w:rPr>
              <w:t>、</w:t>
            </w:r>
            <w:r>
              <w:rPr>
                <w:rFonts w:ascii="Times New Roman" w:eastAsia="Times New Roman"/>
                <w:sz w:val="21"/>
              </w:rPr>
              <w:t>Na</w:t>
            </w:r>
            <w:r>
              <w:rPr>
                <w:rFonts w:ascii="Times New Roman" w:eastAsia="Times New Roman"/>
                <w:position w:val="7"/>
                <w:sz w:val="13"/>
              </w:rPr>
              <w:t>+</w:t>
            </w:r>
            <w:r>
              <w:rPr>
                <w:sz w:val="21"/>
              </w:rPr>
              <w:t>、</w:t>
            </w:r>
            <w:r>
              <w:rPr>
                <w:rFonts w:ascii="Times New Roman" w:eastAsia="Times New Roman"/>
                <w:sz w:val="21"/>
              </w:rPr>
              <w:t>NH </w:t>
            </w:r>
            <w:r>
              <w:rPr>
                <w:rFonts w:ascii="Times New Roman" w:eastAsia="Times New Roman"/>
                <w:position w:val="7"/>
                <w:sz w:val="13"/>
              </w:rPr>
              <w:t>+</w:t>
            </w:r>
            <w:r>
              <w:rPr>
                <w:sz w:val="21"/>
              </w:rPr>
              <w:t>、</w:t>
            </w:r>
            <w:r>
              <w:rPr>
                <w:rFonts w:ascii="Times New Roman" w:eastAsia="Times New Roman"/>
                <w:sz w:val="21"/>
              </w:rPr>
              <w:t>K</w:t>
            </w:r>
            <w:r>
              <w:rPr>
                <w:rFonts w:ascii="Times New Roman" w:eastAsia="Times New Roman"/>
                <w:position w:val="7"/>
                <w:sz w:val="13"/>
              </w:rPr>
              <w:t>+</w:t>
            </w:r>
            <w:r>
              <w:rPr>
                <w:sz w:val="21"/>
              </w:rPr>
              <w:t>、</w:t>
            </w:r>
            <w:r>
              <w:rPr>
                <w:rFonts w:ascii="Times New Roman" w:eastAsia="Times New Roman"/>
                <w:sz w:val="21"/>
              </w:rPr>
              <w:t>Ca</w:t>
            </w:r>
            <w:r>
              <w:rPr>
                <w:rFonts w:ascii="Times New Roman" w:eastAsia="Times New Roman"/>
                <w:position w:val="7"/>
                <w:sz w:val="13"/>
              </w:rPr>
              <w:t>2+</w:t>
            </w:r>
            <w:r>
              <w:rPr>
                <w:sz w:val="21"/>
              </w:rPr>
              <w:t>、</w:t>
            </w:r>
            <w:r>
              <w:rPr>
                <w:rFonts w:ascii="Times New Roman" w:eastAsia="Times New Roman"/>
                <w:sz w:val="21"/>
              </w:rPr>
              <w:t>Mg</w:t>
            </w:r>
            <w:r>
              <w:rPr>
                <w:rFonts w:ascii="Times New Roman" w:eastAsia="Times New Roman"/>
                <w:position w:val="7"/>
                <w:sz w:val="13"/>
              </w:rPr>
              <w:t>2+</w:t>
            </w:r>
            <w:r>
              <w:rPr>
                <w:sz w:val="21"/>
              </w:rPr>
              <w:t>）的测定离子色谱法</w:t>
            </w:r>
          </w:p>
          <w:p>
            <w:pPr>
              <w:pStyle w:val="TableParagraph"/>
              <w:spacing w:line="74" w:lineRule="exact"/>
              <w:ind w:right="415"/>
              <w:rPr>
                <w:rFonts w:ascii="Times New Roman"/>
                <w:sz w:val="13"/>
              </w:rPr>
            </w:pPr>
            <w:r>
              <w:rPr>
                <w:rFonts w:ascii="Times New Roman"/>
                <w:w w:val="105"/>
                <w:sz w:val="13"/>
              </w:rPr>
              <w:t>4</w:t>
            </w:r>
          </w:p>
          <w:p>
            <w:pPr>
              <w:pStyle w:val="TableParagraph"/>
              <w:spacing w:before="72"/>
              <w:ind w:left="40" w:right="31"/>
              <w:rPr>
                <w:rFonts w:ascii="Times New Roman"/>
                <w:sz w:val="21"/>
              </w:rPr>
            </w:pPr>
            <w:r>
              <w:rPr>
                <w:rFonts w:ascii="Times New Roman"/>
                <w:sz w:val="21"/>
              </w:rPr>
              <w:t>HJ812-2016</w:t>
            </w:r>
          </w:p>
        </w:tc>
      </w:tr>
      <w:tr>
        <w:trPr>
          <w:trHeight w:val="623" w:hRule="atLeast"/>
        </w:trPr>
        <w:tc>
          <w:tcPr>
            <w:tcW w:w="1434" w:type="dxa"/>
          </w:tcPr>
          <w:p>
            <w:pPr>
              <w:pStyle w:val="TableParagraph"/>
              <w:spacing w:line="164" w:lineRule="exact" w:before="193"/>
              <w:ind w:left="479"/>
              <w:jc w:val="left"/>
              <w:rPr>
                <w:rFonts w:ascii="Times New Roman"/>
                <w:sz w:val="13"/>
              </w:rPr>
            </w:pPr>
            <w:r>
              <w:rPr>
                <w:rFonts w:ascii="Times New Roman"/>
                <w:position w:val="-6"/>
                <w:sz w:val="21"/>
              </w:rPr>
              <w:t>CO </w:t>
            </w:r>
            <w:r>
              <w:rPr>
                <w:rFonts w:ascii="Times New Roman"/>
                <w:sz w:val="13"/>
              </w:rPr>
              <w:t>2-</w:t>
            </w:r>
          </w:p>
          <w:p>
            <w:pPr>
              <w:pStyle w:val="TableParagraph"/>
              <w:spacing w:line="74" w:lineRule="exact"/>
              <w:ind w:left="189"/>
              <w:rPr>
                <w:rFonts w:ascii="Times New Roman"/>
                <w:sz w:val="13"/>
              </w:rPr>
            </w:pPr>
            <w:r>
              <w:rPr>
                <w:rFonts w:ascii="Times New Roman"/>
                <w:w w:val="105"/>
                <w:sz w:val="13"/>
              </w:rPr>
              <w:t>3</w:t>
            </w:r>
          </w:p>
        </w:tc>
        <w:tc>
          <w:tcPr>
            <w:tcW w:w="7088" w:type="dxa"/>
          </w:tcPr>
          <w:p>
            <w:pPr>
              <w:pStyle w:val="TableParagraph"/>
              <w:spacing w:before="20"/>
              <w:ind w:left="40" w:right="32"/>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国家环境</w:t>
            </w:r>
          </w:p>
          <w:p>
            <w:pPr>
              <w:pStyle w:val="TableParagraph"/>
              <w:spacing w:before="43"/>
              <w:ind w:left="40" w:right="28"/>
              <w:rPr>
                <w:rFonts w:ascii="Times New Roman" w:eastAsia="Times New Roman"/>
                <w:sz w:val="21"/>
              </w:rPr>
            </w:pPr>
            <w:r>
              <w:rPr>
                <w:sz w:val="21"/>
              </w:rPr>
              <w:t>保护总局</w:t>
            </w:r>
            <w:r>
              <w:rPr>
                <w:rFonts w:ascii="Times New Roman" w:eastAsia="Times New Roman"/>
                <w:sz w:val="21"/>
              </w:rPr>
              <w:t>(2002 </w:t>
            </w:r>
            <w:r>
              <w:rPr>
                <w:sz w:val="21"/>
              </w:rPr>
              <w:t>年</w:t>
            </w:r>
            <w:r>
              <w:rPr>
                <w:rFonts w:ascii="Times New Roman" w:eastAsia="Times New Roman"/>
                <w:sz w:val="21"/>
              </w:rPr>
              <w:t>) P116</w:t>
            </w:r>
          </w:p>
        </w:tc>
      </w:tr>
      <w:tr>
        <w:trPr>
          <w:trHeight w:val="623" w:hRule="atLeast"/>
        </w:trPr>
        <w:tc>
          <w:tcPr>
            <w:tcW w:w="1434" w:type="dxa"/>
          </w:tcPr>
          <w:p>
            <w:pPr>
              <w:pStyle w:val="TableParagraph"/>
              <w:spacing w:before="189"/>
              <w:ind w:left="171" w:right="161"/>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p>
        </w:tc>
        <w:tc>
          <w:tcPr>
            <w:tcW w:w="7088" w:type="dxa"/>
          </w:tcPr>
          <w:p>
            <w:pPr>
              <w:pStyle w:val="TableParagraph"/>
              <w:spacing w:before="20"/>
              <w:ind w:left="40" w:right="32"/>
              <w:rPr>
                <w:sz w:val="21"/>
              </w:rPr>
            </w:pPr>
            <w:r>
              <w:rPr>
                <w:sz w:val="21"/>
              </w:rPr>
              <w:t>酸度酸碱指示剂滴定法 《水和废水监测分析方法》</w:t>
            </w:r>
            <w:r>
              <w:rPr>
                <w:rFonts w:ascii="Times New Roman" w:eastAsia="Times New Roman"/>
                <w:sz w:val="21"/>
              </w:rPr>
              <w:t>(</w:t>
            </w:r>
            <w:r>
              <w:rPr>
                <w:sz w:val="21"/>
              </w:rPr>
              <w:t>第四版增补版</w:t>
            </w:r>
            <w:r>
              <w:rPr>
                <w:rFonts w:ascii="Times New Roman" w:eastAsia="Times New Roman"/>
                <w:sz w:val="21"/>
              </w:rPr>
              <w:t>)</w:t>
            </w:r>
            <w:r>
              <w:rPr>
                <w:sz w:val="21"/>
              </w:rPr>
              <w:t>国家环境</w:t>
            </w:r>
          </w:p>
          <w:p>
            <w:pPr>
              <w:pStyle w:val="TableParagraph"/>
              <w:spacing w:before="43"/>
              <w:ind w:left="40" w:right="30"/>
              <w:rPr>
                <w:rFonts w:ascii="Times New Roman" w:eastAsia="Times New Roman"/>
                <w:sz w:val="21"/>
              </w:rPr>
            </w:pPr>
            <w:r>
              <w:rPr>
                <w:sz w:val="21"/>
              </w:rPr>
              <w:t>保护总局</w:t>
            </w:r>
            <w:r>
              <w:rPr>
                <w:rFonts w:ascii="Times New Roman" w:eastAsia="Times New Roman"/>
                <w:sz w:val="21"/>
              </w:rPr>
              <w:t>(2002 </w:t>
            </w:r>
            <w:r>
              <w:rPr>
                <w:sz w:val="21"/>
              </w:rPr>
              <w:t>年</w:t>
            </w:r>
            <w:r>
              <w:rPr>
                <w:rFonts w:ascii="Times New Roman" w:eastAsia="Times New Roman"/>
                <w:sz w:val="21"/>
              </w:rPr>
              <w:t>) P121</w:t>
            </w:r>
          </w:p>
        </w:tc>
      </w:tr>
      <w:tr>
        <w:trPr>
          <w:trHeight w:val="623" w:hRule="atLeast"/>
        </w:trPr>
        <w:tc>
          <w:tcPr>
            <w:tcW w:w="1434" w:type="dxa"/>
          </w:tcPr>
          <w:p>
            <w:pPr>
              <w:pStyle w:val="TableParagraph"/>
              <w:spacing w:before="192"/>
              <w:ind w:left="171" w:right="163"/>
              <w:rPr>
                <w:rFonts w:ascii="Times New Roman"/>
                <w:sz w:val="13"/>
              </w:rPr>
            </w:pPr>
            <w:r>
              <w:rPr>
                <w:rFonts w:ascii="Times New Roman"/>
                <w:sz w:val="21"/>
              </w:rPr>
              <w:t>Cl</w:t>
            </w:r>
            <w:r>
              <w:rPr>
                <w:rFonts w:ascii="Times New Roman"/>
                <w:position w:val="7"/>
                <w:sz w:val="13"/>
              </w:rPr>
              <w:t>-</w:t>
            </w:r>
          </w:p>
        </w:tc>
        <w:tc>
          <w:tcPr>
            <w:tcW w:w="7088" w:type="dxa"/>
          </w:tcPr>
          <w:p>
            <w:pPr>
              <w:pStyle w:val="TableParagraph"/>
              <w:spacing w:line="184" w:lineRule="exact" w:before="18"/>
              <w:ind w:left="40" w:right="22"/>
              <w:rPr>
                <w:sz w:val="21"/>
              </w:rPr>
            </w:pPr>
            <w:r>
              <w:rPr>
                <w:position w:val="2"/>
                <w:sz w:val="21"/>
              </w:rPr>
              <w:t>水质无机阴离子（</w:t>
            </w: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Br</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NO -</w:t>
            </w:r>
            <w:r>
              <w:rPr>
                <w:position w:val="2"/>
                <w:sz w:val="21"/>
                <w:vertAlign w:val="baseline"/>
              </w:rPr>
              <w:t>、</w:t>
            </w:r>
            <w:r>
              <w:rPr>
                <w:rFonts w:ascii="Times New Roman" w:eastAsia="Times New Roman"/>
                <w:position w:val="2"/>
                <w:sz w:val="21"/>
                <w:vertAlign w:val="baseline"/>
              </w:rPr>
              <w:t>PO </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SO </w:t>
            </w:r>
            <w:r>
              <w:rPr>
                <w:rFonts w:ascii="Times New Roman" w:eastAsia="Times New Roman"/>
                <w:position w:val="2"/>
                <w:sz w:val="21"/>
                <w:vertAlign w:val="superscript"/>
              </w:rPr>
              <w:t>2-</w:t>
            </w:r>
            <w:r>
              <w:rPr>
                <w:position w:val="2"/>
                <w:sz w:val="21"/>
                <w:vertAlign w:val="baseline"/>
              </w:rPr>
              <w:t>、</w:t>
            </w:r>
            <w:r>
              <w:rPr>
                <w:rFonts w:ascii="Times New Roman" w:eastAsia="Times New Roman"/>
                <w:position w:val="2"/>
                <w:sz w:val="21"/>
                <w:vertAlign w:val="baseline"/>
              </w:rPr>
              <w:t>SO </w:t>
            </w:r>
            <w:r>
              <w:rPr>
                <w:rFonts w:ascii="Times New Roman" w:eastAsia="Times New Roman"/>
                <w:position w:val="2"/>
                <w:sz w:val="21"/>
                <w:vertAlign w:val="superscript"/>
              </w:rPr>
              <w:t>2-</w:t>
            </w:r>
            <w:r>
              <w:rPr>
                <w:position w:val="2"/>
                <w:sz w:val="21"/>
                <w:vertAlign w:val="baseline"/>
              </w:rPr>
              <w:t>）的测定</w:t>
            </w:r>
          </w:p>
          <w:p>
            <w:pPr>
              <w:pStyle w:val="TableParagraph"/>
              <w:tabs>
                <w:tab w:pos="4625" w:val="left" w:leader="none"/>
                <w:tab w:pos="5285" w:val="left" w:leader="none"/>
                <w:tab w:pos="5945" w:val="left" w:leader="none"/>
              </w:tabs>
              <w:spacing w:line="74" w:lineRule="exact"/>
              <w:ind w:left="4032"/>
              <w:jc w:val="left"/>
              <w:rPr>
                <w:rFonts w:ascii="Times New Roman"/>
                <w:sz w:val="13"/>
              </w:rPr>
            </w:pPr>
            <w:r>
              <w:rPr>
                <w:rFonts w:ascii="Times New Roman"/>
                <w:w w:val="105"/>
                <w:sz w:val="13"/>
              </w:rPr>
              <w:t>3</w:t>
              <w:tab/>
              <w:t>4</w:t>
              <w:tab/>
              <w:t>3</w:t>
              <w:tab/>
              <w:t>4</w:t>
            </w:r>
          </w:p>
          <w:p>
            <w:pPr>
              <w:pStyle w:val="TableParagraph"/>
              <w:spacing w:before="58"/>
              <w:ind w:left="40" w:right="28"/>
              <w:rPr>
                <w:rFonts w:ascii="Times New Roman" w:eastAsia="Times New Roman"/>
                <w:sz w:val="21"/>
              </w:rPr>
            </w:pPr>
            <w:r>
              <w:rPr>
                <w:sz w:val="21"/>
              </w:rPr>
              <w:t>离子色谱法 </w:t>
            </w:r>
            <w:r>
              <w:rPr>
                <w:rFonts w:ascii="Times New Roman" w:eastAsia="Times New Roman"/>
                <w:sz w:val="21"/>
              </w:rPr>
              <w:t>HJ 84-2016</w:t>
            </w:r>
          </w:p>
        </w:tc>
      </w:tr>
      <w:tr>
        <w:trPr>
          <w:trHeight w:val="623" w:hRule="atLeast"/>
        </w:trPr>
        <w:tc>
          <w:tcPr>
            <w:tcW w:w="1434" w:type="dxa"/>
          </w:tcPr>
          <w:p>
            <w:pPr>
              <w:pStyle w:val="TableParagraph"/>
              <w:spacing w:line="166" w:lineRule="exact" w:before="192"/>
              <w:ind w:left="171" w:right="161"/>
              <w:rPr>
                <w:rFonts w:ascii="Times New Roman"/>
                <w:sz w:val="13"/>
              </w:rPr>
            </w:pPr>
            <w:r>
              <w:rPr>
                <w:rFonts w:ascii="Times New Roman"/>
                <w:position w:val="-6"/>
                <w:sz w:val="21"/>
              </w:rPr>
              <w:t>SO </w:t>
            </w:r>
            <w:r>
              <w:rPr>
                <w:rFonts w:ascii="Times New Roman"/>
                <w:sz w:val="13"/>
              </w:rPr>
              <w:t>2-</w:t>
            </w:r>
          </w:p>
          <w:p>
            <w:pPr>
              <w:pStyle w:val="TableParagraph"/>
              <w:spacing w:line="74" w:lineRule="exact"/>
              <w:ind w:left="165"/>
              <w:rPr>
                <w:rFonts w:ascii="Times New Roman"/>
                <w:sz w:val="13"/>
              </w:rPr>
            </w:pPr>
            <w:r>
              <w:rPr>
                <w:rFonts w:ascii="Times New Roman"/>
                <w:w w:val="105"/>
                <w:sz w:val="13"/>
              </w:rPr>
              <w:t>4</w:t>
            </w:r>
          </w:p>
        </w:tc>
        <w:tc>
          <w:tcPr>
            <w:tcW w:w="7088" w:type="dxa"/>
          </w:tcPr>
          <w:p>
            <w:pPr>
              <w:pStyle w:val="TableParagraph"/>
              <w:spacing w:line="184" w:lineRule="exact" w:before="18"/>
              <w:ind w:left="40" w:right="22"/>
              <w:rPr>
                <w:sz w:val="21"/>
              </w:rPr>
            </w:pPr>
            <w:r>
              <w:rPr>
                <w:position w:val="2"/>
                <w:sz w:val="21"/>
              </w:rPr>
              <w:t>水质无机阴离子（</w:t>
            </w: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Br</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NO -</w:t>
            </w:r>
            <w:r>
              <w:rPr>
                <w:position w:val="2"/>
                <w:sz w:val="21"/>
                <w:vertAlign w:val="baseline"/>
              </w:rPr>
              <w:t>、</w:t>
            </w:r>
            <w:r>
              <w:rPr>
                <w:rFonts w:ascii="Times New Roman" w:eastAsia="Times New Roman"/>
                <w:position w:val="2"/>
                <w:sz w:val="21"/>
                <w:vertAlign w:val="baseline"/>
              </w:rPr>
              <w:t>PO </w:t>
            </w:r>
            <w:r>
              <w:rPr>
                <w:rFonts w:ascii="Times New Roman" w:eastAsia="Times New Roman"/>
                <w:position w:val="2"/>
                <w:sz w:val="21"/>
                <w:vertAlign w:val="superscript"/>
              </w:rPr>
              <w:t>3-</w:t>
            </w:r>
            <w:r>
              <w:rPr>
                <w:position w:val="2"/>
                <w:sz w:val="21"/>
                <w:vertAlign w:val="baseline"/>
              </w:rPr>
              <w:t>、</w:t>
            </w:r>
            <w:r>
              <w:rPr>
                <w:rFonts w:ascii="Times New Roman" w:eastAsia="Times New Roman"/>
                <w:position w:val="2"/>
                <w:sz w:val="21"/>
                <w:vertAlign w:val="baseline"/>
              </w:rPr>
              <w:t>SO </w:t>
            </w:r>
            <w:r>
              <w:rPr>
                <w:rFonts w:ascii="Times New Roman" w:eastAsia="Times New Roman"/>
                <w:position w:val="2"/>
                <w:sz w:val="21"/>
                <w:vertAlign w:val="superscript"/>
              </w:rPr>
              <w:t>2-</w:t>
            </w:r>
            <w:r>
              <w:rPr>
                <w:position w:val="2"/>
                <w:sz w:val="21"/>
                <w:vertAlign w:val="baseline"/>
              </w:rPr>
              <w:t>、</w:t>
            </w:r>
            <w:r>
              <w:rPr>
                <w:rFonts w:ascii="Times New Roman" w:eastAsia="Times New Roman"/>
                <w:position w:val="2"/>
                <w:sz w:val="21"/>
                <w:vertAlign w:val="baseline"/>
              </w:rPr>
              <w:t>SO </w:t>
            </w:r>
            <w:r>
              <w:rPr>
                <w:rFonts w:ascii="Times New Roman" w:eastAsia="Times New Roman"/>
                <w:position w:val="2"/>
                <w:sz w:val="21"/>
                <w:vertAlign w:val="superscript"/>
              </w:rPr>
              <w:t>2-</w:t>
            </w:r>
            <w:r>
              <w:rPr>
                <w:position w:val="2"/>
                <w:sz w:val="21"/>
                <w:vertAlign w:val="baseline"/>
              </w:rPr>
              <w:t>）的测定</w:t>
            </w:r>
          </w:p>
          <w:p>
            <w:pPr>
              <w:pStyle w:val="TableParagraph"/>
              <w:tabs>
                <w:tab w:pos="4625" w:val="left" w:leader="none"/>
                <w:tab w:pos="5285" w:val="left" w:leader="none"/>
                <w:tab w:pos="5945" w:val="left" w:leader="none"/>
              </w:tabs>
              <w:spacing w:line="74" w:lineRule="exact"/>
              <w:ind w:left="4032"/>
              <w:jc w:val="left"/>
              <w:rPr>
                <w:rFonts w:ascii="Times New Roman"/>
                <w:sz w:val="13"/>
              </w:rPr>
            </w:pPr>
            <w:r>
              <w:rPr>
                <w:rFonts w:ascii="Times New Roman"/>
                <w:w w:val="105"/>
                <w:sz w:val="13"/>
              </w:rPr>
              <w:t>3</w:t>
              <w:tab/>
              <w:t>4</w:t>
              <w:tab/>
              <w:t>3</w:t>
              <w:tab/>
              <w:t>4</w:t>
            </w:r>
          </w:p>
          <w:p>
            <w:pPr>
              <w:pStyle w:val="TableParagraph"/>
              <w:spacing w:before="57"/>
              <w:ind w:left="40" w:right="28"/>
              <w:rPr>
                <w:rFonts w:ascii="Times New Roman" w:eastAsia="Times New Roman"/>
                <w:sz w:val="21"/>
              </w:rPr>
            </w:pPr>
            <w:r>
              <w:rPr>
                <w:sz w:val="21"/>
              </w:rPr>
              <w:t>离子色谱法 </w:t>
            </w:r>
            <w:r>
              <w:rPr>
                <w:rFonts w:ascii="Times New Roman" w:eastAsia="Times New Roman"/>
                <w:sz w:val="21"/>
              </w:rPr>
              <w:t>HJ 84-2016</w:t>
            </w:r>
          </w:p>
        </w:tc>
      </w:tr>
    </w:tbl>
    <w:p>
      <w:pPr>
        <w:pStyle w:val="ListParagraph"/>
        <w:numPr>
          <w:ilvl w:val="2"/>
          <w:numId w:val="52"/>
        </w:numPr>
        <w:tabs>
          <w:tab w:pos="1413" w:val="left" w:leader="none"/>
        </w:tabs>
        <w:spacing w:line="240" w:lineRule="auto" w:before="4" w:after="0"/>
        <w:ind w:left="1412" w:right="0" w:hanging="702"/>
        <w:jc w:val="left"/>
        <w:rPr>
          <w:b/>
          <w:sz w:val="28"/>
        </w:rPr>
      </w:pPr>
      <w:bookmarkStart w:name="6.4.2 地下水环境质量现状评价" w:id="241"/>
      <w:bookmarkEnd w:id="241"/>
      <w:r>
        <w:rPr/>
      </w:r>
      <w:bookmarkStart w:name="6.4.2 地下水环境质量现状评价" w:id="242"/>
      <w:bookmarkEnd w:id="242"/>
      <w:r>
        <w:rPr>
          <w:b/>
          <w:sz w:val="28"/>
        </w:rPr>
        <w:t>地下水环境质量现状评价</w:t>
      </w:r>
    </w:p>
    <w:p>
      <w:pPr>
        <w:pStyle w:val="ListParagraph"/>
        <w:numPr>
          <w:ilvl w:val="3"/>
          <w:numId w:val="54"/>
        </w:numPr>
        <w:tabs>
          <w:tab w:pos="1432" w:val="left" w:leader="none"/>
        </w:tabs>
        <w:spacing w:line="240" w:lineRule="auto" w:before="183" w:after="0"/>
        <w:ind w:left="1432" w:right="0" w:hanging="721"/>
        <w:jc w:val="left"/>
        <w:rPr>
          <w:b/>
          <w:sz w:val="24"/>
        </w:rPr>
      </w:pPr>
      <w:r>
        <w:rPr>
          <w:b/>
          <w:sz w:val="24"/>
        </w:rPr>
        <w:t>地下水化学类型评价方法</w:t>
      </w:r>
    </w:p>
    <w:p>
      <w:pPr>
        <w:pStyle w:val="BodyText"/>
        <w:spacing w:before="160"/>
        <w:ind w:left="1191"/>
      </w:pPr>
      <w:r>
        <w:rPr>
          <w:spacing w:val="-3"/>
        </w:rPr>
        <w:t>地下水化学类型的舒卡列夫分类是根据地下水中 </w:t>
      </w:r>
      <w:r>
        <w:rPr>
          <w:rFonts w:ascii="Times New Roman" w:eastAsia="Times New Roman"/>
        </w:rPr>
        <w:t>6</w:t>
      </w:r>
      <w:r>
        <w:rPr>
          <w:rFonts w:ascii="Times New Roman" w:eastAsia="Times New Roman"/>
          <w:spacing w:val="4"/>
        </w:rPr>
        <w:t> </w:t>
      </w:r>
      <w:r>
        <w:rPr/>
        <w:t>种主要离子（</w:t>
      </w:r>
      <w:r>
        <w:rPr>
          <w:rFonts w:ascii="Times New Roman" w:eastAsia="Times New Roman"/>
        </w:rPr>
        <w:t>Na</w:t>
      </w:r>
      <w:r>
        <w:rPr>
          <w:rFonts w:ascii="Times New Roman" w:eastAsia="Times New Roman"/>
          <w:position w:val="8"/>
          <w:sz w:val="15"/>
        </w:rPr>
        <w:t>+</w:t>
      </w:r>
      <w:r>
        <w:rPr/>
        <w:t>、</w:t>
      </w:r>
      <w:r>
        <w:rPr>
          <w:rFonts w:ascii="Times New Roman" w:eastAsia="Times New Roman"/>
        </w:rPr>
        <w:t>Ca</w:t>
      </w:r>
      <w:r>
        <w:rPr>
          <w:rFonts w:ascii="Times New Roman" w:eastAsia="Times New Roman"/>
          <w:position w:val="8"/>
          <w:sz w:val="15"/>
        </w:rPr>
        <w:t>2+</w:t>
      </w:r>
      <w:r>
        <w:rPr/>
        <w:t>、</w:t>
      </w:r>
    </w:p>
    <w:p>
      <w:pPr>
        <w:pStyle w:val="BodyText"/>
        <w:spacing w:line="364" w:lineRule="auto" w:before="155"/>
        <w:ind w:left="1191" w:right="1149" w:hanging="480"/>
      </w:pPr>
      <w:r>
        <w:rPr>
          <w:rFonts w:ascii="Times New Roman" w:eastAsia="Times New Roman"/>
          <w:position w:val="2"/>
        </w:rPr>
        <w:t>Mg</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HCO</w:t>
      </w:r>
      <w:r>
        <w:rPr>
          <w:rFonts w:ascii="Times New Roman" w:eastAsia="Times New Roman"/>
          <w:position w:val="2"/>
          <w:vertAlign w:val="subscript"/>
        </w:rPr>
        <w:t>3</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4</w:t>
      </w:r>
      <w:r>
        <w:rPr>
          <w:rFonts w:ascii="Times New Roman" w:eastAsia="Times New Roman"/>
          <w:position w:val="2"/>
          <w:vertAlign w:val="superscript"/>
        </w:rPr>
        <w:t>2-</w:t>
      </w:r>
      <w:r>
        <w:rPr>
          <w:position w:val="2"/>
          <w:vertAlign w:val="baseline"/>
        </w:rPr>
        <w:t>、</w:t>
      </w:r>
      <w:r>
        <w:rPr>
          <w:rFonts w:ascii="Times New Roman" w:eastAsia="Times New Roman"/>
          <w:position w:val="2"/>
          <w:vertAlign w:val="baseline"/>
        </w:rPr>
        <w:t>Cl</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K</w:t>
      </w:r>
      <w:r>
        <w:rPr>
          <w:rFonts w:ascii="Times New Roman" w:eastAsia="Times New Roman"/>
          <w:position w:val="2"/>
          <w:vertAlign w:val="superscript"/>
        </w:rPr>
        <w:t>+</w:t>
      </w:r>
      <w:r>
        <w:rPr>
          <w:spacing w:val="-8"/>
          <w:position w:val="2"/>
          <w:vertAlign w:val="baseline"/>
        </w:rPr>
        <w:t>合并于 </w:t>
      </w:r>
      <w:r>
        <w:rPr>
          <w:rFonts w:ascii="Times New Roman" w:eastAsia="Times New Roman"/>
          <w:position w:val="2"/>
          <w:vertAlign w:val="baseline"/>
        </w:rPr>
        <w:t>Na</w:t>
      </w:r>
      <w:r>
        <w:rPr>
          <w:rFonts w:ascii="Times New Roman" w:eastAsia="Times New Roman"/>
          <w:position w:val="2"/>
          <w:vertAlign w:val="superscript"/>
        </w:rPr>
        <w:t>+</w:t>
      </w:r>
      <w:r>
        <w:rPr>
          <w:position w:val="2"/>
          <w:vertAlign w:val="baseline"/>
        </w:rPr>
        <w:t>）及矿化度划分的。具体步骤如下：</w:t>
      </w:r>
      <w:r>
        <w:rPr>
          <w:vertAlign w:val="baseline"/>
        </w:rPr>
        <w:t> </w:t>
      </w:r>
      <w:r>
        <w:rPr>
          <w:spacing w:val="-12"/>
          <w:vertAlign w:val="baseline"/>
        </w:rPr>
        <w:t>第一步，根据水质分析结果，将 </w:t>
      </w:r>
      <w:r>
        <w:rPr>
          <w:rFonts w:ascii="Times New Roman" w:eastAsia="Times New Roman"/>
          <w:vertAlign w:val="baseline"/>
        </w:rPr>
        <w:t>6 </w:t>
      </w:r>
      <w:r>
        <w:rPr>
          <w:spacing w:val="-6"/>
          <w:vertAlign w:val="baseline"/>
        </w:rPr>
        <w:t>种主要离子中含量大于 </w:t>
      </w:r>
      <w:r>
        <w:rPr>
          <w:rFonts w:ascii="Times New Roman" w:eastAsia="Times New Roman"/>
          <w:vertAlign w:val="baseline"/>
        </w:rPr>
        <w:t>25</w:t>
      </w:r>
      <w:r>
        <w:rPr>
          <w:spacing w:val="-3"/>
          <w:vertAlign w:val="baseline"/>
        </w:rPr>
        <w:t>％毫克当量的阴</w:t>
      </w:r>
    </w:p>
    <w:p>
      <w:pPr>
        <w:pStyle w:val="BodyText"/>
        <w:ind w:left="711"/>
      </w:pPr>
      <w:r>
        <w:rPr/>
        <w:t>离子和阳离子进行组合，可组合出 </w:t>
      </w:r>
      <w:r>
        <w:rPr>
          <w:rFonts w:ascii="Times New Roman" w:eastAsia="Times New Roman"/>
        </w:rPr>
        <w:t>49 </w:t>
      </w:r>
      <w:r>
        <w:rPr/>
        <w:t>型水，并将每型用一个阿拉伯数字作为代号。</w:t>
      </w:r>
    </w:p>
    <w:p>
      <w:pPr>
        <w:pStyle w:val="Heading4"/>
        <w:spacing w:before="161"/>
        <w:ind w:left="86" w:right="1"/>
        <w:jc w:val="center"/>
      </w:pPr>
      <w:r>
        <w:rPr/>
        <w:t>表 </w:t>
      </w:r>
      <w:r>
        <w:rPr>
          <w:rFonts w:ascii="Times New Roman" w:eastAsia="Times New Roman"/>
        </w:rPr>
        <w:t>6.4-3  </w:t>
      </w:r>
      <w:r>
        <w:rPr/>
        <w:t>舒卡列夫分类图表</w:t>
      </w: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8"/>
        <w:gridCol w:w="834"/>
        <w:gridCol w:w="1134"/>
        <w:gridCol w:w="1635"/>
        <w:gridCol w:w="1355"/>
        <w:gridCol w:w="979"/>
        <w:gridCol w:w="1134"/>
        <w:gridCol w:w="681"/>
      </w:tblGrid>
      <w:tr>
        <w:trPr>
          <w:trHeight w:val="545" w:hRule="atLeast"/>
        </w:trPr>
        <w:tc>
          <w:tcPr>
            <w:tcW w:w="1268" w:type="dxa"/>
          </w:tcPr>
          <w:p>
            <w:pPr>
              <w:pStyle w:val="TableParagraph"/>
              <w:ind w:left="18" w:right="-44"/>
              <w:rPr>
                <w:sz w:val="21"/>
              </w:rPr>
            </w:pPr>
            <w:r>
              <w:rPr>
                <w:spacing w:val="-20"/>
                <w:sz w:val="21"/>
              </w:rPr>
              <w:t>超过</w:t>
            </w:r>
            <w:r>
              <w:rPr>
                <w:rFonts w:ascii="Times New Roman" w:eastAsia="Times New Roman"/>
                <w:spacing w:val="-26"/>
                <w:sz w:val="21"/>
              </w:rPr>
              <w:t>25</w:t>
            </w:r>
            <w:r>
              <w:rPr>
                <w:spacing w:val="-27"/>
                <w:sz w:val="21"/>
              </w:rPr>
              <w:t>％毫克当</w:t>
            </w:r>
          </w:p>
          <w:p>
            <w:pPr>
              <w:pStyle w:val="TableParagraph"/>
              <w:spacing w:line="251" w:lineRule="exact" w:before="4"/>
              <w:ind w:left="123" w:right="75"/>
              <w:rPr>
                <w:sz w:val="21"/>
              </w:rPr>
            </w:pPr>
            <w:r>
              <w:rPr>
                <w:sz w:val="21"/>
              </w:rPr>
              <w:t>量的离子</w:t>
            </w:r>
          </w:p>
        </w:tc>
        <w:tc>
          <w:tcPr>
            <w:tcW w:w="834" w:type="dxa"/>
          </w:tcPr>
          <w:p>
            <w:pPr>
              <w:pStyle w:val="TableParagraph"/>
              <w:spacing w:before="147"/>
              <w:ind w:left="141" w:right="130"/>
              <w:rPr>
                <w:rFonts w:ascii="Times New Roman"/>
                <w:sz w:val="21"/>
              </w:rPr>
            </w:pPr>
            <w:r>
              <w:rPr>
                <w:rFonts w:ascii="Times New Roman"/>
                <w:position w:val="2"/>
                <w:sz w:val="21"/>
              </w:rPr>
              <w:t>HCO</w:t>
            </w:r>
            <w:r>
              <w:rPr>
                <w:rFonts w:ascii="Times New Roman"/>
                <w:position w:val="2"/>
                <w:sz w:val="21"/>
                <w:vertAlign w:val="subscript"/>
              </w:rPr>
              <w:t>3</w:t>
            </w:r>
          </w:p>
        </w:tc>
        <w:tc>
          <w:tcPr>
            <w:tcW w:w="1134" w:type="dxa"/>
          </w:tcPr>
          <w:p>
            <w:pPr>
              <w:pStyle w:val="TableParagraph"/>
              <w:spacing w:before="147"/>
              <w:ind w:left="64" w:right="5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p>
        </w:tc>
        <w:tc>
          <w:tcPr>
            <w:tcW w:w="1635" w:type="dxa"/>
          </w:tcPr>
          <w:p>
            <w:pPr>
              <w:pStyle w:val="TableParagraph"/>
              <w:spacing w:before="147"/>
              <w:ind w:left="156" w:right="145"/>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+SO</w:t>
            </w:r>
            <w:r>
              <w:rPr>
                <w:rFonts w:ascii="Times New Roman"/>
                <w:position w:val="2"/>
                <w:sz w:val="21"/>
                <w:vertAlign w:val="subscript"/>
              </w:rPr>
              <w:t>4</w:t>
            </w:r>
            <w:r>
              <w:rPr>
                <w:rFonts w:ascii="Times New Roman"/>
                <w:position w:val="2"/>
                <w:sz w:val="21"/>
                <w:vertAlign w:val="baseline"/>
              </w:rPr>
              <w:t>+Cl</w:t>
            </w:r>
          </w:p>
        </w:tc>
        <w:tc>
          <w:tcPr>
            <w:tcW w:w="1355" w:type="dxa"/>
          </w:tcPr>
          <w:p>
            <w:pPr>
              <w:pStyle w:val="TableParagraph"/>
              <w:spacing w:before="147"/>
              <w:ind w:left="242" w:right="233"/>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+Cl</w:t>
            </w:r>
          </w:p>
        </w:tc>
        <w:tc>
          <w:tcPr>
            <w:tcW w:w="979" w:type="dxa"/>
          </w:tcPr>
          <w:p>
            <w:pPr>
              <w:pStyle w:val="TableParagraph"/>
              <w:spacing w:before="147"/>
              <w:ind w:left="154" w:right="143"/>
              <w:rPr>
                <w:rFonts w:ascii="Times New Roman"/>
                <w:sz w:val="21"/>
              </w:rPr>
            </w:pPr>
            <w:r>
              <w:rPr>
                <w:rFonts w:ascii="Times New Roman"/>
                <w:position w:val="2"/>
                <w:sz w:val="21"/>
              </w:rPr>
              <w:t>SO</w:t>
            </w:r>
            <w:r>
              <w:rPr>
                <w:rFonts w:ascii="Times New Roman"/>
                <w:position w:val="2"/>
                <w:sz w:val="21"/>
                <w:vertAlign w:val="subscript"/>
              </w:rPr>
              <w:t>4</w:t>
            </w:r>
          </w:p>
        </w:tc>
        <w:tc>
          <w:tcPr>
            <w:tcW w:w="1134" w:type="dxa"/>
          </w:tcPr>
          <w:p>
            <w:pPr>
              <w:pStyle w:val="TableParagraph"/>
              <w:spacing w:before="147"/>
              <w:ind w:left="62" w:right="53"/>
              <w:rPr>
                <w:rFonts w:ascii="Times New Roman"/>
                <w:sz w:val="21"/>
              </w:rPr>
            </w:pPr>
            <w:r>
              <w:rPr>
                <w:rFonts w:ascii="Times New Roman"/>
                <w:position w:val="2"/>
                <w:sz w:val="21"/>
              </w:rPr>
              <w:t>SO</w:t>
            </w:r>
            <w:r>
              <w:rPr>
                <w:rFonts w:ascii="Times New Roman"/>
                <w:position w:val="2"/>
                <w:sz w:val="21"/>
                <w:vertAlign w:val="subscript"/>
              </w:rPr>
              <w:t>4</w:t>
            </w:r>
            <w:r>
              <w:rPr>
                <w:rFonts w:ascii="Times New Roman"/>
                <w:position w:val="2"/>
                <w:sz w:val="21"/>
                <w:vertAlign w:val="baseline"/>
              </w:rPr>
              <w:t>+Cl</w:t>
            </w:r>
          </w:p>
        </w:tc>
        <w:tc>
          <w:tcPr>
            <w:tcW w:w="681" w:type="dxa"/>
          </w:tcPr>
          <w:p>
            <w:pPr>
              <w:pStyle w:val="TableParagraph"/>
              <w:spacing w:before="151"/>
              <w:ind w:left="212" w:right="206"/>
              <w:rPr>
                <w:rFonts w:ascii="Times New Roman"/>
                <w:sz w:val="21"/>
              </w:rPr>
            </w:pPr>
            <w:r>
              <w:rPr>
                <w:rFonts w:ascii="Times New Roman"/>
                <w:sz w:val="21"/>
              </w:rPr>
              <w:t>Cl</w:t>
            </w:r>
          </w:p>
        </w:tc>
      </w:tr>
      <w:tr>
        <w:trPr>
          <w:trHeight w:val="240" w:hRule="atLeast"/>
        </w:trPr>
        <w:tc>
          <w:tcPr>
            <w:tcW w:w="1268" w:type="dxa"/>
          </w:tcPr>
          <w:p>
            <w:pPr>
              <w:pStyle w:val="TableParagraph"/>
              <w:spacing w:line="221" w:lineRule="exact"/>
              <w:ind w:left="18" w:right="9"/>
              <w:rPr>
                <w:rFonts w:ascii="Times New Roman"/>
                <w:sz w:val="21"/>
              </w:rPr>
            </w:pPr>
            <w:r>
              <w:rPr>
                <w:rFonts w:ascii="Times New Roman"/>
                <w:sz w:val="21"/>
              </w:rPr>
              <w:t>Ca</w:t>
            </w:r>
          </w:p>
        </w:tc>
        <w:tc>
          <w:tcPr>
            <w:tcW w:w="834" w:type="dxa"/>
          </w:tcPr>
          <w:p>
            <w:pPr>
              <w:pStyle w:val="TableParagraph"/>
              <w:spacing w:line="221" w:lineRule="exact"/>
              <w:ind w:left="6"/>
              <w:rPr>
                <w:rFonts w:ascii="Times New Roman"/>
                <w:sz w:val="21"/>
              </w:rPr>
            </w:pPr>
            <w:r>
              <w:rPr>
                <w:rFonts w:ascii="Times New Roman"/>
                <w:w w:val="99"/>
                <w:sz w:val="21"/>
              </w:rPr>
              <w:t>1</w:t>
            </w:r>
          </w:p>
        </w:tc>
        <w:tc>
          <w:tcPr>
            <w:tcW w:w="1134" w:type="dxa"/>
          </w:tcPr>
          <w:p>
            <w:pPr>
              <w:pStyle w:val="TableParagraph"/>
              <w:spacing w:line="221" w:lineRule="exact"/>
              <w:ind w:left="6"/>
              <w:rPr>
                <w:rFonts w:ascii="Times New Roman"/>
                <w:sz w:val="21"/>
              </w:rPr>
            </w:pPr>
            <w:r>
              <w:rPr>
                <w:rFonts w:ascii="Times New Roman"/>
                <w:w w:val="99"/>
                <w:sz w:val="21"/>
              </w:rPr>
              <w:t>8</w:t>
            </w:r>
          </w:p>
        </w:tc>
        <w:tc>
          <w:tcPr>
            <w:tcW w:w="1635" w:type="dxa"/>
          </w:tcPr>
          <w:p>
            <w:pPr>
              <w:pStyle w:val="TableParagraph"/>
              <w:spacing w:line="221" w:lineRule="exact"/>
              <w:ind w:left="152" w:right="145"/>
              <w:rPr>
                <w:rFonts w:ascii="Times New Roman"/>
                <w:sz w:val="21"/>
              </w:rPr>
            </w:pPr>
            <w:r>
              <w:rPr>
                <w:rFonts w:ascii="Times New Roman"/>
                <w:sz w:val="21"/>
              </w:rPr>
              <w:t>15</w:t>
            </w:r>
          </w:p>
        </w:tc>
        <w:tc>
          <w:tcPr>
            <w:tcW w:w="1355" w:type="dxa"/>
          </w:tcPr>
          <w:p>
            <w:pPr>
              <w:pStyle w:val="TableParagraph"/>
              <w:spacing w:line="221" w:lineRule="exact"/>
              <w:ind w:left="240" w:right="233"/>
              <w:rPr>
                <w:rFonts w:ascii="Times New Roman"/>
                <w:sz w:val="21"/>
              </w:rPr>
            </w:pPr>
            <w:r>
              <w:rPr>
                <w:rFonts w:ascii="Times New Roman"/>
                <w:sz w:val="21"/>
              </w:rPr>
              <w:t>22</w:t>
            </w:r>
          </w:p>
        </w:tc>
        <w:tc>
          <w:tcPr>
            <w:tcW w:w="979" w:type="dxa"/>
          </w:tcPr>
          <w:p>
            <w:pPr>
              <w:pStyle w:val="TableParagraph"/>
              <w:spacing w:line="221" w:lineRule="exact"/>
              <w:ind w:left="151" w:right="145"/>
              <w:rPr>
                <w:rFonts w:ascii="Times New Roman"/>
                <w:sz w:val="21"/>
              </w:rPr>
            </w:pPr>
            <w:r>
              <w:rPr>
                <w:rFonts w:ascii="Times New Roman"/>
                <w:sz w:val="21"/>
              </w:rPr>
              <w:t>29</w:t>
            </w:r>
          </w:p>
        </w:tc>
        <w:tc>
          <w:tcPr>
            <w:tcW w:w="1134" w:type="dxa"/>
          </w:tcPr>
          <w:p>
            <w:pPr>
              <w:pStyle w:val="TableParagraph"/>
              <w:spacing w:line="221" w:lineRule="exact"/>
              <w:ind w:left="63" w:right="53"/>
              <w:rPr>
                <w:rFonts w:ascii="Times New Roman"/>
                <w:sz w:val="21"/>
              </w:rPr>
            </w:pPr>
            <w:r>
              <w:rPr>
                <w:rFonts w:ascii="Times New Roman"/>
                <w:sz w:val="21"/>
              </w:rPr>
              <w:t>36</w:t>
            </w:r>
          </w:p>
        </w:tc>
        <w:tc>
          <w:tcPr>
            <w:tcW w:w="681" w:type="dxa"/>
          </w:tcPr>
          <w:p>
            <w:pPr>
              <w:pStyle w:val="TableParagraph"/>
              <w:spacing w:line="221" w:lineRule="exact"/>
              <w:ind w:left="215" w:right="206"/>
              <w:rPr>
                <w:rFonts w:ascii="Times New Roman"/>
                <w:sz w:val="21"/>
              </w:rPr>
            </w:pPr>
            <w:r>
              <w:rPr>
                <w:rFonts w:ascii="Times New Roman"/>
                <w:sz w:val="21"/>
              </w:rPr>
              <w:t>43</w:t>
            </w:r>
          </w:p>
        </w:tc>
      </w:tr>
      <w:tr>
        <w:trPr>
          <w:trHeight w:val="242" w:hRule="atLeast"/>
        </w:trPr>
        <w:tc>
          <w:tcPr>
            <w:tcW w:w="1268" w:type="dxa"/>
          </w:tcPr>
          <w:p>
            <w:pPr>
              <w:pStyle w:val="TableParagraph"/>
              <w:spacing w:line="222" w:lineRule="exact"/>
              <w:ind w:left="18" w:right="7"/>
              <w:rPr>
                <w:rFonts w:ascii="Times New Roman"/>
                <w:sz w:val="21"/>
              </w:rPr>
            </w:pPr>
            <w:r>
              <w:rPr>
                <w:rFonts w:ascii="Times New Roman"/>
                <w:sz w:val="21"/>
              </w:rPr>
              <w:t>Ca+Mg</w:t>
            </w:r>
          </w:p>
        </w:tc>
        <w:tc>
          <w:tcPr>
            <w:tcW w:w="834" w:type="dxa"/>
          </w:tcPr>
          <w:p>
            <w:pPr>
              <w:pStyle w:val="TableParagraph"/>
              <w:spacing w:line="222" w:lineRule="exact"/>
              <w:ind w:left="6"/>
              <w:rPr>
                <w:rFonts w:ascii="Times New Roman"/>
                <w:sz w:val="21"/>
              </w:rPr>
            </w:pPr>
            <w:r>
              <w:rPr>
                <w:rFonts w:ascii="Times New Roman"/>
                <w:w w:val="99"/>
                <w:sz w:val="21"/>
              </w:rPr>
              <w:t>2</w:t>
            </w:r>
          </w:p>
        </w:tc>
        <w:tc>
          <w:tcPr>
            <w:tcW w:w="1134" w:type="dxa"/>
          </w:tcPr>
          <w:p>
            <w:pPr>
              <w:pStyle w:val="TableParagraph"/>
              <w:spacing w:line="222" w:lineRule="exact"/>
              <w:ind w:left="6"/>
              <w:rPr>
                <w:rFonts w:ascii="Times New Roman"/>
                <w:sz w:val="21"/>
              </w:rPr>
            </w:pPr>
            <w:r>
              <w:rPr>
                <w:rFonts w:ascii="Times New Roman"/>
                <w:w w:val="99"/>
                <w:sz w:val="21"/>
              </w:rPr>
              <w:t>9</w:t>
            </w:r>
          </w:p>
        </w:tc>
        <w:tc>
          <w:tcPr>
            <w:tcW w:w="1635" w:type="dxa"/>
          </w:tcPr>
          <w:p>
            <w:pPr>
              <w:pStyle w:val="TableParagraph"/>
              <w:spacing w:line="222" w:lineRule="exact"/>
              <w:ind w:left="152" w:right="145"/>
              <w:rPr>
                <w:rFonts w:ascii="Times New Roman"/>
                <w:sz w:val="21"/>
              </w:rPr>
            </w:pPr>
            <w:r>
              <w:rPr>
                <w:rFonts w:ascii="Times New Roman"/>
                <w:sz w:val="21"/>
              </w:rPr>
              <w:t>16</w:t>
            </w:r>
          </w:p>
        </w:tc>
        <w:tc>
          <w:tcPr>
            <w:tcW w:w="1355" w:type="dxa"/>
          </w:tcPr>
          <w:p>
            <w:pPr>
              <w:pStyle w:val="TableParagraph"/>
              <w:spacing w:line="222" w:lineRule="exact"/>
              <w:ind w:left="240" w:right="233"/>
              <w:rPr>
                <w:rFonts w:ascii="Times New Roman"/>
                <w:sz w:val="21"/>
              </w:rPr>
            </w:pPr>
            <w:r>
              <w:rPr>
                <w:rFonts w:ascii="Times New Roman"/>
                <w:sz w:val="21"/>
              </w:rPr>
              <w:t>23</w:t>
            </w:r>
          </w:p>
        </w:tc>
        <w:tc>
          <w:tcPr>
            <w:tcW w:w="979" w:type="dxa"/>
          </w:tcPr>
          <w:p>
            <w:pPr>
              <w:pStyle w:val="TableParagraph"/>
              <w:spacing w:line="222" w:lineRule="exact"/>
              <w:ind w:left="151" w:right="145"/>
              <w:rPr>
                <w:rFonts w:ascii="Times New Roman"/>
                <w:sz w:val="21"/>
              </w:rPr>
            </w:pPr>
            <w:r>
              <w:rPr>
                <w:rFonts w:ascii="Times New Roman"/>
                <w:sz w:val="21"/>
              </w:rPr>
              <w:t>30</w:t>
            </w:r>
          </w:p>
        </w:tc>
        <w:tc>
          <w:tcPr>
            <w:tcW w:w="1134" w:type="dxa"/>
          </w:tcPr>
          <w:p>
            <w:pPr>
              <w:pStyle w:val="TableParagraph"/>
              <w:spacing w:line="222" w:lineRule="exact"/>
              <w:ind w:left="63" w:right="53"/>
              <w:rPr>
                <w:rFonts w:ascii="Times New Roman"/>
                <w:sz w:val="21"/>
              </w:rPr>
            </w:pPr>
            <w:r>
              <w:rPr>
                <w:rFonts w:ascii="Times New Roman"/>
                <w:sz w:val="21"/>
              </w:rPr>
              <w:t>37</w:t>
            </w:r>
          </w:p>
        </w:tc>
        <w:tc>
          <w:tcPr>
            <w:tcW w:w="681" w:type="dxa"/>
          </w:tcPr>
          <w:p>
            <w:pPr>
              <w:pStyle w:val="TableParagraph"/>
              <w:spacing w:line="222" w:lineRule="exact"/>
              <w:ind w:left="215" w:right="206"/>
              <w:rPr>
                <w:rFonts w:ascii="Times New Roman"/>
                <w:sz w:val="21"/>
              </w:rPr>
            </w:pPr>
            <w:r>
              <w:rPr>
                <w:rFonts w:ascii="Times New Roman"/>
                <w:sz w:val="21"/>
              </w:rPr>
              <w:t>44</w:t>
            </w:r>
          </w:p>
        </w:tc>
      </w:tr>
      <w:tr>
        <w:trPr>
          <w:trHeight w:val="239" w:hRule="atLeast"/>
        </w:trPr>
        <w:tc>
          <w:tcPr>
            <w:tcW w:w="1268" w:type="dxa"/>
          </w:tcPr>
          <w:p>
            <w:pPr>
              <w:pStyle w:val="TableParagraph"/>
              <w:spacing w:line="219" w:lineRule="exact"/>
              <w:ind w:left="18" w:right="10"/>
              <w:rPr>
                <w:rFonts w:ascii="Times New Roman"/>
                <w:sz w:val="21"/>
              </w:rPr>
            </w:pPr>
            <w:r>
              <w:rPr>
                <w:rFonts w:ascii="Times New Roman"/>
                <w:sz w:val="21"/>
              </w:rPr>
              <w:t>Mg</w:t>
            </w:r>
          </w:p>
        </w:tc>
        <w:tc>
          <w:tcPr>
            <w:tcW w:w="834" w:type="dxa"/>
          </w:tcPr>
          <w:p>
            <w:pPr>
              <w:pStyle w:val="TableParagraph"/>
              <w:spacing w:line="219" w:lineRule="exact"/>
              <w:ind w:left="6"/>
              <w:rPr>
                <w:rFonts w:ascii="Times New Roman"/>
                <w:sz w:val="21"/>
              </w:rPr>
            </w:pPr>
            <w:r>
              <w:rPr>
                <w:rFonts w:ascii="Times New Roman"/>
                <w:w w:val="99"/>
                <w:sz w:val="21"/>
              </w:rPr>
              <w:t>3</w:t>
            </w:r>
          </w:p>
        </w:tc>
        <w:tc>
          <w:tcPr>
            <w:tcW w:w="1134" w:type="dxa"/>
          </w:tcPr>
          <w:p>
            <w:pPr>
              <w:pStyle w:val="TableParagraph"/>
              <w:spacing w:line="219" w:lineRule="exact"/>
              <w:ind w:left="64" w:right="53"/>
              <w:rPr>
                <w:rFonts w:ascii="Times New Roman"/>
                <w:sz w:val="21"/>
              </w:rPr>
            </w:pPr>
            <w:r>
              <w:rPr>
                <w:rFonts w:ascii="Times New Roman"/>
                <w:sz w:val="21"/>
              </w:rPr>
              <w:t>10</w:t>
            </w:r>
          </w:p>
        </w:tc>
        <w:tc>
          <w:tcPr>
            <w:tcW w:w="1635" w:type="dxa"/>
          </w:tcPr>
          <w:p>
            <w:pPr>
              <w:pStyle w:val="TableParagraph"/>
              <w:spacing w:line="219" w:lineRule="exact"/>
              <w:ind w:left="152" w:right="145"/>
              <w:rPr>
                <w:rFonts w:ascii="Times New Roman"/>
                <w:sz w:val="21"/>
              </w:rPr>
            </w:pPr>
            <w:r>
              <w:rPr>
                <w:rFonts w:ascii="Times New Roman"/>
                <w:sz w:val="21"/>
              </w:rPr>
              <w:t>17</w:t>
            </w:r>
          </w:p>
        </w:tc>
        <w:tc>
          <w:tcPr>
            <w:tcW w:w="1355" w:type="dxa"/>
          </w:tcPr>
          <w:p>
            <w:pPr>
              <w:pStyle w:val="TableParagraph"/>
              <w:spacing w:line="219" w:lineRule="exact"/>
              <w:ind w:left="240" w:right="233"/>
              <w:rPr>
                <w:rFonts w:ascii="Times New Roman"/>
                <w:sz w:val="21"/>
              </w:rPr>
            </w:pPr>
            <w:r>
              <w:rPr>
                <w:rFonts w:ascii="Times New Roman"/>
                <w:sz w:val="21"/>
              </w:rPr>
              <w:t>24</w:t>
            </w:r>
          </w:p>
        </w:tc>
        <w:tc>
          <w:tcPr>
            <w:tcW w:w="979" w:type="dxa"/>
          </w:tcPr>
          <w:p>
            <w:pPr>
              <w:pStyle w:val="TableParagraph"/>
              <w:spacing w:line="219" w:lineRule="exact"/>
              <w:ind w:left="151" w:right="145"/>
              <w:rPr>
                <w:rFonts w:ascii="Times New Roman"/>
                <w:sz w:val="21"/>
              </w:rPr>
            </w:pPr>
            <w:r>
              <w:rPr>
                <w:rFonts w:ascii="Times New Roman"/>
                <w:sz w:val="21"/>
              </w:rPr>
              <w:t>31</w:t>
            </w:r>
          </w:p>
        </w:tc>
        <w:tc>
          <w:tcPr>
            <w:tcW w:w="1134" w:type="dxa"/>
          </w:tcPr>
          <w:p>
            <w:pPr>
              <w:pStyle w:val="TableParagraph"/>
              <w:spacing w:line="219" w:lineRule="exact"/>
              <w:ind w:left="63" w:right="53"/>
              <w:rPr>
                <w:rFonts w:ascii="Times New Roman"/>
                <w:sz w:val="21"/>
              </w:rPr>
            </w:pPr>
            <w:r>
              <w:rPr>
                <w:rFonts w:ascii="Times New Roman"/>
                <w:sz w:val="21"/>
              </w:rPr>
              <w:t>38</w:t>
            </w:r>
          </w:p>
        </w:tc>
        <w:tc>
          <w:tcPr>
            <w:tcW w:w="681" w:type="dxa"/>
          </w:tcPr>
          <w:p>
            <w:pPr>
              <w:pStyle w:val="TableParagraph"/>
              <w:spacing w:line="219" w:lineRule="exact"/>
              <w:ind w:left="215" w:right="206"/>
              <w:rPr>
                <w:rFonts w:ascii="Times New Roman"/>
                <w:sz w:val="21"/>
              </w:rPr>
            </w:pPr>
            <w:r>
              <w:rPr>
                <w:rFonts w:ascii="Times New Roman"/>
                <w:sz w:val="21"/>
              </w:rPr>
              <w:t>45</w:t>
            </w:r>
          </w:p>
        </w:tc>
      </w:tr>
    </w:tbl>
    <w:p>
      <w:pPr>
        <w:spacing w:after="0" w:line="219" w:lineRule="exact"/>
        <w:rPr>
          <w:rFonts w:ascii="Times New Roman"/>
          <w:sz w:val="21"/>
        </w:rPr>
        <w:sectPr>
          <w:pgSz w:w="11910" w:h="16840"/>
          <w:pgMar w:header="0" w:footer="993" w:top="1420" w:bottom="1180" w:left="1040" w:right="600"/>
        </w:sect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8"/>
        <w:gridCol w:w="834"/>
        <w:gridCol w:w="1134"/>
        <w:gridCol w:w="1635"/>
        <w:gridCol w:w="1355"/>
        <w:gridCol w:w="979"/>
        <w:gridCol w:w="1134"/>
        <w:gridCol w:w="681"/>
      </w:tblGrid>
      <w:tr>
        <w:trPr>
          <w:trHeight w:val="240" w:hRule="atLeast"/>
        </w:trPr>
        <w:tc>
          <w:tcPr>
            <w:tcW w:w="1268" w:type="dxa"/>
          </w:tcPr>
          <w:p>
            <w:pPr>
              <w:pStyle w:val="TableParagraph"/>
              <w:spacing w:line="221" w:lineRule="exact"/>
              <w:ind w:left="18" w:right="12"/>
              <w:rPr>
                <w:rFonts w:ascii="Times New Roman"/>
                <w:sz w:val="21"/>
              </w:rPr>
            </w:pPr>
            <w:r>
              <w:rPr>
                <w:rFonts w:ascii="Times New Roman"/>
                <w:sz w:val="21"/>
              </w:rPr>
              <w:t>Na+Ca</w:t>
            </w:r>
          </w:p>
        </w:tc>
        <w:tc>
          <w:tcPr>
            <w:tcW w:w="834" w:type="dxa"/>
          </w:tcPr>
          <w:p>
            <w:pPr>
              <w:pStyle w:val="TableParagraph"/>
              <w:spacing w:line="221" w:lineRule="exact"/>
              <w:ind w:left="6"/>
              <w:rPr>
                <w:rFonts w:ascii="Times New Roman"/>
                <w:sz w:val="21"/>
              </w:rPr>
            </w:pPr>
            <w:r>
              <w:rPr>
                <w:rFonts w:ascii="Times New Roman"/>
                <w:w w:val="99"/>
                <w:sz w:val="21"/>
              </w:rPr>
              <w:t>4</w:t>
            </w:r>
          </w:p>
        </w:tc>
        <w:tc>
          <w:tcPr>
            <w:tcW w:w="1134" w:type="dxa"/>
          </w:tcPr>
          <w:p>
            <w:pPr>
              <w:pStyle w:val="TableParagraph"/>
              <w:spacing w:line="221" w:lineRule="exact"/>
              <w:ind w:right="451"/>
              <w:jc w:val="right"/>
              <w:rPr>
                <w:rFonts w:ascii="Times New Roman"/>
                <w:sz w:val="21"/>
              </w:rPr>
            </w:pPr>
            <w:r>
              <w:rPr>
                <w:rFonts w:ascii="Times New Roman"/>
                <w:w w:val="95"/>
                <w:sz w:val="21"/>
              </w:rPr>
              <w:t>11</w:t>
            </w:r>
          </w:p>
        </w:tc>
        <w:tc>
          <w:tcPr>
            <w:tcW w:w="1635" w:type="dxa"/>
          </w:tcPr>
          <w:p>
            <w:pPr>
              <w:pStyle w:val="TableParagraph"/>
              <w:spacing w:line="221" w:lineRule="exact"/>
              <w:ind w:left="152" w:right="145"/>
              <w:rPr>
                <w:rFonts w:ascii="Times New Roman"/>
                <w:sz w:val="21"/>
              </w:rPr>
            </w:pPr>
            <w:r>
              <w:rPr>
                <w:rFonts w:ascii="Times New Roman"/>
                <w:sz w:val="21"/>
              </w:rPr>
              <w:t>18</w:t>
            </w:r>
          </w:p>
        </w:tc>
        <w:tc>
          <w:tcPr>
            <w:tcW w:w="1355" w:type="dxa"/>
          </w:tcPr>
          <w:p>
            <w:pPr>
              <w:pStyle w:val="TableParagraph"/>
              <w:spacing w:line="221" w:lineRule="exact"/>
              <w:ind w:left="240" w:right="233"/>
              <w:rPr>
                <w:rFonts w:ascii="Times New Roman"/>
                <w:sz w:val="21"/>
              </w:rPr>
            </w:pPr>
            <w:r>
              <w:rPr>
                <w:rFonts w:ascii="Times New Roman"/>
                <w:sz w:val="21"/>
              </w:rPr>
              <w:t>25</w:t>
            </w:r>
          </w:p>
        </w:tc>
        <w:tc>
          <w:tcPr>
            <w:tcW w:w="979" w:type="dxa"/>
          </w:tcPr>
          <w:p>
            <w:pPr>
              <w:pStyle w:val="TableParagraph"/>
              <w:spacing w:line="221" w:lineRule="exact"/>
              <w:ind w:left="151" w:right="145"/>
              <w:rPr>
                <w:rFonts w:ascii="Times New Roman"/>
                <w:sz w:val="21"/>
              </w:rPr>
            </w:pPr>
            <w:r>
              <w:rPr>
                <w:rFonts w:ascii="Times New Roman"/>
                <w:sz w:val="21"/>
              </w:rPr>
              <w:t>32</w:t>
            </w:r>
          </w:p>
        </w:tc>
        <w:tc>
          <w:tcPr>
            <w:tcW w:w="1134" w:type="dxa"/>
          </w:tcPr>
          <w:p>
            <w:pPr>
              <w:pStyle w:val="TableParagraph"/>
              <w:spacing w:line="221" w:lineRule="exact"/>
              <w:ind w:right="449"/>
              <w:jc w:val="right"/>
              <w:rPr>
                <w:rFonts w:ascii="Times New Roman"/>
                <w:sz w:val="21"/>
              </w:rPr>
            </w:pPr>
            <w:r>
              <w:rPr>
                <w:rFonts w:ascii="Times New Roman"/>
                <w:sz w:val="21"/>
              </w:rPr>
              <w:t>39</w:t>
            </w:r>
          </w:p>
        </w:tc>
        <w:tc>
          <w:tcPr>
            <w:tcW w:w="681" w:type="dxa"/>
          </w:tcPr>
          <w:p>
            <w:pPr>
              <w:pStyle w:val="TableParagraph"/>
              <w:spacing w:line="221" w:lineRule="exact"/>
              <w:ind w:left="215" w:right="206"/>
              <w:rPr>
                <w:rFonts w:ascii="Times New Roman"/>
                <w:sz w:val="21"/>
              </w:rPr>
            </w:pPr>
            <w:r>
              <w:rPr>
                <w:rFonts w:ascii="Times New Roman"/>
                <w:sz w:val="21"/>
              </w:rPr>
              <w:t>46</w:t>
            </w:r>
          </w:p>
        </w:tc>
      </w:tr>
      <w:tr>
        <w:trPr>
          <w:trHeight w:val="242" w:hRule="atLeast"/>
        </w:trPr>
        <w:tc>
          <w:tcPr>
            <w:tcW w:w="1268" w:type="dxa"/>
          </w:tcPr>
          <w:p>
            <w:pPr>
              <w:pStyle w:val="TableParagraph"/>
              <w:spacing w:line="222" w:lineRule="exact"/>
              <w:ind w:left="123" w:right="88"/>
              <w:rPr>
                <w:rFonts w:ascii="Times New Roman"/>
                <w:sz w:val="21"/>
              </w:rPr>
            </w:pPr>
            <w:r>
              <w:rPr>
                <w:rFonts w:ascii="Times New Roman"/>
                <w:sz w:val="21"/>
              </w:rPr>
              <w:t>Na+Ca+Mg</w:t>
            </w:r>
          </w:p>
        </w:tc>
        <w:tc>
          <w:tcPr>
            <w:tcW w:w="834" w:type="dxa"/>
          </w:tcPr>
          <w:p>
            <w:pPr>
              <w:pStyle w:val="TableParagraph"/>
              <w:spacing w:line="222" w:lineRule="exact"/>
              <w:ind w:left="6"/>
              <w:rPr>
                <w:rFonts w:ascii="Times New Roman"/>
                <w:sz w:val="21"/>
              </w:rPr>
            </w:pPr>
            <w:r>
              <w:rPr>
                <w:rFonts w:ascii="Times New Roman"/>
                <w:w w:val="99"/>
                <w:sz w:val="21"/>
              </w:rPr>
              <w:t>5</w:t>
            </w:r>
          </w:p>
        </w:tc>
        <w:tc>
          <w:tcPr>
            <w:tcW w:w="1134" w:type="dxa"/>
          </w:tcPr>
          <w:p>
            <w:pPr>
              <w:pStyle w:val="TableParagraph"/>
              <w:spacing w:line="222" w:lineRule="exact"/>
              <w:ind w:right="449"/>
              <w:jc w:val="right"/>
              <w:rPr>
                <w:rFonts w:ascii="Times New Roman"/>
                <w:sz w:val="21"/>
              </w:rPr>
            </w:pPr>
            <w:r>
              <w:rPr>
                <w:rFonts w:ascii="Times New Roman"/>
                <w:sz w:val="21"/>
              </w:rPr>
              <w:t>12</w:t>
            </w:r>
          </w:p>
        </w:tc>
        <w:tc>
          <w:tcPr>
            <w:tcW w:w="1635" w:type="dxa"/>
          </w:tcPr>
          <w:p>
            <w:pPr>
              <w:pStyle w:val="TableParagraph"/>
              <w:spacing w:line="222" w:lineRule="exact"/>
              <w:ind w:left="152" w:right="145"/>
              <w:rPr>
                <w:rFonts w:ascii="Times New Roman"/>
                <w:sz w:val="21"/>
              </w:rPr>
            </w:pPr>
            <w:r>
              <w:rPr>
                <w:rFonts w:ascii="Times New Roman"/>
                <w:sz w:val="21"/>
              </w:rPr>
              <w:t>19</w:t>
            </w:r>
          </w:p>
        </w:tc>
        <w:tc>
          <w:tcPr>
            <w:tcW w:w="1355" w:type="dxa"/>
          </w:tcPr>
          <w:p>
            <w:pPr>
              <w:pStyle w:val="TableParagraph"/>
              <w:spacing w:line="222" w:lineRule="exact"/>
              <w:ind w:left="240" w:right="233"/>
              <w:rPr>
                <w:rFonts w:ascii="Times New Roman"/>
                <w:sz w:val="21"/>
              </w:rPr>
            </w:pPr>
            <w:r>
              <w:rPr>
                <w:rFonts w:ascii="Times New Roman"/>
                <w:sz w:val="21"/>
              </w:rPr>
              <w:t>26</w:t>
            </w:r>
          </w:p>
        </w:tc>
        <w:tc>
          <w:tcPr>
            <w:tcW w:w="979" w:type="dxa"/>
          </w:tcPr>
          <w:p>
            <w:pPr>
              <w:pStyle w:val="TableParagraph"/>
              <w:spacing w:line="222" w:lineRule="exact"/>
              <w:ind w:left="151" w:right="145"/>
              <w:rPr>
                <w:rFonts w:ascii="Times New Roman"/>
                <w:sz w:val="21"/>
              </w:rPr>
            </w:pPr>
            <w:r>
              <w:rPr>
                <w:rFonts w:ascii="Times New Roman"/>
                <w:sz w:val="21"/>
              </w:rPr>
              <w:t>33</w:t>
            </w:r>
          </w:p>
        </w:tc>
        <w:tc>
          <w:tcPr>
            <w:tcW w:w="1134" w:type="dxa"/>
          </w:tcPr>
          <w:p>
            <w:pPr>
              <w:pStyle w:val="TableParagraph"/>
              <w:spacing w:line="222" w:lineRule="exact"/>
              <w:ind w:right="449"/>
              <w:jc w:val="right"/>
              <w:rPr>
                <w:rFonts w:ascii="Times New Roman"/>
                <w:sz w:val="21"/>
              </w:rPr>
            </w:pPr>
            <w:r>
              <w:rPr>
                <w:rFonts w:ascii="Times New Roman"/>
                <w:sz w:val="21"/>
              </w:rPr>
              <w:t>40</w:t>
            </w:r>
          </w:p>
        </w:tc>
        <w:tc>
          <w:tcPr>
            <w:tcW w:w="681" w:type="dxa"/>
          </w:tcPr>
          <w:p>
            <w:pPr>
              <w:pStyle w:val="TableParagraph"/>
              <w:spacing w:line="222" w:lineRule="exact"/>
              <w:ind w:left="215" w:right="206"/>
              <w:rPr>
                <w:rFonts w:ascii="Times New Roman"/>
                <w:sz w:val="21"/>
              </w:rPr>
            </w:pPr>
            <w:r>
              <w:rPr>
                <w:rFonts w:ascii="Times New Roman"/>
                <w:sz w:val="21"/>
              </w:rPr>
              <w:t>47</w:t>
            </w:r>
          </w:p>
        </w:tc>
      </w:tr>
      <w:tr>
        <w:trPr>
          <w:trHeight w:val="240" w:hRule="atLeast"/>
        </w:trPr>
        <w:tc>
          <w:tcPr>
            <w:tcW w:w="1268" w:type="dxa"/>
          </w:tcPr>
          <w:p>
            <w:pPr>
              <w:pStyle w:val="TableParagraph"/>
              <w:spacing w:line="221" w:lineRule="exact"/>
              <w:ind w:left="18" w:right="10"/>
              <w:rPr>
                <w:rFonts w:ascii="Times New Roman"/>
                <w:sz w:val="21"/>
              </w:rPr>
            </w:pPr>
            <w:r>
              <w:rPr>
                <w:rFonts w:ascii="Times New Roman"/>
                <w:sz w:val="21"/>
              </w:rPr>
              <w:t>Na+Mg</w:t>
            </w:r>
          </w:p>
        </w:tc>
        <w:tc>
          <w:tcPr>
            <w:tcW w:w="834" w:type="dxa"/>
          </w:tcPr>
          <w:p>
            <w:pPr>
              <w:pStyle w:val="TableParagraph"/>
              <w:spacing w:line="221" w:lineRule="exact"/>
              <w:ind w:left="6"/>
              <w:rPr>
                <w:rFonts w:ascii="Times New Roman"/>
                <w:sz w:val="21"/>
              </w:rPr>
            </w:pPr>
            <w:r>
              <w:rPr>
                <w:rFonts w:ascii="Times New Roman"/>
                <w:w w:val="99"/>
                <w:sz w:val="21"/>
              </w:rPr>
              <w:t>6</w:t>
            </w:r>
          </w:p>
        </w:tc>
        <w:tc>
          <w:tcPr>
            <w:tcW w:w="1134" w:type="dxa"/>
          </w:tcPr>
          <w:p>
            <w:pPr>
              <w:pStyle w:val="TableParagraph"/>
              <w:spacing w:line="221" w:lineRule="exact"/>
              <w:ind w:right="449"/>
              <w:jc w:val="right"/>
              <w:rPr>
                <w:rFonts w:ascii="Times New Roman"/>
                <w:sz w:val="21"/>
              </w:rPr>
            </w:pPr>
            <w:r>
              <w:rPr>
                <w:rFonts w:ascii="Times New Roman"/>
                <w:sz w:val="21"/>
              </w:rPr>
              <w:t>13</w:t>
            </w:r>
          </w:p>
        </w:tc>
        <w:tc>
          <w:tcPr>
            <w:tcW w:w="1635" w:type="dxa"/>
          </w:tcPr>
          <w:p>
            <w:pPr>
              <w:pStyle w:val="TableParagraph"/>
              <w:spacing w:line="221" w:lineRule="exact"/>
              <w:ind w:left="152" w:right="145"/>
              <w:rPr>
                <w:rFonts w:ascii="Times New Roman"/>
                <w:sz w:val="21"/>
              </w:rPr>
            </w:pPr>
            <w:r>
              <w:rPr>
                <w:rFonts w:ascii="Times New Roman"/>
                <w:sz w:val="21"/>
              </w:rPr>
              <w:t>20</w:t>
            </w:r>
          </w:p>
        </w:tc>
        <w:tc>
          <w:tcPr>
            <w:tcW w:w="1355" w:type="dxa"/>
          </w:tcPr>
          <w:p>
            <w:pPr>
              <w:pStyle w:val="TableParagraph"/>
              <w:spacing w:line="221" w:lineRule="exact"/>
              <w:ind w:left="240" w:right="233"/>
              <w:rPr>
                <w:rFonts w:ascii="Times New Roman"/>
                <w:sz w:val="21"/>
              </w:rPr>
            </w:pPr>
            <w:r>
              <w:rPr>
                <w:rFonts w:ascii="Times New Roman"/>
                <w:sz w:val="21"/>
              </w:rPr>
              <w:t>27</w:t>
            </w:r>
          </w:p>
        </w:tc>
        <w:tc>
          <w:tcPr>
            <w:tcW w:w="979" w:type="dxa"/>
          </w:tcPr>
          <w:p>
            <w:pPr>
              <w:pStyle w:val="TableParagraph"/>
              <w:spacing w:line="221" w:lineRule="exact"/>
              <w:ind w:left="151" w:right="145"/>
              <w:rPr>
                <w:rFonts w:ascii="Times New Roman"/>
                <w:sz w:val="21"/>
              </w:rPr>
            </w:pPr>
            <w:r>
              <w:rPr>
                <w:rFonts w:ascii="Times New Roman"/>
                <w:sz w:val="21"/>
              </w:rPr>
              <w:t>34</w:t>
            </w:r>
          </w:p>
        </w:tc>
        <w:tc>
          <w:tcPr>
            <w:tcW w:w="1134" w:type="dxa"/>
          </w:tcPr>
          <w:p>
            <w:pPr>
              <w:pStyle w:val="TableParagraph"/>
              <w:spacing w:line="221" w:lineRule="exact"/>
              <w:ind w:right="449"/>
              <w:jc w:val="right"/>
              <w:rPr>
                <w:rFonts w:ascii="Times New Roman"/>
                <w:sz w:val="21"/>
              </w:rPr>
            </w:pPr>
            <w:r>
              <w:rPr>
                <w:rFonts w:ascii="Times New Roman"/>
                <w:sz w:val="21"/>
              </w:rPr>
              <w:t>41</w:t>
            </w:r>
          </w:p>
        </w:tc>
        <w:tc>
          <w:tcPr>
            <w:tcW w:w="681" w:type="dxa"/>
          </w:tcPr>
          <w:p>
            <w:pPr>
              <w:pStyle w:val="TableParagraph"/>
              <w:spacing w:line="221" w:lineRule="exact"/>
              <w:ind w:left="215" w:right="206"/>
              <w:rPr>
                <w:rFonts w:ascii="Times New Roman"/>
                <w:sz w:val="21"/>
              </w:rPr>
            </w:pPr>
            <w:r>
              <w:rPr>
                <w:rFonts w:ascii="Times New Roman"/>
                <w:sz w:val="21"/>
              </w:rPr>
              <w:t>48</w:t>
            </w:r>
          </w:p>
        </w:tc>
      </w:tr>
      <w:tr>
        <w:trPr>
          <w:trHeight w:val="242" w:hRule="atLeast"/>
        </w:trPr>
        <w:tc>
          <w:tcPr>
            <w:tcW w:w="1268" w:type="dxa"/>
          </w:tcPr>
          <w:p>
            <w:pPr>
              <w:pStyle w:val="TableParagraph"/>
              <w:spacing w:line="221" w:lineRule="exact" w:before="1"/>
              <w:ind w:left="18" w:right="7"/>
              <w:rPr>
                <w:rFonts w:ascii="Times New Roman"/>
                <w:sz w:val="21"/>
              </w:rPr>
            </w:pPr>
            <w:r>
              <w:rPr>
                <w:rFonts w:ascii="Times New Roman"/>
                <w:sz w:val="21"/>
              </w:rPr>
              <w:t>Na</w:t>
            </w:r>
          </w:p>
        </w:tc>
        <w:tc>
          <w:tcPr>
            <w:tcW w:w="834" w:type="dxa"/>
          </w:tcPr>
          <w:p>
            <w:pPr>
              <w:pStyle w:val="TableParagraph"/>
              <w:spacing w:line="221" w:lineRule="exact" w:before="1"/>
              <w:ind w:left="6"/>
              <w:rPr>
                <w:rFonts w:ascii="Times New Roman"/>
                <w:sz w:val="21"/>
              </w:rPr>
            </w:pPr>
            <w:r>
              <w:rPr>
                <w:rFonts w:ascii="Times New Roman"/>
                <w:w w:val="99"/>
                <w:sz w:val="21"/>
              </w:rPr>
              <w:t>7</w:t>
            </w:r>
          </w:p>
        </w:tc>
        <w:tc>
          <w:tcPr>
            <w:tcW w:w="1134" w:type="dxa"/>
          </w:tcPr>
          <w:p>
            <w:pPr>
              <w:pStyle w:val="TableParagraph"/>
              <w:spacing w:line="221" w:lineRule="exact" w:before="1"/>
              <w:ind w:right="449"/>
              <w:jc w:val="right"/>
              <w:rPr>
                <w:rFonts w:ascii="Times New Roman"/>
                <w:sz w:val="21"/>
              </w:rPr>
            </w:pPr>
            <w:r>
              <w:rPr>
                <w:rFonts w:ascii="Times New Roman"/>
                <w:sz w:val="21"/>
              </w:rPr>
              <w:t>14</w:t>
            </w:r>
          </w:p>
        </w:tc>
        <w:tc>
          <w:tcPr>
            <w:tcW w:w="1635" w:type="dxa"/>
          </w:tcPr>
          <w:p>
            <w:pPr>
              <w:pStyle w:val="TableParagraph"/>
              <w:spacing w:line="221" w:lineRule="exact" w:before="1"/>
              <w:ind w:left="152" w:right="145"/>
              <w:rPr>
                <w:rFonts w:ascii="Times New Roman"/>
                <w:sz w:val="21"/>
              </w:rPr>
            </w:pPr>
            <w:r>
              <w:rPr>
                <w:rFonts w:ascii="Times New Roman"/>
                <w:sz w:val="21"/>
              </w:rPr>
              <w:t>21</w:t>
            </w:r>
          </w:p>
        </w:tc>
        <w:tc>
          <w:tcPr>
            <w:tcW w:w="1355" w:type="dxa"/>
          </w:tcPr>
          <w:p>
            <w:pPr>
              <w:pStyle w:val="TableParagraph"/>
              <w:spacing w:line="221" w:lineRule="exact" w:before="1"/>
              <w:ind w:left="240" w:right="233"/>
              <w:rPr>
                <w:rFonts w:ascii="Times New Roman"/>
                <w:sz w:val="21"/>
              </w:rPr>
            </w:pPr>
            <w:r>
              <w:rPr>
                <w:rFonts w:ascii="Times New Roman"/>
                <w:sz w:val="21"/>
              </w:rPr>
              <w:t>28</w:t>
            </w:r>
          </w:p>
        </w:tc>
        <w:tc>
          <w:tcPr>
            <w:tcW w:w="979" w:type="dxa"/>
          </w:tcPr>
          <w:p>
            <w:pPr>
              <w:pStyle w:val="TableParagraph"/>
              <w:spacing w:line="221" w:lineRule="exact" w:before="1"/>
              <w:ind w:left="151" w:right="145"/>
              <w:rPr>
                <w:rFonts w:ascii="Times New Roman"/>
                <w:sz w:val="21"/>
              </w:rPr>
            </w:pPr>
            <w:r>
              <w:rPr>
                <w:rFonts w:ascii="Times New Roman"/>
                <w:sz w:val="21"/>
              </w:rPr>
              <w:t>35</w:t>
            </w:r>
          </w:p>
        </w:tc>
        <w:tc>
          <w:tcPr>
            <w:tcW w:w="1134" w:type="dxa"/>
          </w:tcPr>
          <w:p>
            <w:pPr>
              <w:pStyle w:val="TableParagraph"/>
              <w:spacing w:line="221" w:lineRule="exact" w:before="1"/>
              <w:ind w:right="449"/>
              <w:jc w:val="right"/>
              <w:rPr>
                <w:rFonts w:ascii="Times New Roman"/>
                <w:sz w:val="21"/>
              </w:rPr>
            </w:pPr>
            <w:r>
              <w:rPr>
                <w:rFonts w:ascii="Times New Roman"/>
                <w:sz w:val="21"/>
              </w:rPr>
              <w:t>42</w:t>
            </w:r>
          </w:p>
        </w:tc>
        <w:tc>
          <w:tcPr>
            <w:tcW w:w="681" w:type="dxa"/>
          </w:tcPr>
          <w:p>
            <w:pPr>
              <w:pStyle w:val="TableParagraph"/>
              <w:spacing w:line="221" w:lineRule="exact" w:before="1"/>
              <w:ind w:left="215" w:right="206"/>
              <w:rPr>
                <w:rFonts w:ascii="Times New Roman"/>
                <w:sz w:val="21"/>
              </w:rPr>
            </w:pPr>
            <w:r>
              <w:rPr>
                <w:rFonts w:ascii="Times New Roman"/>
                <w:sz w:val="21"/>
              </w:rPr>
              <w:t>49</w:t>
            </w:r>
          </w:p>
        </w:tc>
      </w:tr>
    </w:tbl>
    <w:p>
      <w:pPr>
        <w:pStyle w:val="BodyText"/>
        <w:spacing w:before="79"/>
        <w:ind w:left="1230"/>
      </w:pPr>
      <w:r>
        <w:rPr/>
        <w:t>第二步，对水文资料进行整理：</w:t>
      </w:r>
    </w:p>
    <w:p>
      <w:pPr>
        <w:pStyle w:val="BodyText"/>
        <w:spacing w:before="161"/>
        <w:ind w:left="1230"/>
      </w:pPr>
      <w:r>
        <w:rPr/>
        <w:t>换算毫克</w:t>
      </w:r>
      <w:r>
        <w:rPr>
          <w:rFonts w:ascii="Times New Roman" w:eastAsia="Times New Roman"/>
        </w:rPr>
        <w:t>/</w:t>
      </w:r>
      <w:r>
        <w:rPr/>
        <w:t>升为毫克当量</w:t>
      </w:r>
      <w:r>
        <w:rPr>
          <w:rFonts w:ascii="Times New Roman" w:eastAsia="Times New Roman"/>
        </w:rPr>
        <w:t>/</w:t>
      </w:r>
      <w:r>
        <w:rPr/>
        <w:t>升及毫克当量百分数</w:t>
      </w:r>
    </w:p>
    <w:p>
      <w:pPr>
        <w:pStyle w:val="BodyText"/>
        <w:spacing w:before="160"/>
        <w:ind w:left="1230"/>
      </w:pPr>
      <w:r>
        <w:rPr/>
        <w:t>按照化学原理，毫克数与毫克当量数的关系如下式：</w:t>
      </w:r>
    </w:p>
    <w:p>
      <w:pPr>
        <w:pStyle w:val="BodyText"/>
        <w:spacing w:line="398" w:lineRule="exact" w:before="91"/>
        <w:ind w:left="1216"/>
      </w:pPr>
      <w:r>
        <w:rPr/>
        <w:pict>
          <v:line style="position:absolute;mso-position-horizontal-relative:page;mso-position-vertical-relative:paragraph;z-index:-285919232" from="221.067001pt,21.019007pt" to="293.774001pt,21.019007pt" stroked="true" strokeweight=".5pt" strokecolor="#000000">
            <v:stroke dashstyle="solid"/>
            <w10:wrap type="none"/>
          </v:line>
        </w:pict>
      </w:r>
      <w:r>
        <w:rPr/>
        <w:t>离子的毫克当量数 </w:t>
      </w:r>
      <w:r>
        <w:rPr>
          <w:rFonts w:ascii="Symbol" w:hAnsi="Symbol" w:eastAsia="Symbol"/>
        </w:rPr>
        <w:t></w:t>
      </w:r>
      <w:r>
        <w:rPr>
          <w:rFonts w:ascii="Times New Roman" w:hAnsi="Times New Roman" w:eastAsia="Times New Roman"/>
        </w:rPr>
        <w:t> </w:t>
      </w:r>
      <w:r>
        <w:rPr>
          <w:position w:val="15"/>
        </w:rPr>
        <w:t>离子的毫克数</w:t>
      </w:r>
    </w:p>
    <w:p>
      <w:pPr>
        <w:pStyle w:val="BodyText"/>
        <w:spacing w:line="248" w:lineRule="exact"/>
        <w:ind w:right="2060"/>
        <w:jc w:val="center"/>
      </w:pPr>
      <w:r>
        <w:rPr/>
        <w:t>离子的当量</w:t>
      </w:r>
    </w:p>
    <w:p>
      <w:pPr>
        <w:pStyle w:val="BodyText"/>
        <w:spacing w:before="4"/>
        <w:rPr>
          <w:sz w:val="12"/>
        </w:rPr>
      </w:pPr>
    </w:p>
    <w:p>
      <w:pPr>
        <w:pStyle w:val="BodyText"/>
        <w:spacing w:before="66"/>
        <w:ind w:left="86" w:right="8"/>
        <w:jc w:val="center"/>
      </w:pPr>
      <w:r>
        <w:rPr/>
        <w:t>知道了离子在水中的毫克当量数以后，则可根据下式计算其毫克当量百分</w:t>
      </w:r>
    </w:p>
    <w:p>
      <w:pPr>
        <w:pStyle w:val="BodyText"/>
        <w:spacing w:before="161"/>
        <w:ind w:left="711"/>
      </w:pPr>
      <w:r>
        <w:rPr/>
        <w:t>数：</w:t>
      </w:r>
    </w:p>
    <w:p>
      <w:pPr>
        <w:pStyle w:val="BodyText"/>
        <w:rPr>
          <w:sz w:val="12"/>
        </w:rPr>
      </w:pPr>
    </w:p>
    <w:p>
      <w:pPr>
        <w:spacing w:after="0"/>
        <w:rPr>
          <w:sz w:val="12"/>
        </w:rPr>
        <w:sectPr>
          <w:pgSz w:w="11910" w:h="16840"/>
          <w:pgMar w:header="0" w:footer="993" w:top="1420" w:bottom="1180" w:left="1040" w:right="600"/>
        </w:sectPr>
      </w:pPr>
    </w:p>
    <w:p>
      <w:pPr>
        <w:pStyle w:val="BodyText"/>
        <w:spacing w:before="222"/>
        <w:ind w:left="1258"/>
        <w:rPr>
          <w:rFonts w:ascii="Symbol" w:hAnsi="Symbol"/>
        </w:rPr>
      </w:pPr>
      <w:r>
        <w:rPr/>
        <w:pict>
          <v:line style="position:absolute;mso-position-horizontal-relative:page;mso-position-vertical-relative:paragraph;z-index:-285918208" from="271.075989pt,20.133423pt" to="394.349989pt,20.133423pt" stroked="true" strokeweight=".5pt" strokecolor="#000000">
            <v:stroke dashstyle="solid"/>
            <w10:wrap type="none"/>
          </v:line>
        </w:pict>
      </w:r>
      <w:r>
        <w:rPr>
          <w:w w:val="95"/>
        </w:rPr>
        <w:t>某阴离子的毫克当量百分数</w:t>
      </w:r>
      <w:r>
        <w:rPr>
          <w:rFonts w:ascii="Symbol" w:hAnsi="Symbol"/>
          <w:w w:val="95"/>
        </w:rPr>
        <w:t></w:t>
      </w:r>
    </w:p>
    <w:p>
      <w:pPr>
        <w:pStyle w:val="BodyText"/>
        <w:spacing w:line="264" w:lineRule="auto" w:before="72"/>
        <w:ind w:left="14" w:firstLine="245"/>
      </w:pPr>
      <w:r>
        <w:rPr/>
        <w:br w:type="column"/>
      </w:r>
      <w:r>
        <w:rPr/>
        <w:t>该离子毫克当量</w:t>
      </w:r>
      <w:r>
        <w:rPr>
          <w:rFonts w:ascii="Times New Roman" w:eastAsia="Times New Roman"/>
        </w:rPr>
        <w:t>/</w:t>
      </w:r>
      <w:r>
        <w:rPr/>
        <w:t>升</w:t>
      </w:r>
      <w:r>
        <w:rPr>
          <w:w w:val="95"/>
        </w:rPr>
        <w:t>阴离子毫克当量总数</w:t>
      </w:r>
      <w:r>
        <w:rPr>
          <w:rFonts w:ascii="Times New Roman" w:eastAsia="Times New Roman"/>
          <w:w w:val="95"/>
        </w:rPr>
        <w:t>/</w:t>
      </w:r>
      <w:r>
        <w:rPr>
          <w:w w:val="95"/>
        </w:rPr>
        <w:t>升</w:t>
      </w:r>
    </w:p>
    <w:p>
      <w:pPr>
        <w:pStyle w:val="BodyText"/>
        <w:spacing w:before="222"/>
        <w:rPr>
          <w:rFonts w:ascii="Times New Roman" w:hAnsi="Times New Roman"/>
        </w:rPr>
      </w:pPr>
      <w:r>
        <w:rP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bottom="280" w:left="1040" w:right="600"/>
          <w:cols w:num="3" w:equalWidth="0">
            <w:col w:w="4321" w:space="40"/>
            <w:col w:w="2480" w:space="39"/>
            <w:col w:w="3390"/>
          </w:cols>
        </w:sectPr>
      </w:pPr>
    </w:p>
    <w:p>
      <w:pPr>
        <w:pStyle w:val="BodyText"/>
        <w:spacing w:before="3"/>
        <w:rPr>
          <w:rFonts w:ascii="Times New Roman"/>
          <w:sz w:val="10"/>
        </w:rPr>
      </w:pPr>
    </w:p>
    <w:p>
      <w:pPr>
        <w:pStyle w:val="BodyText"/>
        <w:spacing w:line="364" w:lineRule="auto" w:before="76"/>
        <w:ind w:left="1230" w:right="4225"/>
        <w:jc w:val="both"/>
      </w:pPr>
      <w:r>
        <w:rPr/>
        <w:t>第三步，按矿化度（</w:t>
      </w:r>
      <w:r>
        <w:rPr>
          <w:rFonts w:ascii="Times New Roman" w:hAnsi="Times New Roman" w:eastAsia="Times New Roman"/>
        </w:rPr>
        <w:t>M</w:t>
      </w:r>
      <w:r>
        <w:rPr/>
        <w:t>）</w:t>
      </w:r>
      <w:r>
        <w:rPr>
          <w:spacing w:val="-9"/>
        </w:rPr>
        <w:t>的大小划分为 </w:t>
      </w:r>
      <w:r>
        <w:rPr>
          <w:rFonts w:ascii="Times New Roman" w:hAnsi="Times New Roman" w:eastAsia="Times New Roman"/>
        </w:rPr>
        <w:t>4 </w:t>
      </w:r>
      <w:r>
        <w:rPr/>
        <w:t>组。</w:t>
      </w:r>
      <w:r>
        <w:rPr>
          <w:rFonts w:ascii="Times New Roman" w:hAnsi="Times New Roman" w:eastAsia="Times New Roman"/>
        </w:rPr>
        <w:t>A </w:t>
      </w:r>
      <w:r>
        <w:rPr/>
        <w:t>组</w:t>
      </w:r>
      <w:r>
        <w:rPr>
          <w:rFonts w:ascii="Times New Roman" w:hAnsi="Times New Roman" w:eastAsia="Times New Roman"/>
        </w:rPr>
        <w:t>——M≤1.5g/L</w:t>
      </w:r>
      <w:r>
        <w:rPr/>
        <w:t>；</w:t>
      </w:r>
      <w:r>
        <w:rPr>
          <w:rFonts w:ascii="Times New Roman" w:hAnsi="Times New Roman" w:eastAsia="Times New Roman"/>
        </w:rPr>
        <w:t>B </w:t>
      </w:r>
      <w:r>
        <w:rPr/>
        <w:t>组</w:t>
      </w:r>
      <w:r>
        <w:rPr>
          <w:rFonts w:ascii="Times New Roman" w:hAnsi="Times New Roman" w:eastAsia="Times New Roman"/>
        </w:rPr>
        <w:t>——1.5</w:t>
      </w:r>
      <w:r>
        <w:rPr/>
        <w:t>＜</w:t>
      </w:r>
      <w:r>
        <w:rPr>
          <w:rFonts w:ascii="Times New Roman" w:hAnsi="Times New Roman" w:eastAsia="Times New Roman"/>
        </w:rPr>
        <w:t>M≤10g/L</w:t>
      </w:r>
      <w:r>
        <w:rPr/>
        <w:t>； </w:t>
      </w:r>
      <w:r>
        <w:rPr>
          <w:rFonts w:ascii="Times New Roman" w:hAnsi="Times New Roman" w:eastAsia="Times New Roman"/>
        </w:rPr>
        <w:t>C </w:t>
      </w:r>
      <w:r>
        <w:rPr/>
        <w:t>组</w:t>
      </w:r>
      <w:r>
        <w:rPr>
          <w:rFonts w:ascii="Times New Roman" w:hAnsi="Times New Roman" w:eastAsia="Times New Roman"/>
        </w:rPr>
        <w:t>——10</w:t>
      </w:r>
      <w:r>
        <w:rPr/>
        <w:t>＜</w:t>
      </w:r>
      <w:r>
        <w:rPr>
          <w:rFonts w:ascii="Times New Roman" w:hAnsi="Times New Roman" w:eastAsia="Times New Roman"/>
        </w:rPr>
        <w:t>M≤40g/L</w:t>
      </w:r>
      <w:r>
        <w:rPr/>
        <w:t>；</w:t>
      </w:r>
      <w:r>
        <w:rPr>
          <w:rFonts w:ascii="Times New Roman" w:hAnsi="Times New Roman" w:eastAsia="Times New Roman"/>
        </w:rPr>
        <w:t>D </w:t>
      </w:r>
      <w:r>
        <w:rPr/>
        <w:t>组</w:t>
      </w:r>
      <w:r>
        <w:rPr>
          <w:rFonts w:ascii="Times New Roman" w:hAnsi="Times New Roman" w:eastAsia="Times New Roman"/>
        </w:rPr>
        <w:t>——M</w:t>
      </w:r>
      <w:r>
        <w:rPr/>
        <w:t>＞</w:t>
      </w:r>
      <w:r>
        <w:rPr>
          <w:rFonts w:ascii="Times New Roman" w:hAnsi="Times New Roman" w:eastAsia="Times New Roman"/>
        </w:rPr>
        <w:t>40g/L</w:t>
      </w:r>
      <w:r>
        <w:rPr/>
        <w:t>。</w:t>
      </w:r>
    </w:p>
    <w:p>
      <w:pPr>
        <w:pStyle w:val="BodyText"/>
        <w:spacing w:line="364" w:lineRule="auto" w:before="2"/>
        <w:ind w:left="711" w:right="1149" w:firstLine="518"/>
      </w:pPr>
      <w:r>
        <w:rPr>
          <w:spacing w:val="-8"/>
        </w:rPr>
        <w:t>矿化度的计算采用《用主要阴离子含量计算水的矿化度》</w:t>
      </w:r>
      <w:r>
        <w:rPr/>
        <w:t>（高仁先</w:t>
      </w:r>
      <w:r>
        <w:rPr>
          <w:rFonts w:ascii="Times New Roman" w:eastAsia="Times New Roman"/>
        </w:rPr>
        <w:t>.</w:t>
      </w:r>
      <w:r>
        <w:rPr>
          <w:spacing w:val="-4"/>
        </w:rPr>
        <w:t>山东省水</w:t>
      </w:r>
      <w:r>
        <w:rPr/>
        <w:t>利科学研究院），计算方法如下：</w:t>
      </w:r>
    </w:p>
    <w:p>
      <w:pPr>
        <w:pStyle w:val="BodyText"/>
        <w:spacing w:line="310" w:lineRule="exact"/>
        <w:ind w:left="1230"/>
        <w:rPr>
          <w:rFonts w:ascii="Times New Roman" w:hAnsi="Times New Roman" w:eastAsia="Times New Roman"/>
        </w:rPr>
      </w:pPr>
      <w:r>
        <w:rPr/>
        <w:drawing>
          <wp:anchor distT="0" distB="0" distL="0" distR="0" allowOverlap="1" layoutInCell="1" locked="0" behindDoc="1" simplePos="0" relativeHeight="217399296">
            <wp:simplePos x="0" y="0"/>
            <wp:positionH relativeFrom="page">
              <wp:posOffset>2049208</wp:posOffset>
            </wp:positionH>
            <wp:positionV relativeFrom="paragraph">
              <wp:posOffset>371912</wp:posOffset>
            </wp:positionV>
            <wp:extent cx="739711" cy="318126"/>
            <wp:effectExtent l="0" t="0" r="0" b="0"/>
            <wp:wrapNone/>
            <wp:docPr id="37" name="image22.png"/>
            <wp:cNvGraphicFramePr>
              <a:graphicFrameLocks noChangeAspect="1"/>
            </wp:cNvGraphicFramePr>
            <a:graphic>
              <a:graphicData uri="http://schemas.openxmlformats.org/drawingml/2006/picture">
                <pic:pic>
                  <pic:nvPicPr>
                    <pic:cNvPr id="38" name="image22.png"/>
                    <pic:cNvPicPr/>
                  </pic:nvPicPr>
                  <pic:blipFill>
                    <a:blip r:embed="rId41" cstate="print"/>
                    <a:stretch>
                      <a:fillRect/>
                    </a:stretch>
                  </pic:blipFill>
                  <pic:spPr>
                    <a:xfrm>
                      <a:off x="0" y="0"/>
                      <a:ext cx="739711" cy="318126"/>
                    </a:xfrm>
                    <a:prstGeom prst="rect">
                      <a:avLst/>
                    </a:prstGeom>
                  </pic:spPr>
                </pic:pic>
              </a:graphicData>
            </a:graphic>
          </wp:anchor>
        </w:drawing>
      </w:r>
      <w:r>
        <w:rPr>
          <w:spacing w:val="-1"/>
          <w:position w:val="2"/>
        </w:rPr>
        <w:t>矿化度（</w:t>
      </w:r>
      <w:r>
        <w:rPr>
          <w:rFonts w:ascii="Times New Roman" w:hAnsi="Times New Roman" w:eastAsia="Times New Roman"/>
          <w:spacing w:val="-1"/>
          <w:position w:val="2"/>
        </w:rPr>
        <w:t>g/L</w:t>
      </w:r>
      <w:r>
        <w:rPr>
          <w:spacing w:val="-1"/>
          <w:position w:val="2"/>
        </w:rPr>
        <w:t>）</w:t>
      </w:r>
      <w:r>
        <w:rPr>
          <w:rFonts w:ascii="Times New Roman" w:hAnsi="Times New Roman" w:eastAsia="Times New Roman"/>
          <w:spacing w:val="-1"/>
          <w:position w:val="2"/>
        </w:rPr>
        <w:t>=C</w:t>
      </w:r>
      <w:r>
        <w:rPr>
          <w:spacing w:val="-1"/>
          <w:position w:val="2"/>
        </w:rPr>
        <w:t>（</w:t>
      </w:r>
      <w:r>
        <w:rPr>
          <w:rFonts w:ascii="Times New Roman" w:hAnsi="Times New Roman" w:eastAsia="Times New Roman"/>
          <w:spacing w:val="-1"/>
          <w:position w:val="2"/>
        </w:rPr>
        <w:t>∑A</w:t>
      </w:r>
      <w:r>
        <w:rPr>
          <w:spacing w:val="-1"/>
          <w:position w:val="2"/>
        </w:rPr>
        <w:t>）</w:t>
      </w:r>
      <w:r>
        <w:rPr>
          <w:rFonts w:ascii="Times New Roman" w:hAnsi="Times New Roman" w:eastAsia="Times New Roman"/>
          <w:spacing w:val="-1"/>
          <w:position w:val="2"/>
        </w:rPr>
        <w:t>×M</w:t>
      </w:r>
      <w:r>
        <w:rPr>
          <w:rFonts w:ascii="Times New Roman" w:hAnsi="Times New Roman" w:eastAsia="Times New Roman"/>
          <w:spacing w:val="-1"/>
          <w:position w:val="2"/>
          <w:vertAlign w:val="subscript"/>
        </w:rPr>
        <w:t>S</w:t>
      </w:r>
    </w:p>
    <w:p>
      <w:pPr>
        <w:pStyle w:val="BodyText"/>
        <w:rPr>
          <w:rFonts w:ascii="Times New Roman"/>
          <w:sz w:val="26"/>
        </w:rPr>
      </w:pPr>
    </w:p>
    <w:p>
      <w:pPr>
        <w:pStyle w:val="BodyText"/>
        <w:rPr>
          <w:rFonts w:ascii="Times New Roman"/>
          <w:sz w:val="26"/>
        </w:rPr>
      </w:pPr>
    </w:p>
    <w:p>
      <w:pPr>
        <w:pStyle w:val="BodyText"/>
        <w:tabs>
          <w:tab w:pos="3351" w:val="left" w:leader="none"/>
        </w:tabs>
        <w:spacing w:before="1"/>
        <w:ind w:left="1230"/>
      </w:pPr>
      <w:r>
        <w:rPr/>
        <w:drawing>
          <wp:anchor distT="0" distB="0" distL="0" distR="0" allowOverlap="1" layoutInCell="1" locked="0" behindDoc="0" simplePos="0" relativeHeight="251791360">
            <wp:simplePos x="0" y="0"/>
            <wp:positionH relativeFrom="page">
              <wp:posOffset>3275492</wp:posOffset>
            </wp:positionH>
            <wp:positionV relativeFrom="paragraph">
              <wp:posOffset>-185006</wp:posOffset>
            </wp:positionV>
            <wp:extent cx="782919" cy="269925"/>
            <wp:effectExtent l="0" t="0" r="0" b="0"/>
            <wp:wrapNone/>
            <wp:docPr id="39" name="image23.png"/>
            <wp:cNvGraphicFramePr>
              <a:graphicFrameLocks noChangeAspect="1"/>
            </wp:cNvGraphicFramePr>
            <a:graphic>
              <a:graphicData uri="http://schemas.openxmlformats.org/drawingml/2006/picture">
                <pic:pic>
                  <pic:nvPicPr>
                    <pic:cNvPr id="40" name="image23.png"/>
                    <pic:cNvPicPr/>
                  </pic:nvPicPr>
                  <pic:blipFill>
                    <a:blip r:embed="rId42" cstate="print"/>
                    <a:stretch>
                      <a:fillRect/>
                    </a:stretch>
                  </pic:blipFill>
                  <pic:spPr>
                    <a:xfrm>
                      <a:off x="0" y="0"/>
                      <a:ext cx="782919" cy="269925"/>
                    </a:xfrm>
                    <a:prstGeom prst="rect">
                      <a:avLst/>
                    </a:prstGeom>
                  </pic:spPr>
                </pic:pic>
              </a:graphicData>
            </a:graphic>
          </wp:anchor>
        </w:drawing>
      </w:r>
      <w:r>
        <w:rPr/>
        <w:drawing>
          <wp:anchor distT="0" distB="0" distL="0" distR="0" allowOverlap="1" layoutInCell="1" locked="0" behindDoc="0" simplePos="0" relativeHeight="251792384">
            <wp:simplePos x="0" y="0"/>
            <wp:positionH relativeFrom="page">
              <wp:posOffset>2176376</wp:posOffset>
            </wp:positionH>
            <wp:positionV relativeFrom="paragraph">
              <wp:posOffset>386529</wp:posOffset>
            </wp:positionV>
            <wp:extent cx="1063647" cy="347046"/>
            <wp:effectExtent l="0" t="0" r="0" b="0"/>
            <wp:wrapNone/>
            <wp:docPr id="41" name="image24.png"/>
            <wp:cNvGraphicFramePr>
              <a:graphicFrameLocks noChangeAspect="1"/>
            </wp:cNvGraphicFramePr>
            <a:graphic>
              <a:graphicData uri="http://schemas.openxmlformats.org/drawingml/2006/picture">
                <pic:pic>
                  <pic:nvPicPr>
                    <pic:cNvPr id="42" name="image24.png"/>
                    <pic:cNvPicPr/>
                  </pic:nvPicPr>
                  <pic:blipFill>
                    <a:blip r:embed="rId43" cstate="print"/>
                    <a:stretch>
                      <a:fillRect/>
                    </a:stretch>
                  </pic:blipFill>
                  <pic:spPr>
                    <a:xfrm>
                      <a:off x="0" y="0"/>
                      <a:ext cx="1063647" cy="347046"/>
                    </a:xfrm>
                    <a:prstGeom prst="rect">
                      <a:avLst/>
                    </a:prstGeom>
                  </pic:spPr>
                </pic:pic>
              </a:graphicData>
            </a:graphic>
          </wp:anchor>
        </w:drawing>
      </w:r>
      <w:r>
        <w:rPr>
          <w:rFonts w:ascii="Times New Roman" w:eastAsia="Times New Roman"/>
        </w:rPr>
        <w:t>SB=</w:t>
        <w:tab/>
      </w:r>
      <w:r>
        <w:rPr/>
        <w:t>或</w:t>
      </w:r>
    </w:p>
    <w:p>
      <w:pPr>
        <w:pStyle w:val="BodyText"/>
        <w:rPr>
          <w:sz w:val="26"/>
        </w:rPr>
      </w:pPr>
    </w:p>
    <w:p>
      <w:pPr>
        <w:pStyle w:val="BodyText"/>
        <w:spacing w:before="10"/>
      </w:pPr>
    </w:p>
    <w:p>
      <w:pPr>
        <w:pStyle w:val="BodyText"/>
        <w:spacing w:before="1"/>
        <w:ind w:left="1230"/>
        <w:rPr>
          <w:rFonts w:ascii="Times New Roman"/>
        </w:rPr>
      </w:pPr>
      <w:r>
        <w:rPr>
          <w:rFonts w:ascii="Times New Roman"/>
        </w:rPr>
        <w:t>HCB=</w:t>
      </w:r>
    </w:p>
    <w:p>
      <w:pPr>
        <w:pStyle w:val="BodyText"/>
        <w:spacing w:before="197"/>
        <w:ind w:left="1230"/>
      </w:pPr>
      <w:r>
        <w:rPr/>
        <w:t>注：</w:t>
      </w:r>
      <w:r>
        <w:rPr>
          <w:rFonts w:ascii="Times New Roman" w:eastAsia="Times New Roman"/>
        </w:rPr>
        <w:t>Ms </w:t>
      </w:r>
      <w:r>
        <w:rPr/>
        <w:t>是在计算出 </w:t>
      </w:r>
      <w:r>
        <w:rPr>
          <w:rFonts w:ascii="Times New Roman" w:eastAsia="Times New Roman"/>
        </w:rPr>
        <w:t>SB </w:t>
      </w:r>
      <w:r>
        <w:rPr/>
        <w:t>值和 </w:t>
      </w:r>
      <w:r>
        <w:rPr>
          <w:rFonts w:ascii="Times New Roman" w:eastAsia="Times New Roman"/>
        </w:rPr>
        <w:t>HCB </w:t>
      </w:r>
      <w:r>
        <w:rPr/>
        <w:t>值后查下表得出。</w:t>
      </w:r>
    </w:p>
    <w:p>
      <w:pPr>
        <w:pStyle w:val="Heading4"/>
        <w:tabs>
          <w:tab w:pos="1125" w:val="left" w:leader="none"/>
        </w:tabs>
        <w:spacing w:before="82"/>
        <w:ind w:left="86"/>
        <w:jc w:val="center"/>
      </w:pPr>
      <w:r>
        <w:rPr/>
        <w:t>表</w:t>
      </w:r>
      <w:r>
        <w:rPr>
          <w:spacing w:val="-62"/>
        </w:rPr>
        <w:t> </w:t>
      </w:r>
      <w:r>
        <w:rPr>
          <w:rFonts w:ascii="Times New Roman" w:eastAsia="Times New Roman"/>
        </w:rPr>
        <w:t>6.4-4</w:t>
        <w:tab/>
        <w:t>SB</w:t>
      </w:r>
      <w:r>
        <w:rPr/>
        <w:t>、</w:t>
      </w:r>
      <w:r>
        <w:rPr>
          <w:rFonts w:ascii="Times New Roman" w:eastAsia="Times New Roman"/>
        </w:rPr>
        <w:t>HCB</w:t>
      </w:r>
      <w:r>
        <w:rPr/>
        <w:t>、</w:t>
      </w:r>
      <w:r>
        <w:rPr>
          <w:rFonts w:ascii="Times New Roman" w:eastAsia="Times New Roman"/>
        </w:rPr>
        <w:t>Ms </w:t>
      </w:r>
      <w:r>
        <w:rPr/>
        <w:t>关系表</w:t>
      </w:r>
    </w:p>
    <w:p>
      <w:pPr>
        <w:spacing w:after="0"/>
        <w:jc w:val="center"/>
        <w:sectPr>
          <w:type w:val="continuous"/>
          <w:pgSz w:w="11910" w:h="16840"/>
          <w:pgMar w:top="1580" w:bottom="280" w:left="1040" w:right="600"/>
        </w:sectPr>
      </w:pPr>
    </w:p>
    <w:p>
      <w:pPr>
        <w:pStyle w:val="BodyText"/>
        <w:ind w:left="1132"/>
        <w:rPr>
          <w:sz w:val="20"/>
        </w:rPr>
      </w:pPr>
      <w:r>
        <w:rPr>
          <w:sz w:val="20"/>
        </w:rPr>
        <w:drawing>
          <wp:inline distT="0" distB="0" distL="0" distR="0">
            <wp:extent cx="5318240" cy="3354419"/>
            <wp:effectExtent l="0" t="0" r="0" b="0"/>
            <wp:docPr id="43" name="image25.jpeg"/>
            <wp:cNvGraphicFramePr>
              <a:graphicFrameLocks noChangeAspect="1"/>
            </wp:cNvGraphicFramePr>
            <a:graphic>
              <a:graphicData uri="http://schemas.openxmlformats.org/drawingml/2006/picture">
                <pic:pic>
                  <pic:nvPicPr>
                    <pic:cNvPr id="44" name="image25.jpeg"/>
                    <pic:cNvPicPr/>
                  </pic:nvPicPr>
                  <pic:blipFill>
                    <a:blip r:embed="rId44" cstate="print"/>
                    <a:stretch>
                      <a:fillRect/>
                    </a:stretch>
                  </pic:blipFill>
                  <pic:spPr>
                    <a:xfrm>
                      <a:off x="0" y="0"/>
                      <a:ext cx="5318240" cy="3354419"/>
                    </a:xfrm>
                    <a:prstGeom prst="rect">
                      <a:avLst/>
                    </a:prstGeom>
                  </pic:spPr>
                </pic:pic>
              </a:graphicData>
            </a:graphic>
          </wp:inline>
        </w:drawing>
      </w:r>
      <w:r>
        <w:rPr>
          <w:sz w:val="20"/>
        </w:rPr>
      </w:r>
    </w:p>
    <w:p>
      <w:pPr>
        <w:pStyle w:val="BodyText"/>
        <w:spacing w:before="11"/>
        <w:rPr>
          <w:b/>
          <w:sz w:val="11"/>
        </w:rPr>
      </w:pPr>
    </w:p>
    <w:p>
      <w:pPr>
        <w:pStyle w:val="BodyText"/>
        <w:spacing w:line="364" w:lineRule="auto" w:before="74"/>
        <w:ind w:left="711" w:right="1027" w:firstLine="518"/>
        <w:jc w:val="both"/>
      </w:pPr>
      <w:r>
        <w:rPr>
          <w:spacing w:val="-5"/>
        </w:rPr>
        <w:t>第四步，将地下水化学类型用阿拉伯数字</w:t>
      </w:r>
      <w:r>
        <w:rPr>
          <w:spacing w:val="-3"/>
        </w:rPr>
        <w:t>（</w:t>
      </w:r>
      <w:r>
        <w:rPr>
          <w:rFonts w:ascii="Times New Roman" w:eastAsia="Times New Roman"/>
          <w:spacing w:val="-3"/>
        </w:rPr>
        <w:t>1</w:t>
      </w:r>
      <w:r>
        <w:rPr>
          <w:spacing w:val="-3"/>
        </w:rPr>
        <w:t>～</w:t>
      </w:r>
      <w:r>
        <w:rPr>
          <w:rFonts w:ascii="Times New Roman" w:eastAsia="Times New Roman"/>
          <w:spacing w:val="-3"/>
        </w:rPr>
        <w:t>49</w:t>
      </w:r>
      <w:r>
        <w:rPr>
          <w:spacing w:val="-3"/>
        </w:rPr>
        <w:t>）</w:t>
      </w:r>
      <w:r>
        <w:rPr>
          <w:spacing w:val="-6"/>
        </w:rPr>
        <w:t>与字母</w:t>
      </w:r>
      <w:r>
        <w:rPr/>
        <w:t>（</w:t>
      </w:r>
      <w:r>
        <w:rPr>
          <w:rFonts w:ascii="Times New Roman" w:eastAsia="Times New Roman"/>
        </w:rPr>
        <w:t>A</w:t>
      </w:r>
      <w:r>
        <w:rPr>
          <w:spacing w:val="-17"/>
        </w:rPr>
        <w:t>、</w:t>
      </w:r>
      <w:r>
        <w:rPr>
          <w:rFonts w:ascii="Times New Roman" w:eastAsia="Times New Roman"/>
        </w:rPr>
        <w:t>B</w:t>
      </w:r>
      <w:r>
        <w:rPr>
          <w:spacing w:val="-17"/>
        </w:rPr>
        <w:t>、</w:t>
      </w:r>
      <w:r>
        <w:rPr>
          <w:rFonts w:ascii="Times New Roman" w:eastAsia="Times New Roman"/>
        </w:rPr>
        <w:t>C </w:t>
      </w:r>
      <w:r>
        <w:rPr>
          <w:spacing w:val="-30"/>
        </w:rPr>
        <w:t>或 </w:t>
      </w:r>
      <w:r>
        <w:rPr>
          <w:rFonts w:ascii="Times New Roman" w:eastAsia="Times New Roman"/>
          <w:spacing w:val="-7"/>
        </w:rPr>
        <w:t>D</w:t>
      </w:r>
      <w:r>
        <w:rPr>
          <w:spacing w:val="-7"/>
        </w:rPr>
        <w:t>） </w:t>
      </w:r>
      <w:r>
        <w:rPr/>
        <w:t>组合在一起的表达式表示。</w:t>
      </w:r>
    </w:p>
    <w:p>
      <w:pPr>
        <w:pStyle w:val="Heading4"/>
        <w:numPr>
          <w:ilvl w:val="3"/>
          <w:numId w:val="54"/>
        </w:numPr>
        <w:tabs>
          <w:tab w:pos="1432" w:val="left" w:leader="none"/>
        </w:tabs>
        <w:spacing w:line="230" w:lineRule="exact" w:before="0" w:after="0"/>
        <w:ind w:left="1432" w:right="0" w:hanging="721"/>
        <w:jc w:val="left"/>
      </w:pPr>
      <w:r>
        <w:rPr/>
        <w:t>水质现状评价方法及评价标准</w:t>
      </w:r>
    </w:p>
    <w:p>
      <w:pPr>
        <w:pStyle w:val="BodyText"/>
        <w:spacing w:before="9"/>
        <w:rPr>
          <w:b/>
          <w:sz w:val="18"/>
        </w:rPr>
      </w:pPr>
    </w:p>
    <w:p>
      <w:pPr>
        <w:pStyle w:val="BodyText"/>
        <w:ind w:left="1191"/>
      </w:pPr>
      <w:r>
        <w:rPr>
          <w:rFonts w:ascii="Times New Roman" w:eastAsia="Times New Roman"/>
        </w:rPr>
        <w:t>1</w:t>
      </w:r>
      <w:r>
        <w:rPr/>
        <w:t>、评价方法</w:t>
      </w:r>
    </w:p>
    <w:p>
      <w:pPr>
        <w:pStyle w:val="BodyText"/>
        <w:spacing w:line="364" w:lineRule="auto" w:before="160"/>
        <w:ind w:left="711" w:right="1084" w:firstLine="480"/>
        <w:jc w:val="both"/>
      </w:pPr>
      <w:r>
        <w:rPr>
          <w:rFonts w:ascii="Times New Roman" w:eastAsia="Times New Roman"/>
        </w:rPr>
        <w:t>GB/T14848 </w:t>
      </w:r>
      <w:r>
        <w:rPr>
          <w:spacing w:val="6"/>
        </w:rPr>
        <w:t>和有关法规及当地的环保要求是地下水环境现状评价的基本依</w:t>
      </w:r>
      <w:r>
        <w:rPr>
          <w:spacing w:val="-17"/>
        </w:rPr>
        <w:t>据。对属于 </w:t>
      </w:r>
      <w:r>
        <w:rPr>
          <w:rFonts w:ascii="Times New Roman" w:eastAsia="Times New Roman"/>
        </w:rPr>
        <w:t>GB/T14848 </w:t>
      </w:r>
      <w:r>
        <w:rPr>
          <w:spacing w:val="-4"/>
        </w:rPr>
        <w:t>水质指标的评价因子，应按其规定的水质分类标准值进行</w:t>
      </w:r>
      <w:r>
        <w:rPr>
          <w:spacing w:val="-11"/>
        </w:rPr>
        <w:t>评价；对于不属于 </w:t>
      </w:r>
      <w:r>
        <w:rPr>
          <w:rFonts w:ascii="Times New Roman" w:eastAsia="Times New Roman"/>
        </w:rPr>
        <w:t>GB/T14848 </w:t>
      </w:r>
      <w:r>
        <w:rPr/>
        <w:t>水质指标的评价因子，可参照国家（</w:t>
      </w:r>
      <w:r>
        <w:rPr>
          <w:spacing w:val="-1"/>
        </w:rPr>
        <w:t>行业、地方</w:t>
      </w:r>
      <w:r>
        <w:rPr>
          <w:spacing w:val="-13"/>
        </w:rPr>
        <w:t>） </w:t>
      </w:r>
      <w:r>
        <w:rPr/>
        <w:t>相关标准（</w:t>
      </w:r>
      <w:r>
        <w:rPr>
          <w:spacing w:val="-31"/>
        </w:rPr>
        <w:t>如 </w:t>
      </w:r>
      <w:r>
        <w:rPr>
          <w:rFonts w:ascii="Times New Roman" w:eastAsia="Times New Roman"/>
        </w:rPr>
        <w:t>GB3838</w:t>
      </w:r>
      <w:r>
        <w:rPr/>
        <w:t>、</w:t>
      </w:r>
      <w:r>
        <w:rPr>
          <w:rFonts w:ascii="Times New Roman" w:eastAsia="Times New Roman"/>
        </w:rPr>
        <w:t>GB5749</w:t>
      </w:r>
      <w:r>
        <w:rPr/>
        <w:t>、</w:t>
      </w:r>
      <w:r>
        <w:rPr>
          <w:rFonts w:ascii="Times New Roman" w:eastAsia="Times New Roman"/>
        </w:rPr>
        <w:t>DZ/T0290 </w:t>
      </w:r>
      <w:r>
        <w:rPr/>
        <w:t>等）进行评价。</w:t>
      </w:r>
    </w:p>
    <w:p>
      <w:pPr>
        <w:pStyle w:val="BodyText"/>
        <w:spacing w:before="3"/>
        <w:ind w:left="711"/>
      </w:pPr>
      <w:r>
        <w:rPr/>
        <w:t>评价模式：</w:t>
      </w:r>
    </w:p>
    <w:p>
      <w:pPr>
        <w:pStyle w:val="ListParagraph"/>
        <w:numPr>
          <w:ilvl w:val="4"/>
          <w:numId w:val="54"/>
        </w:numPr>
        <w:tabs>
          <w:tab w:pos="1832" w:val="left" w:leader="none"/>
        </w:tabs>
        <w:spacing w:line="364" w:lineRule="auto" w:before="160" w:after="0"/>
        <w:ind w:left="711" w:right="1149" w:firstLine="518"/>
        <w:jc w:val="left"/>
        <w:rPr>
          <w:sz w:val="24"/>
        </w:rPr>
      </w:pPr>
      <w:r>
        <w:rPr>
          <w:spacing w:val="-6"/>
          <w:sz w:val="24"/>
        </w:rPr>
        <w:t>地下水现状评价采用标准指数法。标准指数计算结果大于 </w:t>
      </w:r>
      <w:r>
        <w:rPr>
          <w:rFonts w:ascii="Times New Roman" w:eastAsia="Times New Roman"/>
          <w:spacing w:val="-17"/>
          <w:sz w:val="24"/>
        </w:rPr>
        <w:t>1</w:t>
      </w:r>
      <w:r>
        <w:rPr>
          <w:spacing w:val="-5"/>
          <w:sz w:val="24"/>
        </w:rPr>
        <w:t>，表明该</w:t>
      </w:r>
      <w:r>
        <w:rPr>
          <w:spacing w:val="-4"/>
          <w:sz w:val="24"/>
        </w:rPr>
        <w:t>水质因子已经超标，标准指数越大，超标越严重。标准指数法计算公式如下：</w:t>
      </w:r>
    </w:p>
    <w:p>
      <w:pPr>
        <w:spacing w:line="341" w:lineRule="exact" w:before="47"/>
        <w:ind w:left="1248" w:right="0" w:firstLine="0"/>
        <w:jc w:val="left"/>
        <w:rPr>
          <w:i/>
          <w:sz w:val="14"/>
        </w:rPr>
      </w:pPr>
      <w:r>
        <w:rPr>
          <w:i/>
          <w:sz w:val="25"/>
        </w:rPr>
        <w:t>P </w:t>
      </w:r>
      <w:r>
        <w:rPr>
          <w:rFonts w:ascii="Symbol" w:hAnsi="Symbol"/>
          <w:sz w:val="24"/>
        </w:rPr>
        <w:t></w:t>
      </w:r>
      <w:r>
        <w:rPr>
          <w:rFonts w:ascii="Times New Roman" w:hAnsi="Times New Roman"/>
          <w:sz w:val="24"/>
        </w:rPr>
        <w:t> </w:t>
      </w:r>
      <w:r>
        <w:rPr>
          <w:i/>
          <w:position w:val="15"/>
          <w:sz w:val="25"/>
        </w:rPr>
        <w:t>C</w:t>
      </w:r>
      <w:r>
        <w:rPr>
          <w:i/>
          <w:position w:val="9"/>
          <w:sz w:val="14"/>
        </w:rPr>
        <w:t>i</w:t>
      </w:r>
    </w:p>
    <w:p>
      <w:pPr>
        <w:pStyle w:val="BodyText"/>
        <w:spacing w:line="20" w:lineRule="exact"/>
        <w:ind w:left="1884"/>
        <w:rPr>
          <w:sz w:val="2"/>
        </w:rPr>
      </w:pPr>
      <w:r>
        <w:rPr>
          <w:sz w:val="2"/>
        </w:rPr>
        <w:pict>
          <v:group style="width:17.3pt;height:.550pt;mso-position-horizontal-relative:char;mso-position-vertical-relative:line" coordorigin="0,0" coordsize="346,11">
            <v:line style="position:absolute" from="0,5" to="346,5" stroked="true" strokeweight=".508pt" strokecolor="#000000">
              <v:stroke dashstyle="solid"/>
            </v:line>
          </v:group>
        </w:pict>
      </w:r>
      <w:r>
        <w:rPr>
          <w:sz w:val="2"/>
        </w:rPr>
      </w:r>
    </w:p>
    <w:p>
      <w:pPr>
        <w:spacing w:line="139" w:lineRule="exact" w:before="0"/>
        <w:ind w:left="1371" w:right="0" w:firstLine="0"/>
        <w:jc w:val="left"/>
        <w:rPr>
          <w:i/>
          <w:sz w:val="14"/>
        </w:rPr>
      </w:pPr>
      <w:r>
        <w:rPr/>
        <w:pict>
          <v:shape style="position:absolute;margin-left:145.639008pt;margin-top:1.099351pt;width:9.8pt;height:11.95pt;mso-position-horizontal-relative:page;mso-position-vertical-relative:paragraph;z-index:251794432" type="#_x0000_t202" filled="false" stroked="false">
            <v:textbox inset="0,0,0,0">
              <w:txbxContent>
                <w:p>
                  <w:pPr>
                    <w:spacing w:line="238" w:lineRule="exact" w:before="0"/>
                    <w:ind w:left="0" w:right="0" w:firstLine="0"/>
                    <w:jc w:val="left"/>
                    <w:rPr>
                      <w:i/>
                      <w:sz w:val="25"/>
                    </w:rPr>
                  </w:pPr>
                  <w:r>
                    <w:rPr>
                      <w:i/>
                      <w:w w:val="95"/>
                      <w:sz w:val="25"/>
                    </w:rPr>
                    <w:t>C</w:t>
                  </w:r>
                </w:p>
              </w:txbxContent>
            </v:textbox>
            <w10:wrap type="none"/>
          </v:shape>
        </w:pict>
      </w:r>
      <w:r>
        <w:rPr>
          <w:i/>
          <w:w w:val="99"/>
          <w:sz w:val="14"/>
        </w:rPr>
        <w:t>i</w:t>
      </w:r>
    </w:p>
    <w:p>
      <w:pPr>
        <w:spacing w:before="7"/>
        <w:ind w:left="2031" w:right="0" w:firstLine="0"/>
        <w:jc w:val="left"/>
        <w:rPr>
          <w:i/>
          <w:sz w:val="14"/>
        </w:rPr>
      </w:pPr>
      <w:r>
        <w:rPr>
          <w:i/>
          <w:sz w:val="14"/>
        </w:rPr>
        <w:t>si</w:t>
      </w:r>
    </w:p>
    <w:p>
      <w:pPr>
        <w:pStyle w:val="BodyText"/>
        <w:spacing w:before="9"/>
        <w:rPr>
          <w:i/>
          <w:sz w:val="15"/>
        </w:rPr>
      </w:pPr>
    </w:p>
    <w:p>
      <w:pPr>
        <w:pStyle w:val="BodyText"/>
        <w:spacing w:line="362" w:lineRule="auto"/>
        <w:ind w:left="1792" w:right="3803" w:hanging="562"/>
      </w:pPr>
      <w:r>
        <w:rPr>
          <w:position w:val="2"/>
        </w:rPr>
        <w:t>式中：</w:t>
      </w:r>
      <w:r>
        <w:rPr>
          <w:rFonts w:ascii="Times New Roman" w:eastAsia="Times New Roman"/>
          <w:position w:val="2"/>
        </w:rPr>
        <w:t>P</w:t>
      </w:r>
      <w:r>
        <w:rPr>
          <w:rFonts w:ascii="Times New Roman" w:eastAsia="Times New Roman"/>
          <w:position w:val="2"/>
          <w:vertAlign w:val="subscript"/>
        </w:rPr>
        <w:t>i</w:t>
      </w:r>
      <w:r>
        <w:rPr>
          <w:position w:val="2"/>
          <w:vertAlign w:val="baseline"/>
        </w:rPr>
        <w:t>－第 </w:t>
      </w:r>
      <w:r>
        <w:rPr>
          <w:rFonts w:ascii="Times New Roman" w:eastAsia="Times New Roman"/>
          <w:position w:val="2"/>
          <w:vertAlign w:val="baseline"/>
        </w:rPr>
        <w:t>i </w:t>
      </w:r>
      <w:r>
        <w:rPr>
          <w:position w:val="2"/>
          <w:vertAlign w:val="baseline"/>
        </w:rPr>
        <w:t>个水质因子的标准指数，无量纲； </w:t>
      </w:r>
      <w:r>
        <w:rPr>
          <w:rFonts w:ascii="Times New Roman" w:eastAsia="Times New Roman"/>
          <w:position w:val="2"/>
          <w:vertAlign w:val="baseline"/>
        </w:rPr>
        <w:t>C</w:t>
      </w:r>
      <w:r>
        <w:rPr>
          <w:rFonts w:ascii="Times New Roman" w:eastAsia="Times New Roman"/>
          <w:position w:val="2"/>
          <w:vertAlign w:val="subscript"/>
        </w:rPr>
        <w:t>i</w:t>
      </w:r>
      <w:r>
        <w:rPr>
          <w:position w:val="2"/>
          <w:vertAlign w:val="baseline"/>
        </w:rPr>
        <w:t>－第 </w:t>
      </w:r>
      <w:r>
        <w:rPr>
          <w:rFonts w:ascii="Times New Roman" w:eastAsia="Times New Roman"/>
          <w:position w:val="2"/>
          <w:vertAlign w:val="baseline"/>
        </w:rPr>
        <w:t>i </w:t>
      </w:r>
      <w:r>
        <w:rPr>
          <w:position w:val="2"/>
          <w:vertAlign w:val="baseline"/>
        </w:rPr>
        <w:t>个水质因子的监测浓度值，</w:t>
      </w:r>
      <w:r>
        <w:rPr>
          <w:rFonts w:ascii="Times New Roman" w:eastAsia="Times New Roman"/>
          <w:position w:val="2"/>
          <w:vertAlign w:val="baseline"/>
        </w:rPr>
        <w:t>mg/L</w:t>
      </w:r>
      <w:r>
        <w:rPr>
          <w:position w:val="2"/>
          <w:vertAlign w:val="baseline"/>
        </w:rPr>
        <w:t>； </w:t>
      </w:r>
      <w:r>
        <w:rPr>
          <w:rFonts w:ascii="Times New Roman" w:eastAsia="Times New Roman"/>
          <w:position w:val="2"/>
          <w:vertAlign w:val="baseline"/>
        </w:rPr>
        <w:t>C</w:t>
      </w:r>
      <w:r>
        <w:rPr>
          <w:rFonts w:ascii="Times New Roman" w:eastAsia="Times New Roman"/>
          <w:position w:val="2"/>
          <w:vertAlign w:val="subscript"/>
        </w:rPr>
        <w:t>si</w:t>
      </w:r>
      <w:r>
        <w:rPr>
          <w:position w:val="2"/>
          <w:vertAlign w:val="baseline"/>
        </w:rPr>
        <w:t>－第 </w:t>
      </w:r>
      <w:r>
        <w:rPr>
          <w:rFonts w:ascii="Times New Roman" w:eastAsia="Times New Roman"/>
          <w:position w:val="2"/>
          <w:vertAlign w:val="baseline"/>
        </w:rPr>
        <w:t>i </w:t>
      </w:r>
      <w:r>
        <w:rPr>
          <w:position w:val="2"/>
          <w:vertAlign w:val="baseline"/>
        </w:rPr>
        <w:t>个水质因子的标准浓度值，</w:t>
      </w:r>
      <w:r>
        <w:rPr>
          <w:rFonts w:ascii="Times New Roman" w:eastAsia="Times New Roman"/>
          <w:position w:val="2"/>
          <w:vertAlign w:val="baseline"/>
        </w:rPr>
        <w:t>mg/L</w:t>
      </w:r>
      <w:r>
        <w:rPr>
          <w:position w:val="2"/>
          <w:vertAlign w:val="baseline"/>
        </w:rPr>
        <w:t>。</w:t>
      </w:r>
    </w:p>
    <w:p>
      <w:pPr>
        <w:pStyle w:val="ListParagraph"/>
        <w:numPr>
          <w:ilvl w:val="4"/>
          <w:numId w:val="54"/>
        </w:numPr>
        <w:tabs>
          <w:tab w:pos="1832" w:val="left" w:leader="none"/>
        </w:tabs>
        <w:spacing w:line="364" w:lineRule="auto" w:before="1" w:after="0"/>
        <w:ind w:left="711" w:right="1149" w:firstLine="518"/>
        <w:jc w:val="left"/>
        <w:rPr>
          <w:sz w:val="24"/>
        </w:rPr>
      </w:pPr>
      <w:r>
        <w:rPr>
          <w:spacing w:val="-2"/>
          <w:sz w:val="24"/>
        </w:rPr>
        <w:t>对于评价标准为区间值的水质因子</w:t>
      </w:r>
      <w:r>
        <w:rPr>
          <w:sz w:val="24"/>
        </w:rPr>
        <w:t>（</w:t>
      </w:r>
      <w:r>
        <w:rPr>
          <w:spacing w:val="-30"/>
          <w:sz w:val="24"/>
        </w:rPr>
        <w:t>如 </w:t>
      </w:r>
      <w:r>
        <w:rPr>
          <w:rFonts w:ascii="Times New Roman" w:eastAsia="Times New Roman"/>
          <w:sz w:val="24"/>
        </w:rPr>
        <w:t>pH</w:t>
      </w:r>
      <w:r>
        <w:rPr>
          <w:rFonts w:ascii="Times New Roman" w:eastAsia="Times New Roman"/>
          <w:spacing w:val="1"/>
          <w:sz w:val="24"/>
        </w:rPr>
        <w:t> </w:t>
      </w:r>
      <w:r>
        <w:rPr>
          <w:sz w:val="24"/>
        </w:rPr>
        <w:t>值</w:t>
      </w:r>
      <w:r>
        <w:rPr>
          <w:spacing w:val="-23"/>
          <w:sz w:val="24"/>
        </w:rPr>
        <w:t>）</w:t>
      </w:r>
      <w:r>
        <w:rPr>
          <w:spacing w:val="-5"/>
          <w:sz w:val="24"/>
        </w:rPr>
        <w:t>，其标准指数计算方法如下：</w:t>
      </w:r>
    </w:p>
    <w:p>
      <w:pPr>
        <w:spacing w:after="0" w:line="364" w:lineRule="auto"/>
        <w:jc w:val="left"/>
        <w:rPr>
          <w:sz w:val="24"/>
        </w:rPr>
        <w:sectPr>
          <w:pgSz w:w="11910" w:h="16840"/>
          <w:pgMar w:header="0" w:footer="993" w:top="1420" w:bottom="1180" w:left="1040" w:right="600"/>
        </w:sectPr>
      </w:pPr>
    </w:p>
    <w:p>
      <w:pPr>
        <w:pStyle w:val="BodyText"/>
        <w:spacing w:before="5"/>
        <w:rPr>
          <w:sz w:val="22"/>
        </w:rPr>
      </w:pPr>
    </w:p>
    <w:p>
      <w:pPr>
        <w:pStyle w:val="BodyText"/>
        <w:tabs>
          <w:tab w:pos="3344" w:val="left" w:leader="none"/>
        </w:tabs>
        <w:spacing w:before="71"/>
        <w:ind w:left="1230"/>
      </w:pPr>
      <w:r>
        <w:rPr/>
        <w:drawing>
          <wp:anchor distT="0" distB="0" distL="0" distR="0" allowOverlap="1" layoutInCell="1" locked="0" behindDoc="1" simplePos="0" relativeHeight="217404416">
            <wp:simplePos x="0" y="0"/>
            <wp:positionH relativeFrom="page">
              <wp:posOffset>2068333</wp:posOffset>
            </wp:positionH>
            <wp:positionV relativeFrom="paragraph">
              <wp:posOffset>-117707</wp:posOffset>
            </wp:positionV>
            <wp:extent cx="488938" cy="250644"/>
            <wp:effectExtent l="0" t="0" r="0" b="0"/>
            <wp:wrapNone/>
            <wp:docPr id="45" name="image26.png"/>
            <wp:cNvGraphicFramePr>
              <a:graphicFrameLocks noChangeAspect="1"/>
            </wp:cNvGraphicFramePr>
            <a:graphic>
              <a:graphicData uri="http://schemas.openxmlformats.org/drawingml/2006/picture">
                <pic:pic>
                  <pic:nvPicPr>
                    <pic:cNvPr id="46" name="image26.png"/>
                    <pic:cNvPicPr/>
                  </pic:nvPicPr>
                  <pic:blipFill>
                    <a:blip r:embed="rId45" cstate="print"/>
                    <a:stretch>
                      <a:fillRect/>
                    </a:stretch>
                  </pic:blipFill>
                  <pic:spPr>
                    <a:xfrm>
                      <a:off x="0" y="0"/>
                      <a:ext cx="488938" cy="250644"/>
                    </a:xfrm>
                    <a:prstGeom prst="rect">
                      <a:avLst/>
                    </a:prstGeom>
                  </pic:spPr>
                </pic:pic>
              </a:graphicData>
            </a:graphic>
          </wp:anchor>
        </w:drawing>
      </w: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tab/>
        <w:t>pH≤7 </w:t>
      </w:r>
      <w:r>
        <w:rPr>
          <w:position w:val="2"/>
          <w:vertAlign w:val="baseline"/>
        </w:rPr>
        <w:t>时</w:t>
      </w:r>
    </w:p>
    <w:p>
      <w:pPr>
        <w:pStyle w:val="BodyText"/>
        <w:rPr>
          <w:sz w:val="26"/>
        </w:rPr>
      </w:pPr>
    </w:p>
    <w:p>
      <w:pPr>
        <w:pStyle w:val="BodyText"/>
        <w:spacing w:before="9"/>
        <w:rPr>
          <w:sz w:val="22"/>
        </w:rPr>
      </w:pPr>
    </w:p>
    <w:p>
      <w:pPr>
        <w:pStyle w:val="BodyText"/>
        <w:tabs>
          <w:tab w:pos="3344" w:val="left" w:leader="none"/>
        </w:tabs>
        <w:ind w:left="1230"/>
      </w:pPr>
      <w:r>
        <w:rPr/>
        <w:drawing>
          <wp:anchor distT="0" distB="0" distL="0" distR="0" allowOverlap="1" layoutInCell="1" locked="0" behindDoc="1" simplePos="0" relativeHeight="217405440">
            <wp:simplePos x="0" y="0"/>
            <wp:positionH relativeFrom="page">
              <wp:posOffset>2068333</wp:posOffset>
            </wp:positionH>
            <wp:positionV relativeFrom="paragraph">
              <wp:posOffset>-162792</wp:posOffset>
            </wp:positionV>
            <wp:extent cx="488938" cy="250644"/>
            <wp:effectExtent l="0" t="0" r="0" b="0"/>
            <wp:wrapNone/>
            <wp:docPr id="47" name="image27.png"/>
            <wp:cNvGraphicFramePr>
              <a:graphicFrameLocks noChangeAspect="1"/>
            </wp:cNvGraphicFramePr>
            <a:graphic>
              <a:graphicData uri="http://schemas.openxmlformats.org/drawingml/2006/picture">
                <pic:pic>
                  <pic:nvPicPr>
                    <pic:cNvPr id="48" name="image27.png"/>
                    <pic:cNvPicPr/>
                  </pic:nvPicPr>
                  <pic:blipFill>
                    <a:blip r:embed="rId46" cstate="print"/>
                    <a:stretch>
                      <a:fillRect/>
                    </a:stretch>
                  </pic:blipFill>
                  <pic:spPr>
                    <a:xfrm>
                      <a:off x="0" y="0"/>
                      <a:ext cx="488938" cy="250644"/>
                    </a:xfrm>
                    <a:prstGeom prst="rect">
                      <a:avLst/>
                    </a:prstGeom>
                  </pic:spPr>
                </pic:pic>
              </a:graphicData>
            </a:graphic>
          </wp:anchor>
        </w:drawing>
      </w:r>
      <w:r>
        <w:rPr>
          <w:rFonts w:ascii="Times New Roman" w:eastAsia="Times New Roman"/>
          <w:position w:val="2"/>
        </w:rPr>
        <w:t>P</w:t>
      </w:r>
      <w:r>
        <w:rPr>
          <w:rFonts w:ascii="Times New Roman" w:eastAsia="Times New Roman"/>
          <w:position w:val="2"/>
          <w:vertAlign w:val="subscript"/>
        </w:rPr>
        <w:t>pH</w:t>
      </w:r>
      <w:r>
        <w:rPr>
          <w:rFonts w:ascii="Times New Roman" w:eastAsia="Times New Roman"/>
          <w:position w:val="2"/>
          <w:vertAlign w:val="baseline"/>
        </w:rPr>
        <w:t>=</w:t>
        <w:tab/>
        <w:t>pH</w:t>
      </w:r>
      <w:r>
        <w:rPr>
          <w:position w:val="2"/>
          <w:vertAlign w:val="baseline"/>
        </w:rPr>
        <w:t>＞</w:t>
      </w:r>
      <w:r>
        <w:rPr>
          <w:rFonts w:ascii="Times New Roman" w:eastAsia="Times New Roman"/>
          <w:position w:val="2"/>
          <w:vertAlign w:val="baseline"/>
        </w:rPr>
        <w:t>7 </w:t>
      </w:r>
      <w:r>
        <w:rPr>
          <w:position w:val="2"/>
          <w:vertAlign w:val="baseline"/>
        </w:rPr>
        <w:t>时</w:t>
      </w:r>
    </w:p>
    <w:p>
      <w:pPr>
        <w:pStyle w:val="BodyText"/>
        <w:spacing w:before="185"/>
        <w:ind w:left="1230"/>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w:t>
      </w:r>
      <w:r>
        <w:rPr>
          <w:position w:val="2"/>
          <w:vertAlign w:val="baseline"/>
        </w:rPr>
        <w:t>的标准指数，无量纲；</w:t>
      </w:r>
    </w:p>
    <w:p>
      <w:pPr>
        <w:pStyle w:val="BodyText"/>
        <w:spacing w:before="159"/>
        <w:ind w:left="1830"/>
      </w:pPr>
      <w:r>
        <w:rPr>
          <w:rFonts w:ascii="Times New Roman" w:hAnsi="Times New Roman" w:eastAsia="Times New Roman"/>
        </w:rPr>
        <w:t>pH—pH </w:t>
      </w:r>
      <w:r>
        <w:rPr/>
        <w:t>监测值；</w:t>
      </w:r>
    </w:p>
    <w:p>
      <w:pPr>
        <w:pStyle w:val="BodyText"/>
        <w:spacing w:before="3"/>
        <w:rPr>
          <w:sz w:val="28"/>
        </w:rPr>
      </w:pPr>
    </w:p>
    <w:p>
      <w:pPr>
        <w:pStyle w:val="BodyText"/>
        <w:spacing w:before="1"/>
        <w:ind w:left="2860"/>
      </w:pPr>
      <w:r>
        <w:rPr/>
        <w:drawing>
          <wp:anchor distT="0" distB="0" distL="0" distR="0" allowOverlap="1" layoutInCell="1" locked="0" behindDoc="0" simplePos="0" relativeHeight="251797504">
            <wp:simplePos x="0" y="0"/>
            <wp:positionH relativeFrom="page">
              <wp:posOffset>2159216</wp:posOffset>
            </wp:positionH>
            <wp:positionV relativeFrom="paragraph">
              <wp:posOffset>-41910</wp:posOffset>
            </wp:positionV>
            <wp:extent cx="317283" cy="126301"/>
            <wp:effectExtent l="0" t="0" r="0" b="0"/>
            <wp:wrapNone/>
            <wp:docPr id="49" name="image28.png"/>
            <wp:cNvGraphicFramePr>
              <a:graphicFrameLocks noChangeAspect="1"/>
            </wp:cNvGraphicFramePr>
            <a:graphic>
              <a:graphicData uri="http://schemas.openxmlformats.org/drawingml/2006/picture">
                <pic:pic>
                  <pic:nvPicPr>
                    <pic:cNvPr id="50" name="image28.png"/>
                    <pic:cNvPicPr/>
                  </pic:nvPicPr>
                  <pic:blipFill>
                    <a:blip r:embed="rId47"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标准值中 </w:t>
      </w:r>
      <w:r>
        <w:rPr>
          <w:rFonts w:ascii="Times New Roman" w:hAnsi="Times New Roman" w:eastAsia="Times New Roman"/>
        </w:rPr>
        <w:t>pH</w:t>
      </w:r>
      <w:r>
        <w:rPr>
          <w:rFonts w:ascii="Times New Roman" w:hAnsi="Times New Roman" w:eastAsia="Times New Roman"/>
          <w:spacing w:val="-1"/>
        </w:rPr>
        <w:t> </w:t>
      </w:r>
      <w:r>
        <w:rPr/>
        <w:t>的上限值；</w:t>
      </w:r>
    </w:p>
    <w:p>
      <w:pPr>
        <w:pStyle w:val="BodyText"/>
        <w:spacing w:before="11"/>
        <w:rPr>
          <w:sz w:val="18"/>
        </w:rPr>
      </w:pPr>
    </w:p>
    <w:p>
      <w:pPr>
        <w:pStyle w:val="BodyText"/>
        <w:spacing w:before="75"/>
        <w:ind w:left="2860"/>
      </w:pPr>
      <w:r>
        <w:rPr/>
        <w:drawing>
          <wp:anchor distT="0" distB="0" distL="0" distR="0" allowOverlap="1" layoutInCell="1" locked="0" behindDoc="0" simplePos="0" relativeHeight="251798528">
            <wp:simplePos x="0" y="0"/>
            <wp:positionH relativeFrom="page">
              <wp:posOffset>2159216</wp:posOffset>
            </wp:positionH>
            <wp:positionV relativeFrom="paragraph">
              <wp:posOffset>5080</wp:posOffset>
            </wp:positionV>
            <wp:extent cx="317283" cy="126301"/>
            <wp:effectExtent l="0" t="0" r="0" b="0"/>
            <wp:wrapNone/>
            <wp:docPr id="51" name="image29.png"/>
            <wp:cNvGraphicFramePr>
              <a:graphicFrameLocks noChangeAspect="1"/>
            </wp:cNvGraphicFramePr>
            <a:graphic>
              <a:graphicData uri="http://schemas.openxmlformats.org/drawingml/2006/picture">
                <pic:pic>
                  <pic:nvPicPr>
                    <pic:cNvPr id="52" name="image29.png"/>
                    <pic:cNvPicPr/>
                  </pic:nvPicPr>
                  <pic:blipFill>
                    <a:blip r:embed="rId48" cstate="print"/>
                    <a:stretch>
                      <a:fillRect/>
                    </a:stretch>
                  </pic:blipFill>
                  <pic:spPr>
                    <a:xfrm>
                      <a:off x="0" y="0"/>
                      <a:ext cx="317283" cy="126301"/>
                    </a:xfrm>
                    <a:prstGeom prst="rect">
                      <a:avLst/>
                    </a:prstGeom>
                  </pic:spPr>
                </pic:pic>
              </a:graphicData>
            </a:graphic>
          </wp:anchor>
        </w:drawing>
      </w:r>
      <w:r>
        <w:rPr>
          <w:rFonts w:ascii="Times New Roman" w:hAnsi="Times New Roman" w:eastAsia="Times New Roman"/>
        </w:rPr>
        <w:t>—</w:t>
      </w:r>
      <w:r>
        <w:rPr>
          <w:spacing w:val="-12"/>
        </w:rPr>
        <w:t>标准值中 </w:t>
      </w:r>
      <w:r>
        <w:rPr>
          <w:rFonts w:ascii="Times New Roman" w:hAnsi="Times New Roman" w:eastAsia="Times New Roman"/>
        </w:rPr>
        <w:t>pH</w:t>
      </w:r>
      <w:r>
        <w:rPr>
          <w:rFonts w:ascii="Times New Roman" w:hAnsi="Times New Roman" w:eastAsia="Times New Roman"/>
          <w:spacing w:val="-1"/>
        </w:rPr>
        <w:t> </w:t>
      </w:r>
      <w:r>
        <w:rPr/>
        <w:t>的下限值。</w:t>
      </w:r>
    </w:p>
    <w:p>
      <w:pPr>
        <w:pStyle w:val="BodyText"/>
        <w:spacing w:before="35"/>
        <w:ind w:left="1191"/>
      </w:pPr>
      <w:r>
        <w:rPr>
          <w:rFonts w:ascii="Times New Roman" w:eastAsia="Times New Roman"/>
        </w:rPr>
        <w:t>2</w:t>
      </w:r>
      <w:r>
        <w:rPr/>
        <w:t>、评价标准</w:t>
      </w:r>
    </w:p>
    <w:p>
      <w:pPr>
        <w:pStyle w:val="BodyText"/>
        <w:spacing w:line="364" w:lineRule="auto" w:before="161"/>
        <w:ind w:left="711" w:right="1029" w:firstLine="480"/>
      </w:pPr>
      <w:r>
        <w:rPr>
          <w:spacing w:val="-8"/>
        </w:rPr>
        <w:t>根据评价区地下水水质状况和使用功能，地下水评价执行《地下水质量标准》</w:t>
      </w:r>
      <w:r>
        <w:rPr>
          <w:rFonts w:ascii="Times New Roman" w:hAnsi="Times New Roman" w:eastAsia="Times New Roman"/>
        </w:rPr>
        <w:t>(GB/T14848-2017)</w:t>
      </w:r>
      <w:r>
        <w:rPr/>
        <w:t>Ⅲ类标准，Ⅲ类以人体健康基准值为依据，具体指标的评价标</w:t>
      </w:r>
      <w:r>
        <w:rPr>
          <w:spacing w:val="-15"/>
        </w:rPr>
        <w:t>准见表 </w:t>
      </w:r>
      <w:r>
        <w:rPr>
          <w:rFonts w:ascii="Times New Roman" w:hAnsi="Times New Roman" w:eastAsia="Times New Roman"/>
        </w:rPr>
        <w:t>6.4-5</w:t>
      </w:r>
      <w:r>
        <w:rPr/>
        <w:t>。</w:t>
      </w:r>
    </w:p>
    <w:p>
      <w:pPr>
        <w:pStyle w:val="Heading4"/>
        <w:spacing w:before="76"/>
        <w:ind w:left="3733"/>
      </w:pPr>
      <w:r>
        <w:rPr/>
        <w:t>表 </w:t>
      </w:r>
      <w:r>
        <w:rPr>
          <w:rFonts w:ascii="Times New Roman" w:eastAsia="Times New Roman"/>
        </w:rPr>
        <w:t>6.4-5  </w:t>
      </w:r>
      <w:r>
        <w:rPr/>
        <w:t>地下水质量标准表</w:t>
      </w:r>
    </w:p>
    <w:p>
      <w:pPr>
        <w:pStyle w:val="BodyText"/>
        <w:spacing w:before="4"/>
        <w:rPr>
          <w:b/>
          <w:sz w:val="6"/>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218"/>
        <w:gridCol w:w="1216"/>
        <w:gridCol w:w="1224"/>
        <w:gridCol w:w="1683"/>
        <w:gridCol w:w="1218"/>
      </w:tblGrid>
      <w:tr>
        <w:trPr>
          <w:trHeight w:val="468" w:hRule="atLeast"/>
        </w:trPr>
        <w:tc>
          <w:tcPr>
            <w:tcW w:w="1963" w:type="dxa"/>
          </w:tcPr>
          <w:p>
            <w:pPr>
              <w:pStyle w:val="TableParagraph"/>
              <w:jc w:val="left"/>
              <w:rPr>
                <w:rFonts w:ascii="Times New Roman"/>
                <w:sz w:val="20"/>
              </w:rPr>
            </w:pPr>
          </w:p>
        </w:tc>
        <w:tc>
          <w:tcPr>
            <w:tcW w:w="1218" w:type="dxa"/>
          </w:tcPr>
          <w:p>
            <w:pPr>
              <w:pStyle w:val="TableParagraph"/>
              <w:spacing w:before="97"/>
              <w:ind w:left="179" w:right="170"/>
              <w:rPr>
                <w:sz w:val="21"/>
              </w:rPr>
            </w:pPr>
            <w:r>
              <w:rPr>
                <w:sz w:val="21"/>
              </w:rPr>
              <w:t>Ⅰ类</w:t>
            </w:r>
          </w:p>
        </w:tc>
        <w:tc>
          <w:tcPr>
            <w:tcW w:w="1216" w:type="dxa"/>
          </w:tcPr>
          <w:p>
            <w:pPr>
              <w:pStyle w:val="TableParagraph"/>
              <w:spacing w:before="97"/>
              <w:ind w:left="397"/>
              <w:jc w:val="left"/>
              <w:rPr>
                <w:sz w:val="21"/>
              </w:rPr>
            </w:pPr>
            <w:r>
              <w:rPr>
                <w:sz w:val="21"/>
              </w:rPr>
              <w:t>Ⅱ类</w:t>
            </w:r>
          </w:p>
        </w:tc>
        <w:tc>
          <w:tcPr>
            <w:tcW w:w="1224" w:type="dxa"/>
          </w:tcPr>
          <w:p>
            <w:pPr>
              <w:pStyle w:val="TableParagraph"/>
              <w:spacing w:before="97"/>
              <w:ind w:left="297" w:right="288"/>
              <w:rPr>
                <w:b/>
                <w:sz w:val="21"/>
              </w:rPr>
            </w:pPr>
            <w:r>
              <w:rPr>
                <w:b/>
                <w:sz w:val="21"/>
              </w:rPr>
              <w:t>Ⅲ类</w:t>
            </w:r>
          </w:p>
        </w:tc>
        <w:tc>
          <w:tcPr>
            <w:tcW w:w="1683" w:type="dxa"/>
          </w:tcPr>
          <w:p>
            <w:pPr>
              <w:pStyle w:val="TableParagraph"/>
              <w:spacing w:before="97"/>
              <w:ind w:left="525" w:right="519"/>
              <w:rPr>
                <w:sz w:val="21"/>
              </w:rPr>
            </w:pPr>
            <w:r>
              <w:rPr>
                <w:sz w:val="21"/>
              </w:rPr>
              <w:t>Ⅳ类</w:t>
            </w:r>
          </w:p>
        </w:tc>
        <w:tc>
          <w:tcPr>
            <w:tcW w:w="1218" w:type="dxa"/>
          </w:tcPr>
          <w:p>
            <w:pPr>
              <w:pStyle w:val="TableParagraph"/>
              <w:spacing w:before="97"/>
              <w:ind w:left="179" w:right="170"/>
              <w:rPr>
                <w:sz w:val="21"/>
              </w:rPr>
            </w:pPr>
            <w:r>
              <w:rPr>
                <w:rFonts w:ascii="Times New Roman" w:eastAsia="Times New Roman"/>
                <w:sz w:val="21"/>
              </w:rPr>
              <w:t>V </w:t>
            </w:r>
            <w:r>
              <w:rPr>
                <w:sz w:val="21"/>
              </w:rPr>
              <w:t>类</w:t>
            </w:r>
          </w:p>
        </w:tc>
      </w:tr>
      <w:tr>
        <w:trPr>
          <w:trHeight w:val="623" w:hRule="atLeast"/>
        </w:trPr>
        <w:tc>
          <w:tcPr>
            <w:tcW w:w="1963" w:type="dxa"/>
          </w:tcPr>
          <w:p>
            <w:pPr>
              <w:pStyle w:val="TableParagraph"/>
              <w:spacing w:before="176"/>
              <w:ind w:left="329" w:right="319"/>
              <w:rPr>
                <w:sz w:val="21"/>
              </w:rPr>
            </w:pPr>
            <w:r>
              <w:rPr>
                <w:rFonts w:ascii="Times New Roman" w:eastAsia="Times New Roman"/>
                <w:sz w:val="21"/>
              </w:rPr>
              <w:t>pH </w:t>
            </w:r>
            <w:r>
              <w:rPr>
                <w:sz w:val="21"/>
              </w:rPr>
              <w:t>值</w:t>
            </w:r>
          </w:p>
        </w:tc>
        <w:tc>
          <w:tcPr>
            <w:tcW w:w="3658" w:type="dxa"/>
            <w:gridSpan w:val="3"/>
          </w:tcPr>
          <w:p>
            <w:pPr>
              <w:pStyle w:val="TableParagraph"/>
              <w:spacing w:before="176"/>
              <w:ind w:left="1439" w:right="1433"/>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683" w:type="dxa"/>
          </w:tcPr>
          <w:p>
            <w:pPr>
              <w:pStyle w:val="TableParagraph"/>
              <w:spacing w:before="20"/>
              <w:ind w:left="472"/>
              <w:jc w:val="left"/>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TableParagraph"/>
              <w:spacing w:before="43"/>
              <w:ind w:left="551"/>
              <w:jc w:val="left"/>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218" w:type="dxa"/>
          </w:tcPr>
          <w:p>
            <w:pPr>
              <w:pStyle w:val="TableParagraph"/>
              <w:spacing w:before="176"/>
              <w:ind w:left="179" w:right="174"/>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rPr>
          <w:trHeight w:val="312" w:hRule="atLeast"/>
        </w:trPr>
        <w:tc>
          <w:tcPr>
            <w:tcW w:w="1963" w:type="dxa"/>
          </w:tcPr>
          <w:p>
            <w:pPr>
              <w:pStyle w:val="TableParagraph"/>
              <w:spacing w:before="19"/>
              <w:ind w:left="329" w:right="324"/>
              <w:rPr>
                <w:sz w:val="21"/>
              </w:rPr>
            </w:pPr>
            <w:r>
              <w:rPr>
                <w:sz w:val="21"/>
              </w:rPr>
              <w:t>氨氮</w:t>
            </w:r>
          </w:p>
        </w:tc>
        <w:tc>
          <w:tcPr>
            <w:tcW w:w="1218" w:type="dxa"/>
          </w:tcPr>
          <w:p>
            <w:pPr>
              <w:pStyle w:val="TableParagraph"/>
              <w:spacing w:before="33"/>
              <w:ind w:left="179" w:right="174"/>
              <w:rPr>
                <w:rFonts w:ascii="Times New Roman" w:hAnsi="Times New Roman"/>
                <w:sz w:val="21"/>
              </w:rPr>
            </w:pPr>
            <w:r>
              <w:rPr>
                <w:rFonts w:ascii="Times New Roman" w:hAnsi="Times New Roman"/>
                <w:sz w:val="21"/>
              </w:rPr>
              <w:t>≤0.02</w:t>
            </w:r>
          </w:p>
        </w:tc>
        <w:tc>
          <w:tcPr>
            <w:tcW w:w="1216" w:type="dxa"/>
          </w:tcPr>
          <w:p>
            <w:pPr>
              <w:pStyle w:val="TableParagraph"/>
              <w:spacing w:before="33"/>
              <w:ind w:left="363"/>
              <w:jc w:val="left"/>
              <w:rPr>
                <w:rFonts w:ascii="Times New Roman" w:hAnsi="Times New Roman"/>
                <w:sz w:val="21"/>
              </w:rPr>
            </w:pPr>
            <w:r>
              <w:rPr>
                <w:rFonts w:ascii="Times New Roman" w:hAnsi="Times New Roman"/>
                <w:sz w:val="21"/>
              </w:rPr>
              <w:t>≤0.10</w:t>
            </w:r>
          </w:p>
        </w:tc>
        <w:tc>
          <w:tcPr>
            <w:tcW w:w="1224" w:type="dxa"/>
          </w:tcPr>
          <w:p>
            <w:pPr>
              <w:pStyle w:val="TableParagraph"/>
              <w:spacing w:before="33"/>
              <w:ind w:left="298" w:right="288"/>
              <w:rPr>
                <w:rFonts w:ascii="Times New Roman" w:hAnsi="Times New Roman"/>
                <w:b/>
                <w:sz w:val="21"/>
              </w:rPr>
            </w:pPr>
            <w:r>
              <w:rPr>
                <w:rFonts w:ascii="Times New Roman" w:hAnsi="Times New Roman"/>
                <w:b/>
                <w:sz w:val="21"/>
              </w:rPr>
              <w:t>≤0.50</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≤1.5</w:t>
            </w:r>
          </w:p>
        </w:tc>
        <w:tc>
          <w:tcPr>
            <w:tcW w:w="1218" w:type="dxa"/>
          </w:tcPr>
          <w:p>
            <w:pPr>
              <w:pStyle w:val="TableParagraph"/>
              <w:spacing w:before="33"/>
              <w:ind w:left="179" w:right="174"/>
              <w:rPr>
                <w:rFonts w:ascii="Times New Roman"/>
                <w:sz w:val="21"/>
              </w:rPr>
            </w:pPr>
            <w:r>
              <w:rPr>
                <w:rFonts w:ascii="Times New Roman"/>
                <w:sz w:val="21"/>
              </w:rPr>
              <w:t>&gt;1.5</w:t>
            </w:r>
          </w:p>
        </w:tc>
      </w:tr>
      <w:tr>
        <w:trPr>
          <w:trHeight w:val="311" w:hRule="atLeast"/>
        </w:trPr>
        <w:tc>
          <w:tcPr>
            <w:tcW w:w="1963" w:type="dxa"/>
          </w:tcPr>
          <w:p>
            <w:pPr>
              <w:pStyle w:val="TableParagraph"/>
              <w:spacing w:before="19"/>
              <w:ind w:left="329" w:right="322"/>
              <w:rPr>
                <w:sz w:val="21"/>
              </w:rPr>
            </w:pPr>
            <w:r>
              <w:rPr>
                <w:sz w:val="21"/>
              </w:rPr>
              <w:t>硝酸盐氮</w:t>
            </w:r>
          </w:p>
        </w:tc>
        <w:tc>
          <w:tcPr>
            <w:tcW w:w="1218" w:type="dxa"/>
          </w:tcPr>
          <w:p>
            <w:pPr>
              <w:pStyle w:val="TableParagraph"/>
              <w:spacing w:before="33"/>
              <w:ind w:left="179" w:right="174"/>
              <w:rPr>
                <w:rFonts w:ascii="Times New Roman" w:hAnsi="Times New Roman"/>
                <w:sz w:val="21"/>
              </w:rPr>
            </w:pPr>
            <w:r>
              <w:rPr>
                <w:rFonts w:ascii="Times New Roman" w:hAnsi="Times New Roman"/>
                <w:sz w:val="21"/>
              </w:rPr>
              <w:t>≤2.0</w:t>
            </w:r>
          </w:p>
        </w:tc>
        <w:tc>
          <w:tcPr>
            <w:tcW w:w="1216" w:type="dxa"/>
          </w:tcPr>
          <w:p>
            <w:pPr>
              <w:pStyle w:val="TableParagraph"/>
              <w:spacing w:before="33"/>
              <w:ind w:left="369" w:right="362"/>
              <w:rPr>
                <w:rFonts w:ascii="Times New Roman" w:hAnsi="Times New Roman"/>
                <w:sz w:val="21"/>
              </w:rPr>
            </w:pPr>
            <w:r>
              <w:rPr>
                <w:rFonts w:ascii="Times New Roman" w:hAnsi="Times New Roman"/>
                <w:sz w:val="21"/>
              </w:rPr>
              <w:t>≤5.0</w:t>
            </w:r>
          </w:p>
        </w:tc>
        <w:tc>
          <w:tcPr>
            <w:tcW w:w="1224" w:type="dxa"/>
          </w:tcPr>
          <w:p>
            <w:pPr>
              <w:pStyle w:val="TableParagraph"/>
              <w:spacing w:before="33"/>
              <w:ind w:left="296" w:right="288"/>
              <w:rPr>
                <w:rFonts w:ascii="Times New Roman" w:hAnsi="Times New Roman"/>
                <w:b/>
                <w:sz w:val="21"/>
              </w:rPr>
            </w:pPr>
            <w:r>
              <w:rPr>
                <w:rFonts w:ascii="Times New Roman" w:hAnsi="Times New Roman"/>
                <w:b/>
                <w:sz w:val="21"/>
              </w:rPr>
              <w:t>≤20</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≤30</w:t>
            </w:r>
          </w:p>
        </w:tc>
        <w:tc>
          <w:tcPr>
            <w:tcW w:w="1218" w:type="dxa"/>
          </w:tcPr>
          <w:p>
            <w:pPr>
              <w:pStyle w:val="TableParagraph"/>
              <w:spacing w:before="33"/>
              <w:ind w:left="179" w:right="174"/>
              <w:rPr>
                <w:rFonts w:ascii="Times New Roman"/>
                <w:sz w:val="21"/>
              </w:rPr>
            </w:pPr>
            <w:r>
              <w:rPr>
                <w:rFonts w:ascii="Times New Roman"/>
                <w:sz w:val="21"/>
              </w:rPr>
              <w:t>&gt;30</w:t>
            </w:r>
          </w:p>
        </w:tc>
      </w:tr>
      <w:tr>
        <w:trPr>
          <w:trHeight w:val="312" w:hRule="atLeast"/>
        </w:trPr>
        <w:tc>
          <w:tcPr>
            <w:tcW w:w="1963" w:type="dxa"/>
          </w:tcPr>
          <w:p>
            <w:pPr>
              <w:pStyle w:val="TableParagraph"/>
              <w:spacing w:before="21"/>
              <w:ind w:left="329" w:right="322"/>
              <w:rPr>
                <w:sz w:val="21"/>
              </w:rPr>
            </w:pPr>
            <w:r>
              <w:rPr>
                <w:sz w:val="21"/>
              </w:rPr>
              <w:t>亚硝酸盐氮</w:t>
            </w:r>
          </w:p>
        </w:tc>
        <w:tc>
          <w:tcPr>
            <w:tcW w:w="1218" w:type="dxa"/>
          </w:tcPr>
          <w:p>
            <w:pPr>
              <w:pStyle w:val="TableParagraph"/>
              <w:spacing w:before="35"/>
              <w:ind w:left="179" w:right="174"/>
              <w:rPr>
                <w:rFonts w:ascii="Times New Roman" w:hAnsi="Times New Roman"/>
                <w:sz w:val="21"/>
              </w:rPr>
            </w:pPr>
            <w:r>
              <w:rPr>
                <w:rFonts w:ascii="Times New Roman" w:hAnsi="Times New Roman"/>
                <w:sz w:val="21"/>
              </w:rPr>
              <w:t>≤0.01</w:t>
            </w:r>
          </w:p>
        </w:tc>
        <w:tc>
          <w:tcPr>
            <w:tcW w:w="1216" w:type="dxa"/>
          </w:tcPr>
          <w:p>
            <w:pPr>
              <w:pStyle w:val="TableParagraph"/>
              <w:spacing w:before="35"/>
              <w:ind w:left="363"/>
              <w:jc w:val="left"/>
              <w:rPr>
                <w:rFonts w:ascii="Times New Roman" w:hAnsi="Times New Roman"/>
                <w:sz w:val="21"/>
              </w:rPr>
            </w:pPr>
            <w:r>
              <w:rPr>
                <w:rFonts w:ascii="Times New Roman" w:hAnsi="Times New Roman"/>
                <w:sz w:val="21"/>
              </w:rPr>
              <w:t>≤0.10</w:t>
            </w:r>
          </w:p>
        </w:tc>
        <w:tc>
          <w:tcPr>
            <w:tcW w:w="1224" w:type="dxa"/>
          </w:tcPr>
          <w:p>
            <w:pPr>
              <w:pStyle w:val="TableParagraph"/>
              <w:spacing w:before="35"/>
              <w:ind w:left="298" w:right="288"/>
              <w:rPr>
                <w:rFonts w:ascii="Times New Roman" w:hAnsi="Times New Roman"/>
                <w:b/>
                <w:sz w:val="21"/>
              </w:rPr>
            </w:pPr>
            <w:r>
              <w:rPr>
                <w:rFonts w:ascii="Times New Roman" w:hAnsi="Times New Roman"/>
                <w:b/>
                <w:sz w:val="21"/>
              </w:rPr>
              <w:t>≤1.00</w:t>
            </w:r>
          </w:p>
        </w:tc>
        <w:tc>
          <w:tcPr>
            <w:tcW w:w="1683" w:type="dxa"/>
          </w:tcPr>
          <w:p>
            <w:pPr>
              <w:pStyle w:val="TableParagraph"/>
              <w:spacing w:before="35"/>
              <w:ind w:left="526" w:right="519"/>
              <w:rPr>
                <w:rFonts w:ascii="Times New Roman" w:hAnsi="Times New Roman"/>
                <w:sz w:val="21"/>
              </w:rPr>
            </w:pPr>
            <w:r>
              <w:rPr>
                <w:rFonts w:ascii="Times New Roman" w:hAnsi="Times New Roman"/>
                <w:sz w:val="21"/>
              </w:rPr>
              <w:t>≤4.80</w:t>
            </w:r>
          </w:p>
        </w:tc>
        <w:tc>
          <w:tcPr>
            <w:tcW w:w="1218" w:type="dxa"/>
          </w:tcPr>
          <w:p>
            <w:pPr>
              <w:pStyle w:val="TableParagraph"/>
              <w:spacing w:before="35"/>
              <w:ind w:left="179" w:right="174"/>
              <w:rPr>
                <w:rFonts w:ascii="Times New Roman"/>
                <w:sz w:val="21"/>
              </w:rPr>
            </w:pPr>
            <w:r>
              <w:rPr>
                <w:rFonts w:ascii="Times New Roman"/>
                <w:sz w:val="21"/>
              </w:rPr>
              <w:t>&gt;4.80</w:t>
            </w:r>
          </w:p>
        </w:tc>
      </w:tr>
      <w:tr>
        <w:trPr>
          <w:trHeight w:val="311" w:hRule="atLeast"/>
        </w:trPr>
        <w:tc>
          <w:tcPr>
            <w:tcW w:w="1963" w:type="dxa"/>
          </w:tcPr>
          <w:p>
            <w:pPr>
              <w:pStyle w:val="TableParagraph"/>
              <w:spacing w:before="21"/>
              <w:ind w:left="329" w:right="324"/>
              <w:rPr>
                <w:sz w:val="21"/>
              </w:rPr>
            </w:pPr>
            <w:r>
              <w:rPr>
                <w:sz w:val="21"/>
              </w:rPr>
              <w:t>挥发酚</w:t>
            </w:r>
          </w:p>
        </w:tc>
        <w:tc>
          <w:tcPr>
            <w:tcW w:w="1218" w:type="dxa"/>
          </w:tcPr>
          <w:p>
            <w:pPr>
              <w:pStyle w:val="TableParagraph"/>
              <w:spacing w:before="34"/>
              <w:ind w:left="179" w:right="172"/>
              <w:rPr>
                <w:rFonts w:ascii="Times New Roman" w:hAnsi="Times New Roman"/>
                <w:sz w:val="21"/>
              </w:rPr>
            </w:pPr>
            <w:r>
              <w:rPr>
                <w:rFonts w:ascii="Times New Roman" w:hAnsi="Times New Roman"/>
                <w:sz w:val="21"/>
              </w:rPr>
              <w:t>≤0.001</w:t>
            </w:r>
          </w:p>
        </w:tc>
        <w:tc>
          <w:tcPr>
            <w:tcW w:w="1216" w:type="dxa"/>
          </w:tcPr>
          <w:p>
            <w:pPr>
              <w:pStyle w:val="TableParagraph"/>
              <w:spacing w:before="34"/>
              <w:ind w:right="303"/>
              <w:jc w:val="right"/>
              <w:rPr>
                <w:rFonts w:ascii="Times New Roman" w:hAnsi="Times New Roman"/>
                <w:sz w:val="21"/>
              </w:rPr>
            </w:pPr>
            <w:r>
              <w:rPr>
                <w:rFonts w:ascii="Times New Roman" w:hAnsi="Times New Roman"/>
                <w:w w:val="95"/>
                <w:sz w:val="21"/>
              </w:rPr>
              <w:t>≤0.001</w:t>
            </w:r>
          </w:p>
        </w:tc>
        <w:tc>
          <w:tcPr>
            <w:tcW w:w="1224" w:type="dxa"/>
          </w:tcPr>
          <w:p>
            <w:pPr>
              <w:pStyle w:val="TableParagraph"/>
              <w:spacing w:before="34"/>
              <w:ind w:left="298" w:right="288"/>
              <w:rPr>
                <w:rFonts w:ascii="Times New Roman" w:hAnsi="Times New Roman"/>
                <w:b/>
                <w:sz w:val="21"/>
              </w:rPr>
            </w:pPr>
            <w:r>
              <w:rPr>
                <w:rFonts w:ascii="Times New Roman" w:hAnsi="Times New Roman"/>
                <w:b/>
                <w:sz w:val="21"/>
              </w:rPr>
              <w:t>≤0.002</w:t>
            </w:r>
          </w:p>
        </w:tc>
        <w:tc>
          <w:tcPr>
            <w:tcW w:w="1683" w:type="dxa"/>
          </w:tcPr>
          <w:p>
            <w:pPr>
              <w:pStyle w:val="TableParagraph"/>
              <w:spacing w:before="34"/>
              <w:ind w:left="526" w:right="519"/>
              <w:rPr>
                <w:rFonts w:ascii="Times New Roman" w:hAnsi="Times New Roman"/>
                <w:sz w:val="21"/>
              </w:rPr>
            </w:pPr>
            <w:r>
              <w:rPr>
                <w:rFonts w:ascii="Times New Roman" w:hAnsi="Times New Roman"/>
                <w:sz w:val="21"/>
              </w:rPr>
              <w:t>≤0.01</w:t>
            </w:r>
          </w:p>
        </w:tc>
        <w:tc>
          <w:tcPr>
            <w:tcW w:w="1218" w:type="dxa"/>
          </w:tcPr>
          <w:p>
            <w:pPr>
              <w:pStyle w:val="TableParagraph"/>
              <w:spacing w:before="34"/>
              <w:ind w:left="179" w:right="174"/>
              <w:rPr>
                <w:rFonts w:ascii="Times New Roman"/>
                <w:sz w:val="21"/>
              </w:rPr>
            </w:pPr>
            <w:r>
              <w:rPr>
                <w:rFonts w:ascii="Times New Roman"/>
                <w:sz w:val="21"/>
              </w:rPr>
              <w:t>&gt;0.01</w:t>
            </w:r>
          </w:p>
        </w:tc>
      </w:tr>
      <w:tr>
        <w:trPr>
          <w:trHeight w:val="312" w:hRule="atLeast"/>
        </w:trPr>
        <w:tc>
          <w:tcPr>
            <w:tcW w:w="1963" w:type="dxa"/>
          </w:tcPr>
          <w:p>
            <w:pPr>
              <w:pStyle w:val="TableParagraph"/>
              <w:spacing w:before="20"/>
              <w:ind w:left="329" w:right="324"/>
              <w:rPr>
                <w:sz w:val="21"/>
              </w:rPr>
            </w:pPr>
            <w:r>
              <w:rPr>
                <w:sz w:val="21"/>
              </w:rPr>
              <w:t>氟化物</w:t>
            </w:r>
          </w:p>
        </w:tc>
        <w:tc>
          <w:tcPr>
            <w:tcW w:w="1218" w:type="dxa"/>
          </w:tcPr>
          <w:p>
            <w:pPr>
              <w:pStyle w:val="TableParagraph"/>
              <w:spacing w:before="34"/>
              <w:ind w:left="179" w:right="169"/>
              <w:rPr>
                <w:rFonts w:ascii="Times New Roman" w:hAnsi="Times New Roman"/>
                <w:sz w:val="21"/>
              </w:rPr>
            </w:pPr>
            <w:r>
              <w:rPr>
                <w:rFonts w:ascii="Times New Roman" w:hAnsi="Times New Roman"/>
                <w:sz w:val="21"/>
              </w:rPr>
              <w:t>≤1.0</w:t>
            </w:r>
          </w:p>
        </w:tc>
        <w:tc>
          <w:tcPr>
            <w:tcW w:w="1216" w:type="dxa"/>
          </w:tcPr>
          <w:p>
            <w:pPr>
              <w:pStyle w:val="TableParagraph"/>
              <w:spacing w:before="34"/>
              <w:ind w:left="369" w:right="362"/>
              <w:rPr>
                <w:rFonts w:ascii="Times New Roman" w:hAnsi="Times New Roman"/>
                <w:sz w:val="21"/>
              </w:rPr>
            </w:pPr>
            <w:r>
              <w:rPr>
                <w:rFonts w:ascii="Times New Roman" w:hAnsi="Times New Roman"/>
                <w:sz w:val="21"/>
              </w:rPr>
              <w:t>≤1.0</w:t>
            </w:r>
          </w:p>
        </w:tc>
        <w:tc>
          <w:tcPr>
            <w:tcW w:w="1224" w:type="dxa"/>
          </w:tcPr>
          <w:p>
            <w:pPr>
              <w:pStyle w:val="TableParagraph"/>
              <w:spacing w:before="34"/>
              <w:ind w:left="296" w:right="288"/>
              <w:rPr>
                <w:rFonts w:ascii="Times New Roman" w:hAnsi="Times New Roman"/>
                <w:b/>
                <w:sz w:val="21"/>
              </w:rPr>
            </w:pPr>
            <w:r>
              <w:rPr>
                <w:rFonts w:ascii="Times New Roman" w:hAnsi="Times New Roman"/>
                <w:b/>
                <w:sz w:val="21"/>
              </w:rPr>
              <w:t>≤1.0</w:t>
            </w:r>
          </w:p>
        </w:tc>
        <w:tc>
          <w:tcPr>
            <w:tcW w:w="1683" w:type="dxa"/>
          </w:tcPr>
          <w:p>
            <w:pPr>
              <w:pStyle w:val="TableParagraph"/>
              <w:spacing w:before="34"/>
              <w:ind w:left="524" w:right="519"/>
              <w:rPr>
                <w:rFonts w:ascii="Times New Roman" w:hAnsi="Times New Roman"/>
                <w:sz w:val="21"/>
              </w:rPr>
            </w:pPr>
            <w:r>
              <w:rPr>
                <w:rFonts w:ascii="Times New Roman" w:hAnsi="Times New Roman"/>
                <w:sz w:val="21"/>
              </w:rPr>
              <w:t>≤2.0</w:t>
            </w:r>
          </w:p>
        </w:tc>
        <w:tc>
          <w:tcPr>
            <w:tcW w:w="1218" w:type="dxa"/>
          </w:tcPr>
          <w:p>
            <w:pPr>
              <w:pStyle w:val="TableParagraph"/>
              <w:spacing w:before="34"/>
              <w:ind w:left="179" w:right="174"/>
              <w:rPr>
                <w:rFonts w:ascii="Times New Roman"/>
                <w:sz w:val="21"/>
              </w:rPr>
            </w:pPr>
            <w:r>
              <w:rPr>
                <w:rFonts w:ascii="Times New Roman"/>
                <w:sz w:val="21"/>
              </w:rPr>
              <w:t>&gt;2.0</w:t>
            </w:r>
          </w:p>
        </w:tc>
      </w:tr>
      <w:tr>
        <w:trPr>
          <w:trHeight w:val="311" w:hRule="atLeast"/>
        </w:trPr>
        <w:tc>
          <w:tcPr>
            <w:tcW w:w="1963" w:type="dxa"/>
          </w:tcPr>
          <w:p>
            <w:pPr>
              <w:pStyle w:val="TableParagraph"/>
              <w:spacing w:before="20"/>
              <w:ind w:left="7"/>
              <w:rPr>
                <w:sz w:val="21"/>
              </w:rPr>
            </w:pPr>
            <w:r>
              <w:rPr>
                <w:w w:val="99"/>
                <w:sz w:val="21"/>
              </w:rPr>
              <w:t>钠</w:t>
            </w:r>
          </w:p>
        </w:tc>
        <w:tc>
          <w:tcPr>
            <w:tcW w:w="1218" w:type="dxa"/>
          </w:tcPr>
          <w:p>
            <w:pPr>
              <w:pStyle w:val="TableParagraph"/>
              <w:spacing w:before="34"/>
              <w:ind w:left="179" w:right="174"/>
              <w:rPr>
                <w:rFonts w:ascii="Times New Roman" w:hAnsi="Times New Roman"/>
                <w:sz w:val="21"/>
              </w:rPr>
            </w:pPr>
            <w:r>
              <w:rPr>
                <w:rFonts w:ascii="Times New Roman" w:hAnsi="Times New Roman"/>
                <w:sz w:val="21"/>
              </w:rPr>
              <w:t>≤100</w:t>
            </w:r>
          </w:p>
        </w:tc>
        <w:tc>
          <w:tcPr>
            <w:tcW w:w="1216" w:type="dxa"/>
          </w:tcPr>
          <w:p>
            <w:pPr>
              <w:pStyle w:val="TableParagraph"/>
              <w:spacing w:before="34"/>
              <w:ind w:left="389"/>
              <w:jc w:val="left"/>
              <w:rPr>
                <w:rFonts w:ascii="Times New Roman" w:hAnsi="Times New Roman"/>
                <w:sz w:val="21"/>
              </w:rPr>
            </w:pPr>
            <w:r>
              <w:rPr>
                <w:rFonts w:ascii="Times New Roman" w:hAnsi="Times New Roman"/>
                <w:sz w:val="21"/>
              </w:rPr>
              <w:t>≤150</w:t>
            </w:r>
          </w:p>
        </w:tc>
        <w:tc>
          <w:tcPr>
            <w:tcW w:w="1224" w:type="dxa"/>
          </w:tcPr>
          <w:p>
            <w:pPr>
              <w:pStyle w:val="TableParagraph"/>
              <w:spacing w:before="34"/>
              <w:ind w:left="296" w:right="288"/>
              <w:rPr>
                <w:rFonts w:ascii="Times New Roman" w:hAnsi="Times New Roman"/>
                <w:b/>
                <w:sz w:val="21"/>
              </w:rPr>
            </w:pPr>
            <w:r>
              <w:rPr>
                <w:rFonts w:ascii="Times New Roman" w:hAnsi="Times New Roman"/>
                <w:b/>
                <w:sz w:val="21"/>
              </w:rPr>
              <w:t>≤200</w:t>
            </w:r>
          </w:p>
        </w:tc>
        <w:tc>
          <w:tcPr>
            <w:tcW w:w="1683" w:type="dxa"/>
          </w:tcPr>
          <w:p>
            <w:pPr>
              <w:pStyle w:val="TableParagraph"/>
              <w:spacing w:before="34"/>
              <w:ind w:left="524" w:right="519"/>
              <w:rPr>
                <w:rFonts w:ascii="Times New Roman" w:hAnsi="Times New Roman"/>
                <w:sz w:val="21"/>
              </w:rPr>
            </w:pPr>
            <w:r>
              <w:rPr>
                <w:rFonts w:ascii="Times New Roman" w:hAnsi="Times New Roman"/>
                <w:sz w:val="21"/>
              </w:rPr>
              <w:t>≤400</w:t>
            </w:r>
          </w:p>
        </w:tc>
        <w:tc>
          <w:tcPr>
            <w:tcW w:w="1218" w:type="dxa"/>
          </w:tcPr>
          <w:p>
            <w:pPr>
              <w:pStyle w:val="TableParagraph"/>
              <w:spacing w:before="34"/>
              <w:ind w:left="179" w:right="174"/>
              <w:rPr>
                <w:rFonts w:ascii="Times New Roman"/>
                <w:sz w:val="21"/>
              </w:rPr>
            </w:pPr>
            <w:r>
              <w:rPr>
                <w:rFonts w:ascii="Times New Roman"/>
                <w:sz w:val="21"/>
              </w:rPr>
              <w:t>&gt;400</w:t>
            </w:r>
          </w:p>
        </w:tc>
      </w:tr>
      <w:tr>
        <w:trPr>
          <w:trHeight w:val="312" w:hRule="atLeast"/>
        </w:trPr>
        <w:tc>
          <w:tcPr>
            <w:tcW w:w="1963" w:type="dxa"/>
          </w:tcPr>
          <w:p>
            <w:pPr>
              <w:pStyle w:val="TableParagraph"/>
              <w:spacing w:before="19"/>
              <w:ind w:left="7"/>
              <w:rPr>
                <w:sz w:val="21"/>
              </w:rPr>
            </w:pPr>
            <w:r>
              <w:rPr>
                <w:w w:val="99"/>
                <w:sz w:val="21"/>
              </w:rPr>
              <w:t>汞</w:t>
            </w:r>
          </w:p>
        </w:tc>
        <w:tc>
          <w:tcPr>
            <w:tcW w:w="1218" w:type="dxa"/>
          </w:tcPr>
          <w:p>
            <w:pPr>
              <w:pStyle w:val="TableParagraph"/>
              <w:spacing w:before="33"/>
              <w:ind w:left="179" w:right="172"/>
              <w:rPr>
                <w:rFonts w:ascii="Times New Roman" w:hAnsi="Times New Roman"/>
                <w:sz w:val="21"/>
              </w:rPr>
            </w:pPr>
            <w:r>
              <w:rPr>
                <w:rFonts w:ascii="Times New Roman" w:hAnsi="Times New Roman"/>
                <w:sz w:val="21"/>
              </w:rPr>
              <w:t>≤0.0001</w:t>
            </w:r>
          </w:p>
        </w:tc>
        <w:tc>
          <w:tcPr>
            <w:tcW w:w="1216" w:type="dxa"/>
          </w:tcPr>
          <w:p>
            <w:pPr>
              <w:pStyle w:val="TableParagraph"/>
              <w:spacing w:before="33"/>
              <w:ind w:right="251"/>
              <w:jc w:val="right"/>
              <w:rPr>
                <w:rFonts w:ascii="Times New Roman" w:hAnsi="Times New Roman"/>
                <w:sz w:val="21"/>
              </w:rPr>
            </w:pPr>
            <w:r>
              <w:rPr>
                <w:rFonts w:ascii="Times New Roman" w:hAnsi="Times New Roman"/>
                <w:w w:val="95"/>
                <w:sz w:val="21"/>
              </w:rPr>
              <w:t>≤0.0001</w:t>
            </w:r>
          </w:p>
        </w:tc>
        <w:tc>
          <w:tcPr>
            <w:tcW w:w="1224" w:type="dxa"/>
          </w:tcPr>
          <w:p>
            <w:pPr>
              <w:pStyle w:val="TableParagraph"/>
              <w:spacing w:before="33"/>
              <w:ind w:left="298" w:right="288"/>
              <w:rPr>
                <w:rFonts w:ascii="Times New Roman" w:hAnsi="Times New Roman"/>
                <w:b/>
                <w:sz w:val="21"/>
              </w:rPr>
            </w:pPr>
            <w:r>
              <w:rPr>
                <w:rFonts w:ascii="Times New Roman" w:hAnsi="Times New Roman"/>
                <w:b/>
                <w:sz w:val="21"/>
              </w:rPr>
              <w:t>≤0.001</w:t>
            </w:r>
          </w:p>
        </w:tc>
        <w:tc>
          <w:tcPr>
            <w:tcW w:w="1683" w:type="dxa"/>
          </w:tcPr>
          <w:p>
            <w:pPr>
              <w:pStyle w:val="TableParagraph"/>
              <w:spacing w:before="33"/>
              <w:ind w:left="526" w:right="519"/>
              <w:rPr>
                <w:rFonts w:ascii="Times New Roman" w:hAnsi="Times New Roman"/>
                <w:sz w:val="21"/>
              </w:rPr>
            </w:pPr>
            <w:r>
              <w:rPr>
                <w:rFonts w:ascii="Times New Roman" w:hAnsi="Times New Roman"/>
                <w:sz w:val="21"/>
              </w:rPr>
              <w:t>≤0.002</w:t>
            </w:r>
          </w:p>
        </w:tc>
        <w:tc>
          <w:tcPr>
            <w:tcW w:w="1218" w:type="dxa"/>
          </w:tcPr>
          <w:p>
            <w:pPr>
              <w:pStyle w:val="TableParagraph"/>
              <w:spacing w:before="33"/>
              <w:ind w:left="179" w:right="174"/>
              <w:rPr>
                <w:rFonts w:ascii="Times New Roman"/>
                <w:sz w:val="21"/>
              </w:rPr>
            </w:pPr>
            <w:r>
              <w:rPr>
                <w:rFonts w:ascii="Times New Roman"/>
                <w:sz w:val="21"/>
              </w:rPr>
              <w:t>&gt;0.002</w:t>
            </w:r>
          </w:p>
        </w:tc>
      </w:tr>
      <w:tr>
        <w:trPr>
          <w:trHeight w:val="312" w:hRule="atLeast"/>
        </w:trPr>
        <w:tc>
          <w:tcPr>
            <w:tcW w:w="1963" w:type="dxa"/>
          </w:tcPr>
          <w:p>
            <w:pPr>
              <w:pStyle w:val="TableParagraph"/>
              <w:spacing w:before="19"/>
              <w:ind w:left="7"/>
              <w:rPr>
                <w:sz w:val="21"/>
              </w:rPr>
            </w:pPr>
            <w:r>
              <w:rPr>
                <w:w w:val="99"/>
                <w:sz w:val="21"/>
              </w:rPr>
              <w:t>砷</w:t>
            </w:r>
          </w:p>
        </w:tc>
        <w:tc>
          <w:tcPr>
            <w:tcW w:w="1218" w:type="dxa"/>
          </w:tcPr>
          <w:p>
            <w:pPr>
              <w:pStyle w:val="TableParagraph"/>
              <w:spacing w:before="33"/>
              <w:ind w:left="179" w:right="172"/>
              <w:rPr>
                <w:rFonts w:ascii="Times New Roman" w:hAnsi="Times New Roman"/>
                <w:sz w:val="21"/>
              </w:rPr>
            </w:pPr>
            <w:r>
              <w:rPr>
                <w:rFonts w:ascii="Times New Roman" w:hAnsi="Times New Roman"/>
                <w:sz w:val="21"/>
              </w:rPr>
              <w:t>≤0.001</w:t>
            </w:r>
          </w:p>
        </w:tc>
        <w:tc>
          <w:tcPr>
            <w:tcW w:w="1216" w:type="dxa"/>
          </w:tcPr>
          <w:p>
            <w:pPr>
              <w:pStyle w:val="TableParagraph"/>
              <w:spacing w:before="33"/>
              <w:ind w:right="303"/>
              <w:jc w:val="right"/>
              <w:rPr>
                <w:rFonts w:ascii="Times New Roman" w:hAnsi="Times New Roman"/>
                <w:sz w:val="21"/>
              </w:rPr>
            </w:pPr>
            <w:r>
              <w:rPr>
                <w:rFonts w:ascii="Times New Roman" w:hAnsi="Times New Roman"/>
                <w:w w:val="95"/>
                <w:sz w:val="21"/>
              </w:rPr>
              <w:t>≤0.001</w:t>
            </w:r>
          </w:p>
        </w:tc>
        <w:tc>
          <w:tcPr>
            <w:tcW w:w="1224" w:type="dxa"/>
          </w:tcPr>
          <w:p>
            <w:pPr>
              <w:pStyle w:val="TableParagraph"/>
              <w:spacing w:before="33"/>
              <w:ind w:left="298" w:right="288"/>
              <w:rPr>
                <w:rFonts w:ascii="Times New Roman" w:hAnsi="Times New Roman"/>
                <w:b/>
                <w:sz w:val="21"/>
              </w:rPr>
            </w:pPr>
            <w:r>
              <w:rPr>
                <w:rFonts w:ascii="Times New Roman" w:hAnsi="Times New Roman"/>
                <w:b/>
                <w:sz w:val="21"/>
              </w:rPr>
              <w:t>≤0.01</w:t>
            </w:r>
          </w:p>
        </w:tc>
        <w:tc>
          <w:tcPr>
            <w:tcW w:w="1683" w:type="dxa"/>
          </w:tcPr>
          <w:p>
            <w:pPr>
              <w:pStyle w:val="TableParagraph"/>
              <w:spacing w:before="33"/>
              <w:ind w:left="526" w:right="519"/>
              <w:rPr>
                <w:rFonts w:ascii="Times New Roman" w:hAnsi="Times New Roman"/>
                <w:sz w:val="21"/>
              </w:rPr>
            </w:pPr>
            <w:r>
              <w:rPr>
                <w:rFonts w:ascii="Times New Roman" w:hAnsi="Times New Roman"/>
                <w:sz w:val="21"/>
              </w:rPr>
              <w:t>≤0.05</w:t>
            </w:r>
          </w:p>
        </w:tc>
        <w:tc>
          <w:tcPr>
            <w:tcW w:w="1218" w:type="dxa"/>
          </w:tcPr>
          <w:p>
            <w:pPr>
              <w:pStyle w:val="TableParagraph"/>
              <w:spacing w:before="33"/>
              <w:ind w:left="179" w:right="174"/>
              <w:rPr>
                <w:rFonts w:ascii="Times New Roman"/>
                <w:sz w:val="21"/>
              </w:rPr>
            </w:pPr>
            <w:r>
              <w:rPr>
                <w:rFonts w:ascii="Times New Roman"/>
                <w:sz w:val="21"/>
              </w:rPr>
              <w:t>&gt;0.05</w:t>
            </w:r>
          </w:p>
        </w:tc>
      </w:tr>
      <w:tr>
        <w:trPr>
          <w:trHeight w:val="312" w:hRule="atLeast"/>
        </w:trPr>
        <w:tc>
          <w:tcPr>
            <w:tcW w:w="1963" w:type="dxa"/>
          </w:tcPr>
          <w:p>
            <w:pPr>
              <w:pStyle w:val="TableParagraph"/>
              <w:spacing w:before="21"/>
              <w:ind w:left="7"/>
              <w:rPr>
                <w:sz w:val="21"/>
              </w:rPr>
            </w:pPr>
            <w:r>
              <w:rPr>
                <w:w w:val="99"/>
                <w:sz w:val="21"/>
              </w:rPr>
              <w:t>铁</w:t>
            </w:r>
          </w:p>
        </w:tc>
        <w:tc>
          <w:tcPr>
            <w:tcW w:w="1218" w:type="dxa"/>
          </w:tcPr>
          <w:p>
            <w:pPr>
              <w:pStyle w:val="TableParagraph"/>
              <w:spacing w:before="35"/>
              <w:ind w:left="179" w:right="174"/>
              <w:rPr>
                <w:rFonts w:ascii="Times New Roman" w:hAnsi="Times New Roman"/>
                <w:sz w:val="21"/>
              </w:rPr>
            </w:pPr>
            <w:r>
              <w:rPr>
                <w:rFonts w:ascii="Times New Roman" w:hAnsi="Times New Roman"/>
                <w:sz w:val="21"/>
              </w:rPr>
              <w:t>≤0.1</w:t>
            </w:r>
          </w:p>
        </w:tc>
        <w:tc>
          <w:tcPr>
            <w:tcW w:w="1216" w:type="dxa"/>
          </w:tcPr>
          <w:p>
            <w:pPr>
              <w:pStyle w:val="TableParagraph"/>
              <w:spacing w:before="35"/>
              <w:ind w:left="369" w:right="362"/>
              <w:rPr>
                <w:rFonts w:ascii="Times New Roman" w:hAnsi="Times New Roman"/>
                <w:sz w:val="21"/>
              </w:rPr>
            </w:pPr>
            <w:r>
              <w:rPr>
                <w:rFonts w:ascii="Times New Roman" w:hAnsi="Times New Roman"/>
                <w:sz w:val="21"/>
              </w:rPr>
              <w:t>≤0.2</w:t>
            </w:r>
          </w:p>
        </w:tc>
        <w:tc>
          <w:tcPr>
            <w:tcW w:w="1224" w:type="dxa"/>
          </w:tcPr>
          <w:p>
            <w:pPr>
              <w:pStyle w:val="TableParagraph"/>
              <w:spacing w:before="35"/>
              <w:ind w:left="296" w:right="288"/>
              <w:rPr>
                <w:rFonts w:ascii="Times New Roman" w:hAnsi="Times New Roman"/>
                <w:b/>
                <w:sz w:val="21"/>
              </w:rPr>
            </w:pPr>
            <w:r>
              <w:rPr>
                <w:rFonts w:ascii="Times New Roman" w:hAnsi="Times New Roman"/>
                <w:b/>
                <w:sz w:val="21"/>
              </w:rPr>
              <w:t>≤0.3</w:t>
            </w:r>
          </w:p>
        </w:tc>
        <w:tc>
          <w:tcPr>
            <w:tcW w:w="1683" w:type="dxa"/>
          </w:tcPr>
          <w:p>
            <w:pPr>
              <w:pStyle w:val="TableParagraph"/>
              <w:spacing w:before="35"/>
              <w:ind w:left="524" w:right="519"/>
              <w:rPr>
                <w:rFonts w:ascii="Times New Roman" w:hAnsi="Times New Roman"/>
                <w:sz w:val="21"/>
              </w:rPr>
            </w:pPr>
            <w:r>
              <w:rPr>
                <w:rFonts w:ascii="Times New Roman" w:hAnsi="Times New Roman"/>
                <w:sz w:val="21"/>
              </w:rPr>
              <w:t>≤2.0</w:t>
            </w:r>
          </w:p>
        </w:tc>
        <w:tc>
          <w:tcPr>
            <w:tcW w:w="1218" w:type="dxa"/>
          </w:tcPr>
          <w:p>
            <w:pPr>
              <w:pStyle w:val="TableParagraph"/>
              <w:spacing w:before="35"/>
              <w:ind w:left="179" w:right="174"/>
              <w:rPr>
                <w:rFonts w:ascii="Times New Roman"/>
                <w:sz w:val="21"/>
              </w:rPr>
            </w:pPr>
            <w:r>
              <w:rPr>
                <w:rFonts w:ascii="Times New Roman"/>
                <w:sz w:val="21"/>
              </w:rPr>
              <w:t>&gt;2.0</w:t>
            </w:r>
          </w:p>
        </w:tc>
      </w:tr>
      <w:tr>
        <w:trPr>
          <w:trHeight w:val="312" w:hRule="atLeast"/>
        </w:trPr>
        <w:tc>
          <w:tcPr>
            <w:tcW w:w="1963" w:type="dxa"/>
          </w:tcPr>
          <w:p>
            <w:pPr>
              <w:pStyle w:val="TableParagraph"/>
              <w:spacing w:before="20"/>
              <w:ind w:left="7"/>
              <w:rPr>
                <w:sz w:val="21"/>
              </w:rPr>
            </w:pPr>
            <w:r>
              <w:rPr>
                <w:w w:val="99"/>
                <w:sz w:val="21"/>
              </w:rPr>
              <w:t>锰</w:t>
            </w:r>
          </w:p>
        </w:tc>
        <w:tc>
          <w:tcPr>
            <w:tcW w:w="1218" w:type="dxa"/>
          </w:tcPr>
          <w:p>
            <w:pPr>
              <w:pStyle w:val="TableParagraph"/>
              <w:spacing w:before="34"/>
              <w:ind w:left="179" w:right="174"/>
              <w:rPr>
                <w:rFonts w:ascii="Times New Roman" w:hAnsi="Times New Roman"/>
                <w:sz w:val="21"/>
              </w:rPr>
            </w:pPr>
            <w:r>
              <w:rPr>
                <w:rFonts w:ascii="Times New Roman" w:hAnsi="Times New Roman"/>
                <w:sz w:val="21"/>
              </w:rPr>
              <w:t>≤0.05</w:t>
            </w:r>
          </w:p>
        </w:tc>
        <w:tc>
          <w:tcPr>
            <w:tcW w:w="1216" w:type="dxa"/>
          </w:tcPr>
          <w:p>
            <w:pPr>
              <w:pStyle w:val="TableParagraph"/>
              <w:spacing w:before="34"/>
              <w:ind w:left="363"/>
              <w:jc w:val="left"/>
              <w:rPr>
                <w:rFonts w:ascii="Times New Roman" w:hAnsi="Times New Roman"/>
                <w:sz w:val="21"/>
              </w:rPr>
            </w:pPr>
            <w:r>
              <w:rPr>
                <w:rFonts w:ascii="Times New Roman" w:hAnsi="Times New Roman"/>
                <w:sz w:val="21"/>
              </w:rPr>
              <w:t>≤0.05</w:t>
            </w:r>
          </w:p>
        </w:tc>
        <w:tc>
          <w:tcPr>
            <w:tcW w:w="1224" w:type="dxa"/>
          </w:tcPr>
          <w:p>
            <w:pPr>
              <w:pStyle w:val="TableParagraph"/>
              <w:spacing w:before="34"/>
              <w:ind w:left="298" w:right="288"/>
              <w:rPr>
                <w:rFonts w:ascii="Times New Roman" w:hAnsi="Times New Roman"/>
                <w:b/>
                <w:sz w:val="21"/>
              </w:rPr>
            </w:pPr>
            <w:r>
              <w:rPr>
                <w:rFonts w:ascii="Times New Roman" w:hAnsi="Times New Roman"/>
                <w:b/>
                <w:sz w:val="21"/>
              </w:rPr>
              <w:t>≤0.10</w:t>
            </w:r>
          </w:p>
        </w:tc>
        <w:tc>
          <w:tcPr>
            <w:tcW w:w="1683" w:type="dxa"/>
          </w:tcPr>
          <w:p>
            <w:pPr>
              <w:pStyle w:val="TableParagraph"/>
              <w:spacing w:before="34"/>
              <w:ind w:left="526" w:right="519"/>
              <w:rPr>
                <w:rFonts w:ascii="Times New Roman" w:hAnsi="Times New Roman"/>
                <w:sz w:val="21"/>
              </w:rPr>
            </w:pPr>
            <w:r>
              <w:rPr>
                <w:rFonts w:ascii="Times New Roman" w:hAnsi="Times New Roman"/>
                <w:sz w:val="21"/>
              </w:rPr>
              <w:t>≤1.50</w:t>
            </w:r>
          </w:p>
        </w:tc>
        <w:tc>
          <w:tcPr>
            <w:tcW w:w="1218" w:type="dxa"/>
          </w:tcPr>
          <w:p>
            <w:pPr>
              <w:pStyle w:val="TableParagraph"/>
              <w:spacing w:before="34"/>
              <w:ind w:left="179" w:right="174"/>
              <w:rPr>
                <w:rFonts w:ascii="Times New Roman"/>
                <w:sz w:val="21"/>
              </w:rPr>
            </w:pPr>
            <w:r>
              <w:rPr>
                <w:rFonts w:ascii="Times New Roman"/>
                <w:sz w:val="21"/>
              </w:rPr>
              <w:t>&gt;1.50</w:t>
            </w:r>
          </w:p>
        </w:tc>
      </w:tr>
      <w:tr>
        <w:trPr>
          <w:trHeight w:val="311" w:hRule="atLeast"/>
        </w:trPr>
        <w:tc>
          <w:tcPr>
            <w:tcW w:w="1963" w:type="dxa"/>
          </w:tcPr>
          <w:p>
            <w:pPr>
              <w:pStyle w:val="TableParagraph"/>
              <w:spacing w:before="20"/>
              <w:ind w:left="7"/>
              <w:rPr>
                <w:sz w:val="21"/>
              </w:rPr>
            </w:pPr>
            <w:r>
              <w:rPr>
                <w:w w:val="99"/>
                <w:sz w:val="21"/>
              </w:rPr>
              <w:t>铅</w:t>
            </w:r>
          </w:p>
        </w:tc>
        <w:tc>
          <w:tcPr>
            <w:tcW w:w="1218" w:type="dxa"/>
          </w:tcPr>
          <w:p>
            <w:pPr>
              <w:pStyle w:val="TableParagraph"/>
              <w:spacing w:before="34"/>
              <w:ind w:left="179" w:right="172"/>
              <w:rPr>
                <w:rFonts w:ascii="Times New Roman" w:hAnsi="Times New Roman"/>
                <w:sz w:val="21"/>
              </w:rPr>
            </w:pPr>
            <w:r>
              <w:rPr>
                <w:rFonts w:ascii="Times New Roman" w:hAnsi="Times New Roman"/>
                <w:sz w:val="21"/>
              </w:rPr>
              <w:t>≤0.005</w:t>
            </w:r>
          </w:p>
        </w:tc>
        <w:tc>
          <w:tcPr>
            <w:tcW w:w="1216" w:type="dxa"/>
          </w:tcPr>
          <w:p>
            <w:pPr>
              <w:pStyle w:val="TableParagraph"/>
              <w:spacing w:before="34"/>
              <w:ind w:right="303"/>
              <w:jc w:val="right"/>
              <w:rPr>
                <w:rFonts w:ascii="Times New Roman" w:hAnsi="Times New Roman"/>
                <w:sz w:val="21"/>
              </w:rPr>
            </w:pPr>
            <w:r>
              <w:rPr>
                <w:rFonts w:ascii="Times New Roman" w:hAnsi="Times New Roman"/>
                <w:w w:val="95"/>
                <w:sz w:val="21"/>
              </w:rPr>
              <w:t>≤0.005</w:t>
            </w:r>
          </w:p>
        </w:tc>
        <w:tc>
          <w:tcPr>
            <w:tcW w:w="1224" w:type="dxa"/>
          </w:tcPr>
          <w:p>
            <w:pPr>
              <w:pStyle w:val="TableParagraph"/>
              <w:spacing w:before="34"/>
              <w:ind w:left="298" w:right="288"/>
              <w:rPr>
                <w:rFonts w:ascii="Times New Roman" w:hAnsi="Times New Roman"/>
                <w:b/>
                <w:sz w:val="21"/>
              </w:rPr>
            </w:pPr>
            <w:r>
              <w:rPr>
                <w:rFonts w:ascii="Times New Roman" w:hAnsi="Times New Roman"/>
                <w:b/>
                <w:sz w:val="21"/>
              </w:rPr>
              <w:t>≤0.01</w:t>
            </w:r>
          </w:p>
        </w:tc>
        <w:tc>
          <w:tcPr>
            <w:tcW w:w="1683" w:type="dxa"/>
          </w:tcPr>
          <w:p>
            <w:pPr>
              <w:pStyle w:val="TableParagraph"/>
              <w:spacing w:before="34"/>
              <w:ind w:left="526" w:right="519"/>
              <w:rPr>
                <w:rFonts w:ascii="Times New Roman" w:hAnsi="Times New Roman"/>
                <w:sz w:val="21"/>
              </w:rPr>
            </w:pPr>
            <w:r>
              <w:rPr>
                <w:rFonts w:ascii="Times New Roman" w:hAnsi="Times New Roman"/>
                <w:sz w:val="21"/>
              </w:rPr>
              <w:t>≤0.10</w:t>
            </w:r>
          </w:p>
        </w:tc>
        <w:tc>
          <w:tcPr>
            <w:tcW w:w="1218" w:type="dxa"/>
          </w:tcPr>
          <w:p>
            <w:pPr>
              <w:pStyle w:val="TableParagraph"/>
              <w:spacing w:before="34"/>
              <w:ind w:left="179" w:right="174"/>
              <w:rPr>
                <w:rFonts w:ascii="Times New Roman"/>
                <w:sz w:val="21"/>
              </w:rPr>
            </w:pPr>
            <w:r>
              <w:rPr>
                <w:rFonts w:ascii="Times New Roman"/>
                <w:sz w:val="21"/>
              </w:rPr>
              <w:t>&gt;0.10</w:t>
            </w:r>
          </w:p>
        </w:tc>
      </w:tr>
      <w:tr>
        <w:trPr>
          <w:trHeight w:val="312" w:hRule="atLeast"/>
        </w:trPr>
        <w:tc>
          <w:tcPr>
            <w:tcW w:w="1963" w:type="dxa"/>
          </w:tcPr>
          <w:p>
            <w:pPr>
              <w:pStyle w:val="TableParagraph"/>
              <w:spacing w:before="20"/>
              <w:ind w:left="7"/>
              <w:rPr>
                <w:sz w:val="21"/>
              </w:rPr>
            </w:pPr>
            <w:r>
              <w:rPr>
                <w:w w:val="99"/>
                <w:sz w:val="21"/>
              </w:rPr>
              <w:t>镉</w:t>
            </w:r>
          </w:p>
        </w:tc>
        <w:tc>
          <w:tcPr>
            <w:tcW w:w="1218" w:type="dxa"/>
          </w:tcPr>
          <w:p>
            <w:pPr>
              <w:pStyle w:val="TableParagraph"/>
              <w:spacing w:before="34"/>
              <w:ind w:left="179" w:right="172"/>
              <w:rPr>
                <w:rFonts w:ascii="Times New Roman" w:hAnsi="Times New Roman"/>
                <w:sz w:val="21"/>
              </w:rPr>
            </w:pPr>
            <w:r>
              <w:rPr>
                <w:rFonts w:ascii="Times New Roman" w:hAnsi="Times New Roman"/>
                <w:sz w:val="21"/>
              </w:rPr>
              <w:t>≤0.0001</w:t>
            </w:r>
          </w:p>
        </w:tc>
        <w:tc>
          <w:tcPr>
            <w:tcW w:w="1216" w:type="dxa"/>
          </w:tcPr>
          <w:p>
            <w:pPr>
              <w:pStyle w:val="TableParagraph"/>
              <w:spacing w:before="34"/>
              <w:ind w:right="303"/>
              <w:jc w:val="right"/>
              <w:rPr>
                <w:rFonts w:ascii="Times New Roman" w:hAnsi="Times New Roman"/>
                <w:sz w:val="21"/>
              </w:rPr>
            </w:pPr>
            <w:r>
              <w:rPr>
                <w:rFonts w:ascii="Times New Roman" w:hAnsi="Times New Roman"/>
                <w:w w:val="95"/>
                <w:sz w:val="21"/>
              </w:rPr>
              <w:t>≤0.001</w:t>
            </w:r>
          </w:p>
        </w:tc>
        <w:tc>
          <w:tcPr>
            <w:tcW w:w="1224" w:type="dxa"/>
          </w:tcPr>
          <w:p>
            <w:pPr>
              <w:pStyle w:val="TableParagraph"/>
              <w:spacing w:before="34"/>
              <w:ind w:left="298" w:right="288"/>
              <w:rPr>
                <w:rFonts w:ascii="Times New Roman" w:hAnsi="Times New Roman"/>
                <w:b/>
                <w:sz w:val="21"/>
              </w:rPr>
            </w:pPr>
            <w:r>
              <w:rPr>
                <w:rFonts w:ascii="Times New Roman" w:hAnsi="Times New Roman"/>
                <w:b/>
                <w:sz w:val="21"/>
              </w:rPr>
              <w:t>≤0.005</w:t>
            </w:r>
          </w:p>
        </w:tc>
        <w:tc>
          <w:tcPr>
            <w:tcW w:w="1683" w:type="dxa"/>
          </w:tcPr>
          <w:p>
            <w:pPr>
              <w:pStyle w:val="TableParagraph"/>
              <w:spacing w:before="34"/>
              <w:ind w:left="526" w:right="519"/>
              <w:rPr>
                <w:rFonts w:ascii="Times New Roman" w:hAnsi="Times New Roman"/>
                <w:sz w:val="21"/>
              </w:rPr>
            </w:pPr>
            <w:r>
              <w:rPr>
                <w:rFonts w:ascii="Times New Roman" w:hAnsi="Times New Roman"/>
                <w:sz w:val="21"/>
              </w:rPr>
              <w:t>≤0.01</w:t>
            </w:r>
          </w:p>
        </w:tc>
        <w:tc>
          <w:tcPr>
            <w:tcW w:w="1218" w:type="dxa"/>
          </w:tcPr>
          <w:p>
            <w:pPr>
              <w:pStyle w:val="TableParagraph"/>
              <w:spacing w:before="34"/>
              <w:ind w:left="179" w:right="174"/>
              <w:rPr>
                <w:rFonts w:ascii="Times New Roman"/>
                <w:sz w:val="21"/>
              </w:rPr>
            </w:pPr>
            <w:r>
              <w:rPr>
                <w:rFonts w:ascii="Times New Roman"/>
                <w:sz w:val="21"/>
              </w:rPr>
              <w:t>&gt;0.01</w:t>
            </w:r>
          </w:p>
        </w:tc>
      </w:tr>
      <w:tr>
        <w:trPr>
          <w:trHeight w:val="312" w:hRule="atLeast"/>
        </w:trPr>
        <w:tc>
          <w:tcPr>
            <w:tcW w:w="1963" w:type="dxa"/>
          </w:tcPr>
          <w:p>
            <w:pPr>
              <w:pStyle w:val="TableParagraph"/>
              <w:spacing w:before="19"/>
              <w:ind w:left="329" w:right="324"/>
              <w:rPr>
                <w:sz w:val="21"/>
              </w:rPr>
            </w:pPr>
            <w:r>
              <w:rPr>
                <w:sz w:val="21"/>
              </w:rPr>
              <w:t>氰化物</w:t>
            </w:r>
          </w:p>
        </w:tc>
        <w:tc>
          <w:tcPr>
            <w:tcW w:w="1218" w:type="dxa"/>
          </w:tcPr>
          <w:p>
            <w:pPr>
              <w:pStyle w:val="TableParagraph"/>
              <w:spacing w:before="33"/>
              <w:ind w:left="179" w:right="172"/>
              <w:rPr>
                <w:rFonts w:ascii="Times New Roman" w:hAnsi="Times New Roman"/>
                <w:sz w:val="21"/>
              </w:rPr>
            </w:pPr>
            <w:r>
              <w:rPr>
                <w:rFonts w:ascii="Times New Roman" w:hAnsi="Times New Roman"/>
                <w:sz w:val="21"/>
              </w:rPr>
              <w:t>≤0.001</w:t>
            </w:r>
          </w:p>
        </w:tc>
        <w:tc>
          <w:tcPr>
            <w:tcW w:w="1216" w:type="dxa"/>
          </w:tcPr>
          <w:p>
            <w:pPr>
              <w:pStyle w:val="TableParagraph"/>
              <w:spacing w:before="33"/>
              <w:ind w:left="363"/>
              <w:jc w:val="left"/>
              <w:rPr>
                <w:rFonts w:ascii="Times New Roman" w:hAnsi="Times New Roman"/>
                <w:sz w:val="21"/>
              </w:rPr>
            </w:pPr>
            <w:r>
              <w:rPr>
                <w:rFonts w:ascii="Times New Roman" w:hAnsi="Times New Roman"/>
                <w:sz w:val="21"/>
              </w:rPr>
              <w:t>≤0.01</w:t>
            </w:r>
          </w:p>
        </w:tc>
        <w:tc>
          <w:tcPr>
            <w:tcW w:w="1224" w:type="dxa"/>
          </w:tcPr>
          <w:p>
            <w:pPr>
              <w:pStyle w:val="TableParagraph"/>
              <w:spacing w:before="33"/>
              <w:ind w:left="298" w:right="288"/>
              <w:rPr>
                <w:rFonts w:ascii="Times New Roman" w:hAnsi="Times New Roman"/>
                <w:b/>
                <w:sz w:val="21"/>
              </w:rPr>
            </w:pPr>
            <w:r>
              <w:rPr>
                <w:rFonts w:ascii="Times New Roman" w:hAnsi="Times New Roman"/>
                <w:b/>
                <w:sz w:val="21"/>
              </w:rPr>
              <w:t>≤0.05</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≤0.1</w:t>
            </w:r>
          </w:p>
        </w:tc>
        <w:tc>
          <w:tcPr>
            <w:tcW w:w="1218" w:type="dxa"/>
          </w:tcPr>
          <w:p>
            <w:pPr>
              <w:pStyle w:val="TableParagraph"/>
              <w:spacing w:before="33"/>
              <w:ind w:left="179" w:right="174"/>
              <w:rPr>
                <w:rFonts w:ascii="Times New Roman"/>
                <w:sz w:val="21"/>
              </w:rPr>
            </w:pPr>
            <w:r>
              <w:rPr>
                <w:rFonts w:ascii="Times New Roman"/>
                <w:sz w:val="21"/>
              </w:rPr>
              <w:t>&gt;0.1</w:t>
            </w:r>
          </w:p>
        </w:tc>
      </w:tr>
      <w:tr>
        <w:trPr>
          <w:trHeight w:val="312" w:hRule="atLeast"/>
        </w:trPr>
        <w:tc>
          <w:tcPr>
            <w:tcW w:w="1963" w:type="dxa"/>
          </w:tcPr>
          <w:p>
            <w:pPr>
              <w:pStyle w:val="TableParagraph"/>
              <w:spacing w:before="19"/>
              <w:ind w:left="329" w:right="324"/>
              <w:rPr>
                <w:sz w:val="21"/>
              </w:rPr>
            </w:pPr>
            <w:r>
              <w:rPr>
                <w:sz w:val="21"/>
              </w:rPr>
              <w:t>总硬度</w:t>
            </w:r>
          </w:p>
        </w:tc>
        <w:tc>
          <w:tcPr>
            <w:tcW w:w="1218" w:type="dxa"/>
          </w:tcPr>
          <w:p>
            <w:pPr>
              <w:pStyle w:val="TableParagraph"/>
              <w:spacing w:before="33"/>
              <w:ind w:left="179" w:right="174"/>
              <w:rPr>
                <w:rFonts w:ascii="Times New Roman" w:hAnsi="Times New Roman"/>
                <w:sz w:val="21"/>
              </w:rPr>
            </w:pPr>
            <w:r>
              <w:rPr>
                <w:rFonts w:ascii="Times New Roman" w:hAnsi="Times New Roman"/>
                <w:sz w:val="21"/>
              </w:rPr>
              <w:t>≤150</w:t>
            </w:r>
          </w:p>
        </w:tc>
        <w:tc>
          <w:tcPr>
            <w:tcW w:w="1216" w:type="dxa"/>
          </w:tcPr>
          <w:p>
            <w:pPr>
              <w:pStyle w:val="TableParagraph"/>
              <w:spacing w:before="33"/>
              <w:ind w:left="389"/>
              <w:jc w:val="left"/>
              <w:rPr>
                <w:rFonts w:ascii="Times New Roman" w:hAnsi="Times New Roman"/>
                <w:sz w:val="21"/>
              </w:rPr>
            </w:pPr>
            <w:r>
              <w:rPr>
                <w:rFonts w:ascii="Times New Roman" w:hAnsi="Times New Roman"/>
                <w:sz w:val="21"/>
              </w:rPr>
              <w:t>≤300</w:t>
            </w:r>
          </w:p>
        </w:tc>
        <w:tc>
          <w:tcPr>
            <w:tcW w:w="1224" w:type="dxa"/>
          </w:tcPr>
          <w:p>
            <w:pPr>
              <w:pStyle w:val="TableParagraph"/>
              <w:spacing w:before="33"/>
              <w:ind w:left="296" w:right="288"/>
              <w:rPr>
                <w:rFonts w:ascii="Times New Roman" w:hAnsi="Times New Roman"/>
                <w:b/>
                <w:sz w:val="21"/>
              </w:rPr>
            </w:pPr>
            <w:r>
              <w:rPr>
                <w:rFonts w:ascii="Times New Roman" w:hAnsi="Times New Roman"/>
                <w:b/>
                <w:sz w:val="21"/>
              </w:rPr>
              <w:t>≤450</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≤650</w:t>
            </w:r>
          </w:p>
        </w:tc>
        <w:tc>
          <w:tcPr>
            <w:tcW w:w="1218" w:type="dxa"/>
          </w:tcPr>
          <w:p>
            <w:pPr>
              <w:pStyle w:val="TableParagraph"/>
              <w:spacing w:before="33"/>
              <w:ind w:left="179" w:right="174"/>
              <w:rPr>
                <w:rFonts w:ascii="Times New Roman"/>
                <w:sz w:val="21"/>
              </w:rPr>
            </w:pPr>
            <w:r>
              <w:rPr>
                <w:rFonts w:ascii="Times New Roman"/>
                <w:sz w:val="21"/>
              </w:rPr>
              <w:t>&gt;650</w:t>
            </w:r>
          </w:p>
        </w:tc>
      </w:tr>
      <w:tr>
        <w:trPr>
          <w:trHeight w:val="312" w:hRule="atLeast"/>
        </w:trPr>
        <w:tc>
          <w:tcPr>
            <w:tcW w:w="1963" w:type="dxa"/>
          </w:tcPr>
          <w:p>
            <w:pPr>
              <w:pStyle w:val="TableParagraph"/>
              <w:spacing w:before="21"/>
              <w:ind w:left="329" w:right="324"/>
              <w:rPr>
                <w:sz w:val="21"/>
              </w:rPr>
            </w:pPr>
            <w:r>
              <w:rPr>
                <w:sz w:val="21"/>
              </w:rPr>
              <w:t>硫酸盐</w:t>
            </w:r>
          </w:p>
        </w:tc>
        <w:tc>
          <w:tcPr>
            <w:tcW w:w="1218" w:type="dxa"/>
          </w:tcPr>
          <w:p>
            <w:pPr>
              <w:pStyle w:val="TableParagraph"/>
              <w:spacing w:before="35"/>
              <w:ind w:left="179" w:right="174"/>
              <w:rPr>
                <w:rFonts w:ascii="Times New Roman" w:hAnsi="Times New Roman"/>
                <w:sz w:val="21"/>
              </w:rPr>
            </w:pPr>
            <w:r>
              <w:rPr>
                <w:rFonts w:ascii="Times New Roman" w:hAnsi="Times New Roman"/>
                <w:sz w:val="21"/>
              </w:rPr>
              <w:t>≤50</w:t>
            </w:r>
          </w:p>
        </w:tc>
        <w:tc>
          <w:tcPr>
            <w:tcW w:w="1216" w:type="dxa"/>
          </w:tcPr>
          <w:p>
            <w:pPr>
              <w:pStyle w:val="TableParagraph"/>
              <w:spacing w:before="35"/>
              <w:ind w:left="389"/>
              <w:jc w:val="left"/>
              <w:rPr>
                <w:rFonts w:ascii="Times New Roman" w:hAnsi="Times New Roman"/>
                <w:sz w:val="21"/>
              </w:rPr>
            </w:pPr>
            <w:r>
              <w:rPr>
                <w:rFonts w:ascii="Times New Roman" w:hAnsi="Times New Roman"/>
                <w:sz w:val="21"/>
              </w:rPr>
              <w:t>≤150</w:t>
            </w:r>
          </w:p>
        </w:tc>
        <w:tc>
          <w:tcPr>
            <w:tcW w:w="1224" w:type="dxa"/>
          </w:tcPr>
          <w:p>
            <w:pPr>
              <w:pStyle w:val="TableParagraph"/>
              <w:spacing w:before="35"/>
              <w:ind w:left="296" w:right="288"/>
              <w:rPr>
                <w:rFonts w:ascii="Times New Roman" w:hAnsi="Times New Roman"/>
                <w:b/>
                <w:sz w:val="21"/>
              </w:rPr>
            </w:pPr>
            <w:r>
              <w:rPr>
                <w:rFonts w:ascii="Times New Roman" w:hAnsi="Times New Roman"/>
                <w:b/>
                <w:sz w:val="21"/>
              </w:rPr>
              <w:t>≤250</w:t>
            </w:r>
          </w:p>
        </w:tc>
        <w:tc>
          <w:tcPr>
            <w:tcW w:w="1683" w:type="dxa"/>
          </w:tcPr>
          <w:p>
            <w:pPr>
              <w:pStyle w:val="TableParagraph"/>
              <w:spacing w:before="35"/>
              <w:ind w:left="524" w:right="519"/>
              <w:rPr>
                <w:rFonts w:ascii="Times New Roman" w:hAnsi="Times New Roman"/>
                <w:sz w:val="21"/>
              </w:rPr>
            </w:pPr>
            <w:r>
              <w:rPr>
                <w:rFonts w:ascii="Times New Roman" w:hAnsi="Times New Roman"/>
                <w:sz w:val="21"/>
              </w:rPr>
              <w:t>≤350</w:t>
            </w:r>
          </w:p>
        </w:tc>
        <w:tc>
          <w:tcPr>
            <w:tcW w:w="1218" w:type="dxa"/>
          </w:tcPr>
          <w:p>
            <w:pPr>
              <w:pStyle w:val="TableParagraph"/>
              <w:spacing w:before="35"/>
              <w:ind w:left="179" w:right="174"/>
              <w:rPr>
                <w:rFonts w:ascii="Times New Roman"/>
                <w:sz w:val="21"/>
              </w:rPr>
            </w:pPr>
            <w:r>
              <w:rPr>
                <w:rFonts w:ascii="Times New Roman"/>
                <w:sz w:val="21"/>
              </w:rPr>
              <w:t>&gt;350</w:t>
            </w:r>
          </w:p>
        </w:tc>
      </w:tr>
      <w:tr>
        <w:trPr>
          <w:trHeight w:val="311" w:hRule="atLeast"/>
        </w:trPr>
        <w:tc>
          <w:tcPr>
            <w:tcW w:w="1963" w:type="dxa"/>
          </w:tcPr>
          <w:p>
            <w:pPr>
              <w:pStyle w:val="TableParagraph"/>
              <w:spacing w:before="21"/>
              <w:ind w:left="329" w:right="324"/>
              <w:rPr>
                <w:sz w:val="21"/>
              </w:rPr>
            </w:pPr>
            <w:r>
              <w:rPr>
                <w:sz w:val="21"/>
              </w:rPr>
              <w:t>六价铬</w:t>
            </w:r>
          </w:p>
        </w:tc>
        <w:tc>
          <w:tcPr>
            <w:tcW w:w="1218" w:type="dxa"/>
          </w:tcPr>
          <w:p>
            <w:pPr>
              <w:pStyle w:val="TableParagraph"/>
              <w:spacing w:before="34"/>
              <w:ind w:left="179" w:right="172"/>
              <w:rPr>
                <w:rFonts w:ascii="Times New Roman" w:hAnsi="Times New Roman"/>
                <w:sz w:val="21"/>
              </w:rPr>
            </w:pPr>
            <w:r>
              <w:rPr>
                <w:rFonts w:ascii="Times New Roman" w:hAnsi="Times New Roman"/>
                <w:sz w:val="21"/>
              </w:rPr>
              <w:t>≤0.005</w:t>
            </w:r>
          </w:p>
        </w:tc>
        <w:tc>
          <w:tcPr>
            <w:tcW w:w="1216" w:type="dxa"/>
          </w:tcPr>
          <w:p>
            <w:pPr>
              <w:pStyle w:val="TableParagraph"/>
              <w:spacing w:before="34"/>
              <w:ind w:left="363"/>
              <w:jc w:val="left"/>
              <w:rPr>
                <w:rFonts w:ascii="Times New Roman" w:hAnsi="Times New Roman"/>
                <w:sz w:val="21"/>
              </w:rPr>
            </w:pPr>
            <w:r>
              <w:rPr>
                <w:rFonts w:ascii="Times New Roman" w:hAnsi="Times New Roman"/>
                <w:sz w:val="21"/>
              </w:rPr>
              <w:t>≤0.01</w:t>
            </w:r>
          </w:p>
        </w:tc>
        <w:tc>
          <w:tcPr>
            <w:tcW w:w="1224" w:type="dxa"/>
          </w:tcPr>
          <w:p>
            <w:pPr>
              <w:pStyle w:val="TableParagraph"/>
              <w:spacing w:before="34"/>
              <w:ind w:left="298" w:right="288"/>
              <w:rPr>
                <w:rFonts w:ascii="Times New Roman" w:hAnsi="Times New Roman"/>
                <w:b/>
                <w:sz w:val="21"/>
              </w:rPr>
            </w:pPr>
            <w:r>
              <w:rPr>
                <w:rFonts w:ascii="Times New Roman" w:hAnsi="Times New Roman"/>
                <w:b/>
                <w:sz w:val="21"/>
              </w:rPr>
              <w:t>≤0.05</w:t>
            </w:r>
          </w:p>
        </w:tc>
        <w:tc>
          <w:tcPr>
            <w:tcW w:w="1683" w:type="dxa"/>
          </w:tcPr>
          <w:p>
            <w:pPr>
              <w:pStyle w:val="TableParagraph"/>
              <w:spacing w:before="34"/>
              <w:ind w:left="526" w:right="519"/>
              <w:rPr>
                <w:rFonts w:ascii="Times New Roman" w:hAnsi="Times New Roman"/>
                <w:sz w:val="21"/>
              </w:rPr>
            </w:pPr>
            <w:r>
              <w:rPr>
                <w:rFonts w:ascii="Times New Roman" w:hAnsi="Times New Roman"/>
                <w:sz w:val="21"/>
              </w:rPr>
              <w:t>≤0.10</w:t>
            </w:r>
          </w:p>
        </w:tc>
        <w:tc>
          <w:tcPr>
            <w:tcW w:w="1218" w:type="dxa"/>
          </w:tcPr>
          <w:p>
            <w:pPr>
              <w:pStyle w:val="TableParagraph"/>
              <w:spacing w:before="34"/>
              <w:ind w:left="179" w:right="174"/>
              <w:rPr>
                <w:rFonts w:ascii="Times New Roman"/>
                <w:sz w:val="21"/>
              </w:rPr>
            </w:pPr>
            <w:r>
              <w:rPr>
                <w:rFonts w:ascii="Times New Roman"/>
                <w:sz w:val="21"/>
              </w:rPr>
              <w:t>&gt;0.10</w:t>
            </w:r>
          </w:p>
        </w:tc>
      </w:tr>
      <w:tr>
        <w:trPr>
          <w:trHeight w:val="312" w:hRule="atLeast"/>
        </w:trPr>
        <w:tc>
          <w:tcPr>
            <w:tcW w:w="1963" w:type="dxa"/>
          </w:tcPr>
          <w:p>
            <w:pPr>
              <w:pStyle w:val="TableParagraph"/>
              <w:spacing w:before="20"/>
              <w:ind w:left="329" w:right="324"/>
              <w:rPr>
                <w:sz w:val="21"/>
              </w:rPr>
            </w:pPr>
            <w:r>
              <w:rPr>
                <w:sz w:val="21"/>
              </w:rPr>
              <w:t>氯化物</w:t>
            </w:r>
          </w:p>
        </w:tc>
        <w:tc>
          <w:tcPr>
            <w:tcW w:w="1218" w:type="dxa"/>
          </w:tcPr>
          <w:p>
            <w:pPr>
              <w:pStyle w:val="TableParagraph"/>
              <w:spacing w:before="34"/>
              <w:ind w:left="179" w:right="174"/>
              <w:rPr>
                <w:rFonts w:ascii="Times New Roman" w:hAnsi="Times New Roman"/>
                <w:sz w:val="21"/>
              </w:rPr>
            </w:pPr>
            <w:r>
              <w:rPr>
                <w:rFonts w:ascii="Times New Roman" w:hAnsi="Times New Roman"/>
                <w:sz w:val="21"/>
              </w:rPr>
              <w:t>≤50</w:t>
            </w:r>
          </w:p>
        </w:tc>
        <w:tc>
          <w:tcPr>
            <w:tcW w:w="1216" w:type="dxa"/>
          </w:tcPr>
          <w:p>
            <w:pPr>
              <w:pStyle w:val="TableParagraph"/>
              <w:spacing w:before="34"/>
              <w:ind w:left="389"/>
              <w:jc w:val="left"/>
              <w:rPr>
                <w:rFonts w:ascii="Times New Roman" w:hAnsi="Times New Roman"/>
                <w:sz w:val="21"/>
              </w:rPr>
            </w:pPr>
            <w:r>
              <w:rPr>
                <w:rFonts w:ascii="Times New Roman" w:hAnsi="Times New Roman"/>
                <w:sz w:val="21"/>
              </w:rPr>
              <w:t>≤150</w:t>
            </w:r>
          </w:p>
        </w:tc>
        <w:tc>
          <w:tcPr>
            <w:tcW w:w="1224" w:type="dxa"/>
          </w:tcPr>
          <w:p>
            <w:pPr>
              <w:pStyle w:val="TableParagraph"/>
              <w:spacing w:before="34"/>
              <w:ind w:left="296" w:right="288"/>
              <w:rPr>
                <w:rFonts w:ascii="Times New Roman" w:hAnsi="Times New Roman"/>
                <w:b/>
                <w:sz w:val="21"/>
              </w:rPr>
            </w:pPr>
            <w:r>
              <w:rPr>
                <w:rFonts w:ascii="Times New Roman" w:hAnsi="Times New Roman"/>
                <w:b/>
                <w:sz w:val="21"/>
              </w:rPr>
              <w:t>≤250</w:t>
            </w:r>
          </w:p>
        </w:tc>
        <w:tc>
          <w:tcPr>
            <w:tcW w:w="1683" w:type="dxa"/>
          </w:tcPr>
          <w:p>
            <w:pPr>
              <w:pStyle w:val="TableParagraph"/>
              <w:spacing w:before="34"/>
              <w:ind w:left="524" w:right="519"/>
              <w:rPr>
                <w:rFonts w:ascii="Times New Roman" w:hAnsi="Times New Roman"/>
                <w:sz w:val="21"/>
              </w:rPr>
            </w:pPr>
            <w:r>
              <w:rPr>
                <w:rFonts w:ascii="Times New Roman" w:hAnsi="Times New Roman"/>
                <w:sz w:val="21"/>
              </w:rPr>
              <w:t>≤350</w:t>
            </w:r>
          </w:p>
        </w:tc>
        <w:tc>
          <w:tcPr>
            <w:tcW w:w="1218" w:type="dxa"/>
          </w:tcPr>
          <w:p>
            <w:pPr>
              <w:pStyle w:val="TableParagraph"/>
              <w:spacing w:before="34"/>
              <w:ind w:left="179" w:right="174"/>
              <w:rPr>
                <w:rFonts w:ascii="Times New Roman"/>
                <w:sz w:val="21"/>
              </w:rPr>
            </w:pPr>
            <w:r>
              <w:rPr>
                <w:rFonts w:ascii="Times New Roman"/>
                <w:sz w:val="21"/>
              </w:rPr>
              <w:t>&gt;350</w:t>
            </w:r>
          </w:p>
        </w:tc>
      </w:tr>
      <w:tr>
        <w:trPr>
          <w:trHeight w:val="312" w:hRule="atLeast"/>
        </w:trPr>
        <w:tc>
          <w:tcPr>
            <w:tcW w:w="1963" w:type="dxa"/>
          </w:tcPr>
          <w:p>
            <w:pPr>
              <w:pStyle w:val="TableParagraph"/>
              <w:spacing w:before="20"/>
              <w:ind w:left="329" w:right="324"/>
              <w:rPr>
                <w:sz w:val="21"/>
              </w:rPr>
            </w:pPr>
            <w:r>
              <w:rPr>
                <w:sz w:val="21"/>
              </w:rPr>
              <w:t>溶解性总固体</w:t>
            </w:r>
          </w:p>
        </w:tc>
        <w:tc>
          <w:tcPr>
            <w:tcW w:w="1218" w:type="dxa"/>
          </w:tcPr>
          <w:p>
            <w:pPr>
              <w:pStyle w:val="TableParagraph"/>
              <w:spacing w:before="34"/>
              <w:ind w:left="179" w:right="174"/>
              <w:rPr>
                <w:rFonts w:ascii="Times New Roman" w:hAnsi="Times New Roman"/>
                <w:sz w:val="21"/>
              </w:rPr>
            </w:pPr>
            <w:r>
              <w:rPr>
                <w:rFonts w:ascii="Times New Roman" w:hAnsi="Times New Roman"/>
                <w:sz w:val="21"/>
              </w:rPr>
              <w:t>≤300</w:t>
            </w:r>
          </w:p>
        </w:tc>
        <w:tc>
          <w:tcPr>
            <w:tcW w:w="1216" w:type="dxa"/>
          </w:tcPr>
          <w:p>
            <w:pPr>
              <w:pStyle w:val="TableParagraph"/>
              <w:spacing w:before="34"/>
              <w:ind w:left="389"/>
              <w:jc w:val="left"/>
              <w:rPr>
                <w:rFonts w:ascii="Times New Roman" w:hAnsi="Times New Roman"/>
                <w:sz w:val="21"/>
              </w:rPr>
            </w:pPr>
            <w:r>
              <w:rPr>
                <w:rFonts w:ascii="Times New Roman" w:hAnsi="Times New Roman"/>
                <w:sz w:val="21"/>
              </w:rPr>
              <w:t>≤500</w:t>
            </w:r>
          </w:p>
        </w:tc>
        <w:tc>
          <w:tcPr>
            <w:tcW w:w="1224" w:type="dxa"/>
          </w:tcPr>
          <w:p>
            <w:pPr>
              <w:pStyle w:val="TableParagraph"/>
              <w:spacing w:before="34"/>
              <w:ind w:left="296" w:right="288"/>
              <w:rPr>
                <w:rFonts w:ascii="Times New Roman" w:hAnsi="Times New Roman"/>
                <w:b/>
                <w:sz w:val="21"/>
              </w:rPr>
            </w:pPr>
            <w:r>
              <w:rPr>
                <w:rFonts w:ascii="Times New Roman" w:hAnsi="Times New Roman"/>
                <w:b/>
                <w:sz w:val="21"/>
              </w:rPr>
              <w:t>≤1000</w:t>
            </w:r>
          </w:p>
        </w:tc>
        <w:tc>
          <w:tcPr>
            <w:tcW w:w="1683" w:type="dxa"/>
          </w:tcPr>
          <w:p>
            <w:pPr>
              <w:pStyle w:val="TableParagraph"/>
              <w:spacing w:before="34"/>
              <w:ind w:left="524" w:right="519"/>
              <w:rPr>
                <w:rFonts w:ascii="Times New Roman" w:hAnsi="Times New Roman"/>
                <w:sz w:val="21"/>
              </w:rPr>
            </w:pPr>
            <w:r>
              <w:rPr>
                <w:rFonts w:ascii="Times New Roman" w:hAnsi="Times New Roman"/>
                <w:sz w:val="21"/>
              </w:rPr>
              <w:t>≤2000</w:t>
            </w:r>
          </w:p>
        </w:tc>
        <w:tc>
          <w:tcPr>
            <w:tcW w:w="1218" w:type="dxa"/>
          </w:tcPr>
          <w:p>
            <w:pPr>
              <w:pStyle w:val="TableParagraph"/>
              <w:spacing w:before="34"/>
              <w:ind w:left="179" w:right="174"/>
              <w:rPr>
                <w:rFonts w:ascii="Times New Roman"/>
                <w:sz w:val="21"/>
              </w:rPr>
            </w:pPr>
            <w:r>
              <w:rPr>
                <w:rFonts w:ascii="Times New Roman"/>
                <w:sz w:val="21"/>
              </w:rPr>
              <w:t>&gt;2000</w:t>
            </w:r>
          </w:p>
        </w:tc>
      </w:tr>
      <w:tr>
        <w:trPr>
          <w:trHeight w:val="312" w:hRule="atLeast"/>
        </w:trPr>
        <w:tc>
          <w:tcPr>
            <w:tcW w:w="1963" w:type="dxa"/>
          </w:tcPr>
          <w:p>
            <w:pPr>
              <w:pStyle w:val="TableParagraph"/>
              <w:spacing w:before="19"/>
              <w:ind w:left="329" w:right="324"/>
              <w:rPr>
                <w:sz w:val="21"/>
              </w:rPr>
            </w:pPr>
            <w:r>
              <w:rPr>
                <w:sz w:val="21"/>
              </w:rPr>
              <w:t>高锰酸盐指数</w:t>
            </w:r>
          </w:p>
        </w:tc>
        <w:tc>
          <w:tcPr>
            <w:tcW w:w="1218" w:type="dxa"/>
          </w:tcPr>
          <w:p>
            <w:pPr>
              <w:pStyle w:val="TableParagraph"/>
              <w:spacing w:before="33"/>
              <w:ind w:left="179" w:right="174"/>
              <w:rPr>
                <w:rFonts w:ascii="Times New Roman" w:hAnsi="Times New Roman"/>
                <w:sz w:val="21"/>
              </w:rPr>
            </w:pPr>
            <w:r>
              <w:rPr>
                <w:rFonts w:ascii="Times New Roman" w:hAnsi="Times New Roman"/>
                <w:sz w:val="21"/>
              </w:rPr>
              <w:t>≤1.0</w:t>
            </w:r>
          </w:p>
        </w:tc>
        <w:tc>
          <w:tcPr>
            <w:tcW w:w="1216" w:type="dxa"/>
          </w:tcPr>
          <w:p>
            <w:pPr>
              <w:pStyle w:val="TableParagraph"/>
              <w:spacing w:before="33"/>
              <w:ind w:left="369" w:right="362"/>
              <w:rPr>
                <w:rFonts w:ascii="Times New Roman" w:hAnsi="Times New Roman"/>
                <w:sz w:val="21"/>
              </w:rPr>
            </w:pPr>
            <w:r>
              <w:rPr>
                <w:rFonts w:ascii="Times New Roman" w:hAnsi="Times New Roman"/>
                <w:sz w:val="21"/>
              </w:rPr>
              <w:t>≤2.0</w:t>
            </w:r>
          </w:p>
        </w:tc>
        <w:tc>
          <w:tcPr>
            <w:tcW w:w="1224" w:type="dxa"/>
          </w:tcPr>
          <w:p>
            <w:pPr>
              <w:pStyle w:val="TableParagraph"/>
              <w:spacing w:before="33"/>
              <w:ind w:left="296" w:right="288"/>
              <w:rPr>
                <w:rFonts w:ascii="Times New Roman" w:hAnsi="Times New Roman"/>
                <w:b/>
                <w:sz w:val="21"/>
              </w:rPr>
            </w:pPr>
            <w:r>
              <w:rPr>
                <w:rFonts w:ascii="Times New Roman" w:hAnsi="Times New Roman"/>
                <w:b/>
                <w:sz w:val="21"/>
              </w:rPr>
              <w:t>≤3.0</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≤10</w:t>
            </w:r>
          </w:p>
        </w:tc>
        <w:tc>
          <w:tcPr>
            <w:tcW w:w="1218" w:type="dxa"/>
          </w:tcPr>
          <w:p>
            <w:pPr>
              <w:pStyle w:val="TableParagraph"/>
              <w:spacing w:before="33"/>
              <w:ind w:left="179" w:right="174"/>
              <w:rPr>
                <w:rFonts w:ascii="Times New Roman"/>
                <w:sz w:val="21"/>
              </w:rPr>
            </w:pPr>
            <w:r>
              <w:rPr>
                <w:rFonts w:ascii="Times New Roman"/>
                <w:sz w:val="21"/>
              </w:rPr>
              <w:t>&gt;10</w:t>
            </w:r>
          </w:p>
        </w:tc>
      </w:tr>
      <w:tr>
        <w:trPr>
          <w:trHeight w:val="310" w:hRule="atLeast"/>
        </w:trPr>
        <w:tc>
          <w:tcPr>
            <w:tcW w:w="1963" w:type="dxa"/>
          </w:tcPr>
          <w:p>
            <w:pPr>
              <w:pStyle w:val="TableParagraph"/>
              <w:spacing w:before="19"/>
              <w:ind w:left="329" w:right="322"/>
              <w:rPr>
                <w:sz w:val="21"/>
              </w:rPr>
            </w:pPr>
            <w:r>
              <w:rPr>
                <w:sz w:val="21"/>
              </w:rPr>
              <w:t>总大肠菌群</w:t>
            </w:r>
          </w:p>
        </w:tc>
        <w:tc>
          <w:tcPr>
            <w:tcW w:w="1218" w:type="dxa"/>
          </w:tcPr>
          <w:p>
            <w:pPr>
              <w:pStyle w:val="TableParagraph"/>
              <w:spacing w:before="33"/>
              <w:ind w:left="179" w:right="174"/>
              <w:rPr>
                <w:rFonts w:ascii="Times New Roman" w:hAnsi="Times New Roman"/>
                <w:sz w:val="21"/>
              </w:rPr>
            </w:pPr>
            <w:r>
              <w:rPr>
                <w:rFonts w:ascii="Times New Roman" w:hAnsi="Times New Roman"/>
                <w:sz w:val="21"/>
              </w:rPr>
              <w:t>≤3.0</w:t>
            </w:r>
          </w:p>
        </w:tc>
        <w:tc>
          <w:tcPr>
            <w:tcW w:w="1216" w:type="dxa"/>
          </w:tcPr>
          <w:p>
            <w:pPr>
              <w:pStyle w:val="TableParagraph"/>
              <w:spacing w:before="33"/>
              <w:ind w:left="369" w:right="362"/>
              <w:rPr>
                <w:rFonts w:ascii="Times New Roman" w:hAnsi="Times New Roman"/>
                <w:sz w:val="21"/>
              </w:rPr>
            </w:pPr>
            <w:r>
              <w:rPr>
                <w:rFonts w:ascii="Times New Roman" w:hAnsi="Times New Roman"/>
                <w:sz w:val="21"/>
              </w:rPr>
              <w:t>≤3.0</w:t>
            </w:r>
          </w:p>
        </w:tc>
        <w:tc>
          <w:tcPr>
            <w:tcW w:w="1224" w:type="dxa"/>
          </w:tcPr>
          <w:p>
            <w:pPr>
              <w:pStyle w:val="TableParagraph"/>
              <w:spacing w:before="33"/>
              <w:ind w:left="296" w:right="288"/>
              <w:rPr>
                <w:rFonts w:ascii="Times New Roman" w:hAnsi="Times New Roman"/>
                <w:b/>
                <w:sz w:val="21"/>
              </w:rPr>
            </w:pPr>
            <w:r>
              <w:rPr>
                <w:rFonts w:ascii="Times New Roman" w:hAnsi="Times New Roman"/>
                <w:b/>
                <w:sz w:val="21"/>
              </w:rPr>
              <w:t>≤3.0</w:t>
            </w:r>
          </w:p>
        </w:tc>
        <w:tc>
          <w:tcPr>
            <w:tcW w:w="1683" w:type="dxa"/>
          </w:tcPr>
          <w:p>
            <w:pPr>
              <w:pStyle w:val="TableParagraph"/>
              <w:spacing w:before="33"/>
              <w:ind w:left="524" w:right="519"/>
              <w:rPr>
                <w:rFonts w:ascii="Times New Roman" w:hAnsi="Times New Roman"/>
                <w:sz w:val="21"/>
              </w:rPr>
            </w:pPr>
            <w:r>
              <w:rPr>
                <w:rFonts w:ascii="Times New Roman" w:hAnsi="Times New Roman"/>
                <w:sz w:val="21"/>
              </w:rPr>
              <w:t>≤100</w:t>
            </w:r>
          </w:p>
        </w:tc>
        <w:tc>
          <w:tcPr>
            <w:tcW w:w="1218" w:type="dxa"/>
          </w:tcPr>
          <w:p>
            <w:pPr>
              <w:pStyle w:val="TableParagraph"/>
              <w:spacing w:before="33"/>
              <w:ind w:left="179" w:right="174"/>
              <w:rPr>
                <w:rFonts w:ascii="Times New Roman"/>
                <w:sz w:val="21"/>
              </w:rPr>
            </w:pPr>
            <w:r>
              <w:rPr>
                <w:rFonts w:ascii="Times New Roman"/>
                <w:sz w:val="21"/>
              </w:rPr>
              <w:t>&gt;100</w:t>
            </w:r>
          </w:p>
        </w:tc>
      </w:tr>
    </w:tbl>
    <w:p>
      <w:pPr>
        <w:spacing w:after="0"/>
        <w:rPr>
          <w:rFonts w:ascii="Times New Roman"/>
          <w:sz w:val="21"/>
        </w:rPr>
        <w:sectPr>
          <w:pgSz w:w="11910" w:h="16840"/>
          <w:pgMar w:header="0" w:footer="993" w:top="1580" w:bottom="1180" w:left="1040" w:right="600"/>
        </w:sect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3"/>
        <w:gridCol w:w="1218"/>
        <w:gridCol w:w="1216"/>
        <w:gridCol w:w="1224"/>
        <w:gridCol w:w="1683"/>
        <w:gridCol w:w="1218"/>
      </w:tblGrid>
      <w:tr>
        <w:trPr>
          <w:trHeight w:val="467" w:hRule="atLeast"/>
        </w:trPr>
        <w:tc>
          <w:tcPr>
            <w:tcW w:w="1963" w:type="dxa"/>
          </w:tcPr>
          <w:p>
            <w:pPr>
              <w:pStyle w:val="TableParagraph"/>
              <w:jc w:val="left"/>
              <w:rPr>
                <w:rFonts w:ascii="Times New Roman"/>
                <w:sz w:val="20"/>
              </w:rPr>
            </w:pPr>
          </w:p>
        </w:tc>
        <w:tc>
          <w:tcPr>
            <w:tcW w:w="1218" w:type="dxa"/>
          </w:tcPr>
          <w:p>
            <w:pPr>
              <w:pStyle w:val="TableParagraph"/>
              <w:spacing w:before="98"/>
              <w:ind w:left="179" w:right="170"/>
              <w:rPr>
                <w:sz w:val="21"/>
              </w:rPr>
            </w:pPr>
            <w:r>
              <w:rPr>
                <w:sz w:val="21"/>
              </w:rPr>
              <w:t>Ⅰ类</w:t>
            </w:r>
          </w:p>
        </w:tc>
        <w:tc>
          <w:tcPr>
            <w:tcW w:w="1216" w:type="dxa"/>
          </w:tcPr>
          <w:p>
            <w:pPr>
              <w:pStyle w:val="TableParagraph"/>
              <w:spacing w:before="98"/>
              <w:ind w:left="369" w:right="361"/>
              <w:rPr>
                <w:sz w:val="21"/>
              </w:rPr>
            </w:pPr>
            <w:r>
              <w:rPr>
                <w:sz w:val="21"/>
              </w:rPr>
              <w:t>Ⅱ类</w:t>
            </w:r>
          </w:p>
        </w:tc>
        <w:tc>
          <w:tcPr>
            <w:tcW w:w="1224" w:type="dxa"/>
          </w:tcPr>
          <w:p>
            <w:pPr>
              <w:pStyle w:val="TableParagraph"/>
              <w:spacing w:before="98"/>
              <w:ind w:left="297" w:right="288"/>
              <w:rPr>
                <w:b/>
                <w:sz w:val="21"/>
              </w:rPr>
            </w:pPr>
            <w:r>
              <w:rPr>
                <w:b/>
                <w:sz w:val="21"/>
              </w:rPr>
              <w:t>Ⅲ类</w:t>
            </w:r>
          </w:p>
        </w:tc>
        <w:tc>
          <w:tcPr>
            <w:tcW w:w="1683" w:type="dxa"/>
          </w:tcPr>
          <w:p>
            <w:pPr>
              <w:pStyle w:val="TableParagraph"/>
              <w:spacing w:before="98"/>
              <w:ind w:right="622"/>
              <w:jc w:val="right"/>
              <w:rPr>
                <w:sz w:val="21"/>
              </w:rPr>
            </w:pPr>
            <w:r>
              <w:rPr>
                <w:w w:val="95"/>
                <w:sz w:val="21"/>
              </w:rPr>
              <w:t>Ⅳ类</w:t>
            </w:r>
          </w:p>
        </w:tc>
        <w:tc>
          <w:tcPr>
            <w:tcW w:w="1218" w:type="dxa"/>
          </w:tcPr>
          <w:p>
            <w:pPr>
              <w:pStyle w:val="TableParagraph"/>
              <w:spacing w:before="98"/>
              <w:ind w:left="179" w:right="170"/>
              <w:rPr>
                <w:sz w:val="21"/>
              </w:rPr>
            </w:pPr>
            <w:r>
              <w:rPr>
                <w:rFonts w:ascii="Times New Roman" w:eastAsia="Times New Roman"/>
                <w:sz w:val="21"/>
              </w:rPr>
              <w:t>V </w:t>
            </w:r>
            <w:r>
              <w:rPr>
                <w:sz w:val="21"/>
              </w:rPr>
              <w:t>类</w:t>
            </w:r>
          </w:p>
        </w:tc>
      </w:tr>
      <w:tr>
        <w:trPr>
          <w:trHeight w:val="312" w:hRule="atLeast"/>
        </w:trPr>
        <w:tc>
          <w:tcPr>
            <w:tcW w:w="1963" w:type="dxa"/>
          </w:tcPr>
          <w:p>
            <w:pPr>
              <w:pStyle w:val="TableParagraph"/>
              <w:spacing w:before="21"/>
              <w:ind w:left="561"/>
              <w:jc w:val="left"/>
              <w:rPr>
                <w:sz w:val="21"/>
              </w:rPr>
            </w:pPr>
            <w:r>
              <w:rPr>
                <w:sz w:val="21"/>
              </w:rPr>
              <w:t>细菌总数</w:t>
            </w:r>
          </w:p>
        </w:tc>
        <w:tc>
          <w:tcPr>
            <w:tcW w:w="1218" w:type="dxa"/>
          </w:tcPr>
          <w:p>
            <w:pPr>
              <w:pStyle w:val="TableParagraph"/>
              <w:spacing w:before="34"/>
              <w:ind w:left="179" w:right="174"/>
              <w:rPr>
                <w:rFonts w:ascii="Times New Roman" w:hAnsi="Times New Roman"/>
                <w:sz w:val="21"/>
              </w:rPr>
            </w:pPr>
            <w:r>
              <w:rPr>
                <w:rFonts w:ascii="Times New Roman" w:hAnsi="Times New Roman"/>
                <w:sz w:val="21"/>
              </w:rPr>
              <w:t>≤100</w:t>
            </w:r>
          </w:p>
        </w:tc>
        <w:tc>
          <w:tcPr>
            <w:tcW w:w="1216" w:type="dxa"/>
          </w:tcPr>
          <w:p>
            <w:pPr>
              <w:pStyle w:val="TableParagraph"/>
              <w:spacing w:before="34"/>
              <w:ind w:left="369" w:right="365"/>
              <w:rPr>
                <w:rFonts w:ascii="Times New Roman" w:hAnsi="Times New Roman"/>
                <w:sz w:val="21"/>
              </w:rPr>
            </w:pPr>
            <w:r>
              <w:rPr>
                <w:rFonts w:ascii="Times New Roman" w:hAnsi="Times New Roman"/>
                <w:sz w:val="21"/>
              </w:rPr>
              <w:t>≤100</w:t>
            </w:r>
          </w:p>
        </w:tc>
        <w:tc>
          <w:tcPr>
            <w:tcW w:w="1224" w:type="dxa"/>
          </w:tcPr>
          <w:p>
            <w:pPr>
              <w:pStyle w:val="TableParagraph"/>
              <w:spacing w:before="34"/>
              <w:ind w:left="296" w:right="288"/>
              <w:rPr>
                <w:rFonts w:ascii="Times New Roman" w:hAnsi="Times New Roman"/>
                <w:b/>
                <w:sz w:val="21"/>
              </w:rPr>
            </w:pPr>
            <w:r>
              <w:rPr>
                <w:rFonts w:ascii="Times New Roman" w:hAnsi="Times New Roman"/>
                <w:b/>
                <w:sz w:val="21"/>
              </w:rPr>
              <w:t>≤100</w:t>
            </w:r>
          </w:p>
        </w:tc>
        <w:tc>
          <w:tcPr>
            <w:tcW w:w="1683" w:type="dxa"/>
          </w:tcPr>
          <w:p>
            <w:pPr>
              <w:pStyle w:val="TableParagraph"/>
              <w:spacing w:before="34"/>
              <w:ind w:right="563"/>
              <w:jc w:val="right"/>
              <w:rPr>
                <w:rFonts w:ascii="Times New Roman" w:hAnsi="Times New Roman"/>
                <w:sz w:val="21"/>
              </w:rPr>
            </w:pPr>
            <w:r>
              <w:rPr>
                <w:rFonts w:ascii="Times New Roman" w:hAnsi="Times New Roman"/>
                <w:sz w:val="21"/>
              </w:rPr>
              <w:t>≤1000</w:t>
            </w:r>
          </w:p>
        </w:tc>
        <w:tc>
          <w:tcPr>
            <w:tcW w:w="1218" w:type="dxa"/>
          </w:tcPr>
          <w:p>
            <w:pPr>
              <w:pStyle w:val="TableParagraph"/>
              <w:spacing w:before="34"/>
              <w:ind w:left="179" w:right="174"/>
              <w:rPr>
                <w:rFonts w:ascii="Times New Roman"/>
                <w:sz w:val="21"/>
              </w:rPr>
            </w:pPr>
            <w:r>
              <w:rPr>
                <w:rFonts w:ascii="Times New Roman"/>
                <w:sz w:val="21"/>
              </w:rPr>
              <w:t>&gt;1000</w:t>
            </w:r>
          </w:p>
        </w:tc>
      </w:tr>
    </w:tbl>
    <w:p>
      <w:pPr>
        <w:spacing w:before="20"/>
        <w:ind w:left="711" w:right="0" w:firstLine="0"/>
        <w:jc w:val="left"/>
        <w:rPr>
          <w:sz w:val="21"/>
        </w:rPr>
      </w:pPr>
      <w:r>
        <w:rPr>
          <w:spacing w:val="-1"/>
          <w:w w:val="99"/>
          <w:sz w:val="21"/>
        </w:rPr>
        <w:t>（</w:t>
      </w:r>
      <w:r>
        <w:rPr>
          <w:spacing w:val="-13"/>
          <w:w w:val="99"/>
          <w:sz w:val="21"/>
        </w:rPr>
        <w:t>注：单位为</w:t>
      </w:r>
      <w:r>
        <w:rPr>
          <w:spacing w:val="-53"/>
          <w:sz w:val="21"/>
        </w:rPr>
        <w:t> </w:t>
      </w:r>
      <w:r>
        <w:rPr>
          <w:rFonts w:ascii="Times New Roman" w:eastAsia="Times New Roman"/>
          <w:w w:val="99"/>
          <w:sz w:val="21"/>
        </w:rPr>
        <w:t>m</w:t>
      </w:r>
      <w:r>
        <w:rPr>
          <w:rFonts w:ascii="Times New Roman" w:eastAsia="Times New Roman"/>
          <w:spacing w:val="-2"/>
          <w:w w:val="99"/>
          <w:sz w:val="21"/>
        </w:rPr>
        <w:t>g</w:t>
      </w:r>
      <w:r>
        <w:rPr>
          <w:rFonts w:ascii="Times New Roman" w:eastAsia="Times New Roman"/>
          <w:spacing w:val="1"/>
          <w:w w:val="99"/>
          <w:sz w:val="21"/>
        </w:rPr>
        <w:t>/L</w:t>
      </w:r>
      <w:r>
        <w:rPr>
          <w:spacing w:val="-61"/>
          <w:w w:val="99"/>
          <w:sz w:val="21"/>
        </w:rPr>
        <w:t>，</w:t>
      </w:r>
      <w:r>
        <w:rPr>
          <w:rFonts w:ascii="Times New Roman" w:eastAsia="Times New Roman"/>
          <w:spacing w:val="1"/>
          <w:w w:val="99"/>
          <w:sz w:val="21"/>
        </w:rPr>
        <w:t>p</w:t>
      </w:r>
      <w:r>
        <w:rPr>
          <w:rFonts w:ascii="Times New Roman" w:eastAsia="Times New Roman"/>
          <w:w w:val="99"/>
          <w:sz w:val="21"/>
        </w:rPr>
        <w:t>H</w:t>
      </w:r>
      <w:r>
        <w:rPr>
          <w:rFonts w:ascii="Times New Roman" w:eastAsia="Times New Roman"/>
          <w:sz w:val="21"/>
        </w:rPr>
        <w:t> </w:t>
      </w:r>
      <w:r>
        <w:rPr>
          <w:spacing w:val="-8"/>
          <w:w w:val="99"/>
          <w:sz w:val="21"/>
        </w:rPr>
        <w:t>无量纲，总大肠菌群单位为</w:t>
      </w:r>
      <w:r>
        <w:rPr>
          <w:spacing w:val="-50"/>
          <w:sz w:val="21"/>
        </w:rPr>
        <w:t> </w:t>
      </w:r>
      <w:r>
        <w:rPr>
          <w:rFonts w:ascii="Times New Roman" w:eastAsia="Times New Roman"/>
          <w:spacing w:val="-2"/>
          <w:w w:val="99"/>
          <w:sz w:val="21"/>
        </w:rPr>
        <w:t>M</w:t>
      </w:r>
      <w:r>
        <w:rPr>
          <w:rFonts w:ascii="Times New Roman" w:eastAsia="Times New Roman"/>
          <w:spacing w:val="1"/>
          <w:w w:val="99"/>
          <w:sz w:val="21"/>
        </w:rPr>
        <w:t>P</w:t>
      </w:r>
      <w:r>
        <w:rPr>
          <w:rFonts w:ascii="Times New Roman" w:eastAsia="Times New Roman"/>
          <w:w w:val="99"/>
          <w:sz w:val="21"/>
        </w:rPr>
        <w:t>N</w:t>
      </w:r>
      <w:r>
        <w:rPr>
          <w:rFonts w:ascii="Times New Roman" w:eastAsia="Times New Roman"/>
          <w:spacing w:val="1"/>
          <w:w w:val="105"/>
          <w:position w:val="7"/>
          <w:sz w:val="13"/>
        </w:rPr>
        <w:t>b</w:t>
      </w:r>
      <w:r>
        <w:rPr>
          <w:rFonts w:ascii="Times New Roman" w:eastAsia="Times New Roman"/>
          <w:spacing w:val="-1"/>
          <w:w w:val="99"/>
          <w:sz w:val="21"/>
        </w:rPr>
        <w:t>/</w:t>
      </w:r>
      <w:r>
        <w:rPr>
          <w:rFonts w:ascii="Times New Roman" w:eastAsia="Times New Roman"/>
          <w:spacing w:val="1"/>
          <w:w w:val="99"/>
          <w:sz w:val="21"/>
        </w:rPr>
        <w:t>100</w:t>
      </w:r>
      <w:r>
        <w:rPr>
          <w:rFonts w:ascii="Times New Roman" w:eastAsia="Times New Roman"/>
          <w:spacing w:val="-2"/>
          <w:w w:val="99"/>
          <w:sz w:val="21"/>
        </w:rPr>
        <w:t>m</w:t>
      </w:r>
      <w:r>
        <w:rPr>
          <w:rFonts w:ascii="Times New Roman" w:eastAsia="Times New Roman"/>
          <w:spacing w:val="1"/>
          <w:w w:val="99"/>
          <w:sz w:val="21"/>
        </w:rPr>
        <w:t>L</w:t>
      </w:r>
      <w:r>
        <w:rPr>
          <w:spacing w:val="-9"/>
          <w:w w:val="99"/>
          <w:sz w:val="21"/>
        </w:rPr>
        <w:t>，细菌总数单位为</w:t>
      </w:r>
      <w:r>
        <w:rPr>
          <w:spacing w:val="-53"/>
          <w:sz w:val="21"/>
        </w:rPr>
        <w:t> </w:t>
      </w:r>
      <w:r>
        <w:rPr>
          <w:rFonts w:ascii="Times New Roman" w:eastAsia="Times New Roman"/>
          <w:spacing w:val="-1"/>
          <w:w w:val="99"/>
          <w:sz w:val="21"/>
        </w:rPr>
        <w:t>C</w:t>
      </w:r>
      <w:r>
        <w:rPr>
          <w:rFonts w:ascii="Times New Roman" w:eastAsia="Times New Roman"/>
          <w:spacing w:val="-2"/>
          <w:w w:val="99"/>
          <w:sz w:val="21"/>
        </w:rPr>
        <w:t>F</w:t>
      </w:r>
      <w:r>
        <w:rPr>
          <w:rFonts w:ascii="Times New Roman" w:eastAsia="Times New Roman"/>
          <w:spacing w:val="2"/>
          <w:w w:val="99"/>
          <w:sz w:val="21"/>
        </w:rPr>
        <w:t>U</w:t>
      </w:r>
      <w:r>
        <w:rPr>
          <w:rFonts w:ascii="Times New Roman" w:eastAsia="Times New Roman"/>
          <w:spacing w:val="-1"/>
          <w:w w:val="99"/>
          <w:sz w:val="21"/>
        </w:rPr>
        <w:t>/</w:t>
      </w:r>
      <w:r>
        <w:rPr>
          <w:rFonts w:ascii="Times New Roman" w:eastAsia="Times New Roman"/>
          <w:w w:val="99"/>
          <w:sz w:val="21"/>
        </w:rPr>
        <w:t>m</w:t>
      </w:r>
      <w:r>
        <w:rPr>
          <w:rFonts w:ascii="Times New Roman" w:eastAsia="Times New Roman"/>
          <w:spacing w:val="4"/>
          <w:w w:val="99"/>
          <w:sz w:val="21"/>
        </w:rPr>
        <w:t>L</w:t>
      </w:r>
      <w:r>
        <w:rPr>
          <w:w w:val="99"/>
          <w:sz w:val="21"/>
        </w:rPr>
        <w:t>）</w:t>
      </w:r>
    </w:p>
    <w:p>
      <w:pPr>
        <w:pStyle w:val="Heading4"/>
        <w:numPr>
          <w:ilvl w:val="3"/>
          <w:numId w:val="54"/>
        </w:numPr>
        <w:tabs>
          <w:tab w:pos="1432" w:val="left" w:leader="none"/>
        </w:tabs>
        <w:spacing w:line="240" w:lineRule="auto" w:before="25" w:after="0"/>
        <w:ind w:left="1432" w:right="0" w:hanging="721"/>
        <w:jc w:val="left"/>
      </w:pPr>
      <w:r>
        <w:rPr/>
        <w:t>评价结果及分析</w:t>
      </w:r>
    </w:p>
    <w:p>
      <w:pPr>
        <w:pStyle w:val="BodyText"/>
        <w:spacing w:before="7"/>
        <w:rPr>
          <w:b/>
          <w:sz w:val="18"/>
        </w:rPr>
      </w:pPr>
    </w:p>
    <w:p>
      <w:pPr>
        <w:pStyle w:val="BodyText"/>
        <w:spacing w:line="364" w:lineRule="auto"/>
        <w:ind w:left="1230" w:right="5833" w:hanging="39"/>
      </w:pPr>
      <w:r>
        <w:rPr/>
        <w:t>（</w:t>
      </w:r>
      <w:r>
        <w:rPr>
          <w:rFonts w:ascii="Times New Roman" w:eastAsia="Times New Roman"/>
        </w:rPr>
        <w:t>1</w:t>
      </w:r>
      <w:r>
        <w:rPr/>
        <w:t>）地下水化学类型评价结果首先对水文资料进行整理：</w:t>
      </w:r>
    </w:p>
    <w:p>
      <w:pPr>
        <w:pStyle w:val="BodyText"/>
        <w:spacing w:before="1"/>
        <w:ind w:left="1230"/>
      </w:pPr>
      <w:r>
        <w:rPr/>
        <w:t>换算毫克</w:t>
      </w:r>
      <w:r>
        <w:rPr>
          <w:rFonts w:ascii="Times New Roman" w:eastAsia="Times New Roman"/>
        </w:rPr>
        <w:t>/</w:t>
      </w:r>
      <w:r>
        <w:rPr/>
        <w:t>升为毫克当量</w:t>
      </w:r>
      <w:r>
        <w:rPr>
          <w:rFonts w:ascii="Times New Roman" w:eastAsia="Times New Roman"/>
        </w:rPr>
        <w:t>/</w:t>
      </w:r>
      <w:r>
        <w:rPr/>
        <w:t>升及毫克当量百分数</w:t>
      </w:r>
    </w:p>
    <w:p>
      <w:pPr>
        <w:pStyle w:val="BodyText"/>
        <w:spacing w:before="161"/>
        <w:ind w:left="1230"/>
      </w:pPr>
      <w:r>
        <w:rPr/>
        <w:t>按照化学原理，毫克数与毫克当量数的关系如下式：</w:t>
      </w:r>
    </w:p>
    <w:p>
      <w:pPr>
        <w:pStyle w:val="BodyText"/>
        <w:spacing w:line="398" w:lineRule="exact" w:before="91"/>
        <w:ind w:left="1216"/>
      </w:pPr>
      <w:r>
        <w:rPr/>
        <w:pict>
          <v:line style="position:absolute;mso-position-horizontal-relative:page;mso-position-vertical-relative:paragraph;z-index:-285907968" from="221.067001pt,21.01897pt" to="293.774001pt,21.01897pt" stroked="true" strokeweight=".5pt" strokecolor="#000000">
            <v:stroke dashstyle="solid"/>
            <w10:wrap type="none"/>
          </v:line>
        </w:pict>
      </w:r>
      <w:r>
        <w:rPr/>
        <w:t>离子的毫克当量数 </w:t>
      </w:r>
      <w:r>
        <w:rPr>
          <w:rFonts w:ascii="Symbol" w:hAnsi="Symbol" w:eastAsia="Symbol"/>
        </w:rPr>
        <w:t></w:t>
      </w:r>
      <w:r>
        <w:rPr>
          <w:rFonts w:ascii="Times New Roman" w:hAnsi="Times New Roman" w:eastAsia="Times New Roman"/>
        </w:rPr>
        <w:t> </w:t>
      </w:r>
      <w:r>
        <w:rPr>
          <w:position w:val="15"/>
        </w:rPr>
        <w:t>离子的毫克数</w:t>
      </w:r>
    </w:p>
    <w:p>
      <w:pPr>
        <w:pStyle w:val="BodyText"/>
        <w:spacing w:line="248" w:lineRule="exact"/>
        <w:ind w:right="2060"/>
        <w:jc w:val="center"/>
      </w:pPr>
      <w:r>
        <w:rPr/>
        <w:t>离子的当量</w:t>
      </w:r>
    </w:p>
    <w:p>
      <w:pPr>
        <w:pStyle w:val="BodyText"/>
        <w:spacing w:before="1"/>
        <w:rPr>
          <w:sz w:val="12"/>
        </w:rPr>
      </w:pPr>
    </w:p>
    <w:p>
      <w:pPr>
        <w:pStyle w:val="BodyText"/>
        <w:spacing w:before="66"/>
        <w:ind w:left="86" w:right="8"/>
        <w:jc w:val="center"/>
      </w:pPr>
      <w:r>
        <w:rPr/>
        <w:t>知道了离子在水中的毫克当量数以后，则可根据下式计算其毫克当量百分</w:t>
      </w:r>
    </w:p>
    <w:p>
      <w:pPr>
        <w:pStyle w:val="BodyText"/>
        <w:spacing w:before="161"/>
        <w:ind w:left="711"/>
      </w:pPr>
      <w:r>
        <w:rPr/>
        <w:t>数：</w:t>
      </w:r>
    </w:p>
    <w:p>
      <w:pPr>
        <w:pStyle w:val="BodyText"/>
        <w:spacing w:before="3"/>
        <w:rPr>
          <w:sz w:val="12"/>
        </w:rPr>
      </w:pPr>
    </w:p>
    <w:p>
      <w:pPr>
        <w:spacing w:after="0"/>
        <w:rPr>
          <w:sz w:val="12"/>
        </w:rPr>
        <w:sectPr>
          <w:pgSz w:w="11910" w:h="16840"/>
          <w:pgMar w:header="0" w:footer="993" w:top="1420" w:bottom="1180" w:left="1040" w:right="600"/>
        </w:sectPr>
      </w:pPr>
    </w:p>
    <w:p>
      <w:pPr>
        <w:pStyle w:val="BodyText"/>
        <w:spacing w:before="222"/>
        <w:ind w:left="1258"/>
        <w:rPr>
          <w:rFonts w:ascii="Symbol" w:hAnsi="Symbol"/>
        </w:rPr>
      </w:pPr>
      <w:r>
        <w:rPr/>
        <w:pict>
          <v:line style="position:absolute;mso-position-horizontal-relative:page;mso-position-vertical-relative:paragraph;z-index:-285906944" from="271.075989pt,20.133448pt" to="394.349989pt,20.133448pt" stroked="true" strokeweight=".5pt" strokecolor="#000000">
            <v:stroke dashstyle="solid"/>
            <w10:wrap type="none"/>
          </v:line>
        </w:pict>
      </w:r>
      <w:r>
        <w:rPr>
          <w:w w:val="95"/>
        </w:rPr>
        <w:t>某阴离子的毫克当量百分数</w:t>
      </w:r>
      <w:r>
        <w:rPr>
          <w:rFonts w:ascii="Symbol" w:hAnsi="Symbol"/>
          <w:w w:val="95"/>
        </w:rPr>
        <w:t></w:t>
      </w:r>
    </w:p>
    <w:p>
      <w:pPr>
        <w:pStyle w:val="BodyText"/>
        <w:spacing w:line="264" w:lineRule="auto" w:before="72"/>
        <w:ind w:left="14" w:firstLine="245"/>
      </w:pPr>
      <w:r>
        <w:rPr/>
        <w:br w:type="column"/>
      </w:r>
      <w:r>
        <w:rPr/>
        <w:t>该离子毫克当量</w:t>
      </w:r>
      <w:r>
        <w:rPr>
          <w:rFonts w:ascii="Times New Roman" w:eastAsia="Times New Roman"/>
        </w:rPr>
        <w:t>/</w:t>
      </w:r>
      <w:r>
        <w:rPr/>
        <w:t>升</w:t>
      </w:r>
      <w:r>
        <w:rPr>
          <w:w w:val="95"/>
        </w:rPr>
        <w:t>阴离子毫克当量总数</w:t>
      </w:r>
      <w:r>
        <w:rPr>
          <w:rFonts w:ascii="Times New Roman" w:eastAsia="Times New Roman"/>
          <w:w w:val="95"/>
        </w:rPr>
        <w:t>/</w:t>
      </w:r>
      <w:r>
        <w:rPr>
          <w:w w:val="95"/>
        </w:rPr>
        <w:t>升</w:t>
      </w:r>
    </w:p>
    <w:p>
      <w:pPr>
        <w:pStyle w:val="BodyText"/>
        <w:spacing w:before="222"/>
        <w:rPr>
          <w:rFonts w:ascii="Times New Roman" w:hAnsi="Times New Roman"/>
        </w:rPr>
      </w:pPr>
      <w:r>
        <w:rPr/>
        <w:br w:type="column"/>
      </w:r>
      <w:r>
        <w:rPr>
          <w:rFonts w:ascii="Symbol" w:hAnsi="Symbol"/>
        </w:rPr>
        <w:t></w:t>
      </w:r>
      <w:r>
        <w:rPr>
          <w:rFonts w:ascii="Times New Roman" w:hAnsi="Times New Roman"/>
        </w:rPr>
        <w:t>100%</w:t>
      </w:r>
    </w:p>
    <w:p>
      <w:pPr>
        <w:spacing w:after="0"/>
        <w:rPr>
          <w:rFonts w:ascii="Times New Roman" w:hAnsi="Times New Roman"/>
        </w:rPr>
        <w:sectPr>
          <w:type w:val="continuous"/>
          <w:pgSz w:w="11910" w:h="16840"/>
          <w:pgMar w:top="1580" w:bottom="280" w:left="1040" w:right="600"/>
          <w:cols w:num="3" w:equalWidth="0">
            <w:col w:w="4321" w:space="40"/>
            <w:col w:w="2480" w:space="39"/>
            <w:col w:w="3390"/>
          </w:cols>
        </w:sectPr>
      </w:pPr>
    </w:p>
    <w:p>
      <w:pPr>
        <w:pStyle w:val="BodyText"/>
        <w:spacing w:before="9"/>
        <w:rPr>
          <w:rFonts w:ascii="Times New Roman"/>
          <w:sz w:val="10"/>
        </w:rPr>
      </w:pPr>
    </w:p>
    <w:p>
      <w:pPr>
        <w:pStyle w:val="BodyText"/>
        <w:spacing w:before="67"/>
        <w:ind w:right="2763"/>
        <w:jc w:val="center"/>
      </w:pPr>
      <w:r>
        <w:rPr/>
        <w:t>本次监测离子毫克当量百分比计算结果见下表。</w:t>
      </w:r>
    </w:p>
    <w:p>
      <w:pPr>
        <w:pStyle w:val="Heading4"/>
        <w:spacing w:before="84" w:after="2"/>
        <w:ind w:right="425"/>
        <w:jc w:val="center"/>
      </w:pPr>
      <w:r>
        <w:rPr/>
        <w:t>表 </w:t>
      </w:r>
      <w:r>
        <w:rPr>
          <w:rFonts w:ascii="Times New Roman" w:eastAsia="Times New Roman"/>
        </w:rPr>
        <w:t>6.4-6  </w:t>
      </w:r>
      <w:r>
        <w:rPr/>
        <w:t>离子毫克当量百分比计算结果</w:t>
      </w: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6"/>
        <w:gridCol w:w="1856"/>
        <w:gridCol w:w="1858"/>
        <w:gridCol w:w="1858"/>
        <w:gridCol w:w="1858"/>
      </w:tblGrid>
      <w:tr>
        <w:trPr>
          <w:trHeight w:val="311" w:hRule="atLeast"/>
        </w:trPr>
        <w:tc>
          <w:tcPr>
            <w:tcW w:w="3712" w:type="dxa"/>
            <w:gridSpan w:val="2"/>
          </w:tcPr>
          <w:p>
            <w:pPr>
              <w:pStyle w:val="TableParagraph"/>
              <w:spacing w:before="20"/>
              <w:ind w:left="1519" w:right="1511"/>
              <w:rPr>
                <w:b/>
                <w:sz w:val="21"/>
              </w:rPr>
            </w:pPr>
            <w:r>
              <w:rPr>
                <w:rFonts w:ascii="Times New Roman" w:eastAsia="Times New Roman"/>
                <w:b/>
                <w:sz w:val="21"/>
              </w:rPr>
              <w:t>1#</w:t>
            </w:r>
            <w:r>
              <w:rPr>
                <w:b/>
                <w:sz w:val="21"/>
              </w:rPr>
              <w:t>离子</w:t>
            </w:r>
          </w:p>
        </w:tc>
        <w:tc>
          <w:tcPr>
            <w:tcW w:w="1858" w:type="dxa"/>
          </w:tcPr>
          <w:p>
            <w:pPr>
              <w:pStyle w:val="TableParagraph"/>
              <w:spacing w:before="33"/>
              <w:ind w:right="680"/>
              <w:jc w:val="right"/>
              <w:rPr>
                <w:rFonts w:ascii="Times New Roman"/>
                <w:b/>
                <w:sz w:val="21"/>
              </w:rPr>
            </w:pPr>
            <w:r>
              <w:rPr>
                <w:rFonts w:ascii="Times New Roman"/>
                <w:b/>
                <w:w w:val="95"/>
                <w:sz w:val="21"/>
              </w:rPr>
              <w:t>mg/L</w:t>
            </w:r>
          </w:p>
        </w:tc>
        <w:tc>
          <w:tcPr>
            <w:tcW w:w="1858" w:type="dxa"/>
          </w:tcPr>
          <w:p>
            <w:pPr>
              <w:pStyle w:val="TableParagraph"/>
              <w:spacing w:before="33"/>
              <w:ind w:left="328" w:right="322"/>
              <w:rPr>
                <w:rFonts w:ascii="Times New Roman"/>
                <w:b/>
                <w:sz w:val="21"/>
              </w:rPr>
            </w:pPr>
            <w:r>
              <w:rPr>
                <w:rFonts w:ascii="Times New Roman"/>
                <w:b/>
                <w:sz w:val="21"/>
              </w:rPr>
              <w:t>meq/L</w:t>
            </w:r>
          </w:p>
        </w:tc>
        <w:tc>
          <w:tcPr>
            <w:tcW w:w="1858" w:type="dxa"/>
          </w:tcPr>
          <w:p>
            <w:pPr>
              <w:pStyle w:val="TableParagraph"/>
              <w:spacing w:before="33"/>
              <w:ind w:left="329" w:right="322"/>
              <w:rPr>
                <w:rFonts w:ascii="Times New Roman"/>
                <w:b/>
                <w:sz w:val="21"/>
              </w:rPr>
            </w:pPr>
            <w:r>
              <w:rPr>
                <w:rFonts w:ascii="Times New Roman"/>
                <w:b/>
                <w:sz w:val="21"/>
              </w:rPr>
              <w:t>meq%</w:t>
            </w:r>
          </w:p>
        </w:tc>
      </w:tr>
      <w:tr>
        <w:trPr>
          <w:trHeight w:val="312" w:hRule="atLeast"/>
        </w:trPr>
        <w:tc>
          <w:tcPr>
            <w:tcW w:w="1856" w:type="dxa"/>
            <w:vMerge w:val="restart"/>
          </w:tcPr>
          <w:p>
            <w:pPr>
              <w:pStyle w:val="TableParagraph"/>
              <w:jc w:val="left"/>
              <w:rPr>
                <w:b/>
                <w:sz w:val="15"/>
              </w:rPr>
            </w:pPr>
          </w:p>
          <w:p>
            <w:pPr>
              <w:pStyle w:val="TableParagraph"/>
              <w:spacing w:line="278" w:lineRule="auto"/>
              <w:ind w:left="823" w:right="811"/>
              <w:jc w:val="both"/>
              <w:rPr>
                <w:b/>
                <w:sz w:val="21"/>
              </w:rPr>
            </w:pPr>
            <w:r>
              <w:rPr>
                <w:b/>
                <w:sz w:val="21"/>
              </w:rPr>
              <w:t>阳离子</w:t>
            </w:r>
          </w:p>
        </w:tc>
        <w:tc>
          <w:tcPr>
            <w:tcW w:w="1856" w:type="dxa"/>
          </w:tcPr>
          <w:p>
            <w:pPr>
              <w:pStyle w:val="TableParagraph"/>
              <w:spacing w:before="33"/>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TableParagraph"/>
              <w:spacing w:before="33"/>
              <w:ind w:right="732"/>
              <w:jc w:val="right"/>
              <w:rPr>
                <w:rFonts w:ascii="Times New Roman"/>
                <w:sz w:val="21"/>
              </w:rPr>
            </w:pPr>
            <w:r>
              <w:rPr>
                <w:rFonts w:ascii="Times New Roman"/>
                <w:sz w:val="21"/>
              </w:rPr>
              <w:t>6.19</w:t>
            </w:r>
          </w:p>
        </w:tc>
        <w:tc>
          <w:tcPr>
            <w:tcW w:w="1858" w:type="dxa"/>
          </w:tcPr>
          <w:p>
            <w:pPr>
              <w:pStyle w:val="TableParagraph"/>
              <w:spacing w:before="33"/>
              <w:ind w:left="331" w:right="322"/>
              <w:rPr>
                <w:rFonts w:ascii="Times New Roman"/>
                <w:sz w:val="21"/>
              </w:rPr>
            </w:pPr>
            <w:r>
              <w:rPr>
                <w:rFonts w:ascii="Times New Roman"/>
                <w:sz w:val="21"/>
              </w:rPr>
              <w:t>0.261</w:t>
            </w:r>
          </w:p>
        </w:tc>
        <w:tc>
          <w:tcPr>
            <w:tcW w:w="1858" w:type="dxa"/>
          </w:tcPr>
          <w:p>
            <w:pPr>
              <w:pStyle w:val="TableParagraph"/>
              <w:spacing w:before="33"/>
              <w:ind w:left="331" w:right="320"/>
              <w:rPr>
                <w:rFonts w:ascii="Times New Roman"/>
                <w:sz w:val="21"/>
              </w:rPr>
            </w:pPr>
            <w:r>
              <w:rPr>
                <w:rFonts w:ascii="Times New Roman"/>
                <w:sz w:val="21"/>
              </w:rPr>
              <w:t>18.33</w:t>
            </w:r>
          </w:p>
        </w:tc>
      </w:tr>
      <w:tr>
        <w:trPr>
          <w:trHeight w:val="311" w:hRule="atLeast"/>
        </w:trPr>
        <w:tc>
          <w:tcPr>
            <w:tcW w:w="1856" w:type="dxa"/>
            <w:vMerge/>
            <w:tcBorders>
              <w:top w:val="nil"/>
            </w:tcBorders>
          </w:tcPr>
          <w:p>
            <w:pPr>
              <w:rPr>
                <w:sz w:val="2"/>
                <w:szCs w:val="2"/>
              </w:rPr>
            </w:pPr>
          </w:p>
        </w:tc>
        <w:tc>
          <w:tcPr>
            <w:tcW w:w="1856" w:type="dxa"/>
          </w:tcPr>
          <w:p>
            <w:pPr>
              <w:pStyle w:val="TableParagraph"/>
              <w:spacing w:before="35"/>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TableParagraph"/>
              <w:spacing w:before="33"/>
              <w:ind w:right="732"/>
              <w:jc w:val="right"/>
              <w:rPr>
                <w:rFonts w:ascii="Times New Roman"/>
                <w:sz w:val="21"/>
              </w:rPr>
            </w:pPr>
            <w:r>
              <w:rPr>
                <w:rFonts w:ascii="Times New Roman"/>
                <w:sz w:val="21"/>
              </w:rPr>
              <w:t>16.8</w:t>
            </w:r>
          </w:p>
        </w:tc>
        <w:tc>
          <w:tcPr>
            <w:tcW w:w="1858" w:type="dxa"/>
          </w:tcPr>
          <w:p>
            <w:pPr>
              <w:pStyle w:val="TableParagraph"/>
              <w:spacing w:before="33"/>
              <w:ind w:left="331" w:right="322"/>
              <w:rPr>
                <w:rFonts w:ascii="Times New Roman"/>
                <w:sz w:val="21"/>
              </w:rPr>
            </w:pPr>
            <w:r>
              <w:rPr>
                <w:rFonts w:ascii="Times New Roman"/>
                <w:sz w:val="21"/>
              </w:rPr>
              <w:t>0.840</w:t>
            </w:r>
          </w:p>
        </w:tc>
        <w:tc>
          <w:tcPr>
            <w:tcW w:w="1858" w:type="dxa"/>
          </w:tcPr>
          <w:p>
            <w:pPr>
              <w:pStyle w:val="TableParagraph"/>
              <w:spacing w:before="33"/>
              <w:ind w:left="331" w:right="320"/>
              <w:rPr>
                <w:rFonts w:ascii="Times New Roman"/>
                <w:sz w:val="21"/>
              </w:rPr>
            </w:pPr>
            <w:r>
              <w:rPr>
                <w:rFonts w:ascii="Times New Roman"/>
                <w:sz w:val="21"/>
              </w:rPr>
              <w:t>59.01</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35"/>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TableParagraph"/>
              <w:spacing w:before="35"/>
              <w:ind w:right="732"/>
              <w:jc w:val="right"/>
              <w:rPr>
                <w:rFonts w:ascii="Times New Roman"/>
                <w:sz w:val="21"/>
              </w:rPr>
            </w:pPr>
            <w:r>
              <w:rPr>
                <w:rFonts w:ascii="Times New Roman"/>
                <w:sz w:val="21"/>
              </w:rPr>
              <w:t>3.87</w:t>
            </w:r>
          </w:p>
        </w:tc>
        <w:tc>
          <w:tcPr>
            <w:tcW w:w="1858" w:type="dxa"/>
          </w:tcPr>
          <w:p>
            <w:pPr>
              <w:pStyle w:val="TableParagraph"/>
              <w:spacing w:before="35"/>
              <w:ind w:left="331" w:right="322"/>
              <w:rPr>
                <w:rFonts w:ascii="Times New Roman"/>
                <w:sz w:val="21"/>
              </w:rPr>
            </w:pPr>
            <w:r>
              <w:rPr>
                <w:rFonts w:ascii="Times New Roman"/>
                <w:sz w:val="21"/>
              </w:rPr>
              <w:t>0.323</w:t>
            </w:r>
          </w:p>
        </w:tc>
        <w:tc>
          <w:tcPr>
            <w:tcW w:w="1858" w:type="dxa"/>
          </w:tcPr>
          <w:p>
            <w:pPr>
              <w:pStyle w:val="TableParagraph"/>
              <w:spacing w:before="35"/>
              <w:ind w:left="331" w:right="320"/>
              <w:rPr>
                <w:rFonts w:ascii="Times New Roman"/>
                <w:sz w:val="21"/>
              </w:rPr>
            </w:pPr>
            <w:r>
              <w:rPr>
                <w:rFonts w:ascii="Times New Roman"/>
                <w:sz w:val="21"/>
              </w:rPr>
              <w:t>22.66</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20"/>
              <w:ind w:left="572" w:right="567"/>
              <w:rPr>
                <w:sz w:val="21"/>
              </w:rPr>
            </w:pPr>
            <w:r>
              <w:rPr>
                <w:sz w:val="21"/>
              </w:rPr>
              <w:t>总计</w:t>
            </w:r>
          </w:p>
        </w:tc>
        <w:tc>
          <w:tcPr>
            <w:tcW w:w="1858" w:type="dxa"/>
          </w:tcPr>
          <w:p>
            <w:pPr>
              <w:pStyle w:val="TableParagraph"/>
              <w:spacing w:before="34"/>
              <w:ind w:right="679"/>
              <w:jc w:val="right"/>
              <w:rPr>
                <w:rFonts w:ascii="Times New Roman"/>
                <w:sz w:val="21"/>
              </w:rPr>
            </w:pPr>
            <w:r>
              <w:rPr>
                <w:rFonts w:ascii="Times New Roman"/>
                <w:sz w:val="21"/>
              </w:rPr>
              <w:t>26.86</w:t>
            </w:r>
          </w:p>
        </w:tc>
        <w:tc>
          <w:tcPr>
            <w:tcW w:w="1858" w:type="dxa"/>
          </w:tcPr>
          <w:p>
            <w:pPr>
              <w:pStyle w:val="TableParagraph"/>
              <w:spacing w:before="34"/>
              <w:ind w:left="331" w:right="322"/>
              <w:rPr>
                <w:rFonts w:ascii="Times New Roman"/>
                <w:sz w:val="21"/>
              </w:rPr>
            </w:pPr>
            <w:r>
              <w:rPr>
                <w:rFonts w:ascii="Times New Roman"/>
                <w:sz w:val="21"/>
              </w:rPr>
              <w:t>1.423</w:t>
            </w:r>
          </w:p>
        </w:tc>
        <w:tc>
          <w:tcPr>
            <w:tcW w:w="1858" w:type="dxa"/>
          </w:tcPr>
          <w:p>
            <w:pPr>
              <w:pStyle w:val="TableParagraph"/>
              <w:spacing w:before="34"/>
              <w:ind w:left="328" w:right="322"/>
              <w:rPr>
                <w:rFonts w:ascii="Times New Roman"/>
                <w:sz w:val="21"/>
              </w:rPr>
            </w:pPr>
            <w:r>
              <w:rPr>
                <w:rFonts w:ascii="Times New Roman"/>
                <w:sz w:val="21"/>
              </w:rPr>
              <w:t>100.00</w:t>
            </w:r>
          </w:p>
        </w:tc>
      </w:tr>
      <w:tr>
        <w:trPr>
          <w:trHeight w:val="311" w:hRule="atLeast"/>
        </w:trPr>
        <w:tc>
          <w:tcPr>
            <w:tcW w:w="1856" w:type="dxa"/>
            <w:vMerge w:val="restart"/>
          </w:tcPr>
          <w:p>
            <w:pPr>
              <w:pStyle w:val="TableParagraph"/>
              <w:spacing w:before="11"/>
              <w:jc w:val="left"/>
              <w:rPr>
                <w:b/>
                <w:sz w:val="14"/>
              </w:rPr>
            </w:pPr>
          </w:p>
          <w:p>
            <w:pPr>
              <w:pStyle w:val="TableParagraph"/>
              <w:spacing w:line="278" w:lineRule="auto"/>
              <w:ind w:left="823" w:right="811"/>
              <w:jc w:val="both"/>
              <w:rPr>
                <w:b/>
                <w:sz w:val="21"/>
              </w:rPr>
            </w:pPr>
            <w:r>
              <w:rPr>
                <w:b/>
                <w:sz w:val="21"/>
              </w:rPr>
              <w:t>阴离子</w:t>
            </w:r>
          </w:p>
        </w:tc>
        <w:tc>
          <w:tcPr>
            <w:tcW w:w="1856" w:type="dxa"/>
          </w:tcPr>
          <w:p>
            <w:pPr>
              <w:pStyle w:val="TableParagraph"/>
              <w:spacing w:line="166" w:lineRule="exact" w:before="34"/>
              <w:ind w:left="577" w:right="567"/>
              <w:rPr>
                <w:rFonts w:ascii="Times New Roman"/>
                <w:sz w:val="13"/>
              </w:rPr>
            </w:pPr>
            <w:r>
              <w:rPr>
                <w:rFonts w:ascii="Times New Roman"/>
                <w:sz w:val="21"/>
              </w:rPr>
              <w:t>HCO </w:t>
            </w:r>
            <w:r>
              <w:rPr>
                <w:rFonts w:ascii="Times New Roman"/>
                <w:position w:val="7"/>
                <w:sz w:val="13"/>
              </w:rPr>
              <w:t>-</w:t>
            </w:r>
          </w:p>
          <w:p>
            <w:pPr>
              <w:pStyle w:val="TableParagraph"/>
              <w:spacing w:line="74" w:lineRule="exact"/>
              <w:ind w:left="410"/>
              <w:rPr>
                <w:rFonts w:ascii="Times New Roman"/>
                <w:sz w:val="13"/>
              </w:rPr>
            </w:pPr>
            <w:r>
              <w:rPr>
                <w:rFonts w:ascii="Times New Roman"/>
                <w:w w:val="105"/>
                <w:sz w:val="13"/>
              </w:rPr>
              <w:t>3</w:t>
            </w:r>
          </w:p>
        </w:tc>
        <w:tc>
          <w:tcPr>
            <w:tcW w:w="1858" w:type="dxa"/>
          </w:tcPr>
          <w:p>
            <w:pPr>
              <w:pStyle w:val="TableParagraph"/>
              <w:spacing w:before="34"/>
              <w:ind w:right="732"/>
              <w:jc w:val="right"/>
              <w:rPr>
                <w:rFonts w:ascii="Times New Roman"/>
                <w:sz w:val="21"/>
              </w:rPr>
            </w:pPr>
            <w:r>
              <w:rPr>
                <w:rFonts w:ascii="Times New Roman"/>
                <w:sz w:val="21"/>
              </w:rPr>
              <w:t>44.1</w:t>
            </w:r>
          </w:p>
        </w:tc>
        <w:tc>
          <w:tcPr>
            <w:tcW w:w="1858" w:type="dxa"/>
          </w:tcPr>
          <w:p>
            <w:pPr>
              <w:pStyle w:val="TableParagraph"/>
              <w:spacing w:before="34"/>
              <w:ind w:left="331" w:right="322"/>
              <w:rPr>
                <w:rFonts w:ascii="Times New Roman"/>
                <w:sz w:val="21"/>
              </w:rPr>
            </w:pPr>
            <w:r>
              <w:rPr>
                <w:rFonts w:ascii="Times New Roman"/>
                <w:sz w:val="21"/>
              </w:rPr>
              <w:t>0.723</w:t>
            </w:r>
          </w:p>
        </w:tc>
        <w:tc>
          <w:tcPr>
            <w:tcW w:w="1858" w:type="dxa"/>
          </w:tcPr>
          <w:p>
            <w:pPr>
              <w:pStyle w:val="TableParagraph"/>
              <w:spacing w:before="34"/>
              <w:ind w:left="331" w:right="320"/>
              <w:rPr>
                <w:rFonts w:ascii="Times New Roman"/>
                <w:sz w:val="21"/>
              </w:rPr>
            </w:pPr>
            <w:r>
              <w:rPr>
                <w:rFonts w:ascii="Times New Roman"/>
                <w:sz w:val="21"/>
              </w:rPr>
              <w:t>53.07</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33"/>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TableParagraph"/>
              <w:spacing w:before="33"/>
              <w:ind w:right="732"/>
              <w:jc w:val="right"/>
              <w:rPr>
                <w:rFonts w:ascii="Times New Roman"/>
                <w:sz w:val="21"/>
              </w:rPr>
            </w:pPr>
            <w:r>
              <w:rPr>
                <w:rFonts w:ascii="Times New Roman"/>
                <w:sz w:val="21"/>
              </w:rPr>
              <w:t>5.17</w:t>
            </w:r>
          </w:p>
        </w:tc>
        <w:tc>
          <w:tcPr>
            <w:tcW w:w="1858" w:type="dxa"/>
          </w:tcPr>
          <w:p>
            <w:pPr>
              <w:pStyle w:val="TableParagraph"/>
              <w:spacing w:before="33"/>
              <w:ind w:left="331" w:right="322"/>
              <w:rPr>
                <w:rFonts w:ascii="Times New Roman"/>
                <w:sz w:val="21"/>
              </w:rPr>
            </w:pPr>
            <w:r>
              <w:rPr>
                <w:rFonts w:ascii="Times New Roman"/>
                <w:sz w:val="21"/>
              </w:rPr>
              <w:t>0.146</w:t>
            </w:r>
          </w:p>
        </w:tc>
        <w:tc>
          <w:tcPr>
            <w:tcW w:w="1858" w:type="dxa"/>
          </w:tcPr>
          <w:p>
            <w:pPr>
              <w:pStyle w:val="TableParagraph"/>
              <w:spacing w:before="33"/>
              <w:ind w:left="331" w:right="320"/>
              <w:rPr>
                <w:rFonts w:ascii="Times New Roman"/>
                <w:sz w:val="21"/>
              </w:rPr>
            </w:pPr>
            <w:r>
              <w:rPr>
                <w:rFonts w:ascii="Times New Roman"/>
                <w:sz w:val="21"/>
              </w:rPr>
              <w:t>36.22</w:t>
            </w:r>
          </w:p>
        </w:tc>
      </w:tr>
      <w:tr>
        <w:trPr>
          <w:trHeight w:val="312" w:hRule="atLeast"/>
        </w:trPr>
        <w:tc>
          <w:tcPr>
            <w:tcW w:w="1856" w:type="dxa"/>
            <w:vMerge/>
            <w:tcBorders>
              <w:top w:val="nil"/>
            </w:tcBorders>
          </w:tcPr>
          <w:p>
            <w:pPr>
              <w:rPr>
                <w:sz w:val="2"/>
                <w:szCs w:val="2"/>
              </w:rPr>
            </w:pPr>
          </w:p>
        </w:tc>
        <w:tc>
          <w:tcPr>
            <w:tcW w:w="1856" w:type="dxa"/>
          </w:tcPr>
          <w:p>
            <w:pPr>
              <w:pStyle w:val="TableParagraph"/>
              <w:spacing w:line="164" w:lineRule="exact" w:before="36"/>
              <w:ind w:left="577" w:right="567"/>
              <w:rPr>
                <w:rFonts w:ascii="Times New Roman"/>
                <w:sz w:val="13"/>
              </w:rPr>
            </w:pPr>
            <w:r>
              <w:rPr>
                <w:rFonts w:ascii="Times New Roman"/>
                <w:position w:val="-6"/>
                <w:sz w:val="21"/>
              </w:rPr>
              <w:t>SO </w:t>
            </w:r>
            <w:r>
              <w:rPr>
                <w:rFonts w:ascii="Times New Roman"/>
                <w:sz w:val="13"/>
              </w:rPr>
              <w:t>2-</w:t>
            </w:r>
          </w:p>
          <w:p>
            <w:pPr>
              <w:pStyle w:val="TableParagraph"/>
              <w:spacing w:line="74" w:lineRule="exact"/>
              <w:ind w:left="165"/>
              <w:rPr>
                <w:rFonts w:ascii="Times New Roman"/>
                <w:sz w:val="13"/>
              </w:rPr>
            </w:pPr>
            <w:r>
              <w:rPr>
                <w:rFonts w:ascii="Times New Roman"/>
                <w:w w:val="105"/>
                <w:sz w:val="13"/>
              </w:rPr>
              <w:t>4</w:t>
            </w:r>
          </w:p>
        </w:tc>
        <w:tc>
          <w:tcPr>
            <w:tcW w:w="1858" w:type="dxa"/>
          </w:tcPr>
          <w:p>
            <w:pPr>
              <w:pStyle w:val="TableParagraph"/>
              <w:spacing w:before="33"/>
              <w:ind w:right="732"/>
              <w:jc w:val="right"/>
              <w:rPr>
                <w:rFonts w:ascii="Times New Roman"/>
                <w:sz w:val="21"/>
              </w:rPr>
            </w:pPr>
            <w:r>
              <w:rPr>
                <w:rFonts w:ascii="Times New Roman"/>
                <w:sz w:val="21"/>
              </w:rPr>
              <w:t>23.7</w:t>
            </w:r>
          </w:p>
        </w:tc>
        <w:tc>
          <w:tcPr>
            <w:tcW w:w="1858" w:type="dxa"/>
          </w:tcPr>
          <w:p>
            <w:pPr>
              <w:pStyle w:val="TableParagraph"/>
              <w:spacing w:before="33"/>
              <w:ind w:left="331" w:right="322"/>
              <w:rPr>
                <w:rFonts w:ascii="Times New Roman"/>
                <w:sz w:val="21"/>
              </w:rPr>
            </w:pPr>
            <w:r>
              <w:rPr>
                <w:rFonts w:ascii="Times New Roman"/>
                <w:sz w:val="21"/>
              </w:rPr>
              <w:t>0.494</w:t>
            </w:r>
          </w:p>
        </w:tc>
        <w:tc>
          <w:tcPr>
            <w:tcW w:w="1858" w:type="dxa"/>
          </w:tcPr>
          <w:p>
            <w:pPr>
              <w:pStyle w:val="TableParagraph"/>
              <w:spacing w:before="33"/>
              <w:ind w:left="331" w:right="320"/>
              <w:rPr>
                <w:rFonts w:ascii="Times New Roman"/>
                <w:sz w:val="21"/>
              </w:rPr>
            </w:pPr>
            <w:r>
              <w:rPr>
                <w:rFonts w:ascii="Times New Roman"/>
                <w:sz w:val="21"/>
              </w:rPr>
              <w:t>10.69</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19"/>
              <w:ind w:left="572" w:right="567"/>
              <w:rPr>
                <w:sz w:val="21"/>
              </w:rPr>
            </w:pPr>
            <w:r>
              <w:rPr>
                <w:sz w:val="21"/>
              </w:rPr>
              <w:t>总计</w:t>
            </w:r>
          </w:p>
        </w:tc>
        <w:tc>
          <w:tcPr>
            <w:tcW w:w="1858" w:type="dxa"/>
          </w:tcPr>
          <w:p>
            <w:pPr>
              <w:pStyle w:val="TableParagraph"/>
              <w:spacing w:before="33"/>
              <w:ind w:right="679"/>
              <w:jc w:val="right"/>
              <w:rPr>
                <w:rFonts w:ascii="Times New Roman"/>
                <w:sz w:val="21"/>
              </w:rPr>
            </w:pPr>
            <w:r>
              <w:rPr>
                <w:rFonts w:ascii="Times New Roman"/>
                <w:sz w:val="21"/>
              </w:rPr>
              <w:t>72.97</w:t>
            </w:r>
          </w:p>
        </w:tc>
        <w:tc>
          <w:tcPr>
            <w:tcW w:w="1858" w:type="dxa"/>
          </w:tcPr>
          <w:p>
            <w:pPr>
              <w:pStyle w:val="TableParagraph"/>
              <w:spacing w:before="33"/>
              <w:ind w:left="331" w:right="322"/>
              <w:rPr>
                <w:rFonts w:ascii="Times New Roman"/>
                <w:sz w:val="21"/>
              </w:rPr>
            </w:pPr>
            <w:r>
              <w:rPr>
                <w:rFonts w:ascii="Times New Roman"/>
                <w:sz w:val="21"/>
              </w:rPr>
              <w:t>1.363</w:t>
            </w:r>
          </w:p>
        </w:tc>
        <w:tc>
          <w:tcPr>
            <w:tcW w:w="1858" w:type="dxa"/>
          </w:tcPr>
          <w:p>
            <w:pPr>
              <w:pStyle w:val="TableParagraph"/>
              <w:spacing w:before="33"/>
              <w:ind w:left="328" w:right="322"/>
              <w:rPr>
                <w:rFonts w:ascii="Times New Roman"/>
                <w:sz w:val="21"/>
              </w:rPr>
            </w:pPr>
            <w:r>
              <w:rPr>
                <w:rFonts w:ascii="Times New Roman"/>
                <w:sz w:val="21"/>
              </w:rPr>
              <w:t>100.00</w:t>
            </w:r>
          </w:p>
        </w:tc>
      </w:tr>
      <w:tr>
        <w:trPr>
          <w:trHeight w:val="311" w:hRule="atLeast"/>
        </w:trPr>
        <w:tc>
          <w:tcPr>
            <w:tcW w:w="3712" w:type="dxa"/>
            <w:gridSpan w:val="2"/>
          </w:tcPr>
          <w:p>
            <w:pPr>
              <w:pStyle w:val="TableParagraph"/>
              <w:spacing w:before="21"/>
              <w:ind w:left="1519" w:right="1511"/>
              <w:rPr>
                <w:b/>
                <w:sz w:val="21"/>
              </w:rPr>
            </w:pPr>
            <w:r>
              <w:rPr>
                <w:rFonts w:ascii="Times New Roman" w:eastAsia="Times New Roman"/>
                <w:b/>
                <w:sz w:val="21"/>
              </w:rPr>
              <w:t>2#</w:t>
            </w:r>
            <w:r>
              <w:rPr>
                <w:b/>
                <w:sz w:val="21"/>
              </w:rPr>
              <w:t>离子</w:t>
            </w:r>
          </w:p>
        </w:tc>
        <w:tc>
          <w:tcPr>
            <w:tcW w:w="1858" w:type="dxa"/>
          </w:tcPr>
          <w:p>
            <w:pPr>
              <w:pStyle w:val="TableParagraph"/>
              <w:spacing w:before="35"/>
              <w:ind w:right="680"/>
              <w:jc w:val="right"/>
              <w:rPr>
                <w:rFonts w:ascii="Times New Roman"/>
                <w:b/>
                <w:sz w:val="21"/>
              </w:rPr>
            </w:pPr>
            <w:r>
              <w:rPr>
                <w:rFonts w:ascii="Times New Roman"/>
                <w:b/>
                <w:w w:val="95"/>
                <w:sz w:val="21"/>
              </w:rPr>
              <w:t>mg/L</w:t>
            </w:r>
          </w:p>
        </w:tc>
        <w:tc>
          <w:tcPr>
            <w:tcW w:w="1858" w:type="dxa"/>
          </w:tcPr>
          <w:p>
            <w:pPr>
              <w:pStyle w:val="TableParagraph"/>
              <w:spacing w:before="35"/>
              <w:ind w:left="328" w:right="322"/>
              <w:rPr>
                <w:rFonts w:ascii="Times New Roman"/>
                <w:b/>
                <w:sz w:val="21"/>
              </w:rPr>
            </w:pPr>
            <w:r>
              <w:rPr>
                <w:rFonts w:ascii="Times New Roman"/>
                <w:b/>
                <w:sz w:val="21"/>
              </w:rPr>
              <w:t>meq/L</w:t>
            </w:r>
          </w:p>
        </w:tc>
        <w:tc>
          <w:tcPr>
            <w:tcW w:w="1858" w:type="dxa"/>
          </w:tcPr>
          <w:p>
            <w:pPr>
              <w:pStyle w:val="TableParagraph"/>
              <w:spacing w:before="35"/>
              <w:ind w:left="329" w:right="322"/>
              <w:rPr>
                <w:rFonts w:ascii="Times New Roman"/>
                <w:b/>
                <w:sz w:val="21"/>
              </w:rPr>
            </w:pPr>
            <w:r>
              <w:rPr>
                <w:rFonts w:ascii="Times New Roman"/>
                <w:b/>
                <w:sz w:val="21"/>
              </w:rPr>
              <w:t>meq%</w:t>
            </w:r>
          </w:p>
        </w:tc>
      </w:tr>
      <w:tr>
        <w:trPr>
          <w:trHeight w:val="312" w:hRule="atLeast"/>
        </w:trPr>
        <w:tc>
          <w:tcPr>
            <w:tcW w:w="1856" w:type="dxa"/>
            <w:vMerge w:val="restart"/>
          </w:tcPr>
          <w:p>
            <w:pPr>
              <w:pStyle w:val="TableParagraph"/>
              <w:spacing w:before="11"/>
              <w:jc w:val="left"/>
              <w:rPr>
                <w:b/>
                <w:sz w:val="14"/>
              </w:rPr>
            </w:pPr>
          </w:p>
          <w:p>
            <w:pPr>
              <w:pStyle w:val="TableParagraph"/>
              <w:spacing w:line="278" w:lineRule="auto"/>
              <w:ind w:left="823" w:right="811"/>
              <w:jc w:val="both"/>
              <w:rPr>
                <w:b/>
                <w:sz w:val="21"/>
              </w:rPr>
            </w:pPr>
            <w:r>
              <w:rPr>
                <w:b/>
                <w:sz w:val="21"/>
              </w:rPr>
              <w:t>阳离子</w:t>
            </w:r>
          </w:p>
        </w:tc>
        <w:tc>
          <w:tcPr>
            <w:tcW w:w="1856" w:type="dxa"/>
          </w:tcPr>
          <w:p>
            <w:pPr>
              <w:pStyle w:val="TableParagraph"/>
              <w:spacing w:before="34"/>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TableParagraph"/>
              <w:spacing w:before="34"/>
              <w:ind w:right="679"/>
              <w:jc w:val="right"/>
              <w:rPr>
                <w:rFonts w:ascii="Times New Roman"/>
                <w:sz w:val="21"/>
              </w:rPr>
            </w:pPr>
            <w:r>
              <w:rPr>
                <w:rFonts w:ascii="Times New Roman"/>
                <w:sz w:val="21"/>
              </w:rPr>
              <w:t>14.35</w:t>
            </w:r>
          </w:p>
        </w:tc>
        <w:tc>
          <w:tcPr>
            <w:tcW w:w="1858" w:type="dxa"/>
          </w:tcPr>
          <w:p>
            <w:pPr>
              <w:pStyle w:val="TableParagraph"/>
              <w:spacing w:before="34"/>
              <w:ind w:left="331" w:right="322"/>
              <w:rPr>
                <w:rFonts w:ascii="Times New Roman"/>
                <w:sz w:val="21"/>
              </w:rPr>
            </w:pPr>
            <w:r>
              <w:rPr>
                <w:rFonts w:ascii="Times New Roman"/>
                <w:sz w:val="21"/>
              </w:rPr>
              <w:t>0.603</w:t>
            </w:r>
          </w:p>
        </w:tc>
        <w:tc>
          <w:tcPr>
            <w:tcW w:w="1858" w:type="dxa"/>
          </w:tcPr>
          <w:p>
            <w:pPr>
              <w:pStyle w:val="TableParagraph"/>
              <w:spacing w:before="34"/>
              <w:ind w:left="331" w:right="320"/>
              <w:rPr>
                <w:rFonts w:ascii="Times New Roman"/>
                <w:sz w:val="21"/>
              </w:rPr>
            </w:pPr>
            <w:r>
              <w:rPr>
                <w:rFonts w:ascii="Times New Roman"/>
                <w:sz w:val="21"/>
              </w:rPr>
              <w:t>16.28</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34"/>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TableParagraph"/>
              <w:spacing w:before="34"/>
              <w:ind w:right="732"/>
              <w:jc w:val="right"/>
              <w:rPr>
                <w:rFonts w:ascii="Times New Roman"/>
                <w:sz w:val="21"/>
              </w:rPr>
            </w:pPr>
            <w:r>
              <w:rPr>
                <w:rFonts w:ascii="Times New Roman"/>
                <w:sz w:val="21"/>
              </w:rPr>
              <w:t>44.1</w:t>
            </w:r>
          </w:p>
        </w:tc>
        <w:tc>
          <w:tcPr>
            <w:tcW w:w="1858" w:type="dxa"/>
          </w:tcPr>
          <w:p>
            <w:pPr>
              <w:pStyle w:val="TableParagraph"/>
              <w:spacing w:before="34"/>
              <w:ind w:left="331" w:right="322"/>
              <w:rPr>
                <w:rFonts w:ascii="Times New Roman"/>
                <w:sz w:val="21"/>
              </w:rPr>
            </w:pPr>
            <w:r>
              <w:rPr>
                <w:rFonts w:ascii="Times New Roman"/>
                <w:sz w:val="21"/>
              </w:rPr>
              <w:t>2.055</w:t>
            </w:r>
          </w:p>
        </w:tc>
        <w:tc>
          <w:tcPr>
            <w:tcW w:w="1858" w:type="dxa"/>
          </w:tcPr>
          <w:p>
            <w:pPr>
              <w:pStyle w:val="TableParagraph"/>
              <w:spacing w:before="34"/>
              <w:ind w:left="331" w:right="320"/>
              <w:rPr>
                <w:rFonts w:ascii="Times New Roman"/>
                <w:sz w:val="21"/>
              </w:rPr>
            </w:pPr>
            <w:r>
              <w:rPr>
                <w:rFonts w:ascii="Times New Roman"/>
                <w:sz w:val="21"/>
              </w:rPr>
              <w:t>55.41</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34"/>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TableParagraph"/>
              <w:spacing w:before="33"/>
              <w:ind w:right="732"/>
              <w:jc w:val="right"/>
              <w:rPr>
                <w:rFonts w:ascii="Times New Roman"/>
                <w:sz w:val="21"/>
              </w:rPr>
            </w:pPr>
            <w:r>
              <w:rPr>
                <w:rFonts w:ascii="Times New Roman"/>
                <w:sz w:val="21"/>
              </w:rPr>
              <w:t>12.6</w:t>
            </w:r>
          </w:p>
        </w:tc>
        <w:tc>
          <w:tcPr>
            <w:tcW w:w="1858" w:type="dxa"/>
          </w:tcPr>
          <w:p>
            <w:pPr>
              <w:pStyle w:val="TableParagraph"/>
              <w:spacing w:before="33"/>
              <w:ind w:left="331" w:right="322"/>
              <w:rPr>
                <w:rFonts w:ascii="Times New Roman"/>
                <w:sz w:val="21"/>
              </w:rPr>
            </w:pPr>
            <w:r>
              <w:rPr>
                <w:rFonts w:ascii="Times New Roman"/>
                <w:sz w:val="21"/>
              </w:rPr>
              <w:t>1.050</w:t>
            </w:r>
          </w:p>
        </w:tc>
        <w:tc>
          <w:tcPr>
            <w:tcW w:w="1858" w:type="dxa"/>
          </w:tcPr>
          <w:p>
            <w:pPr>
              <w:pStyle w:val="TableParagraph"/>
              <w:spacing w:before="33"/>
              <w:ind w:left="331" w:right="320"/>
              <w:rPr>
                <w:rFonts w:ascii="Times New Roman"/>
                <w:sz w:val="21"/>
              </w:rPr>
            </w:pPr>
            <w:r>
              <w:rPr>
                <w:rFonts w:ascii="Times New Roman"/>
                <w:sz w:val="21"/>
              </w:rPr>
              <w:t>28.31</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19"/>
              <w:ind w:left="572" w:right="567"/>
              <w:rPr>
                <w:sz w:val="21"/>
              </w:rPr>
            </w:pPr>
            <w:r>
              <w:rPr>
                <w:sz w:val="21"/>
              </w:rPr>
              <w:t>总计</w:t>
            </w:r>
          </w:p>
        </w:tc>
        <w:tc>
          <w:tcPr>
            <w:tcW w:w="1858" w:type="dxa"/>
          </w:tcPr>
          <w:p>
            <w:pPr>
              <w:pStyle w:val="TableParagraph"/>
              <w:spacing w:before="33"/>
              <w:ind w:right="679"/>
              <w:jc w:val="right"/>
              <w:rPr>
                <w:rFonts w:ascii="Times New Roman"/>
                <w:sz w:val="21"/>
              </w:rPr>
            </w:pPr>
            <w:r>
              <w:rPr>
                <w:rFonts w:ascii="Times New Roman"/>
                <w:sz w:val="21"/>
              </w:rPr>
              <w:t>71.05</w:t>
            </w:r>
          </w:p>
        </w:tc>
        <w:tc>
          <w:tcPr>
            <w:tcW w:w="1858" w:type="dxa"/>
          </w:tcPr>
          <w:p>
            <w:pPr>
              <w:pStyle w:val="TableParagraph"/>
              <w:spacing w:before="33"/>
              <w:ind w:left="331" w:right="322"/>
              <w:rPr>
                <w:rFonts w:ascii="Times New Roman"/>
                <w:sz w:val="21"/>
              </w:rPr>
            </w:pPr>
            <w:r>
              <w:rPr>
                <w:rFonts w:ascii="Times New Roman"/>
                <w:sz w:val="21"/>
              </w:rPr>
              <w:t>3.708</w:t>
            </w:r>
          </w:p>
        </w:tc>
        <w:tc>
          <w:tcPr>
            <w:tcW w:w="1858" w:type="dxa"/>
          </w:tcPr>
          <w:p>
            <w:pPr>
              <w:pStyle w:val="TableParagraph"/>
              <w:spacing w:before="33"/>
              <w:ind w:left="328" w:right="322"/>
              <w:rPr>
                <w:rFonts w:ascii="Times New Roman"/>
                <w:sz w:val="21"/>
              </w:rPr>
            </w:pPr>
            <w:r>
              <w:rPr>
                <w:rFonts w:ascii="Times New Roman"/>
                <w:sz w:val="21"/>
              </w:rPr>
              <w:t>100.00</w:t>
            </w:r>
          </w:p>
        </w:tc>
      </w:tr>
      <w:tr>
        <w:trPr>
          <w:trHeight w:val="311" w:hRule="atLeast"/>
        </w:trPr>
        <w:tc>
          <w:tcPr>
            <w:tcW w:w="1856" w:type="dxa"/>
            <w:vMerge w:val="restart"/>
          </w:tcPr>
          <w:p>
            <w:pPr>
              <w:pStyle w:val="TableParagraph"/>
              <w:spacing w:before="12"/>
              <w:jc w:val="left"/>
              <w:rPr>
                <w:b/>
                <w:sz w:val="14"/>
              </w:rPr>
            </w:pPr>
          </w:p>
          <w:p>
            <w:pPr>
              <w:pStyle w:val="TableParagraph"/>
              <w:spacing w:line="278" w:lineRule="auto"/>
              <w:ind w:left="823" w:right="811"/>
              <w:jc w:val="both"/>
              <w:rPr>
                <w:b/>
                <w:sz w:val="21"/>
              </w:rPr>
            </w:pPr>
            <w:r>
              <w:rPr>
                <w:b/>
                <w:sz w:val="21"/>
              </w:rPr>
              <w:t>阴离子</w:t>
            </w:r>
          </w:p>
        </w:tc>
        <w:tc>
          <w:tcPr>
            <w:tcW w:w="1856" w:type="dxa"/>
          </w:tcPr>
          <w:p>
            <w:pPr>
              <w:pStyle w:val="TableParagraph"/>
              <w:spacing w:line="168" w:lineRule="exact" w:before="33"/>
              <w:ind w:left="577" w:right="567"/>
              <w:rPr>
                <w:rFonts w:ascii="Times New Roman"/>
                <w:sz w:val="13"/>
              </w:rPr>
            </w:pPr>
            <w:r>
              <w:rPr>
                <w:rFonts w:ascii="Times New Roman"/>
                <w:sz w:val="21"/>
              </w:rPr>
              <w:t>HCO </w:t>
            </w:r>
            <w:r>
              <w:rPr>
                <w:rFonts w:ascii="Times New Roman"/>
                <w:position w:val="7"/>
                <w:sz w:val="13"/>
              </w:rPr>
              <w:t>-</w:t>
            </w:r>
          </w:p>
          <w:p>
            <w:pPr>
              <w:pStyle w:val="TableParagraph"/>
              <w:spacing w:line="76" w:lineRule="exact"/>
              <w:ind w:left="410"/>
              <w:rPr>
                <w:rFonts w:ascii="Times New Roman"/>
                <w:sz w:val="13"/>
              </w:rPr>
            </w:pPr>
            <w:r>
              <w:rPr>
                <w:rFonts w:ascii="Times New Roman"/>
                <w:w w:val="105"/>
                <w:sz w:val="13"/>
              </w:rPr>
              <w:t>3</w:t>
            </w:r>
          </w:p>
        </w:tc>
        <w:tc>
          <w:tcPr>
            <w:tcW w:w="1858" w:type="dxa"/>
          </w:tcPr>
          <w:p>
            <w:pPr>
              <w:pStyle w:val="TableParagraph"/>
              <w:spacing w:before="33"/>
              <w:ind w:right="679"/>
              <w:jc w:val="right"/>
              <w:rPr>
                <w:rFonts w:ascii="Times New Roman"/>
                <w:sz w:val="21"/>
              </w:rPr>
            </w:pPr>
            <w:r>
              <w:rPr>
                <w:rFonts w:ascii="Times New Roman"/>
                <w:sz w:val="21"/>
              </w:rPr>
              <w:t>182.3</w:t>
            </w:r>
          </w:p>
        </w:tc>
        <w:tc>
          <w:tcPr>
            <w:tcW w:w="1858" w:type="dxa"/>
          </w:tcPr>
          <w:p>
            <w:pPr>
              <w:pStyle w:val="TableParagraph"/>
              <w:spacing w:before="33"/>
              <w:ind w:left="331" w:right="322"/>
              <w:rPr>
                <w:rFonts w:ascii="Times New Roman"/>
                <w:sz w:val="21"/>
              </w:rPr>
            </w:pPr>
            <w:r>
              <w:rPr>
                <w:rFonts w:ascii="Times New Roman"/>
                <w:sz w:val="21"/>
              </w:rPr>
              <w:t>2.989</w:t>
            </w:r>
          </w:p>
        </w:tc>
        <w:tc>
          <w:tcPr>
            <w:tcW w:w="1858" w:type="dxa"/>
          </w:tcPr>
          <w:p>
            <w:pPr>
              <w:pStyle w:val="TableParagraph"/>
              <w:spacing w:before="33"/>
              <w:ind w:left="331" w:right="320"/>
              <w:rPr>
                <w:rFonts w:ascii="Times New Roman"/>
                <w:sz w:val="21"/>
              </w:rPr>
            </w:pPr>
            <w:r>
              <w:rPr>
                <w:rFonts w:ascii="Times New Roman"/>
                <w:sz w:val="21"/>
              </w:rPr>
              <w:t>88.13</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35"/>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TableParagraph"/>
              <w:spacing w:before="35"/>
              <w:ind w:right="732"/>
              <w:jc w:val="right"/>
              <w:rPr>
                <w:rFonts w:ascii="Times New Roman"/>
                <w:sz w:val="21"/>
              </w:rPr>
            </w:pPr>
            <w:r>
              <w:rPr>
                <w:rFonts w:ascii="Times New Roman"/>
                <w:sz w:val="21"/>
              </w:rPr>
              <w:t>7.51</w:t>
            </w:r>
          </w:p>
        </w:tc>
        <w:tc>
          <w:tcPr>
            <w:tcW w:w="1858" w:type="dxa"/>
          </w:tcPr>
          <w:p>
            <w:pPr>
              <w:pStyle w:val="TableParagraph"/>
              <w:spacing w:before="35"/>
              <w:ind w:left="331" w:right="322"/>
              <w:rPr>
                <w:rFonts w:ascii="Times New Roman"/>
                <w:sz w:val="21"/>
              </w:rPr>
            </w:pPr>
            <w:r>
              <w:rPr>
                <w:rFonts w:ascii="Times New Roman"/>
                <w:sz w:val="21"/>
              </w:rPr>
              <w:t>0.212</w:t>
            </w:r>
          </w:p>
        </w:tc>
        <w:tc>
          <w:tcPr>
            <w:tcW w:w="1858" w:type="dxa"/>
          </w:tcPr>
          <w:p>
            <w:pPr>
              <w:pStyle w:val="TableParagraph"/>
              <w:spacing w:before="35"/>
              <w:ind w:left="330" w:right="322"/>
              <w:rPr>
                <w:rFonts w:ascii="Times New Roman"/>
                <w:sz w:val="21"/>
              </w:rPr>
            </w:pPr>
            <w:r>
              <w:rPr>
                <w:rFonts w:ascii="Times New Roman"/>
                <w:sz w:val="21"/>
              </w:rPr>
              <w:t>6.24</w:t>
            </w:r>
          </w:p>
        </w:tc>
      </w:tr>
      <w:tr>
        <w:trPr>
          <w:trHeight w:val="312" w:hRule="atLeast"/>
        </w:trPr>
        <w:tc>
          <w:tcPr>
            <w:tcW w:w="1856" w:type="dxa"/>
            <w:vMerge/>
            <w:tcBorders>
              <w:top w:val="nil"/>
            </w:tcBorders>
          </w:tcPr>
          <w:p>
            <w:pPr>
              <w:rPr>
                <w:sz w:val="2"/>
                <w:szCs w:val="2"/>
              </w:rPr>
            </w:pPr>
          </w:p>
        </w:tc>
        <w:tc>
          <w:tcPr>
            <w:tcW w:w="1856" w:type="dxa"/>
          </w:tcPr>
          <w:p>
            <w:pPr>
              <w:pStyle w:val="TableParagraph"/>
              <w:spacing w:line="166" w:lineRule="exact" w:before="35"/>
              <w:ind w:left="577" w:right="567"/>
              <w:rPr>
                <w:rFonts w:ascii="Times New Roman"/>
                <w:sz w:val="13"/>
              </w:rPr>
            </w:pPr>
            <w:r>
              <w:rPr>
                <w:rFonts w:ascii="Times New Roman"/>
                <w:position w:val="-6"/>
                <w:sz w:val="21"/>
              </w:rPr>
              <w:t>SO </w:t>
            </w:r>
            <w:r>
              <w:rPr>
                <w:rFonts w:ascii="Times New Roman"/>
                <w:sz w:val="13"/>
              </w:rPr>
              <w:t>2-</w:t>
            </w:r>
          </w:p>
          <w:p>
            <w:pPr>
              <w:pStyle w:val="TableParagraph"/>
              <w:spacing w:line="74" w:lineRule="exact"/>
              <w:ind w:left="165"/>
              <w:rPr>
                <w:rFonts w:ascii="Times New Roman"/>
                <w:sz w:val="13"/>
              </w:rPr>
            </w:pPr>
            <w:r>
              <w:rPr>
                <w:rFonts w:ascii="Times New Roman"/>
                <w:w w:val="105"/>
                <w:sz w:val="13"/>
              </w:rPr>
              <w:t>4</w:t>
            </w:r>
          </w:p>
        </w:tc>
        <w:tc>
          <w:tcPr>
            <w:tcW w:w="1858" w:type="dxa"/>
          </w:tcPr>
          <w:p>
            <w:pPr>
              <w:pStyle w:val="TableParagraph"/>
              <w:spacing w:before="34"/>
              <w:ind w:right="732"/>
              <w:jc w:val="right"/>
              <w:rPr>
                <w:rFonts w:ascii="Times New Roman"/>
                <w:sz w:val="21"/>
              </w:rPr>
            </w:pPr>
            <w:r>
              <w:rPr>
                <w:rFonts w:ascii="Times New Roman"/>
                <w:sz w:val="21"/>
              </w:rPr>
              <w:t>9.17</w:t>
            </w:r>
          </w:p>
        </w:tc>
        <w:tc>
          <w:tcPr>
            <w:tcW w:w="1858" w:type="dxa"/>
          </w:tcPr>
          <w:p>
            <w:pPr>
              <w:pStyle w:val="TableParagraph"/>
              <w:spacing w:before="34"/>
              <w:ind w:left="331" w:right="322"/>
              <w:rPr>
                <w:rFonts w:ascii="Times New Roman"/>
                <w:sz w:val="21"/>
              </w:rPr>
            </w:pPr>
            <w:r>
              <w:rPr>
                <w:rFonts w:ascii="Times New Roman"/>
                <w:sz w:val="21"/>
              </w:rPr>
              <w:t>0.191</w:t>
            </w:r>
          </w:p>
        </w:tc>
        <w:tc>
          <w:tcPr>
            <w:tcW w:w="1858" w:type="dxa"/>
          </w:tcPr>
          <w:p>
            <w:pPr>
              <w:pStyle w:val="TableParagraph"/>
              <w:spacing w:before="34"/>
              <w:ind w:left="330" w:right="322"/>
              <w:rPr>
                <w:rFonts w:ascii="Times New Roman"/>
                <w:sz w:val="21"/>
              </w:rPr>
            </w:pPr>
            <w:r>
              <w:rPr>
                <w:rFonts w:ascii="Times New Roman"/>
                <w:sz w:val="21"/>
              </w:rPr>
              <w:t>5.63</w:t>
            </w:r>
          </w:p>
        </w:tc>
      </w:tr>
      <w:tr>
        <w:trPr>
          <w:trHeight w:val="312" w:hRule="atLeast"/>
        </w:trPr>
        <w:tc>
          <w:tcPr>
            <w:tcW w:w="1856" w:type="dxa"/>
            <w:vMerge/>
            <w:tcBorders>
              <w:top w:val="nil"/>
            </w:tcBorders>
          </w:tcPr>
          <w:p>
            <w:pPr>
              <w:rPr>
                <w:sz w:val="2"/>
                <w:szCs w:val="2"/>
              </w:rPr>
            </w:pPr>
          </w:p>
        </w:tc>
        <w:tc>
          <w:tcPr>
            <w:tcW w:w="1856" w:type="dxa"/>
          </w:tcPr>
          <w:p>
            <w:pPr>
              <w:pStyle w:val="TableParagraph"/>
              <w:spacing w:before="20"/>
              <w:ind w:left="572" w:right="567"/>
              <w:rPr>
                <w:sz w:val="21"/>
              </w:rPr>
            </w:pPr>
            <w:r>
              <w:rPr>
                <w:sz w:val="21"/>
              </w:rPr>
              <w:t>总计</w:t>
            </w:r>
          </w:p>
        </w:tc>
        <w:tc>
          <w:tcPr>
            <w:tcW w:w="1858" w:type="dxa"/>
          </w:tcPr>
          <w:p>
            <w:pPr>
              <w:pStyle w:val="TableParagraph"/>
              <w:spacing w:before="34"/>
              <w:ind w:right="629"/>
              <w:jc w:val="right"/>
              <w:rPr>
                <w:rFonts w:ascii="Times New Roman"/>
                <w:sz w:val="21"/>
              </w:rPr>
            </w:pPr>
            <w:r>
              <w:rPr>
                <w:rFonts w:ascii="Times New Roman"/>
                <w:w w:val="95"/>
                <w:sz w:val="21"/>
              </w:rPr>
              <w:t>198.98</w:t>
            </w:r>
          </w:p>
        </w:tc>
        <w:tc>
          <w:tcPr>
            <w:tcW w:w="1858" w:type="dxa"/>
          </w:tcPr>
          <w:p>
            <w:pPr>
              <w:pStyle w:val="TableParagraph"/>
              <w:spacing w:before="34"/>
              <w:ind w:left="331" w:right="322"/>
              <w:rPr>
                <w:rFonts w:ascii="Times New Roman"/>
                <w:sz w:val="21"/>
              </w:rPr>
            </w:pPr>
            <w:r>
              <w:rPr>
                <w:rFonts w:ascii="Times New Roman"/>
                <w:sz w:val="21"/>
              </w:rPr>
              <w:t>3.391</w:t>
            </w:r>
          </w:p>
        </w:tc>
        <w:tc>
          <w:tcPr>
            <w:tcW w:w="1858" w:type="dxa"/>
          </w:tcPr>
          <w:p>
            <w:pPr>
              <w:pStyle w:val="TableParagraph"/>
              <w:spacing w:before="34"/>
              <w:ind w:left="328" w:right="322"/>
              <w:rPr>
                <w:rFonts w:ascii="Times New Roman"/>
                <w:sz w:val="21"/>
              </w:rPr>
            </w:pPr>
            <w:r>
              <w:rPr>
                <w:rFonts w:ascii="Times New Roman"/>
                <w:sz w:val="21"/>
              </w:rPr>
              <w:t>100.00</w:t>
            </w:r>
          </w:p>
        </w:tc>
      </w:tr>
      <w:tr>
        <w:trPr>
          <w:trHeight w:val="272" w:hRule="atLeast"/>
        </w:trPr>
        <w:tc>
          <w:tcPr>
            <w:tcW w:w="3712" w:type="dxa"/>
            <w:gridSpan w:val="2"/>
          </w:tcPr>
          <w:p>
            <w:pPr>
              <w:pStyle w:val="TableParagraph"/>
              <w:spacing w:line="251" w:lineRule="exact"/>
              <w:ind w:left="1519" w:right="1511"/>
              <w:rPr>
                <w:b/>
                <w:sz w:val="21"/>
              </w:rPr>
            </w:pPr>
            <w:r>
              <w:rPr>
                <w:rFonts w:ascii="Times New Roman" w:eastAsia="Times New Roman"/>
                <w:b/>
                <w:sz w:val="21"/>
              </w:rPr>
              <w:t>3#</w:t>
            </w:r>
            <w:r>
              <w:rPr>
                <w:b/>
                <w:sz w:val="21"/>
              </w:rPr>
              <w:t>离子</w:t>
            </w:r>
          </w:p>
        </w:tc>
        <w:tc>
          <w:tcPr>
            <w:tcW w:w="1858" w:type="dxa"/>
          </w:tcPr>
          <w:p>
            <w:pPr>
              <w:pStyle w:val="TableParagraph"/>
              <w:spacing w:line="237" w:lineRule="exact" w:before="14"/>
              <w:ind w:right="680"/>
              <w:jc w:val="right"/>
              <w:rPr>
                <w:rFonts w:ascii="Times New Roman"/>
                <w:b/>
                <w:sz w:val="21"/>
              </w:rPr>
            </w:pPr>
            <w:r>
              <w:rPr>
                <w:rFonts w:ascii="Times New Roman"/>
                <w:b/>
                <w:w w:val="95"/>
                <w:sz w:val="21"/>
              </w:rPr>
              <w:t>mg/L</w:t>
            </w:r>
          </w:p>
        </w:tc>
        <w:tc>
          <w:tcPr>
            <w:tcW w:w="1858" w:type="dxa"/>
          </w:tcPr>
          <w:p>
            <w:pPr>
              <w:pStyle w:val="TableParagraph"/>
              <w:spacing w:line="237" w:lineRule="exact" w:before="14"/>
              <w:ind w:left="328" w:right="322"/>
              <w:rPr>
                <w:rFonts w:ascii="Times New Roman"/>
                <w:b/>
                <w:sz w:val="21"/>
              </w:rPr>
            </w:pPr>
            <w:r>
              <w:rPr>
                <w:rFonts w:ascii="Times New Roman"/>
                <w:b/>
                <w:sz w:val="21"/>
              </w:rPr>
              <w:t>meq/L</w:t>
            </w:r>
          </w:p>
        </w:tc>
        <w:tc>
          <w:tcPr>
            <w:tcW w:w="1858" w:type="dxa"/>
          </w:tcPr>
          <w:p>
            <w:pPr>
              <w:pStyle w:val="TableParagraph"/>
              <w:spacing w:line="237" w:lineRule="exact" w:before="14"/>
              <w:ind w:left="329" w:right="322"/>
              <w:rPr>
                <w:rFonts w:ascii="Times New Roman"/>
                <w:b/>
                <w:sz w:val="21"/>
              </w:rPr>
            </w:pPr>
            <w:r>
              <w:rPr>
                <w:rFonts w:ascii="Times New Roman"/>
                <w:b/>
                <w:sz w:val="21"/>
              </w:rPr>
              <w:t>meq%</w:t>
            </w:r>
          </w:p>
        </w:tc>
      </w:tr>
      <w:tr>
        <w:trPr>
          <w:trHeight w:val="305" w:hRule="atLeast"/>
        </w:trPr>
        <w:tc>
          <w:tcPr>
            <w:tcW w:w="1856" w:type="dxa"/>
            <w:vMerge w:val="restart"/>
          </w:tcPr>
          <w:p>
            <w:pPr>
              <w:pStyle w:val="TableParagraph"/>
              <w:spacing w:line="242" w:lineRule="auto" w:before="33"/>
              <w:ind w:left="823" w:right="811"/>
              <w:jc w:val="both"/>
              <w:rPr>
                <w:b/>
                <w:sz w:val="21"/>
              </w:rPr>
            </w:pPr>
            <w:r>
              <w:rPr>
                <w:b/>
                <w:sz w:val="21"/>
              </w:rPr>
              <w:t>阳离子</w:t>
            </w:r>
          </w:p>
        </w:tc>
        <w:tc>
          <w:tcPr>
            <w:tcW w:w="1856" w:type="dxa"/>
          </w:tcPr>
          <w:p>
            <w:pPr>
              <w:pStyle w:val="TableParagraph"/>
              <w:spacing w:before="32"/>
              <w:ind w:left="577" w:right="567"/>
              <w:rPr>
                <w:rFonts w:ascii="Times New Roman"/>
                <w:sz w:val="13"/>
              </w:rPr>
            </w:pPr>
            <w:r>
              <w:rPr>
                <w:rFonts w:ascii="Times New Roman"/>
                <w:sz w:val="21"/>
              </w:rPr>
              <w:t>K</w:t>
            </w:r>
            <w:r>
              <w:rPr>
                <w:rFonts w:ascii="Times New Roman"/>
                <w:position w:val="7"/>
                <w:sz w:val="13"/>
              </w:rPr>
              <w:t>+</w:t>
            </w:r>
            <w:r>
              <w:rPr>
                <w:rFonts w:ascii="Times New Roman"/>
                <w:sz w:val="21"/>
              </w:rPr>
              <w:t>+Na</w:t>
            </w:r>
            <w:r>
              <w:rPr>
                <w:rFonts w:ascii="Times New Roman"/>
                <w:position w:val="7"/>
                <w:sz w:val="13"/>
              </w:rPr>
              <w:t>+</w:t>
            </w:r>
          </w:p>
        </w:tc>
        <w:tc>
          <w:tcPr>
            <w:tcW w:w="1858" w:type="dxa"/>
          </w:tcPr>
          <w:p>
            <w:pPr>
              <w:pStyle w:val="TableParagraph"/>
              <w:spacing w:before="32"/>
              <w:ind w:right="679"/>
              <w:jc w:val="right"/>
              <w:rPr>
                <w:rFonts w:ascii="Times New Roman"/>
                <w:sz w:val="21"/>
              </w:rPr>
            </w:pPr>
            <w:r>
              <w:rPr>
                <w:rFonts w:ascii="Times New Roman"/>
                <w:sz w:val="21"/>
              </w:rPr>
              <w:t>14.49</w:t>
            </w:r>
          </w:p>
        </w:tc>
        <w:tc>
          <w:tcPr>
            <w:tcW w:w="1858" w:type="dxa"/>
          </w:tcPr>
          <w:p>
            <w:pPr>
              <w:pStyle w:val="TableParagraph"/>
              <w:spacing w:before="32"/>
              <w:ind w:left="331" w:right="322"/>
              <w:rPr>
                <w:rFonts w:ascii="Times New Roman"/>
                <w:sz w:val="21"/>
              </w:rPr>
            </w:pPr>
            <w:r>
              <w:rPr>
                <w:rFonts w:ascii="Times New Roman"/>
                <w:sz w:val="21"/>
              </w:rPr>
              <w:t>0.609</w:t>
            </w:r>
          </w:p>
        </w:tc>
        <w:tc>
          <w:tcPr>
            <w:tcW w:w="1858" w:type="dxa"/>
          </w:tcPr>
          <w:p>
            <w:pPr>
              <w:pStyle w:val="TableParagraph"/>
              <w:spacing w:before="32"/>
              <w:ind w:left="331" w:right="320"/>
              <w:rPr>
                <w:rFonts w:ascii="Times New Roman"/>
                <w:sz w:val="21"/>
              </w:rPr>
            </w:pPr>
            <w:r>
              <w:rPr>
                <w:rFonts w:ascii="Times New Roman"/>
                <w:sz w:val="21"/>
              </w:rPr>
              <w:t>16.41</w:t>
            </w:r>
          </w:p>
        </w:tc>
      </w:tr>
      <w:tr>
        <w:trPr>
          <w:trHeight w:val="280" w:hRule="atLeast"/>
        </w:trPr>
        <w:tc>
          <w:tcPr>
            <w:tcW w:w="1856" w:type="dxa"/>
            <w:vMerge/>
            <w:tcBorders>
              <w:top w:val="nil"/>
            </w:tcBorders>
          </w:tcPr>
          <w:p>
            <w:pPr>
              <w:rPr>
                <w:sz w:val="2"/>
                <w:szCs w:val="2"/>
              </w:rPr>
            </w:pPr>
          </w:p>
        </w:tc>
        <w:tc>
          <w:tcPr>
            <w:tcW w:w="1856" w:type="dxa"/>
          </w:tcPr>
          <w:p>
            <w:pPr>
              <w:pStyle w:val="TableParagraph"/>
              <w:spacing w:before="19"/>
              <w:ind w:left="577" w:right="567"/>
              <w:rPr>
                <w:rFonts w:ascii="Times New Roman"/>
                <w:sz w:val="13"/>
              </w:rPr>
            </w:pPr>
            <w:r>
              <w:rPr>
                <w:rFonts w:ascii="Times New Roman"/>
                <w:position w:val="-6"/>
                <w:sz w:val="21"/>
              </w:rPr>
              <w:t>Ca</w:t>
            </w:r>
            <w:r>
              <w:rPr>
                <w:rFonts w:ascii="Times New Roman"/>
                <w:sz w:val="13"/>
              </w:rPr>
              <w:t>2+</w:t>
            </w:r>
          </w:p>
        </w:tc>
        <w:tc>
          <w:tcPr>
            <w:tcW w:w="1858" w:type="dxa"/>
          </w:tcPr>
          <w:p>
            <w:pPr>
              <w:pStyle w:val="TableParagraph"/>
              <w:spacing w:before="19"/>
              <w:ind w:left="331" w:right="321"/>
              <w:rPr>
                <w:rFonts w:ascii="Times New Roman"/>
                <w:sz w:val="21"/>
              </w:rPr>
            </w:pPr>
            <w:r>
              <w:rPr>
                <w:rFonts w:ascii="Times New Roman"/>
                <w:sz w:val="21"/>
              </w:rPr>
              <w:t>41</w:t>
            </w:r>
          </w:p>
        </w:tc>
        <w:tc>
          <w:tcPr>
            <w:tcW w:w="1858" w:type="dxa"/>
          </w:tcPr>
          <w:p>
            <w:pPr>
              <w:pStyle w:val="TableParagraph"/>
              <w:spacing w:before="19"/>
              <w:ind w:left="331" w:right="322"/>
              <w:rPr>
                <w:rFonts w:ascii="Times New Roman"/>
                <w:sz w:val="21"/>
              </w:rPr>
            </w:pPr>
            <w:r>
              <w:rPr>
                <w:rFonts w:ascii="Times New Roman"/>
                <w:sz w:val="21"/>
              </w:rPr>
              <w:t>2.050</w:t>
            </w:r>
          </w:p>
        </w:tc>
        <w:tc>
          <w:tcPr>
            <w:tcW w:w="1858" w:type="dxa"/>
          </w:tcPr>
          <w:p>
            <w:pPr>
              <w:pStyle w:val="TableParagraph"/>
              <w:spacing w:before="19"/>
              <w:ind w:left="331" w:right="320"/>
              <w:rPr>
                <w:rFonts w:ascii="Times New Roman"/>
                <w:sz w:val="21"/>
              </w:rPr>
            </w:pPr>
            <w:r>
              <w:rPr>
                <w:rFonts w:ascii="Times New Roman"/>
                <w:sz w:val="21"/>
              </w:rPr>
              <w:t>55.27</w:t>
            </w:r>
          </w:p>
        </w:tc>
      </w:tr>
      <w:tr>
        <w:trPr>
          <w:trHeight w:val="271" w:hRule="atLeast"/>
        </w:trPr>
        <w:tc>
          <w:tcPr>
            <w:tcW w:w="1856" w:type="dxa"/>
            <w:vMerge/>
            <w:tcBorders>
              <w:top w:val="nil"/>
            </w:tcBorders>
          </w:tcPr>
          <w:p>
            <w:pPr>
              <w:rPr>
                <w:sz w:val="2"/>
                <w:szCs w:val="2"/>
              </w:rPr>
            </w:pPr>
          </w:p>
        </w:tc>
        <w:tc>
          <w:tcPr>
            <w:tcW w:w="1856" w:type="dxa"/>
          </w:tcPr>
          <w:p>
            <w:pPr>
              <w:pStyle w:val="TableParagraph"/>
              <w:spacing w:line="235" w:lineRule="exact" w:before="16"/>
              <w:ind w:left="577" w:right="567"/>
              <w:rPr>
                <w:rFonts w:ascii="Times New Roman"/>
                <w:sz w:val="13"/>
              </w:rPr>
            </w:pPr>
            <w:r>
              <w:rPr>
                <w:rFonts w:ascii="Times New Roman"/>
                <w:position w:val="-6"/>
                <w:sz w:val="21"/>
              </w:rPr>
              <w:t>Mg</w:t>
            </w:r>
            <w:r>
              <w:rPr>
                <w:rFonts w:ascii="Times New Roman"/>
                <w:sz w:val="13"/>
              </w:rPr>
              <w:t>2+</w:t>
            </w:r>
          </w:p>
        </w:tc>
        <w:tc>
          <w:tcPr>
            <w:tcW w:w="1858" w:type="dxa"/>
          </w:tcPr>
          <w:p>
            <w:pPr>
              <w:pStyle w:val="TableParagraph"/>
              <w:spacing w:line="235" w:lineRule="exact" w:before="16"/>
              <w:ind w:right="732"/>
              <w:jc w:val="right"/>
              <w:rPr>
                <w:rFonts w:ascii="Times New Roman"/>
                <w:sz w:val="21"/>
              </w:rPr>
            </w:pPr>
            <w:r>
              <w:rPr>
                <w:rFonts w:ascii="Times New Roman"/>
                <w:sz w:val="21"/>
              </w:rPr>
              <w:t>12.6</w:t>
            </w:r>
          </w:p>
        </w:tc>
        <w:tc>
          <w:tcPr>
            <w:tcW w:w="1858" w:type="dxa"/>
          </w:tcPr>
          <w:p>
            <w:pPr>
              <w:pStyle w:val="TableParagraph"/>
              <w:spacing w:line="235" w:lineRule="exact" w:before="16"/>
              <w:ind w:left="331" w:right="322"/>
              <w:rPr>
                <w:rFonts w:ascii="Times New Roman"/>
                <w:sz w:val="21"/>
              </w:rPr>
            </w:pPr>
            <w:r>
              <w:rPr>
                <w:rFonts w:ascii="Times New Roman"/>
                <w:sz w:val="21"/>
              </w:rPr>
              <w:t>1.050</w:t>
            </w:r>
          </w:p>
        </w:tc>
        <w:tc>
          <w:tcPr>
            <w:tcW w:w="1858" w:type="dxa"/>
          </w:tcPr>
          <w:p>
            <w:pPr>
              <w:pStyle w:val="TableParagraph"/>
              <w:spacing w:line="235" w:lineRule="exact" w:before="16"/>
              <w:ind w:left="331" w:right="320"/>
              <w:rPr>
                <w:rFonts w:ascii="Times New Roman"/>
                <w:sz w:val="21"/>
              </w:rPr>
            </w:pPr>
            <w:r>
              <w:rPr>
                <w:rFonts w:ascii="Times New Roman"/>
                <w:sz w:val="21"/>
              </w:rPr>
              <w:t>28.31</w:t>
            </w:r>
          </w:p>
        </w:tc>
      </w:tr>
    </w:tbl>
    <w:p>
      <w:pPr>
        <w:spacing w:after="0" w:line="235" w:lineRule="exact"/>
        <w:rPr>
          <w:rFonts w:ascii="Times New Roman"/>
          <w:sz w:val="21"/>
        </w:rPr>
        <w:sectPr>
          <w:type w:val="continuous"/>
          <w:pgSz w:w="11910" w:h="16840"/>
          <w:pgMar w:top="1580" w:bottom="280" w:left="1040" w:right="600"/>
        </w:sect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6"/>
        <w:gridCol w:w="1856"/>
        <w:gridCol w:w="1858"/>
        <w:gridCol w:w="1858"/>
        <w:gridCol w:w="1858"/>
      </w:tblGrid>
      <w:tr>
        <w:trPr>
          <w:trHeight w:val="320" w:hRule="atLeast"/>
        </w:trPr>
        <w:tc>
          <w:tcPr>
            <w:tcW w:w="1856" w:type="dxa"/>
          </w:tcPr>
          <w:p>
            <w:pPr>
              <w:pStyle w:val="TableParagraph"/>
              <w:jc w:val="left"/>
              <w:rPr>
                <w:rFonts w:ascii="Times New Roman"/>
                <w:sz w:val="22"/>
              </w:rPr>
            </w:pPr>
          </w:p>
        </w:tc>
        <w:tc>
          <w:tcPr>
            <w:tcW w:w="1856" w:type="dxa"/>
          </w:tcPr>
          <w:p>
            <w:pPr>
              <w:pStyle w:val="TableParagraph"/>
              <w:spacing w:before="26"/>
              <w:ind w:left="572" w:right="567"/>
              <w:rPr>
                <w:sz w:val="21"/>
              </w:rPr>
            </w:pPr>
            <w:r>
              <w:rPr>
                <w:sz w:val="21"/>
              </w:rPr>
              <w:t>总计</w:t>
            </w:r>
          </w:p>
        </w:tc>
        <w:tc>
          <w:tcPr>
            <w:tcW w:w="1858" w:type="dxa"/>
          </w:tcPr>
          <w:p>
            <w:pPr>
              <w:pStyle w:val="TableParagraph"/>
              <w:spacing w:before="40"/>
              <w:ind w:right="679"/>
              <w:jc w:val="right"/>
              <w:rPr>
                <w:rFonts w:ascii="Times New Roman"/>
                <w:sz w:val="21"/>
              </w:rPr>
            </w:pPr>
            <w:r>
              <w:rPr>
                <w:rFonts w:ascii="Times New Roman"/>
                <w:sz w:val="21"/>
              </w:rPr>
              <w:t>68.09</w:t>
            </w:r>
          </w:p>
        </w:tc>
        <w:tc>
          <w:tcPr>
            <w:tcW w:w="1858" w:type="dxa"/>
          </w:tcPr>
          <w:p>
            <w:pPr>
              <w:pStyle w:val="TableParagraph"/>
              <w:spacing w:before="40"/>
              <w:ind w:right="680"/>
              <w:jc w:val="right"/>
              <w:rPr>
                <w:rFonts w:ascii="Times New Roman"/>
                <w:sz w:val="21"/>
              </w:rPr>
            </w:pPr>
            <w:r>
              <w:rPr>
                <w:rFonts w:ascii="Times New Roman"/>
                <w:sz w:val="21"/>
              </w:rPr>
              <w:t>3.709</w:t>
            </w:r>
          </w:p>
        </w:tc>
        <w:tc>
          <w:tcPr>
            <w:tcW w:w="1858" w:type="dxa"/>
          </w:tcPr>
          <w:p>
            <w:pPr>
              <w:pStyle w:val="TableParagraph"/>
              <w:spacing w:before="40"/>
              <w:ind w:left="328" w:right="322"/>
              <w:rPr>
                <w:rFonts w:ascii="Times New Roman"/>
                <w:sz w:val="21"/>
              </w:rPr>
            </w:pPr>
            <w:r>
              <w:rPr>
                <w:rFonts w:ascii="Times New Roman"/>
                <w:sz w:val="21"/>
              </w:rPr>
              <w:t>100.00</w:t>
            </w:r>
          </w:p>
        </w:tc>
      </w:tr>
      <w:tr>
        <w:trPr>
          <w:trHeight w:val="272" w:hRule="atLeast"/>
        </w:trPr>
        <w:tc>
          <w:tcPr>
            <w:tcW w:w="1856" w:type="dxa"/>
            <w:vMerge w:val="restart"/>
          </w:tcPr>
          <w:p>
            <w:pPr>
              <w:pStyle w:val="TableParagraph"/>
              <w:spacing w:line="242" w:lineRule="auto" w:before="160"/>
              <w:ind w:left="823" w:right="811"/>
              <w:jc w:val="both"/>
              <w:rPr>
                <w:b/>
                <w:sz w:val="21"/>
              </w:rPr>
            </w:pPr>
            <w:r>
              <w:rPr>
                <w:b/>
                <w:sz w:val="21"/>
              </w:rPr>
              <w:t>阴离子</w:t>
            </w:r>
          </w:p>
        </w:tc>
        <w:tc>
          <w:tcPr>
            <w:tcW w:w="1856" w:type="dxa"/>
          </w:tcPr>
          <w:p>
            <w:pPr>
              <w:pStyle w:val="TableParagraph"/>
              <w:spacing w:line="166" w:lineRule="exact" w:before="16"/>
              <w:ind w:left="577" w:right="567"/>
              <w:rPr>
                <w:rFonts w:ascii="Times New Roman"/>
                <w:sz w:val="13"/>
              </w:rPr>
            </w:pPr>
            <w:r>
              <w:rPr>
                <w:rFonts w:ascii="Times New Roman"/>
                <w:sz w:val="21"/>
              </w:rPr>
              <w:t>HCO </w:t>
            </w:r>
            <w:r>
              <w:rPr>
                <w:rFonts w:ascii="Times New Roman"/>
                <w:position w:val="7"/>
                <w:sz w:val="13"/>
              </w:rPr>
              <w:t>-</w:t>
            </w:r>
          </w:p>
          <w:p>
            <w:pPr>
              <w:pStyle w:val="TableParagraph"/>
              <w:spacing w:line="70" w:lineRule="exact"/>
              <w:ind w:left="410"/>
              <w:rPr>
                <w:rFonts w:ascii="Times New Roman"/>
                <w:sz w:val="13"/>
              </w:rPr>
            </w:pPr>
            <w:r>
              <w:rPr>
                <w:rFonts w:ascii="Times New Roman"/>
                <w:w w:val="105"/>
                <w:sz w:val="13"/>
              </w:rPr>
              <w:t>3</w:t>
            </w:r>
          </w:p>
        </w:tc>
        <w:tc>
          <w:tcPr>
            <w:tcW w:w="1858" w:type="dxa"/>
          </w:tcPr>
          <w:p>
            <w:pPr>
              <w:pStyle w:val="TableParagraph"/>
              <w:spacing w:line="237" w:lineRule="exact" w:before="16"/>
              <w:ind w:right="679"/>
              <w:jc w:val="right"/>
              <w:rPr>
                <w:rFonts w:ascii="Times New Roman"/>
                <w:sz w:val="21"/>
              </w:rPr>
            </w:pPr>
            <w:r>
              <w:rPr>
                <w:rFonts w:ascii="Times New Roman"/>
                <w:sz w:val="21"/>
              </w:rPr>
              <w:t>190.8</w:t>
            </w:r>
          </w:p>
        </w:tc>
        <w:tc>
          <w:tcPr>
            <w:tcW w:w="1858" w:type="dxa"/>
          </w:tcPr>
          <w:p>
            <w:pPr>
              <w:pStyle w:val="TableParagraph"/>
              <w:spacing w:line="237" w:lineRule="exact" w:before="16"/>
              <w:ind w:right="680"/>
              <w:jc w:val="right"/>
              <w:rPr>
                <w:rFonts w:ascii="Times New Roman"/>
                <w:sz w:val="21"/>
              </w:rPr>
            </w:pPr>
            <w:r>
              <w:rPr>
                <w:rFonts w:ascii="Times New Roman"/>
                <w:sz w:val="21"/>
              </w:rPr>
              <w:t>3.128</w:t>
            </w:r>
          </w:p>
        </w:tc>
        <w:tc>
          <w:tcPr>
            <w:tcW w:w="1858" w:type="dxa"/>
          </w:tcPr>
          <w:p>
            <w:pPr>
              <w:pStyle w:val="TableParagraph"/>
              <w:spacing w:line="237" w:lineRule="exact" w:before="16"/>
              <w:ind w:left="331" w:right="320"/>
              <w:rPr>
                <w:rFonts w:ascii="Times New Roman"/>
                <w:sz w:val="21"/>
              </w:rPr>
            </w:pPr>
            <w:r>
              <w:rPr>
                <w:rFonts w:ascii="Times New Roman"/>
                <w:sz w:val="21"/>
              </w:rPr>
              <w:t>88.46</w:t>
            </w:r>
          </w:p>
        </w:tc>
      </w:tr>
      <w:tr>
        <w:trPr>
          <w:trHeight w:val="281" w:hRule="atLeast"/>
        </w:trPr>
        <w:tc>
          <w:tcPr>
            <w:tcW w:w="1856" w:type="dxa"/>
            <w:vMerge/>
            <w:tcBorders>
              <w:top w:val="nil"/>
            </w:tcBorders>
          </w:tcPr>
          <w:p>
            <w:pPr>
              <w:rPr>
                <w:sz w:val="2"/>
                <w:szCs w:val="2"/>
              </w:rPr>
            </w:pPr>
          </w:p>
        </w:tc>
        <w:tc>
          <w:tcPr>
            <w:tcW w:w="1856" w:type="dxa"/>
          </w:tcPr>
          <w:p>
            <w:pPr>
              <w:pStyle w:val="TableParagraph"/>
              <w:spacing w:before="18"/>
              <w:ind w:left="575" w:right="567"/>
              <w:rPr>
                <w:rFonts w:ascii="Times New Roman"/>
                <w:sz w:val="13"/>
              </w:rPr>
            </w:pPr>
            <w:r>
              <w:rPr>
                <w:rFonts w:ascii="Times New Roman"/>
                <w:sz w:val="21"/>
              </w:rPr>
              <w:t>Cl</w:t>
            </w:r>
            <w:r>
              <w:rPr>
                <w:rFonts w:ascii="Times New Roman"/>
                <w:position w:val="7"/>
                <w:sz w:val="13"/>
              </w:rPr>
              <w:t>-</w:t>
            </w:r>
          </w:p>
        </w:tc>
        <w:tc>
          <w:tcPr>
            <w:tcW w:w="1858" w:type="dxa"/>
          </w:tcPr>
          <w:p>
            <w:pPr>
              <w:pStyle w:val="TableParagraph"/>
              <w:spacing w:before="18"/>
              <w:ind w:right="732"/>
              <w:jc w:val="right"/>
              <w:rPr>
                <w:rFonts w:ascii="Times New Roman"/>
                <w:sz w:val="21"/>
              </w:rPr>
            </w:pPr>
            <w:r>
              <w:rPr>
                <w:rFonts w:ascii="Times New Roman"/>
                <w:sz w:val="21"/>
              </w:rPr>
              <w:t>7.57</w:t>
            </w:r>
          </w:p>
        </w:tc>
        <w:tc>
          <w:tcPr>
            <w:tcW w:w="1858" w:type="dxa"/>
          </w:tcPr>
          <w:p>
            <w:pPr>
              <w:pStyle w:val="TableParagraph"/>
              <w:spacing w:before="18"/>
              <w:ind w:right="680"/>
              <w:jc w:val="right"/>
              <w:rPr>
                <w:rFonts w:ascii="Times New Roman"/>
                <w:sz w:val="21"/>
              </w:rPr>
            </w:pPr>
            <w:r>
              <w:rPr>
                <w:rFonts w:ascii="Times New Roman"/>
                <w:sz w:val="21"/>
              </w:rPr>
              <w:t>0.213</w:t>
            </w:r>
          </w:p>
        </w:tc>
        <w:tc>
          <w:tcPr>
            <w:tcW w:w="1858" w:type="dxa"/>
          </w:tcPr>
          <w:p>
            <w:pPr>
              <w:pStyle w:val="TableParagraph"/>
              <w:spacing w:before="18"/>
              <w:ind w:left="330" w:right="322"/>
              <w:rPr>
                <w:rFonts w:ascii="Times New Roman"/>
                <w:sz w:val="21"/>
              </w:rPr>
            </w:pPr>
            <w:r>
              <w:rPr>
                <w:rFonts w:ascii="Times New Roman"/>
                <w:sz w:val="21"/>
              </w:rPr>
              <w:t>6.03</w:t>
            </w:r>
          </w:p>
        </w:tc>
      </w:tr>
      <w:tr>
        <w:trPr>
          <w:trHeight w:val="280" w:hRule="atLeast"/>
        </w:trPr>
        <w:tc>
          <w:tcPr>
            <w:tcW w:w="1856" w:type="dxa"/>
            <w:vMerge/>
            <w:tcBorders>
              <w:top w:val="nil"/>
            </w:tcBorders>
          </w:tcPr>
          <w:p>
            <w:pPr>
              <w:rPr>
                <w:sz w:val="2"/>
                <w:szCs w:val="2"/>
              </w:rPr>
            </w:pPr>
          </w:p>
        </w:tc>
        <w:tc>
          <w:tcPr>
            <w:tcW w:w="1856" w:type="dxa"/>
          </w:tcPr>
          <w:p>
            <w:pPr>
              <w:pStyle w:val="TableParagraph"/>
              <w:spacing w:line="164" w:lineRule="exact" w:before="21"/>
              <w:ind w:left="577" w:right="567"/>
              <w:rPr>
                <w:rFonts w:ascii="Times New Roman"/>
                <w:sz w:val="13"/>
              </w:rPr>
            </w:pPr>
            <w:r>
              <w:rPr>
                <w:rFonts w:ascii="Times New Roman"/>
                <w:position w:val="-6"/>
                <w:sz w:val="21"/>
              </w:rPr>
              <w:t>SO </w:t>
            </w:r>
            <w:r>
              <w:rPr>
                <w:rFonts w:ascii="Times New Roman"/>
                <w:sz w:val="13"/>
              </w:rPr>
              <w:t>2-</w:t>
            </w:r>
          </w:p>
          <w:p>
            <w:pPr>
              <w:pStyle w:val="TableParagraph"/>
              <w:spacing w:line="74" w:lineRule="exact"/>
              <w:ind w:left="165"/>
              <w:rPr>
                <w:rFonts w:ascii="Times New Roman"/>
                <w:sz w:val="13"/>
              </w:rPr>
            </w:pPr>
            <w:r>
              <w:rPr>
                <w:rFonts w:ascii="Times New Roman"/>
                <w:w w:val="105"/>
                <w:sz w:val="13"/>
              </w:rPr>
              <w:t>4</w:t>
            </w:r>
          </w:p>
        </w:tc>
        <w:tc>
          <w:tcPr>
            <w:tcW w:w="1858" w:type="dxa"/>
          </w:tcPr>
          <w:p>
            <w:pPr>
              <w:pStyle w:val="TableParagraph"/>
              <w:spacing w:before="18"/>
              <w:ind w:right="732"/>
              <w:jc w:val="right"/>
              <w:rPr>
                <w:rFonts w:ascii="Times New Roman"/>
                <w:sz w:val="21"/>
              </w:rPr>
            </w:pPr>
            <w:r>
              <w:rPr>
                <w:rFonts w:ascii="Times New Roman"/>
                <w:sz w:val="21"/>
              </w:rPr>
              <w:t>9.35</w:t>
            </w:r>
          </w:p>
        </w:tc>
        <w:tc>
          <w:tcPr>
            <w:tcW w:w="1858" w:type="dxa"/>
          </w:tcPr>
          <w:p>
            <w:pPr>
              <w:pStyle w:val="TableParagraph"/>
              <w:spacing w:before="18"/>
              <w:ind w:right="680"/>
              <w:jc w:val="right"/>
              <w:rPr>
                <w:rFonts w:ascii="Times New Roman"/>
                <w:sz w:val="21"/>
              </w:rPr>
            </w:pPr>
            <w:r>
              <w:rPr>
                <w:rFonts w:ascii="Times New Roman"/>
                <w:sz w:val="21"/>
              </w:rPr>
              <w:t>0.195</w:t>
            </w:r>
          </w:p>
        </w:tc>
        <w:tc>
          <w:tcPr>
            <w:tcW w:w="1858" w:type="dxa"/>
          </w:tcPr>
          <w:p>
            <w:pPr>
              <w:pStyle w:val="TableParagraph"/>
              <w:spacing w:before="18"/>
              <w:ind w:left="330" w:right="322"/>
              <w:rPr>
                <w:rFonts w:ascii="Times New Roman"/>
                <w:sz w:val="21"/>
              </w:rPr>
            </w:pPr>
            <w:r>
              <w:rPr>
                <w:rFonts w:ascii="Times New Roman"/>
                <w:sz w:val="21"/>
              </w:rPr>
              <w:t>5.51</w:t>
            </w:r>
          </w:p>
        </w:tc>
      </w:tr>
      <w:tr>
        <w:trPr>
          <w:trHeight w:val="272" w:hRule="atLeast"/>
        </w:trPr>
        <w:tc>
          <w:tcPr>
            <w:tcW w:w="1856" w:type="dxa"/>
            <w:vMerge/>
            <w:tcBorders>
              <w:top w:val="nil"/>
            </w:tcBorders>
          </w:tcPr>
          <w:p>
            <w:pPr>
              <w:rPr>
                <w:sz w:val="2"/>
                <w:szCs w:val="2"/>
              </w:rPr>
            </w:pPr>
          </w:p>
        </w:tc>
        <w:tc>
          <w:tcPr>
            <w:tcW w:w="1856" w:type="dxa"/>
          </w:tcPr>
          <w:p>
            <w:pPr>
              <w:pStyle w:val="TableParagraph"/>
              <w:spacing w:line="251" w:lineRule="exact" w:before="1"/>
              <w:ind w:left="572" w:right="567"/>
              <w:rPr>
                <w:sz w:val="21"/>
              </w:rPr>
            </w:pPr>
            <w:r>
              <w:rPr>
                <w:sz w:val="21"/>
              </w:rPr>
              <w:t>总计</w:t>
            </w:r>
          </w:p>
        </w:tc>
        <w:tc>
          <w:tcPr>
            <w:tcW w:w="1858" w:type="dxa"/>
          </w:tcPr>
          <w:p>
            <w:pPr>
              <w:pStyle w:val="TableParagraph"/>
              <w:spacing w:line="237" w:lineRule="exact" w:before="15"/>
              <w:ind w:right="629"/>
              <w:jc w:val="right"/>
              <w:rPr>
                <w:rFonts w:ascii="Times New Roman"/>
                <w:sz w:val="21"/>
              </w:rPr>
            </w:pPr>
            <w:r>
              <w:rPr>
                <w:rFonts w:ascii="Times New Roman"/>
                <w:w w:val="95"/>
                <w:sz w:val="21"/>
              </w:rPr>
              <w:t>207.72</w:t>
            </w:r>
          </w:p>
        </w:tc>
        <w:tc>
          <w:tcPr>
            <w:tcW w:w="1858" w:type="dxa"/>
          </w:tcPr>
          <w:p>
            <w:pPr>
              <w:pStyle w:val="TableParagraph"/>
              <w:spacing w:line="237" w:lineRule="exact" w:before="15"/>
              <w:ind w:right="680"/>
              <w:jc w:val="right"/>
              <w:rPr>
                <w:rFonts w:ascii="Times New Roman"/>
                <w:sz w:val="21"/>
              </w:rPr>
            </w:pPr>
            <w:r>
              <w:rPr>
                <w:rFonts w:ascii="Times New Roman"/>
                <w:sz w:val="21"/>
              </w:rPr>
              <w:t>3.536</w:t>
            </w:r>
          </w:p>
        </w:tc>
        <w:tc>
          <w:tcPr>
            <w:tcW w:w="1858" w:type="dxa"/>
          </w:tcPr>
          <w:p>
            <w:pPr>
              <w:pStyle w:val="TableParagraph"/>
              <w:spacing w:line="237" w:lineRule="exact" w:before="15"/>
              <w:ind w:left="328" w:right="322"/>
              <w:rPr>
                <w:rFonts w:ascii="Times New Roman"/>
                <w:sz w:val="21"/>
              </w:rPr>
            </w:pPr>
            <w:r>
              <w:rPr>
                <w:rFonts w:ascii="Times New Roman"/>
                <w:sz w:val="21"/>
              </w:rPr>
              <w:t>100.00</w:t>
            </w:r>
          </w:p>
        </w:tc>
      </w:tr>
    </w:tbl>
    <w:p>
      <w:pPr>
        <w:pStyle w:val="BodyText"/>
        <w:spacing w:line="364" w:lineRule="auto" w:before="80"/>
        <w:ind w:left="1230" w:right="6293"/>
      </w:pPr>
      <w:r>
        <w:rPr/>
        <w:t>然后计算水质矿化度 </w:t>
      </w:r>
      <w:r>
        <w:rPr>
          <w:rFonts w:ascii="Times New Roman" w:eastAsia="Times New Roman"/>
        </w:rPr>
        <w:t>M</w:t>
      </w:r>
      <w:r>
        <w:rPr/>
        <w:t>。</w:t>
      </w:r>
      <w:r>
        <w:rPr>
          <w:rFonts w:ascii="Times New Roman" w:eastAsia="Times New Roman"/>
        </w:rPr>
        <w:t>1#</w:t>
      </w:r>
      <w:r>
        <w:rPr/>
        <w:t>水质矿化度计算过程：</w:t>
      </w:r>
    </w:p>
    <w:p>
      <w:pPr>
        <w:pStyle w:val="BodyText"/>
        <w:spacing w:before="1"/>
        <w:ind w:left="1230"/>
      </w:pPr>
      <w:r>
        <w:rPr>
          <w:spacing w:val="-13"/>
        </w:rPr>
        <w:t>应先将表 </w:t>
      </w:r>
      <w:r>
        <w:rPr>
          <w:rFonts w:ascii="Times New Roman" w:eastAsia="Times New Roman"/>
        </w:rPr>
        <w:t>6.4-6</w:t>
      </w:r>
      <w:r>
        <w:rPr>
          <w:rFonts w:ascii="Times New Roman" w:eastAsia="Times New Roman"/>
          <w:spacing w:val="2"/>
        </w:rPr>
        <w:t> </w:t>
      </w:r>
      <w:r>
        <w:rPr>
          <w:spacing w:val="-30"/>
        </w:rPr>
        <w:t>中 </w:t>
      </w:r>
      <w:r>
        <w:rPr>
          <w:rFonts w:ascii="Times New Roman" w:eastAsia="Times New Roman"/>
        </w:rPr>
        <w:t>1#</w:t>
      </w:r>
      <w:r>
        <w:rPr>
          <w:spacing w:val="-11"/>
        </w:rPr>
        <w:t>的阴离子的 </w:t>
      </w:r>
      <w:r>
        <w:rPr>
          <w:rFonts w:ascii="Times New Roman" w:eastAsia="Times New Roman"/>
        </w:rPr>
        <w:t>mg/L</w:t>
      </w:r>
      <w:r>
        <w:rPr>
          <w:rFonts w:ascii="Times New Roman" w:eastAsia="Times New Roman"/>
          <w:spacing w:val="2"/>
        </w:rPr>
        <w:t> </w:t>
      </w:r>
      <w:r>
        <w:rPr>
          <w:spacing w:val="-12"/>
        </w:rPr>
        <w:t>数换算成 </w:t>
      </w:r>
      <w:r>
        <w:rPr>
          <w:rFonts w:ascii="Times New Roman" w:eastAsia="Times New Roman"/>
        </w:rPr>
        <w:t>mmol/L</w:t>
      </w:r>
      <w:r>
        <w:rPr>
          <w:rFonts w:ascii="Times New Roman" w:eastAsia="Times New Roman"/>
          <w:spacing w:val="-1"/>
        </w:rPr>
        <w:t> </w:t>
      </w:r>
      <w:r>
        <w:rPr>
          <w:spacing w:val="-13"/>
        </w:rPr>
        <w:t>数。它们的摩尔质量</w:t>
      </w:r>
    </w:p>
    <w:p>
      <w:pPr>
        <w:pStyle w:val="BodyText"/>
        <w:spacing w:line="393" w:lineRule="exact" w:before="86"/>
        <w:ind w:left="711"/>
      </w:pPr>
      <w:r>
        <w:rPr/>
        <w:pict>
          <v:line style="position:absolute;mso-position-horizontal-relative:page;mso-position-vertical-relative:paragraph;z-index:-285905920" from="248.699997pt,20.107141pt" to="255.949997pt,20.107141pt" stroked="true" strokeweight=".5pt" strokecolor="#000000">
            <v:stroke dashstyle="solid"/>
            <w10:wrap type="none"/>
          </v:line>
        </w:pict>
      </w:r>
      <w:r>
        <w:rPr>
          <w:rFonts w:ascii="Times New Roman" w:hAnsi="Times New Roman" w:eastAsia="Times New Roman"/>
          <w:position w:val="2"/>
        </w:rPr>
        <w:t>—mg/mmol</w:t>
      </w:r>
      <w:r>
        <w:rPr>
          <w:rFonts w:ascii="Times New Roman" w:hAnsi="Times New Roman" w:eastAsia="Times New Roman"/>
          <w:spacing w:val="11"/>
          <w:position w:val="2"/>
        </w:rPr>
        <w:t> </w:t>
      </w:r>
      <w:r>
        <w:rPr>
          <w:spacing w:val="3"/>
          <w:position w:val="2"/>
        </w:rPr>
        <w:t>数分别采用：</w:t>
      </w:r>
      <w:r>
        <w:rPr>
          <w:rFonts w:ascii="Times New Roman" w:hAnsi="Times New Roman" w:eastAsia="Times New Roman"/>
          <w:spacing w:val="3"/>
          <w:position w:val="2"/>
        </w:rPr>
        <w:t>M</w:t>
      </w:r>
      <w:r>
        <w:rPr>
          <w:spacing w:val="3"/>
          <w:position w:val="2"/>
        </w:rPr>
        <w:t>（</w:t>
      </w:r>
      <w:r>
        <w:rPr>
          <w:spacing w:val="-56"/>
          <w:position w:val="2"/>
        </w:rPr>
        <w:t> </w:t>
      </w:r>
      <w:r>
        <w:rPr>
          <w:rFonts w:ascii="Times New Roman" w:hAnsi="Times New Roman" w:eastAsia="Times New Roman"/>
          <w:position w:val="17"/>
        </w:rPr>
        <w:t>1</w:t>
      </w:r>
      <w:r>
        <w:rPr>
          <w:rFonts w:ascii="Times New Roman" w:hAnsi="Times New Roman" w:eastAsia="Times New Roman"/>
          <w:spacing w:val="23"/>
          <w:position w:val="17"/>
        </w:rPr>
        <w:t> </w:t>
      </w:r>
      <w:r>
        <w:rPr>
          <w:rFonts w:ascii="Times New Roman" w:hAnsi="Times New Roman" w:eastAsia="Times New Roman"/>
          <w:position w:val="2"/>
        </w:rPr>
        <w:t>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2-</w:t>
      </w:r>
      <w:r>
        <w:rPr>
          <w:position w:val="2"/>
          <w:vertAlign w:val="baseline"/>
        </w:rPr>
        <w:t>）</w:t>
      </w:r>
      <w:r>
        <w:rPr>
          <w:spacing w:val="-23"/>
          <w:position w:val="2"/>
          <w:vertAlign w:val="baseline"/>
        </w:rPr>
        <w:t>是 </w:t>
      </w:r>
      <w:r>
        <w:rPr>
          <w:rFonts w:ascii="Times New Roman" w:hAnsi="Times New Roman" w:eastAsia="Times New Roman"/>
          <w:spacing w:val="2"/>
          <w:position w:val="2"/>
          <w:vertAlign w:val="baseline"/>
        </w:rPr>
        <w:t>30</w:t>
      </w:r>
      <w:r>
        <w:rPr>
          <w:spacing w:val="2"/>
          <w:position w:val="2"/>
          <w:vertAlign w:val="baseline"/>
        </w:rPr>
        <w:t>，</w:t>
      </w:r>
      <w:r>
        <w:rPr>
          <w:rFonts w:ascii="Times New Roman" w:hAnsi="Times New Roman" w:eastAsia="Times New Roman"/>
          <w:spacing w:val="2"/>
          <w:position w:val="2"/>
          <w:vertAlign w:val="baseline"/>
        </w:rPr>
        <w:t>M</w:t>
      </w:r>
      <w:r>
        <w:rPr>
          <w:spacing w:val="2"/>
          <w:position w:val="2"/>
          <w:vertAlign w:val="baseline"/>
        </w:rPr>
        <w:t>（</w:t>
      </w:r>
      <w:r>
        <w:rPr>
          <w:rFonts w:ascii="Times New Roman" w:hAnsi="Times New Roman" w:eastAsia="Times New Roman"/>
          <w:spacing w:val="2"/>
          <w:position w:val="2"/>
          <w:vertAlign w:val="baseline"/>
        </w:rPr>
        <w:t>HCO</w:t>
      </w:r>
      <w:r>
        <w:rPr>
          <w:rFonts w:ascii="Times New Roman" w:hAnsi="Times New Roman" w:eastAsia="Times New Roman"/>
          <w:spacing w:val="2"/>
          <w:position w:val="2"/>
          <w:vertAlign w:val="subscript"/>
        </w:rPr>
        <w:t>3</w:t>
      </w:r>
      <w:r>
        <w:rPr>
          <w:rFonts w:ascii="Times New Roman" w:hAnsi="Times New Roman" w:eastAsia="Times New Roman"/>
          <w:spacing w:val="2"/>
          <w:position w:val="2"/>
          <w:vertAlign w:val="superscript"/>
        </w:rPr>
        <w:t>-</w:t>
      </w:r>
      <w:r>
        <w:rPr>
          <w:spacing w:val="2"/>
          <w:position w:val="2"/>
          <w:vertAlign w:val="baseline"/>
        </w:rPr>
        <w:t>）</w:t>
      </w:r>
      <w:r>
        <w:rPr>
          <w:spacing w:val="-24"/>
          <w:position w:val="2"/>
          <w:vertAlign w:val="baseline"/>
        </w:rPr>
        <w:t>是 </w:t>
      </w:r>
      <w:r>
        <w:rPr>
          <w:rFonts w:ascii="Times New Roman" w:hAnsi="Times New Roman" w:eastAsia="Times New Roman"/>
          <w:spacing w:val="4"/>
          <w:position w:val="2"/>
          <w:vertAlign w:val="baseline"/>
        </w:rPr>
        <w:t>61</w:t>
      </w:r>
      <w:r>
        <w:rPr>
          <w:spacing w:val="4"/>
          <w:position w:val="2"/>
          <w:vertAlign w:val="baseline"/>
        </w:rPr>
        <w:t>，</w:t>
      </w:r>
      <w:r>
        <w:rPr>
          <w:rFonts w:ascii="Times New Roman" w:hAnsi="Times New Roman" w:eastAsia="Times New Roman"/>
          <w:spacing w:val="4"/>
          <w:position w:val="2"/>
          <w:vertAlign w:val="baseline"/>
        </w:rPr>
        <w:t>M</w:t>
      </w:r>
      <w:r>
        <w:rPr>
          <w:spacing w:val="4"/>
          <w:position w:val="2"/>
          <w:vertAlign w:val="baseline"/>
        </w:rPr>
        <w:t>（</w:t>
      </w:r>
      <w:r>
        <w:rPr>
          <w:rFonts w:ascii="Times New Roman" w:hAnsi="Times New Roman" w:eastAsia="Times New Roman"/>
          <w:spacing w:val="4"/>
          <w:position w:val="2"/>
          <w:vertAlign w:val="baseline"/>
        </w:rPr>
        <w:t>Cl</w:t>
      </w:r>
      <w:r>
        <w:rPr>
          <w:rFonts w:ascii="Times New Roman" w:hAnsi="Times New Roman" w:eastAsia="Times New Roman"/>
          <w:spacing w:val="4"/>
          <w:position w:val="2"/>
          <w:vertAlign w:val="superscript"/>
        </w:rPr>
        <w:t>-</w:t>
      </w:r>
      <w:r>
        <w:rPr>
          <w:spacing w:val="4"/>
          <w:position w:val="2"/>
          <w:vertAlign w:val="baseline"/>
        </w:rPr>
        <w:t>）</w:t>
      </w:r>
      <w:r>
        <w:rPr>
          <w:position w:val="2"/>
          <w:vertAlign w:val="baseline"/>
        </w:rPr>
        <w:t>是</w:t>
      </w:r>
    </w:p>
    <w:p>
      <w:pPr>
        <w:pStyle w:val="BodyText"/>
        <w:spacing w:line="223" w:lineRule="exact"/>
        <w:ind w:right="2244"/>
        <w:jc w:val="center"/>
        <w:rPr>
          <w:rFonts w:ascii="Times New Roman"/>
        </w:rPr>
      </w:pPr>
      <w:r>
        <w:rPr>
          <w:rFonts w:ascii="Times New Roman"/>
          <w:w w:val="99"/>
        </w:rPr>
        <w:t>2</w:t>
      </w:r>
    </w:p>
    <w:p>
      <w:pPr>
        <w:pStyle w:val="BodyText"/>
        <w:spacing w:line="349" w:lineRule="exact" w:before="12"/>
        <w:ind w:left="711"/>
      </w:pPr>
      <w:r>
        <w:rPr/>
        <w:pict>
          <v:line style="position:absolute;mso-position-horizontal-relative:page;mso-position-vertical-relative:paragraph;z-index:251802624" from="145.300003pt,16.247095pt" to="152.550003pt,16.247095pt" stroked="true" strokeweight=".5pt" strokecolor="#000000">
            <v:stroke dashstyle="solid"/>
            <w10:wrap type="none"/>
          </v:line>
        </w:pict>
      </w:r>
      <w:r>
        <w:rPr/>
        <w:pict>
          <v:shape style="position:absolute;margin-left:170.639999pt;margin-top:13.192412pt;width:3.9pt;height:8.65pt;mso-position-horizontal-relative:page;mso-position-vertical-relative:paragraph;z-index:-285896704" type="#_x0000_t202" filled="false" stroked="false">
            <v:textbox inset="0,0,0,0">
              <w:txbxContent>
                <w:p>
                  <w:pPr>
                    <w:spacing w:line="171" w:lineRule="exact" w:before="0"/>
                    <w:ind w:left="0" w:right="0" w:firstLine="0"/>
                    <w:jc w:val="left"/>
                    <w:rPr>
                      <w:rFonts w:ascii="Times New Roman"/>
                      <w:sz w:val="15"/>
                    </w:rPr>
                  </w:pPr>
                  <w:r>
                    <w:rPr>
                      <w:rFonts w:ascii="Times New Roman"/>
                      <w:w w:val="104"/>
                      <w:sz w:val="15"/>
                    </w:rPr>
                    <w:t>4</w:t>
                  </w:r>
                </w:p>
              </w:txbxContent>
            </v:textbox>
            <w10:wrap type="none"/>
          </v:shape>
        </w:pict>
      </w:r>
      <w:r>
        <w:rPr>
          <w:rFonts w:ascii="Times New Roman" w:eastAsia="Times New Roman"/>
        </w:rPr>
        <w:t>35.5</w:t>
      </w:r>
      <w:r>
        <w:rPr/>
        <w:t>，</w:t>
      </w:r>
      <w:r>
        <w:rPr>
          <w:rFonts w:ascii="Times New Roman" w:eastAsia="Times New Roman"/>
        </w:rPr>
        <w:t>M</w:t>
      </w:r>
      <w:r>
        <w:rPr/>
        <w:t>（</w:t>
      </w:r>
      <w:r>
        <w:rPr>
          <w:spacing w:val="-68"/>
        </w:rPr>
        <w:t> </w:t>
      </w:r>
      <w:r>
        <w:rPr>
          <w:rFonts w:ascii="Times New Roman" w:eastAsia="Times New Roman"/>
          <w:position w:val="15"/>
        </w:rPr>
        <w:t>1 </w:t>
      </w:r>
      <w:r>
        <w:rPr>
          <w:rFonts w:ascii="Times New Roman" w:eastAsia="Times New Roman"/>
        </w:rPr>
        <w:t>SO </w:t>
      </w:r>
      <w:r>
        <w:rPr>
          <w:rFonts w:ascii="Times New Roman" w:eastAsia="Times New Roman"/>
          <w:position w:val="8"/>
          <w:sz w:val="15"/>
        </w:rPr>
        <w:t>2-</w:t>
      </w:r>
      <w:r>
        <w:rPr/>
        <w:t>）</w:t>
      </w:r>
      <w:r>
        <w:rPr>
          <w:spacing w:val="-30"/>
        </w:rPr>
        <w:t>是 </w:t>
      </w:r>
      <w:r>
        <w:rPr>
          <w:rFonts w:ascii="Times New Roman" w:eastAsia="Times New Roman"/>
        </w:rPr>
        <w:t>48</w:t>
      </w:r>
      <w:r>
        <w:rPr/>
        <w:t>。</w:t>
      </w:r>
    </w:p>
    <w:p>
      <w:pPr>
        <w:pStyle w:val="BodyText"/>
        <w:spacing w:line="264" w:lineRule="exact"/>
        <w:ind w:left="1882"/>
        <w:rPr>
          <w:rFonts w:ascii="Times New Roman"/>
        </w:rPr>
      </w:pPr>
      <w:r>
        <w:rPr>
          <w:rFonts w:ascii="Times New Roman"/>
          <w:w w:val="99"/>
        </w:rPr>
        <w:t>2</w:t>
      </w:r>
    </w:p>
    <w:p>
      <w:pPr>
        <w:pStyle w:val="BodyText"/>
        <w:spacing w:line="393" w:lineRule="exact" w:before="8"/>
        <w:ind w:left="1230"/>
        <w:rPr>
          <w:rFonts w:ascii="Times New Roman" w:eastAsia="Times New Roman"/>
        </w:rPr>
      </w:pPr>
      <w:r>
        <w:rPr/>
        <w:pict>
          <v:line style="position:absolute;mso-position-horizontal-relative:page;mso-position-vertical-relative:paragraph;z-index:-285903872" from="222.104004pt,16.207117pt" to="243.457004pt,16.207117pt" stroked="true" strokeweight=".5pt" strokecolor="#000000">
            <v:stroke dashstyle="solid"/>
            <w10:wrap type="none"/>
          </v:line>
        </w:pict>
      </w:r>
      <w:r>
        <w:rPr>
          <w:position w:val="2"/>
        </w:rPr>
        <w:t>所以，</w:t>
      </w:r>
      <w:r>
        <w:rPr>
          <w:rFonts w:ascii="Times New Roman" w:eastAsia="Times New Roman"/>
          <w:position w:val="2"/>
        </w:rPr>
        <w:t>C</w:t>
      </w:r>
      <w:r>
        <w:rPr>
          <w:position w:val="2"/>
        </w:rPr>
        <w:t>（</w:t>
      </w:r>
      <w:r>
        <w:rPr>
          <w:rFonts w:ascii="Times New Roman" w:eastAsia="Times New Roman"/>
          <w:position w:val="2"/>
        </w:rPr>
        <w:t>HCO</w:t>
      </w:r>
      <w:r>
        <w:rPr>
          <w:rFonts w:ascii="Times New Roman" w:eastAsia="Times New Roman"/>
          <w:position w:val="2"/>
          <w:vertAlign w:val="subscript"/>
        </w:rPr>
        <w:t>3</w:t>
      </w:r>
      <w:r>
        <w:rPr>
          <w:rFonts w:ascii="Times New Roman" w:eastAsia="Times New Roman"/>
          <w:position w:val="2"/>
          <w:vertAlign w:val="superscript"/>
        </w:rPr>
        <w:t>-</w:t>
      </w:r>
      <w:r>
        <w:rPr>
          <w:position w:val="2"/>
          <w:vertAlign w:val="baseline"/>
        </w:rPr>
        <w:t>）</w:t>
      </w:r>
      <w:r>
        <w:rPr>
          <w:rFonts w:ascii="Times New Roman" w:eastAsia="Times New Roman"/>
          <w:position w:val="2"/>
          <w:vertAlign w:val="baseline"/>
        </w:rPr>
        <w:t>= </w:t>
      </w:r>
      <w:r>
        <w:rPr>
          <w:rFonts w:ascii="Times New Roman" w:eastAsia="Times New Roman"/>
          <w:position w:val="17"/>
          <w:vertAlign w:val="baseline"/>
        </w:rPr>
        <w:t>44.1 </w:t>
      </w:r>
      <w:r>
        <w:rPr>
          <w:rFonts w:ascii="Times New Roman" w:eastAsia="Times New Roman"/>
          <w:position w:val="2"/>
          <w:vertAlign w:val="baseline"/>
        </w:rPr>
        <w:t>=0.723</w:t>
      </w:r>
    </w:p>
    <w:p>
      <w:pPr>
        <w:pStyle w:val="BodyText"/>
        <w:spacing w:line="223" w:lineRule="exact"/>
        <w:ind w:right="3012"/>
        <w:jc w:val="center"/>
        <w:rPr>
          <w:rFonts w:ascii="Times New Roman"/>
        </w:rPr>
      </w:pPr>
      <w:r>
        <w:rPr>
          <w:rFonts w:ascii="Times New Roman"/>
        </w:rPr>
        <w:t>61</w:t>
      </w:r>
    </w:p>
    <w:p>
      <w:pPr>
        <w:pStyle w:val="BodyText"/>
        <w:spacing w:line="389" w:lineRule="exact" w:before="11"/>
        <w:ind w:left="1950"/>
        <w:rPr>
          <w:rFonts w:ascii="Times New Roman" w:eastAsia="Times New Roman"/>
        </w:rPr>
      </w:pPr>
      <w:r>
        <w:rPr/>
        <w:pict>
          <v:line style="position:absolute;mso-position-horizontal-relative:page;mso-position-vertical-relative:paragraph;z-index:-285902848" from="204.199997pt,16.197132pt" to="226.261997pt,16.197132pt" stroked="true" strokeweight=".5pt" strokecolor="#000000">
            <v:stroke dashstyle="solid"/>
            <w10:wrap type="none"/>
          </v:line>
        </w:pict>
      </w:r>
      <w:r>
        <w:rPr>
          <w:rFonts w:ascii="Times New Roman" w:eastAsia="Times New Roman"/>
        </w:rPr>
        <w:t>C</w:t>
      </w:r>
      <w:r>
        <w:rPr/>
        <w:t>（</w:t>
      </w:r>
      <w:r>
        <w:rPr>
          <w:rFonts w:ascii="Times New Roman" w:eastAsia="Times New Roman"/>
        </w:rPr>
        <w:t>Cl</w:t>
      </w:r>
      <w:r>
        <w:rPr>
          <w:rFonts w:ascii="Times New Roman" w:eastAsia="Times New Roman"/>
          <w:position w:val="8"/>
          <w:sz w:val="15"/>
        </w:rPr>
        <w:t>-</w:t>
      </w:r>
      <w:r>
        <w:rPr/>
        <w:t>）</w:t>
      </w:r>
      <w:r>
        <w:rPr>
          <w:rFonts w:ascii="Times New Roman" w:eastAsia="Times New Roman"/>
        </w:rPr>
        <w:t>= </w:t>
      </w:r>
      <w:r>
        <w:rPr>
          <w:rFonts w:ascii="Times New Roman" w:eastAsia="Times New Roman"/>
          <w:position w:val="15"/>
        </w:rPr>
        <w:t>5.17 </w:t>
      </w:r>
      <w:r>
        <w:rPr>
          <w:rFonts w:ascii="Times New Roman" w:eastAsia="Times New Roman"/>
        </w:rPr>
        <w:t>=0.146</w:t>
      </w:r>
    </w:p>
    <w:p>
      <w:pPr>
        <w:pStyle w:val="BodyText"/>
        <w:spacing w:line="223" w:lineRule="exact"/>
        <w:ind w:left="3056"/>
        <w:rPr>
          <w:rFonts w:ascii="Times New Roman"/>
        </w:rPr>
      </w:pPr>
      <w:r>
        <w:rPr>
          <w:rFonts w:ascii="Times New Roman"/>
        </w:rPr>
        <w:t>35.5</w:t>
      </w:r>
    </w:p>
    <w:p>
      <w:pPr>
        <w:pStyle w:val="BodyText"/>
        <w:spacing w:line="349" w:lineRule="exact" w:before="12"/>
        <w:ind w:left="1950"/>
        <w:rPr>
          <w:rFonts w:ascii="Times New Roman" w:eastAsia="Times New Roman"/>
        </w:rPr>
      </w:pPr>
      <w:r>
        <w:rPr/>
        <w:pict>
          <v:line style="position:absolute;mso-position-horizontal-relative:page;mso-position-vertical-relative:paragraph;z-index:251805696" from="171.550003pt,16.24712pt" to="178.800003pt,16.24712pt" stroked="true" strokeweight=".5pt" strokecolor="#000000">
            <v:stroke dashstyle="solid"/>
            <w10:wrap type="none"/>
          </v:line>
        </w:pict>
      </w:r>
      <w:r>
        <w:rPr/>
        <w:pict>
          <v:line style="position:absolute;mso-position-horizontal-relative:page;mso-position-vertical-relative:paragraph;z-index:251806720" from="227.949997pt,16.24712pt" to="250.386997pt,16.24712pt" stroked="true" strokeweight=".5pt" strokecolor="#000000">
            <v:stroke dashstyle="solid"/>
            <w10:wrap type="none"/>
          </v:line>
        </w:pict>
      </w:r>
      <w:r>
        <w:rPr/>
        <w:pict>
          <v:shape style="position:absolute;margin-left:196.800003pt;margin-top:13.192436pt;width:3.9pt;height:8.65pt;mso-position-horizontal-relative:page;mso-position-vertical-relative:paragraph;z-index:-285895680" type="#_x0000_t202" filled="false" stroked="false">
            <v:textbox inset="0,0,0,0">
              <w:txbxContent>
                <w:p>
                  <w:pPr>
                    <w:spacing w:line="171" w:lineRule="exact" w:before="0"/>
                    <w:ind w:left="0" w:right="0" w:firstLine="0"/>
                    <w:jc w:val="left"/>
                    <w:rPr>
                      <w:rFonts w:ascii="Times New Roman"/>
                      <w:sz w:val="15"/>
                    </w:rPr>
                  </w:pPr>
                  <w:r>
                    <w:rPr>
                      <w:rFonts w:ascii="Times New Roman"/>
                      <w:w w:val="104"/>
                      <w:sz w:val="15"/>
                    </w:rPr>
                    <w:t>4</w:t>
                  </w:r>
                </w:p>
              </w:txbxContent>
            </v:textbox>
            <w10:wrap type="none"/>
          </v:shape>
        </w:pict>
      </w:r>
      <w:r>
        <w:rPr>
          <w:rFonts w:ascii="Times New Roman" w:eastAsia="Times New Roman"/>
        </w:rPr>
        <w:t>C</w:t>
      </w:r>
      <w:r>
        <w:rPr/>
        <w:t>（ </w:t>
      </w:r>
      <w:r>
        <w:rPr>
          <w:rFonts w:ascii="Times New Roman" w:eastAsia="Times New Roman"/>
          <w:position w:val="15"/>
        </w:rPr>
        <w:t>1 </w:t>
      </w:r>
      <w:r>
        <w:rPr>
          <w:rFonts w:ascii="Times New Roman" w:eastAsia="Times New Roman"/>
        </w:rPr>
        <w:t>SO </w:t>
      </w:r>
      <w:r>
        <w:rPr>
          <w:rFonts w:ascii="Times New Roman" w:eastAsia="Times New Roman"/>
          <w:position w:val="8"/>
          <w:sz w:val="15"/>
        </w:rPr>
        <w:t>2-</w:t>
      </w:r>
      <w:r>
        <w:rPr/>
        <w:t>）</w:t>
      </w:r>
      <w:r>
        <w:rPr>
          <w:rFonts w:ascii="Times New Roman" w:eastAsia="Times New Roman"/>
        </w:rPr>
        <w:t>= </w:t>
      </w:r>
      <w:r>
        <w:rPr>
          <w:rFonts w:ascii="Times New Roman" w:eastAsia="Times New Roman"/>
          <w:position w:val="15"/>
        </w:rPr>
        <w:t>23.7 </w:t>
      </w:r>
      <w:r>
        <w:rPr>
          <w:rFonts w:ascii="Times New Roman" w:eastAsia="Times New Roman"/>
        </w:rPr>
        <w:t>=0.494</w:t>
      </w:r>
    </w:p>
    <w:p>
      <w:pPr>
        <w:pStyle w:val="BodyText"/>
        <w:tabs>
          <w:tab w:pos="3628" w:val="left" w:leader="none"/>
        </w:tabs>
        <w:spacing w:line="264" w:lineRule="exact"/>
        <w:ind w:left="2407"/>
        <w:rPr>
          <w:rFonts w:ascii="Times New Roman"/>
        </w:rPr>
      </w:pPr>
      <w:r>
        <w:rPr>
          <w:rFonts w:ascii="Times New Roman"/>
        </w:rPr>
        <w:t>2</w:t>
        <w:tab/>
        <w:t>48</w:t>
      </w:r>
    </w:p>
    <w:p>
      <w:pPr>
        <w:pStyle w:val="BodyText"/>
        <w:spacing w:before="83"/>
        <w:ind w:left="1230"/>
        <w:rPr>
          <w:rFonts w:ascii="Times New Roman" w:hAnsi="Times New Roman" w:eastAsia="Times New Roman"/>
        </w:rPr>
      </w:pPr>
      <w:r>
        <w:rPr/>
        <w:t>则：</w:t>
      </w:r>
      <w:r>
        <w:rPr>
          <w:rFonts w:ascii="Times New Roman" w:hAnsi="Times New Roman" w:eastAsia="Times New Roman"/>
        </w:rPr>
        <w:t>C</w:t>
      </w:r>
      <w:r>
        <w:rPr/>
        <w:t>（</w:t>
      </w:r>
      <w:r>
        <w:rPr>
          <w:rFonts w:ascii="Times New Roman" w:hAnsi="Times New Roman" w:eastAsia="Times New Roman"/>
        </w:rPr>
        <w:t>∑A</w:t>
      </w:r>
      <w:r>
        <w:rPr/>
        <w:t>）</w:t>
      </w:r>
      <w:r>
        <w:rPr>
          <w:rFonts w:ascii="Times New Roman" w:hAnsi="Times New Roman" w:eastAsia="Times New Roman"/>
        </w:rPr>
        <w:t>=0.723+0.146+0.494=1.363</w:t>
      </w:r>
    </w:p>
    <w:p>
      <w:pPr>
        <w:pStyle w:val="BodyText"/>
        <w:spacing w:line="381" w:lineRule="exact" w:before="89"/>
        <w:ind w:left="1662"/>
        <w:rPr>
          <w:rFonts w:ascii="Times New Roman"/>
        </w:rPr>
      </w:pPr>
      <w:r>
        <w:rPr/>
        <w:pict>
          <v:line style="position:absolute;mso-position-horizontal-relative:page;mso-position-vertical-relative:paragraph;z-index:-285899776" from="158.5pt,20.097115pt" to="186.562pt,20.097115pt" stroked="true" strokeweight=".5pt" strokecolor="#000000">
            <v:stroke dashstyle="solid"/>
            <w10:wrap type="none"/>
          </v:line>
        </w:pict>
      </w:r>
      <w:r>
        <w:rPr>
          <w:rFonts w:ascii="Times New Roman"/>
        </w:rPr>
        <w:t>SB= </w:t>
      </w:r>
      <w:r>
        <w:rPr>
          <w:rFonts w:ascii="Times New Roman"/>
          <w:position w:val="15"/>
        </w:rPr>
        <w:t>0.494 </w:t>
      </w:r>
      <w:r>
        <w:rPr>
          <w:rFonts w:ascii="Times New Roman"/>
        </w:rPr>
        <w:t>=0.36</w:t>
      </w:r>
    </w:p>
    <w:p>
      <w:pPr>
        <w:pStyle w:val="BodyText"/>
        <w:spacing w:line="231" w:lineRule="exact"/>
        <w:ind w:left="2135"/>
        <w:rPr>
          <w:rFonts w:ascii="Times New Roman"/>
        </w:rPr>
      </w:pPr>
      <w:r>
        <w:rPr>
          <w:rFonts w:ascii="Times New Roman"/>
        </w:rPr>
        <w:t>1.363</w:t>
      </w:r>
    </w:p>
    <w:p>
      <w:pPr>
        <w:pStyle w:val="BodyText"/>
        <w:spacing w:line="381" w:lineRule="exact" w:before="11"/>
        <w:ind w:left="1662"/>
        <w:rPr>
          <w:rFonts w:ascii="Times New Roman"/>
        </w:rPr>
      </w:pPr>
      <w:r>
        <w:rPr/>
        <w:pict>
          <v:line style="position:absolute;mso-position-horizontal-relative:page;mso-position-vertical-relative:paragraph;z-index:-285898752" from="168.550003pt,16.197132pt" to="196.612003pt,16.197132pt" stroked="true" strokeweight=".5pt" strokecolor="#000000">
            <v:stroke dashstyle="solid"/>
            <w10:wrap type="none"/>
          </v:line>
        </w:pict>
      </w:r>
      <w:r>
        <w:rPr>
          <w:rFonts w:ascii="Times New Roman"/>
        </w:rPr>
        <w:t>HCB= </w:t>
      </w:r>
      <w:r>
        <w:rPr>
          <w:rFonts w:ascii="Times New Roman"/>
          <w:position w:val="15"/>
        </w:rPr>
        <w:t>0.723 </w:t>
      </w:r>
      <w:r>
        <w:rPr>
          <w:rFonts w:ascii="Times New Roman"/>
        </w:rPr>
        <w:t>=4.95</w:t>
      </w:r>
    </w:p>
    <w:p>
      <w:pPr>
        <w:pStyle w:val="BodyText"/>
        <w:spacing w:line="231" w:lineRule="exact"/>
        <w:ind w:right="5039"/>
        <w:jc w:val="center"/>
        <w:rPr>
          <w:rFonts w:ascii="Times New Roman"/>
        </w:rPr>
      </w:pPr>
      <w:r>
        <w:rPr>
          <w:rFonts w:ascii="Times New Roman"/>
        </w:rPr>
        <w:t>0.146</w:t>
      </w:r>
    </w:p>
    <w:p>
      <w:pPr>
        <w:pStyle w:val="BodyText"/>
        <w:spacing w:before="83"/>
        <w:ind w:right="4956"/>
        <w:jc w:val="center"/>
        <w:rPr>
          <w:rFonts w:ascii="Times New Roman" w:eastAsia="Times New Roman"/>
        </w:rPr>
      </w:pPr>
      <w:r>
        <w:rPr/>
        <w:t>经查表 </w:t>
      </w:r>
      <w:r>
        <w:rPr>
          <w:rFonts w:ascii="Times New Roman" w:eastAsia="Times New Roman"/>
        </w:rPr>
        <w:t>6.3-4 </w:t>
      </w:r>
      <w:r>
        <w:rPr/>
        <w:t>得 </w:t>
      </w:r>
      <w:r>
        <w:rPr>
          <w:rFonts w:ascii="Times New Roman" w:eastAsia="Times New Roman"/>
        </w:rPr>
        <w:t>Ms </w:t>
      </w:r>
      <w:r>
        <w:rPr/>
        <w:t>为 </w:t>
      </w:r>
      <w:r>
        <w:rPr>
          <w:rFonts w:ascii="Times New Roman" w:eastAsia="Times New Roman"/>
        </w:rPr>
        <w:t>0.073</w:t>
      </w:r>
    </w:p>
    <w:p>
      <w:pPr>
        <w:pStyle w:val="BodyText"/>
        <w:spacing w:before="161"/>
        <w:ind w:left="1230"/>
        <w:rPr>
          <w:rFonts w:ascii="Times New Roman" w:hAnsi="Times New Roman" w:eastAsia="Times New Roman"/>
        </w:rPr>
      </w:pPr>
      <w:r>
        <w:rPr/>
        <w:t>矿化度（</w:t>
      </w:r>
      <w:r>
        <w:rPr>
          <w:rFonts w:ascii="Times New Roman" w:hAnsi="Times New Roman" w:eastAsia="Times New Roman"/>
        </w:rPr>
        <w:t>g/L</w:t>
      </w:r>
      <w:r>
        <w:rPr/>
        <w:t>）</w:t>
      </w:r>
      <w:r>
        <w:rPr>
          <w:rFonts w:ascii="Times New Roman" w:hAnsi="Times New Roman" w:eastAsia="Times New Roman"/>
        </w:rPr>
        <w:t>=1.372×0.073=0.10</w:t>
      </w:r>
      <w:r>
        <w:rPr/>
        <w:t>，所以矿化度处于 </w:t>
      </w:r>
      <w:r>
        <w:rPr>
          <w:rFonts w:ascii="Times New Roman" w:hAnsi="Times New Roman" w:eastAsia="Times New Roman"/>
        </w:rPr>
        <w:t>A </w:t>
      </w:r>
      <w:r>
        <w:rPr/>
        <w:t>组，</w:t>
      </w:r>
      <w:r>
        <w:rPr>
          <w:rFonts w:ascii="Times New Roman" w:hAnsi="Times New Roman" w:eastAsia="Times New Roman"/>
        </w:rPr>
        <w:t>1#</w:t>
      </w:r>
      <w:r>
        <w:rPr/>
        <w:t>处地下水为 </w:t>
      </w:r>
      <w:r>
        <w:rPr>
          <w:rFonts w:ascii="Times New Roman" w:hAnsi="Times New Roman" w:eastAsia="Times New Roman"/>
        </w:rPr>
        <w:t>22-A</w:t>
      </w:r>
    </w:p>
    <w:p>
      <w:pPr>
        <w:pStyle w:val="BodyText"/>
        <w:spacing w:line="364" w:lineRule="auto" w:before="157"/>
        <w:ind w:left="1230" w:right="4190" w:hanging="519"/>
      </w:pPr>
      <w:r>
        <w:rPr>
          <w:spacing w:val="-7"/>
          <w:position w:val="2"/>
        </w:rPr>
        <w:t>型，表示矿化度小于 </w:t>
      </w:r>
      <w:r>
        <w:rPr>
          <w:rFonts w:ascii="Times New Roman" w:hAnsi="Times New Roman" w:eastAsia="Times New Roman"/>
          <w:position w:val="2"/>
        </w:rPr>
        <w:t>1.5g/L </w:t>
      </w:r>
      <w:r>
        <w:rPr>
          <w:spacing w:val="-31"/>
          <w:position w:val="2"/>
        </w:rPr>
        <w:t>的 </w:t>
      </w:r>
      <w:r>
        <w:rPr>
          <w:rFonts w:ascii="Times New Roman" w:hAnsi="Times New Roman" w:eastAsia="Times New Roman"/>
          <w:position w:val="2"/>
        </w:rPr>
        <w:t>HCO</w:t>
      </w:r>
      <w:r>
        <w:rPr>
          <w:rFonts w:ascii="Times New Roman" w:hAnsi="Times New Roman" w:eastAsia="Times New Roman"/>
          <w:position w:val="2"/>
          <w:vertAlign w:val="subscript"/>
        </w:rPr>
        <w:t>3</w:t>
      </w:r>
      <w:r>
        <w:rPr>
          <w:rFonts w:ascii="Times New Roman" w:hAnsi="Times New Roman" w:eastAsia="Times New Roman"/>
          <w:position w:val="2"/>
          <w:vertAlign w:val="baseline"/>
        </w:rPr>
        <w:t>+Cl</w:t>
      </w:r>
      <w:r>
        <w:rPr>
          <w:rFonts w:ascii="Times New Roman" w:hAnsi="Times New Roman" w:eastAsia="Times New Roman"/>
          <w:position w:val="2"/>
          <w:vertAlign w:val="superscript"/>
        </w:rPr>
        <w:t>—</w:t>
      </w:r>
      <w:r>
        <w:rPr>
          <w:rFonts w:ascii="Times New Roman" w:hAnsi="Times New Roman" w:eastAsia="Times New Roman"/>
          <w:position w:val="2"/>
          <w:vertAlign w:val="baseline"/>
        </w:rPr>
        <w:t>Ca </w:t>
      </w:r>
      <w:r>
        <w:rPr>
          <w:spacing w:val="-7"/>
          <w:position w:val="2"/>
          <w:vertAlign w:val="baseline"/>
        </w:rPr>
        <w:t>型水。</w:t>
      </w:r>
      <w:r>
        <w:rPr>
          <w:vertAlign w:val="baseline"/>
        </w:rPr>
        <w:t>其它点位计算过程同上。</w:t>
      </w:r>
    </w:p>
    <w:p>
      <w:pPr>
        <w:pStyle w:val="BodyText"/>
        <w:ind w:left="1230"/>
      </w:pPr>
      <w:r>
        <w:rPr/>
        <w:t>水质矿化度计算结果见下表。</w:t>
      </w:r>
    </w:p>
    <w:p>
      <w:pPr>
        <w:pStyle w:val="Heading4"/>
        <w:spacing w:before="160"/>
        <w:ind w:right="432"/>
        <w:jc w:val="center"/>
      </w:pPr>
      <w:r>
        <w:rPr/>
        <w:pict>
          <v:line style="position:absolute;mso-position-horizontal-relative:page;mso-position-vertical-relative:paragraph;z-index:-285897728" from="147.050003pt,27.790997pt" to="263.050003pt,59.240997pt" stroked="true" strokeweight=".5pt" strokecolor="#000000">
            <v:stroke dashstyle="solid"/>
            <w10:wrap type="none"/>
          </v:line>
        </w:pict>
      </w:r>
      <w:r>
        <w:rPr/>
        <w:t>表 </w:t>
      </w:r>
      <w:r>
        <w:rPr>
          <w:rFonts w:ascii="Times New Roman" w:eastAsia="Times New Roman"/>
        </w:rPr>
        <w:t>6.4-7 </w:t>
      </w:r>
      <w:r>
        <w:rPr/>
        <w:t>水质矿化度</w:t>
      </w:r>
    </w:p>
    <w:p>
      <w:pPr>
        <w:pStyle w:val="BodyText"/>
        <w:spacing w:before="4"/>
        <w:rPr>
          <w:b/>
          <w:sz w:val="6"/>
        </w:rPr>
      </w:pPr>
    </w:p>
    <w:tbl>
      <w:tblPr>
        <w:tblW w:w="0" w:type="auto"/>
        <w:jc w:val="left"/>
        <w:tblInd w:w="1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5"/>
        <w:gridCol w:w="1235"/>
        <w:gridCol w:w="1235"/>
        <w:gridCol w:w="1235"/>
      </w:tblGrid>
      <w:tr>
        <w:trPr>
          <w:trHeight w:val="624" w:hRule="atLeast"/>
        </w:trPr>
        <w:tc>
          <w:tcPr>
            <w:tcW w:w="2325" w:type="dxa"/>
          </w:tcPr>
          <w:p>
            <w:pPr>
              <w:pStyle w:val="TableParagraph"/>
              <w:spacing w:before="21"/>
              <w:ind w:left="1319"/>
              <w:jc w:val="left"/>
              <w:rPr>
                <w:b/>
                <w:sz w:val="21"/>
              </w:rPr>
            </w:pPr>
            <w:r>
              <w:rPr>
                <w:b/>
                <w:sz w:val="21"/>
              </w:rPr>
              <w:t>编号</w:t>
            </w:r>
          </w:p>
          <w:p>
            <w:pPr>
              <w:pStyle w:val="TableParagraph"/>
              <w:spacing w:before="43"/>
              <w:ind w:left="107"/>
              <w:jc w:val="left"/>
              <w:rPr>
                <w:b/>
                <w:sz w:val="21"/>
              </w:rPr>
            </w:pPr>
            <w:r>
              <w:rPr>
                <w:b/>
                <w:sz w:val="21"/>
              </w:rPr>
              <w:t>项目</w:t>
            </w:r>
          </w:p>
        </w:tc>
        <w:tc>
          <w:tcPr>
            <w:tcW w:w="1235" w:type="dxa"/>
          </w:tcPr>
          <w:p>
            <w:pPr>
              <w:pStyle w:val="TableParagraph"/>
              <w:spacing w:before="191"/>
              <w:ind w:left="409" w:right="402"/>
              <w:rPr>
                <w:rFonts w:ascii="Times New Roman"/>
                <w:sz w:val="21"/>
              </w:rPr>
            </w:pPr>
            <w:r>
              <w:rPr>
                <w:rFonts w:ascii="Times New Roman"/>
                <w:sz w:val="21"/>
              </w:rPr>
              <w:t>1#</w:t>
            </w:r>
          </w:p>
        </w:tc>
        <w:tc>
          <w:tcPr>
            <w:tcW w:w="1235" w:type="dxa"/>
          </w:tcPr>
          <w:p>
            <w:pPr>
              <w:pStyle w:val="TableParagraph"/>
              <w:spacing w:before="191"/>
              <w:ind w:left="411" w:right="402"/>
              <w:rPr>
                <w:rFonts w:ascii="Times New Roman"/>
                <w:sz w:val="21"/>
              </w:rPr>
            </w:pPr>
            <w:r>
              <w:rPr>
                <w:rFonts w:ascii="Times New Roman"/>
                <w:sz w:val="21"/>
              </w:rPr>
              <w:t>2#</w:t>
            </w:r>
          </w:p>
        </w:tc>
        <w:tc>
          <w:tcPr>
            <w:tcW w:w="1235" w:type="dxa"/>
          </w:tcPr>
          <w:p>
            <w:pPr>
              <w:pStyle w:val="TableParagraph"/>
              <w:spacing w:before="191"/>
              <w:ind w:left="408" w:right="402"/>
              <w:rPr>
                <w:rFonts w:ascii="Times New Roman"/>
                <w:sz w:val="21"/>
              </w:rPr>
            </w:pPr>
            <w:r>
              <w:rPr>
                <w:rFonts w:ascii="Times New Roman"/>
                <w:sz w:val="21"/>
              </w:rPr>
              <w:t>3#</w:t>
            </w:r>
          </w:p>
        </w:tc>
      </w:tr>
      <w:tr>
        <w:trPr>
          <w:trHeight w:val="312" w:hRule="atLeast"/>
        </w:trPr>
        <w:tc>
          <w:tcPr>
            <w:tcW w:w="2325" w:type="dxa"/>
          </w:tcPr>
          <w:p>
            <w:pPr>
              <w:pStyle w:val="TableParagraph"/>
              <w:spacing w:before="21"/>
              <w:ind w:left="515" w:right="506"/>
              <w:rPr>
                <w:b/>
                <w:sz w:val="21"/>
              </w:rPr>
            </w:pPr>
            <w:r>
              <w:rPr>
                <w:b/>
                <w:sz w:val="21"/>
              </w:rPr>
              <w:t>矿化度（</w:t>
            </w:r>
            <w:r>
              <w:rPr>
                <w:rFonts w:ascii="Times New Roman" w:eastAsia="Times New Roman"/>
                <w:b/>
                <w:sz w:val="21"/>
              </w:rPr>
              <w:t>M</w:t>
            </w:r>
            <w:r>
              <w:rPr>
                <w:b/>
                <w:sz w:val="21"/>
              </w:rPr>
              <w:t>）</w:t>
            </w:r>
          </w:p>
        </w:tc>
        <w:tc>
          <w:tcPr>
            <w:tcW w:w="1235" w:type="dxa"/>
          </w:tcPr>
          <w:p>
            <w:pPr>
              <w:pStyle w:val="TableParagraph"/>
              <w:spacing w:before="34"/>
              <w:ind w:left="413" w:right="401"/>
              <w:rPr>
                <w:rFonts w:ascii="Times New Roman"/>
                <w:sz w:val="21"/>
              </w:rPr>
            </w:pPr>
            <w:r>
              <w:rPr>
                <w:rFonts w:ascii="Times New Roman"/>
                <w:sz w:val="21"/>
              </w:rPr>
              <w:t>0.10</w:t>
            </w:r>
          </w:p>
        </w:tc>
        <w:tc>
          <w:tcPr>
            <w:tcW w:w="1235" w:type="dxa"/>
          </w:tcPr>
          <w:p>
            <w:pPr>
              <w:pStyle w:val="TableParagraph"/>
              <w:spacing w:before="34"/>
              <w:ind w:left="411" w:right="402"/>
              <w:rPr>
                <w:rFonts w:ascii="Times New Roman"/>
                <w:sz w:val="21"/>
              </w:rPr>
            </w:pPr>
            <w:r>
              <w:rPr>
                <w:rFonts w:ascii="Times New Roman"/>
                <w:sz w:val="21"/>
              </w:rPr>
              <w:t>0.27</w:t>
            </w:r>
          </w:p>
        </w:tc>
        <w:tc>
          <w:tcPr>
            <w:tcW w:w="1235" w:type="dxa"/>
          </w:tcPr>
          <w:p>
            <w:pPr>
              <w:pStyle w:val="TableParagraph"/>
              <w:spacing w:before="34"/>
              <w:ind w:left="413" w:right="402"/>
              <w:rPr>
                <w:rFonts w:ascii="Times New Roman"/>
                <w:sz w:val="21"/>
              </w:rPr>
            </w:pPr>
            <w:r>
              <w:rPr>
                <w:rFonts w:ascii="Times New Roman"/>
                <w:sz w:val="21"/>
              </w:rPr>
              <w:t>0.28</w:t>
            </w:r>
          </w:p>
        </w:tc>
      </w:tr>
      <w:tr>
        <w:trPr>
          <w:trHeight w:val="312" w:hRule="atLeast"/>
        </w:trPr>
        <w:tc>
          <w:tcPr>
            <w:tcW w:w="2325" w:type="dxa"/>
          </w:tcPr>
          <w:p>
            <w:pPr>
              <w:pStyle w:val="TableParagraph"/>
              <w:spacing w:before="20"/>
              <w:ind w:left="515" w:right="504"/>
              <w:rPr>
                <w:b/>
                <w:sz w:val="21"/>
              </w:rPr>
            </w:pPr>
            <w:r>
              <w:rPr>
                <w:b/>
                <w:sz w:val="21"/>
              </w:rPr>
              <w:t>矿化度分组</w:t>
            </w:r>
          </w:p>
        </w:tc>
        <w:tc>
          <w:tcPr>
            <w:tcW w:w="1235" w:type="dxa"/>
          </w:tcPr>
          <w:p>
            <w:pPr>
              <w:pStyle w:val="TableParagraph"/>
              <w:spacing w:before="34"/>
              <w:ind w:left="10"/>
              <w:rPr>
                <w:rFonts w:ascii="Times New Roman"/>
                <w:sz w:val="21"/>
              </w:rPr>
            </w:pPr>
            <w:r>
              <w:rPr>
                <w:rFonts w:ascii="Times New Roman"/>
                <w:w w:val="99"/>
                <w:sz w:val="21"/>
              </w:rPr>
              <w:t>A</w:t>
            </w:r>
          </w:p>
        </w:tc>
        <w:tc>
          <w:tcPr>
            <w:tcW w:w="1235" w:type="dxa"/>
          </w:tcPr>
          <w:p>
            <w:pPr>
              <w:pStyle w:val="TableParagraph"/>
              <w:spacing w:before="34"/>
              <w:ind w:left="7"/>
              <w:rPr>
                <w:rFonts w:ascii="Times New Roman"/>
                <w:sz w:val="21"/>
              </w:rPr>
            </w:pPr>
            <w:r>
              <w:rPr>
                <w:rFonts w:ascii="Times New Roman"/>
                <w:w w:val="99"/>
                <w:sz w:val="21"/>
              </w:rPr>
              <w:t>A</w:t>
            </w:r>
          </w:p>
        </w:tc>
        <w:tc>
          <w:tcPr>
            <w:tcW w:w="1235" w:type="dxa"/>
          </w:tcPr>
          <w:p>
            <w:pPr>
              <w:pStyle w:val="TableParagraph"/>
              <w:spacing w:before="34"/>
              <w:ind w:left="9"/>
              <w:rPr>
                <w:rFonts w:ascii="Times New Roman"/>
                <w:sz w:val="21"/>
              </w:rPr>
            </w:pPr>
            <w:r>
              <w:rPr>
                <w:rFonts w:ascii="Times New Roman"/>
                <w:w w:val="99"/>
                <w:sz w:val="21"/>
              </w:rPr>
              <w:t>A</w:t>
            </w:r>
          </w:p>
        </w:tc>
      </w:tr>
    </w:tbl>
    <w:p>
      <w:pPr>
        <w:pStyle w:val="BodyText"/>
        <w:spacing w:line="362" w:lineRule="auto" w:before="78"/>
        <w:ind w:left="711" w:right="1147" w:firstLine="518"/>
        <w:jc w:val="both"/>
      </w:pPr>
      <w:r>
        <w:rPr>
          <w:position w:val="2"/>
        </w:rPr>
        <w:t>综上所述，</w:t>
      </w:r>
      <w:r>
        <w:rPr>
          <w:rFonts w:ascii="Times New Roman" w:hAnsi="Times New Roman" w:eastAsia="Times New Roman"/>
          <w:position w:val="2"/>
        </w:rPr>
        <w:t>1#</w:t>
      </w:r>
      <w:r>
        <w:rPr>
          <w:spacing w:val="-10"/>
          <w:position w:val="2"/>
        </w:rPr>
        <w:t>处地下水为 </w:t>
      </w:r>
      <w:r>
        <w:rPr>
          <w:rFonts w:ascii="Times New Roman" w:hAnsi="Times New Roman" w:eastAsia="Times New Roman"/>
          <w:position w:val="2"/>
        </w:rPr>
        <w:t>22-A </w:t>
      </w:r>
      <w:r>
        <w:rPr>
          <w:spacing w:val="-6"/>
          <w:position w:val="2"/>
        </w:rPr>
        <w:t>型，表示矿化度小于 </w:t>
      </w:r>
      <w:r>
        <w:rPr>
          <w:rFonts w:ascii="Times New Roman" w:hAnsi="Times New Roman" w:eastAsia="Times New Roman"/>
          <w:position w:val="2"/>
        </w:rPr>
        <w:t>1.5g/L </w:t>
      </w:r>
      <w:r>
        <w:rPr>
          <w:spacing w:val="-30"/>
          <w:position w:val="2"/>
        </w:rPr>
        <w:t>的 </w:t>
      </w:r>
      <w:r>
        <w:rPr>
          <w:rFonts w:ascii="Times New Roman" w:hAnsi="Times New Roman" w:eastAsia="Times New Roman"/>
          <w:position w:val="2"/>
        </w:rPr>
        <w:t>HCO</w:t>
      </w:r>
      <w:r>
        <w:rPr>
          <w:rFonts w:ascii="Times New Roman" w:hAnsi="Times New Roman" w:eastAsia="Times New Roman"/>
          <w:position w:val="2"/>
          <w:vertAlign w:val="subscript"/>
        </w:rPr>
        <w:t>3</w:t>
      </w:r>
      <w:r>
        <w:rPr>
          <w:rFonts w:ascii="Times New Roman" w:hAnsi="Times New Roman" w:eastAsia="Times New Roman"/>
          <w:position w:val="2"/>
          <w:vertAlign w:val="baseline"/>
        </w:rPr>
        <w:t>+Cl</w:t>
      </w:r>
      <w:r>
        <w:rPr>
          <w:rFonts w:ascii="Times New Roman" w:hAnsi="Times New Roman" w:eastAsia="Times New Roman"/>
          <w:position w:val="2"/>
          <w:vertAlign w:val="superscript"/>
        </w:rPr>
        <w:t>—</w:t>
      </w:r>
      <w:r>
        <w:rPr>
          <w:rFonts w:ascii="Times New Roman" w:hAnsi="Times New Roman" w:eastAsia="Times New Roman"/>
          <w:position w:val="2"/>
          <w:vertAlign w:val="baseline"/>
        </w:rPr>
        <w:t>Ca </w:t>
      </w:r>
      <w:r>
        <w:rPr>
          <w:position w:val="2"/>
          <w:vertAlign w:val="baseline"/>
        </w:rPr>
        <w:t>型水；</w:t>
      </w:r>
      <w:r>
        <w:rPr>
          <w:rFonts w:ascii="Times New Roman" w:hAnsi="Times New Roman" w:eastAsia="Times New Roman"/>
          <w:position w:val="2"/>
          <w:vertAlign w:val="baseline"/>
        </w:rPr>
        <w:t>2#</w:t>
      </w:r>
      <w:r>
        <w:rPr>
          <w:spacing w:val="-9"/>
          <w:position w:val="2"/>
          <w:vertAlign w:val="baseline"/>
        </w:rPr>
        <w:t>处地下水为 </w:t>
      </w:r>
      <w:r>
        <w:rPr>
          <w:rFonts w:ascii="Times New Roman" w:hAnsi="Times New Roman" w:eastAsia="Times New Roman"/>
          <w:position w:val="2"/>
          <w:vertAlign w:val="baseline"/>
        </w:rPr>
        <w:t>2-A </w:t>
      </w:r>
      <w:r>
        <w:rPr>
          <w:spacing w:val="-6"/>
          <w:position w:val="2"/>
          <w:vertAlign w:val="baseline"/>
        </w:rPr>
        <w:t>型，表示矿化度小于 </w:t>
      </w:r>
      <w:r>
        <w:rPr>
          <w:rFonts w:ascii="Times New Roman" w:hAnsi="Times New Roman" w:eastAsia="Times New Roman"/>
          <w:position w:val="2"/>
          <w:vertAlign w:val="baseline"/>
        </w:rPr>
        <w:t>1.5g/L </w:t>
      </w:r>
      <w:r>
        <w:rPr>
          <w:spacing w:val="-27"/>
          <w:position w:val="2"/>
          <w:vertAlign w:val="baseline"/>
        </w:rPr>
        <w:t>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Ca+Mg </w:t>
      </w:r>
      <w:r>
        <w:rPr>
          <w:spacing w:val="-2"/>
          <w:position w:val="2"/>
          <w:vertAlign w:val="baseline"/>
        </w:rPr>
        <w:t>型水；</w:t>
      </w:r>
      <w:r>
        <w:rPr>
          <w:rFonts w:ascii="Times New Roman" w:hAnsi="Times New Roman" w:eastAsia="Times New Roman"/>
          <w:spacing w:val="-5"/>
          <w:position w:val="2"/>
          <w:vertAlign w:val="baseline"/>
        </w:rPr>
        <w:t>3# </w:t>
      </w:r>
      <w:r>
        <w:rPr>
          <w:spacing w:val="-10"/>
          <w:position w:val="2"/>
          <w:vertAlign w:val="baseline"/>
        </w:rPr>
        <w:t>处地下水为 </w:t>
      </w:r>
      <w:r>
        <w:rPr>
          <w:rFonts w:ascii="Times New Roman" w:hAnsi="Times New Roman" w:eastAsia="Times New Roman"/>
          <w:position w:val="2"/>
          <w:vertAlign w:val="baseline"/>
        </w:rPr>
        <w:t>2-A </w:t>
      </w:r>
      <w:r>
        <w:rPr>
          <w:spacing w:val="-6"/>
          <w:position w:val="2"/>
          <w:vertAlign w:val="baseline"/>
        </w:rPr>
        <w:t>型，表示矿化度小于 </w:t>
      </w:r>
      <w:r>
        <w:rPr>
          <w:rFonts w:ascii="Times New Roman" w:hAnsi="Times New Roman" w:eastAsia="Times New Roman"/>
          <w:position w:val="2"/>
          <w:vertAlign w:val="baseline"/>
        </w:rPr>
        <w:t>1.5g/L </w:t>
      </w:r>
      <w:r>
        <w:rPr>
          <w:spacing w:val="-30"/>
          <w:position w:val="2"/>
          <w:vertAlign w:val="baseline"/>
        </w:rPr>
        <w:t>的 </w:t>
      </w:r>
      <w:r>
        <w:rPr>
          <w:rFonts w:ascii="Times New Roman" w:hAnsi="Times New Roman" w:eastAsia="Times New Roman"/>
          <w:position w:val="2"/>
          <w:vertAlign w:val="baseline"/>
        </w:rPr>
        <w:t>HCO</w:t>
      </w:r>
      <w:r>
        <w:rPr>
          <w:rFonts w:ascii="Times New Roman" w:hAnsi="Times New Roman" w:eastAsia="Times New Roman"/>
          <w:position w:val="2"/>
          <w:vertAlign w:val="subscript"/>
        </w:rPr>
        <w:t>3</w:t>
      </w:r>
      <w:r>
        <w:rPr>
          <w:rFonts w:ascii="Times New Roman" w:hAnsi="Times New Roman" w:eastAsia="Times New Roman"/>
          <w:position w:val="2"/>
          <w:vertAlign w:val="superscript"/>
        </w:rPr>
        <w:t>—</w:t>
      </w:r>
      <w:r>
        <w:rPr>
          <w:rFonts w:ascii="Times New Roman" w:hAnsi="Times New Roman" w:eastAsia="Times New Roman"/>
          <w:position w:val="2"/>
          <w:vertAlign w:val="baseline"/>
        </w:rPr>
        <w:t>Ca+Mg </w:t>
      </w:r>
      <w:r>
        <w:rPr>
          <w:position w:val="2"/>
          <w:vertAlign w:val="baseline"/>
        </w:rPr>
        <w:t>型水。</w:t>
      </w:r>
    </w:p>
    <w:p>
      <w:pPr>
        <w:pStyle w:val="BodyText"/>
        <w:spacing w:before="1"/>
        <w:ind w:left="1191"/>
      </w:pPr>
      <w:r>
        <w:rPr/>
        <w:t>（</w:t>
      </w:r>
      <w:r>
        <w:rPr>
          <w:rFonts w:ascii="Times New Roman" w:eastAsia="Times New Roman"/>
        </w:rPr>
        <w:t>2</w:t>
      </w:r>
      <w:r>
        <w:rPr/>
        <w:t>）水质现状评价结果</w:t>
      </w:r>
    </w:p>
    <w:p>
      <w:pPr>
        <w:spacing w:after="0"/>
        <w:sectPr>
          <w:pgSz w:w="11910" w:h="16840"/>
          <w:pgMar w:header="0" w:footer="993" w:top="1420" w:bottom="1180" w:left="1040" w:right="600"/>
        </w:sectPr>
      </w:pPr>
    </w:p>
    <w:p>
      <w:pPr>
        <w:pStyle w:val="BodyText"/>
        <w:spacing w:before="62"/>
        <w:ind w:right="924"/>
        <w:jc w:val="center"/>
      </w:pPr>
      <w:r>
        <w:rPr/>
        <w:t>地下水监测结果见表 </w:t>
      </w:r>
      <w:r>
        <w:rPr>
          <w:rFonts w:ascii="Times New Roman" w:eastAsia="Times New Roman"/>
        </w:rPr>
        <w:t>6.4-8</w:t>
      </w:r>
      <w:r>
        <w:rPr/>
        <w:t>，地下水污染指数计算结果见表 </w:t>
      </w:r>
      <w:r>
        <w:rPr>
          <w:rFonts w:ascii="Times New Roman" w:eastAsia="Times New Roman"/>
        </w:rPr>
        <w:t>6.4-9</w:t>
      </w:r>
      <w:r>
        <w:rPr/>
        <w:t>。</w:t>
      </w:r>
    </w:p>
    <w:p>
      <w:pPr>
        <w:spacing w:before="102" w:after="21"/>
        <w:ind w:left="0" w:right="435" w:firstLine="0"/>
        <w:jc w:val="center"/>
        <w:rPr>
          <w:b/>
          <w:sz w:val="21"/>
        </w:rPr>
      </w:pPr>
      <w:r>
        <w:rPr>
          <w:b/>
          <w:sz w:val="21"/>
        </w:rPr>
        <w:t>表 </w:t>
      </w:r>
      <w:r>
        <w:rPr>
          <w:rFonts w:ascii="Times New Roman" w:eastAsia="Times New Roman"/>
          <w:b/>
          <w:sz w:val="21"/>
        </w:rPr>
        <w:t>6.4-8 </w:t>
      </w:r>
      <w:r>
        <w:rPr>
          <w:b/>
          <w:sz w:val="21"/>
        </w:rPr>
        <w:t>地下水监测结果</w:t>
      </w:r>
    </w:p>
    <w:tbl>
      <w:tblPr>
        <w:tblW w:w="0" w:type="auto"/>
        <w:jc w:val="left"/>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5"/>
        <w:gridCol w:w="1748"/>
        <w:gridCol w:w="1748"/>
        <w:gridCol w:w="1749"/>
      </w:tblGrid>
      <w:tr>
        <w:trPr>
          <w:trHeight w:val="312" w:hRule="atLeast"/>
        </w:trPr>
        <w:tc>
          <w:tcPr>
            <w:tcW w:w="2255" w:type="dxa"/>
            <w:vMerge w:val="restart"/>
          </w:tcPr>
          <w:p>
            <w:pPr>
              <w:pStyle w:val="TableParagraph"/>
              <w:spacing w:before="7"/>
              <w:jc w:val="left"/>
              <w:rPr>
                <w:b/>
                <w:sz w:val="14"/>
              </w:rPr>
            </w:pPr>
          </w:p>
          <w:p>
            <w:pPr>
              <w:pStyle w:val="TableParagraph"/>
              <w:ind w:left="705"/>
              <w:jc w:val="left"/>
              <w:rPr>
                <w:sz w:val="21"/>
              </w:rPr>
            </w:pPr>
            <w:r>
              <w:rPr>
                <w:sz w:val="21"/>
              </w:rPr>
              <w:t>监测项目</w:t>
            </w:r>
          </w:p>
        </w:tc>
        <w:tc>
          <w:tcPr>
            <w:tcW w:w="5245" w:type="dxa"/>
            <w:gridSpan w:val="3"/>
          </w:tcPr>
          <w:p>
            <w:pPr>
              <w:pStyle w:val="TableParagraph"/>
              <w:spacing w:before="21"/>
              <w:ind w:left="1529"/>
              <w:jc w:val="left"/>
              <w:rPr>
                <w:sz w:val="21"/>
              </w:rPr>
            </w:pPr>
            <w:r>
              <w:rPr>
                <w:sz w:val="21"/>
              </w:rPr>
              <w:t>监测结果（单位 </w:t>
            </w:r>
            <w:r>
              <w:rPr>
                <w:rFonts w:ascii="Times New Roman" w:eastAsia="Times New Roman"/>
                <w:sz w:val="21"/>
              </w:rPr>
              <w:t>mg/L</w:t>
            </w:r>
            <w:r>
              <w:rPr>
                <w:sz w:val="21"/>
              </w:rPr>
              <w:t>）</w:t>
            </w:r>
          </w:p>
        </w:tc>
      </w:tr>
      <w:tr>
        <w:trPr>
          <w:trHeight w:val="320" w:hRule="atLeast"/>
        </w:trPr>
        <w:tc>
          <w:tcPr>
            <w:tcW w:w="2255" w:type="dxa"/>
            <w:vMerge/>
            <w:tcBorders>
              <w:top w:val="nil"/>
            </w:tcBorders>
          </w:tcPr>
          <w:p>
            <w:pPr>
              <w:rPr>
                <w:sz w:val="2"/>
                <w:szCs w:val="2"/>
              </w:rPr>
            </w:pPr>
          </w:p>
        </w:tc>
        <w:tc>
          <w:tcPr>
            <w:tcW w:w="1748" w:type="dxa"/>
          </w:tcPr>
          <w:p>
            <w:pPr>
              <w:pStyle w:val="TableParagraph"/>
              <w:spacing w:line="239" w:lineRule="exact" w:before="61"/>
              <w:ind w:left="605" w:right="595"/>
              <w:rPr>
                <w:rFonts w:ascii="Times New Roman"/>
                <w:sz w:val="21"/>
              </w:rPr>
            </w:pPr>
            <w:r>
              <w:rPr>
                <w:rFonts w:ascii="Times New Roman"/>
                <w:sz w:val="21"/>
              </w:rPr>
              <w:t>1#</w:t>
            </w:r>
          </w:p>
        </w:tc>
        <w:tc>
          <w:tcPr>
            <w:tcW w:w="1748" w:type="dxa"/>
          </w:tcPr>
          <w:p>
            <w:pPr>
              <w:pStyle w:val="TableParagraph"/>
              <w:spacing w:line="239" w:lineRule="exact" w:before="61"/>
              <w:ind w:left="604" w:right="596"/>
              <w:rPr>
                <w:rFonts w:ascii="Times New Roman"/>
                <w:sz w:val="21"/>
              </w:rPr>
            </w:pPr>
            <w:r>
              <w:rPr>
                <w:rFonts w:ascii="Times New Roman"/>
                <w:sz w:val="21"/>
              </w:rPr>
              <w:t>2#</w:t>
            </w:r>
          </w:p>
        </w:tc>
        <w:tc>
          <w:tcPr>
            <w:tcW w:w="1749" w:type="dxa"/>
          </w:tcPr>
          <w:p>
            <w:pPr>
              <w:pStyle w:val="TableParagraph"/>
              <w:spacing w:line="239" w:lineRule="exact" w:before="61"/>
              <w:ind w:left="500" w:right="490"/>
              <w:rPr>
                <w:rFonts w:ascii="Times New Roman"/>
                <w:sz w:val="21"/>
              </w:rPr>
            </w:pPr>
            <w:r>
              <w:rPr>
                <w:rFonts w:ascii="Times New Roman"/>
                <w:sz w:val="21"/>
              </w:rPr>
              <w:t>3#</w:t>
            </w:r>
          </w:p>
        </w:tc>
      </w:tr>
      <w:tr>
        <w:trPr>
          <w:trHeight w:val="311" w:hRule="atLeast"/>
        </w:trPr>
        <w:tc>
          <w:tcPr>
            <w:tcW w:w="2255" w:type="dxa"/>
          </w:tcPr>
          <w:p>
            <w:pPr>
              <w:pStyle w:val="TableParagraph"/>
              <w:spacing w:before="22"/>
              <w:ind w:left="12" w:right="6"/>
              <w:rPr>
                <w:sz w:val="21"/>
              </w:rPr>
            </w:pPr>
            <w:r>
              <w:rPr>
                <w:rFonts w:ascii="Times New Roman" w:eastAsia="Times New Roman"/>
                <w:sz w:val="21"/>
              </w:rPr>
              <w:t>pH</w:t>
            </w:r>
            <w:r>
              <w:rPr>
                <w:sz w:val="21"/>
              </w:rPr>
              <w:t>（无量纲）</w:t>
            </w:r>
          </w:p>
        </w:tc>
        <w:tc>
          <w:tcPr>
            <w:tcW w:w="1748" w:type="dxa"/>
          </w:tcPr>
          <w:p>
            <w:pPr>
              <w:pStyle w:val="TableParagraph"/>
              <w:spacing w:before="38"/>
              <w:ind w:left="605" w:right="593"/>
              <w:rPr>
                <w:rFonts w:ascii="Times New Roman"/>
                <w:sz w:val="21"/>
              </w:rPr>
            </w:pPr>
            <w:bookmarkStart w:name="7.11" w:id="243"/>
            <w:bookmarkEnd w:id="243"/>
            <w:r>
              <w:rPr/>
            </w:r>
            <w:r>
              <w:rPr>
                <w:rFonts w:ascii="Times New Roman"/>
                <w:sz w:val="21"/>
              </w:rPr>
              <w:t>7.11</w:t>
            </w:r>
          </w:p>
        </w:tc>
        <w:tc>
          <w:tcPr>
            <w:tcW w:w="1748" w:type="dxa"/>
          </w:tcPr>
          <w:p>
            <w:pPr>
              <w:pStyle w:val="TableParagraph"/>
              <w:spacing w:before="38"/>
              <w:ind w:left="604" w:right="596"/>
              <w:rPr>
                <w:rFonts w:ascii="Times New Roman"/>
                <w:sz w:val="21"/>
              </w:rPr>
            </w:pPr>
            <w:bookmarkStart w:name="7.14" w:id="244"/>
            <w:bookmarkEnd w:id="244"/>
            <w:r>
              <w:rPr/>
            </w:r>
            <w:r>
              <w:rPr>
                <w:rFonts w:ascii="Times New Roman"/>
                <w:sz w:val="21"/>
              </w:rPr>
              <w:t>7.14</w:t>
            </w:r>
          </w:p>
        </w:tc>
        <w:tc>
          <w:tcPr>
            <w:tcW w:w="1749" w:type="dxa"/>
          </w:tcPr>
          <w:p>
            <w:pPr>
              <w:pStyle w:val="TableParagraph"/>
              <w:spacing w:before="38"/>
              <w:ind w:left="500" w:right="490"/>
              <w:rPr>
                <w:rFonts w:ascii="Times New Roman"/>
                <w:sz w:val="21"/>
              </w:rPr>
            </w:pPr>
            <w:bookmarkStart w:name="7.13" w:id="245"/>
            <w:bookmarkEnd w:id="245"/>
            <w:r>
              <w:rPr/>
            </w:r>
            <w:r>
              <w:rPr>
                <w:rFonts w:ascii="Times New Roman"/>
                <w:sz w:val="21"/>
              </w:rPr>
              <w:t>7.13</w:t>
            </w:r>
          </w:p>
        </w:tc>
      </w:tr>
      <w:tr>
        <w:trPr>
          <w:trHeight w:val="312" w:hRule="atLeast"/>
        </w:trPr>
        <w:tc>
          <w:tcPr>
            <w:tcW w:w="2255" w:type="dxa"/>
          </w:tcPr>
          <w:p>
            <w:pPr>
              <w:pStyle w:val="TableParagraph"/>
              <w:spacing w:before="21"/>
              <w:ind w:left="12" w:right="6"/>
              <w:rPr>
                <w:sz w:val="21"/>
              </w:rPr>
            </w:pPr>
            <w:r>
              <w:rPr>
                <w:sz w:val="21"/>
              </w:rPr>
              <w:t>氨氮</w:t>
            </w:r>
          </w:p>
        </w:tc>
        <w:tc>
          <w:tcPr>
            <w:tcW w:w="1748" w:type="dxa"/>
          </w:tcPr>
          <w:p>
            <w:pPr>
              <w:pStyle w:val="TableParagraph"/>
              <w:spacing w:before="38"/>
              <w:ind w:left="605" w:right="595"/>
              <w:rPr>
                <w:rFonts w:ascii="Times New Roman"/>
                <w:sz w:val="21"/>
              </w:rPr>
            </w:pPr>
            <w:bookmarkStart w:name="0.090" w:id="246"/>
            <w:bookmarkEnd w:id="246"/>
            <w:r>
              <w:rPr/>
            </w:r>
            <w:r>
              <w:rPr>
                <w:rFonts w:ascii="Times New Roman"/>
                <w:sz w:val="21"/>
              </w:rPr>
              <w:t>0.090</w:t>
            </w:r>
          </w:p>
        </w:tc>
        <w:tc>
          <w:tcPr>
            <w:tcW w:w="1748" w:type="dxa"/>
          </w:tcPr>
          <w:p>
            <w:pPr>
              <w:pStyle w:val="TableParagraph"/>
              <w:spacing w:before="38"/>
              <w:ind w:left="605" w:right="595"/>
              <w:rPr>
                <w:rFonts w:ascii="Times New Roman"/>
                <w:sz w:val="21"/>
              </w:rPr>
            </w:pPr>
            <w:bookmarkStart w:name="0.030" w:id="247"/>
            <w:bookmarkEnd w:id="247"/>
            <w:r>
              <w:rPr/>
            </w:r>
            <w:r>
              <w:rPr>
                <w:rFonts w:ascii="Times New Roman"/>
                <w:sz w:val="21"/>
              </w:rPr>
              <w:t>0.030</w:t>
            </w:r>
          </w:p>
        </w:tc>
        <w:tc>
          <w:tcPr>
            <w:tcW w:w="1749" w:type="dxa"/>
          </w:tcPr>
          <w:p>
            <w:pPr>
              <w:pStyle w:val="TableParagraph"/>
              <w:spacing w:before="38"/>
              <w:ind w:left="500" w:right="490"/>
              <w:rPr>
                <w:rFonts w:ascii="Times New Roman"/>
                <w:sz w:val="21"/>
              </w:rPr>
            </w:pPr>
            <w:bookmarkStart w:name="0.060" w:id="248"/>
            <w:bookmarkEnd w:id="248"/>
            <w:r>
              <w:rPr/>
            </w:r>
            <w:r>
              <w:rPr>
                <w:rFonts w:ascii="Times New Roman"/>
                <w:sz w:val="21"/>
              </w:rPr>
              <w:t>0.060</w:t>
            </w:r>
          </w:p>
        </w:tc>
      </w:tr>
      <w:tr>
        <w:trPr>
          <w:trHeight w:val="312" w:hRule="atLeast"/>
        </w:trPr>
        <w:tc>
          <w:tcPr>
            <w:tcW w:w="2255" w:type="dxa"/>
          </w:tcPr>
          <w:p>
            <w:pPr>
              <w:pStyle w:val="TableParagraph"/>
              <w:spacing w:before="21"/>
              <w:ind w:left="12" w:right="6"/>
              <w:rPr>
                <w:sz w:val="21"/>
              </w:rPr>
            </w:pPr>
            <w:r>
              <w:rPr>
                <w:sz w:val="21"/>
              </w:rPr>
              <w:t>硝酸盐</w:t>
            </w:r>
          </w:p>
        </w:tc>
        <w:tc>
          <w:tcPr>
            <w:tcW w:w="1748" w:type="dxa"/>
          </w:tcPr>
          <w:p>
            <w:pPr>
              <w:pStyle w:val="TableParagraph"/>
              <w:spacing w:before="37"/>
              <w:ind w:left="605" w:right="595"/>
              <w:rPr>
                <w:rFonts w:ascii="Times New Roman"/>
                <w:sz w:val="21"/>
              </w:rPr>
            </w:pPr>
            <w:bookmarkStart w:name="0.5" w:id="249"/>
            <w:bookmarkEnd w:id="249"/>
            <w:r>
              <w:rPr/>
            </w:r>
            <w:r>
              <w:rPr>
                <w:rFonts w:ascii="Times New Roman"/>
                <w:sz w:val="21"/>
              </w:rPr>
              <w:t>0.5</w:t>
            </w:r>
          </w:p>
        </w:tc>
        <w:tc>
          <w:tcPr>
            <w:tcW w:w="1748" w:type="dxa"/>
          </w:tcPr>
          <w:p>
            <w:pPr>
              <w:pStyle w:val="TableParagraph"/>
              <w:spacing w:before="37"/>
              <w:ind w:left="604" w:right="596"/>
              <w:rPr>
                <w:rFonts w:ascii="Times New Roman"/>
                <w:sz w:val="21"/>
              </w:rPr>
            </w:pPr>
            <w:bookmarkStart w:name="0.8" w:id="250"/>
            <w:bookmarkEnd w:id="250"/>
            <w:r>
              <w:rPr/>
            </w:r>
            <w:r>
              <w:rPr>
                <w:rFonts w:ascii="Times New Roman"/>
                <w:sz w:val="21"/>
              </w:rPr>
              <w:t>0.8</w:t>
            </w:r>
          </w:p>
        </w:tc>
        <w:tc>
          <w:tcPr>
            <w:tcW w:w="1749" w:type="dxa"/>
          </w:tcPr>
          <w:p>
            <w:pPr>
              <w:pStyle w:val="TableParagraph"/>
              <w:spacing w:before="37"/>
              <w:ind w:left="500" w:right="490"/>
              <w:rPr>
                <w:rFonts w:ascii="Times New Roman"/>
                <w:sz w:val="21"/>
              </w:rPr>
            </w:pPr>
            <w:bookmarkStart w:name="0.8" w:id="251"/>
            <w:bookmarkEnd w:id="251"/>
            <w:r>
              <w:rPr/>
            </w:r>
            <w:r>
              <w:rPr>
                <w:rFonts w:ascii="Times New Roman"/>
                <w:sz w:val="21"/>
              </w:rPr>
              <w:t>0.8</w:t>
            </w:r>
          </w:p>
        </w:tc>
      </w:tr>
      <w:tr>
        <w:trPr>
          <w:trHeight w:val="312" w:hRule="atLeast"/>
        </w:trPr>
        <w:tc>
          <w:tcPr>
            <w:tcW w:w="2255" w:type="dxa"/>
          </w:tcPr>
          <w:p>
            <w:pPr>
              <w:pStyle w:val="TableParagraph"/>
              <w:spacing w:before="21"/>
              <w:ind w:left="9" w:right="6"/>
              <w:rPr>
                <w:sz w:val="21"/>
              </w:rPr>
            </w:pPr>
            <w:r>
              <w:rPr>
                <w:sz w:val="21"/>
              </w:rPr>
              <w:t>亚硝酸盐</w:t>
            </w:r>
          </w:p>
        </w:tc>
        <w:tc>
          <w:tcPr>
            <w:tcW w:w="1748" w:type="dxa"/>
          </w:tcPr>
          <w:p>
            <w:pPr>
              <w:pStyle w:val="TableParagraph"/>
              <w:spacing w:before="37"/>
              <w:ind w:left="605" w:right="595"/>
              <w:rPr>
                <w:rFonts w:ascii="Times New Roman"/>
                <w:sz w:val="21"/>
              </w:rPr>
            </w:pPr>
            <w:bookmarkStart w:name="0.022" w:id="252"/>
            <w:bookmarkEnd w:id="252"/>
            <w:r>
              <w:rPr/>
            </w:r>
            <w:r>
              <w:rPr>
                <w:rFonts w:ascii="Times New Roman"/>
                <w:sz w:val="21"/>
              </w:rPr>
              <w:t>0.022</w:t>
            </w:r>
          </w:p>
        </w:tc>
        <w:tc>
          <w:tcPr>
            <w:tcW w:w="1748" w:type="dxa"/>
          </w:tcPr>
          <w:p>
            <w:pPr>
              <w:pStyle w:val="TableParagraph"/>
              <w:spacing w:before="37"/>
              <w:ind w:right="561"/>
              <w:jc w:val="right"/>
              <w:rPr>
                <w:rFonts w:ascii="Times New Roman"/>
                <w:sz w:val="21"/>
              </w:rPr>
            </w:pPr>
            <w:bookmarkStart w:name="0.003L" w:id="253"/>
            <w:bookmarkEnd w:id="253"/>
            <w:r>
              <w:rPr/>
            </w:r>
            <w:r>
              <w:rPr>
                <w:rFonts w:ascii="Times New Roman"/>
                <w:w w:val="95"/>
                <w:sz w:val="21"/>
              </w:rPr>
              <w:t>0.003L</w:t>
            </w:r>
          </w:p>
        </w:tc>
        <w:tc>
          <w:tcPr>
            <w:tcW w:w="1749" w:type="dxa"/>
          </w:tcPr>
          <w:p>
            <w:pPr>
              <w:pStyle w:val="TableParagraph"/>
              <w:spacing w:before="37"/>
              <w:ind w:left="497" w:right="490"/>
              <w:rPr>
                <w:rFonts w:ascii="Times New Roman"/>
                <w:sz w:val="21"/>
              </w:rPr>
            </w:pPr>
            <w:bookmarkStart w:name="0.003L" w:id="254"/>
            <w:bookmarkEnd w:id="254"/>
            <w:r>
              <w:rPr/>
            </w:r>
            <w:r>
              <w:rPr>
                <w:rFonts w:ascii="Times New Roman"/>
                <w:sz w:val="21"/>
              </w:rPr>
              <w:t>0.003L</w:t>
            </w:r>
          </w:p>
        </w:tc>
      </w:tr>
      <w:tr>
        <w:trPr>
          <w:trHeight w:val="312" w:hRule="atLeast"/>
        </w:trPr>
        <w:tc>
          <w:tcPr>
            <w:tcW w:w="2255" w:type="dxa"/>
          </w:tcPr>
          <w:p>
            <w:pPr>
              <w:pStyle w:val="TableParagraph"/>
              <w:spacing w:before="20"/>
              <w:ind w:left="12" w:right="6"/>
              <w:rPr>
                <w:sz w:val="21"/>
              </w:rPr>
            </w:pPr>
            <w:r>
              <w:rPr>
                <w:sz w:val="21"/>
              </w:rPr>
              <w:t>总硬度</w:t>
            </w:r>
          </w:p>
        </w:tc>
        <w:tc>
          <w:tcPr>
            <w:tcW w:w="1748" w:type="dxa"/>
          </w:tcPr>
          <w:p>
            <w:pPr>
              <w:pStyle w:val="TableParagraph"/>
              <w:spacing w:before="39"/>
              <w:ind w:left="605" w:right="595"/>
              <w:rPr>
                <w:rFonts w:ascii="Times New Roman"/>
                <w:sz w:val="21"/>
              </w:rPr>
            </w:pPr>
            <w:bookmarkStart w:name="68" w:id="255"/>
            <w:bookmarkEnd w:id="255"/>
            <w:r>
              <w:rPr/>
            </w:r>
            <w:r>
              <w:rPr>
                <w:rFonts w:ascii="Times New Roman"/>
                <w:sz w:val="21"/>
              </w:rPr>
              <w:t>68</w:t>
            </w:r>
          </w:p>
        </w:tc>
        <w:tc>
          <w:tcPr>
            <w:tcW w:w="1748" w:type="dxa"/>
          </w:tcPr>
          <w:p>
            <w:pPr>
              <w:pStyle w:val="TableParagraph"/>
              <w:spacing w:before="39"/>
              <w:ind w:left="604" w:right="596"/>
              <w:rPr>
                <w:rFonts w:ascii="Times New Roman"/>
                <w:sz w:val="21"/>
              </w:rPr>
            </w:pPr>
            <w:bookmarkStart w:name="175" w:id="256"/>
            <w:bookmarkEnd w:id="256"/>
            <w:r>
              <w:rPr/>
            </w:r>
            <w:r>
              <w:rPr>
                <w:rFonts w:ascii="Times New Roman"/>
                <w:sz w:val="21"/>
              </w:rPr>
              <w:t>175</w:t>
            </w:r>
          </w:p>
        </w:tc>
        <w:tc>
          <w:tcPr>
            <w:tcW w:w="1749" w:type="dxa"/>
          </w:tcPr>
          <w:p>
            <w:pPr>
              <w:pStyle w:val="TableParagraph"/>
              <w:spacing w:before="39"/>
              <w:ind w:left="500" w:right="490"/>
              <w:rPr>
                <w:rFonts w:ascii="Times New Roman"/>
                <w:sz w:val="21"/>
              </w:rPr>
            </w:pPr>
            <w:bookmarkStart w:name="182" w:id="257"/>
            <w:bookmarkEnd w:id="257"/>
            <w:r>
              <w:rPr/>
            </w:r>
            <w:r>
              <w:rPr>
                <w:rFonts w:ascii="Times New Roman"/>
                <w:sz w:val="21"/>
              </w:rPr>
              <w:t>182</w:t>
            </w:r>
          </w:p>
        </w:tc>
      </w:tr>
      <w:tr>
        <w:trPr>
          <w:trHeight w:val="311" w:hRule="atLeast"/>
        </w:trPr>
        <w:tc>
          <w:tcPr>
            <w:tcW w:w="2255" w:type="dxa"/>
          </w:tcPr>
          <w:p>
            <w:pPr>
              <w:pStyle w:val="TableParagraph"/>
              <w:spacing w:before="20"/>
              <w:ind w:left="12" w:right="6"/>
              <w:rPr>
                <w:sz w:val="21"/>
              </w:rPr>
            </w:pPr>
            <w:r>
              <w:rPr>
                <w:sz w:val="21"/>
              </w:rPr>
              <w:t>高锰酸盐指数</w:t>
            </w:r>
          </w:p>
        </w:tc>
        <w:tc>
          <w:tcPr>
            <w:tcW w:w="1748" w:type="dxa"/>
          </w:tcPr>
          <w:p>
            <w:pPr>
              <w:pStyle w:val="TableParagraph"/>
              <w:spacing w:before="38"/>
              <w:ind w:left="605" w:right="595"/>
              <w:rPr>
                <w:rFonts w:ascii="Times New Roman"/>
                <w:sz w:val="21"/>
              </w:rPr>
            </w:pPr>
            <w:bookmarkStart w:name="2.0" w:id="258"/>
            <w:bookmarkEnd w:id="258"/>
            <w:r>
              <w:rPr/>
            </w:r>
            <w:r>
              <w:rPr>
                <w:rFonts w:ascii="Times New Roman"/>
                <w:sz w:val="21"/>
              </w:rPr>
              <w:t>2.0</w:t>
            </w:r>
          </w:p>
        </w:tc>
        <w:tc>
          <w:tcPr>
            <w:tcW w:w="1748" w:type="dxa"/>
          </w:tcPr>
          <w:p>
            <w:pPr>
              <w:pStyle w:val="TableParagraph"/>
              <w:spacing w:before="38"/>
              <w:ind w:left="604" w:right="596"/>
              <w:rPr>
                <w:rFonts w:ascii="Times New Roman"/>
                <w:sz w:val="21"/>
              </w:rPr>
            </w:pPr>
            <w:bookmarkStart w:name="0.71" w:id="259"/>
            <w:bookmarkEnd w:id="259"/>
            <w:r>
              <w:rPr/>
            </w:r>
            <w:r>
              <w:rPr>
                <w:rFonts w:ascii="Times New Roman"/>
                <w:sz w:val="21"/>
              </w:rPr>
              <w:t>0.71</w:t>
            </w:r>
          </w:p>
        </w:tc>
        <w:tc>
          <w:tcPr>
            <w:tcW w:w="1749" w:type="dxa"/>
          </w:tcPr>
          <w:p>
            <w:pPr>
              <w:pStyle w:val="TableParagraph"/>
              <w:spacing w:before="38"/>
              <w:ind w:left="500" w:right="490"/>
              <w:rPr>
                <w:rFonts w:ascii="Times New Roman"/>
                <w:sz w:val="21"/>
              </w:rPr>
            </w:pPr>
            <w:bookmarkStart w:name="0.70" w:id="260"/>
            <w:bookmarkEnd w:id="260"/>
            <w:r>
              <w:rPr/>
            </w:r>
            <w:r>
              <w:rPr>
                <w:rFonts w:ascii="Times New Roman"/>
                <w:sz w:val="21"/>
              </w:rPr>
              <w:t>0.70</w:t>
            </w:r>
          </w:p>
        </w:tc>
      </w:tr>
      <w:tr>
        <w:trPr>
          <w:trHeight w:val="312" w:hRule="atLeast"/>
        </w:trPr>
        <w:tc>
          <w:tcPr>
            <w:tcW w:w="2255" w:type="dxa"/>
          </w:tcPr>
          <w:p>
            <w:pPr>
              <w:pStyle w:val="TableParagraph"/>
              <w:spacing w:before="22"/>
              <w:ind w:left="12" w:right="6"/>
              <w:rPr>
                <w:sz w:val="21"/>
              </w:rPr>
            </w:pPr>
            <w:r>
              <w:rPr>
                <w:sz w:val="21"/>
              </w:rPr>
              <w:t>溶解性总固体</w:t>
            </w:r>
          </w:p>
        </w:tc>
        <w:tc>
          <w:tcPr>
            <w:tcW w:w="1748" w:type="dxa"/>
          </w:tcPr>
          <w:p>
            <w:pPr>
              <w:pStyle w:val="TableParagraph"/>
              <w:spacing w:before="38"/>
              <w:ind w:left="605" w:right="595"/>
              <w:rPr>
                <w:rFonts w:ascii="Times New Roman"/>
                <w:sz w:val="21"/>
              </w:rPr>
            </w:pPr>
            <w:bookmarkStart w:name="123" w:id="261"/>
            <w:bookmarkEnd w:id="261"/>
            <w:r>
              <w:rPr/>
            </w:r>
            <w:r>
              <w:rPr>
                <w:rFonts w:ascii="Times New Roman"/>
                <w:sz w:val="21"/>
              </w:rPr>
              <w:t>123</w:t>
            </w:r>
          </w:p>
        </w:tc>
        <w:tc>
          <w:tcPr>
            <w:tcW w:w="1748" w:type="dxa"/>
          </w:tcPr>
          <w:p>
            <w:pPr>
              <w:pStyle w:val="TableParagraph"/>
              <w:spacing w:before="38"/>
              <w:ind w:left="604" w:right="596"/>
              <w:rPr>
                <w:rFonts w:ascii="Times New Roman"/>
                <w:sz w:val="21"/>
              </w:rPr>
            </w:pPr>
            <w:bookmarkStart w:name="332" w:id="262"/>
            <w:bookmarkEnd w:id="262"/>
            <w:r>
              <w:rPr/>
            </w:r>
            <w:r>
              <w:rPr>
                <w:rFonts w:ascii="Times New Roman"/>
                <w:sz w:val="21"/>
              </w:rPr>
              <w:t>332</w:t>
            </w:r>
          </w:p>
        </w:tc>
        <w:tc>
          <w:tcPr>
            <w:tcW w:w="1749" w:type="dxa"/>
          </w:tcPr>
          <w:p>
            <w:pPr>
              <w:pStyle w:val="TableParagraph"/>
              <w:spacing w:before="38"/>
              <w:ind w:left="500" w:right="490"/>
              <w:rPr>
                <w:rFonts w:ascii="Times New Roman"/>
                <w:sz w:val="21"/>
              </w:rPr>
            </w:pPr>
            <w:bookmarkStart w:name="336" w:id="263"/>
            <w:bookmarkEnd w:id="263"/>
            <w:r>
              <w:rPr/>
            </w:r>
            <w:r>
              <w:rPr>
                <w:rFonts w:ascii="Times New Roman"/>
                <w:sz w:val="21"/>
              </w:rPr>
              <w:t>336</w:t>
            </w:r>
          </w:p>
        </w:tc>
      </w:tr>
      <w:tr>
        <w:trPr>
          <w:trHeight w:val="311" w:hRule="atLeast"/>
        </w:trPr>
        <w:tc>
          <w:tcPr>
            <w:tcW w:w="2255" w:type="dxa"/>
          </w:tcPr>
          <w:p>
            <w:pPr>
              <w:pStyle w:val="TableParagraph"/>
              <w:spacing w:before="21"/>
              <w:ind w:left="8"/>
              <w:rPr>
                <w:sz w:val="21"/>
              </w:rPr>
            </w:pPr>
            <w:r>
              <w:rPr>
                <w:w w:val="99"/>
                <w:sz w:val="21"/>
              </w:rPr>
              <w:t>铁</w:t>
            </w:r>
          </w:p>
        </w:tc>
        <w:tc>
          <w:tcPr>
            <w:tcW w:w="1748" w:type="dxa"/>
          </w:tcPr>
          <w:p>
            <w:pPr>
              <w:pStyle w:val="TableParagraph"/>
              <w:spacing w:before="38"/>
              <w:ind w:left="605" w:right="595"/>
              <w:rPr>
                <w:rFonts w:ascii="Times New Roman"/>
                <w:sz w:val="21"/>
              </w:rPr>
            </w:pPr>
            <w:bookmarkStart w:name="0.22" w:id="264"/>
            <w:bookmarkEnd w:id="264"/>
            <w:r>
              <w:rPr/>
            </w:r>
            <w:r>
              <w:rPr>
                <w:rFonts w:ascii="Times New Roman"/>
                <w:sz w:val="21"/>
              </w:rPr>
              <w:t>0.22</w:t>
            </w:r>
          </w:p>
        </w:tc>
        <w:tc>
          <w:tcPr>
            <w:tcW w:w="1748" w:type="dxa"/>
          </w:tcPr>
          <w:p>
            <w:pPr>
              <w:pStyle w:val="TableParagraph"/>
              <w:spacing w:before="38"/>
              <w:ind w:left="604" w:right="596"/>
              <w:rPr>
                <w:rFonts w:ascii="Times New Roman"/>
                <w:sz w:val="21"/>
              </w:rPr>
            </w:pPr>
            <w:bookmarkStart w:name="0.04" w:id="265"/>
            <w:bookmarkEnd w:id="265"/>
            <w:r>
              <w:rPr/>
            </w:r>
            <w:r>
              <w:rPr>
                <w:rFonts w:ascii="Times New Roman"/>
                <w:sz w:val="21"/>
              </w:rPr>
              <w:t>0.04</w:t>
            </w:r>
          </w:p>
        </w:tc>
        <w:tc>
          <w:tcPr>
            <w:tcW w:w="1749" w:type="dxa"/>
          </w:tcPr>
          <w:p>
            <w:pPr>
              <w:pStyle w:val="TableParagraph"/>
              <w:spacing w:before="38"/>
              <w:ind w:left="499" w:right="490"/>
              <w:rPr>
                <w:rFonts w:ascii="Times New Roman"/>
                <w:sz w:val="21"/>
              </w:rPr>
            </w:pPr>
            <w:bookmarkStart w:name="0.03L" w:id="266"/>
            <w:bookmarkEnd w:id="266"/>
            <w:r>
              <w:rPr/>
            </w:r>
            <w:r>
              <w:rPr>
                <w:rFonts w:ascii="Times New Roman"/>
                <w:sz w:val="21"/>
              </w:rPr>
              <w:t>0.03L</w:t>
            </w:r>
          </w:p>
        </w:tc>
      </w:tr>
      <w:tr>
        <w:trPr>
          <w:trHeight w:val="312" w:hRule="atLeast"/>
        </w:trPr>
        <w:tc>
          <w:tcPr>
            <w:tcW w:w="2255" w:type="dxa"/>
          </w:tcPr>
          <w:p>
            <w:pPr>
              <w:pStyle w:val="TableParagraph"/>
              <w:spacing w:before="21"/>
              <w:ind w:left="8"/>
              <w:rPr>
                <w:sz w:val="21"/>
              </w:rPr>
            </w:pPr>
            <w:r>
              <w:rPr>
                <w:w w:val="99"/>
                <w:sz w:val="21"/>
              </w:rPr>
              <w:t>锰</w:t>
            </w:r>
          </w:p>
        </w:tc>
        <w:tc>
          <w:tcPr>
            <w:tcW w:w="1748" w:type="dxa"/>
          </w:tcPr>
          <w:p>
            <w:pPr>
              <w:pStyle w:val="TableParagraph"/>
              <w:spacing w:before="37"/>
              <w:ind w:left="605" w:right="596"/>
              <w:rPr>
                <w:rFonts w:ascii="Times New Roman"/>
                <w:sz w:val="21"/>
              </w:rPr>
            </w:pPr>
            <w:bookmarkStart w:name="0.01L" w:id="267"/>
            <w:bookmarkEnd w:id="267"/>
            <w:r>
              <w:rPr/>
            </w:r>
            <w:r>
              <w:rPr>
                <w:rFonts w:ascii="Times New Roman"/>
                <w:sz w:val="21"/>
              </w:rPr>
              <w:t>0.01L</w:t>
            </w:r>
          </w:p>
        </w:tc>
        <w:tc>
          <w:tcPr>
            <w:tcW w:w="1748" w:type="dxa"/>
          </w:tcPr>
          <w:p>
            <w:pPr>
              <w:pStyle w:val="TableParagraph"/>
              <w:spacing w:before="37"/>
              <w:ind w:left="604" w:right="596"/>
              <w:rPr>
                <w:rFonts w:ascii="Times New Roman"/>
                <w:sz w:val="21"/>
              </w:rPr>
            </w:pPr>
            <w:bookmarkStart w:name="0.03" w:id="268"/>
            <w:bookmarkEnd w:id="268"/>
            <w:r>
              <w:rPr/>
            </w:r>
            <w:r>
              <w:rPr>
                <w:rFonts w:ascii="Times New Roman"/>
                <w:sz w:val="21"/>
              </w:rPr>
              <w:t>0.03</w:t>
            </w:r>
          </w:p>
        </w:tc>
        <w:tc>
          <w:tcPr>
            <w:tcW w:w="1749" w:type="dxa"/>
          </w:tcPr>
          <w:p>
            <w:pPr>
              <w:pStyle w:val="TableParagraph"/>
              <w:spacing w:before="37"/>
              <w:ind w:left="500" w:right="490"/>
              <w:rPr>
                <w:rFonts w:ascii="Times New Roman"/>
                <w:sz w:val="21"/>
              </w:rPr>
            </w:pPr>
            <w:bookmarkStart w:name="0.03" w:id="269"/>
            <w:bookmarkEnd w:id="269"/>
            <w:r>
              <w:rPr/>
            </w:r>
            <w:r>
              <w:rPr>
                <w:rFonts w:ascii="Times New Roman"/>
                <w:sz w:val="21"/>
              </w:rPr>
              <w:t>0.03</w:t>
            </w:r>
          </w:p>
        </w:tc>
      </w:tr>
      <w:tr>
        <w:trPr>
          <w:trHeight w:val="312" w:hRule="atLeast"/>
        </w:trPr>
        <w:tc>
          <w:tcPr>
            <w:tcW w:w="2255" w:type="dxa"/>
          </w:tcPr>
          <w:p>
            <w:pPr>
              <w:pStyle w:val="TableParagraph"/>
              <w:spacing w:before="21"/>
              <w:ind w:left="14" w:right="6"/>
              <w:rPr>
                <w:sz w:val="21"/>
              </w:rPr>
            </w:pPr>
            <w:r>
              <w:rPr>
                <w:sz w:val="21"/>
              </w:rPr>
              <w:t>铅（</w:t>
            </w:r>
            <w:r>
              <w:rPr>
                <w:rFonts w:ascii="Times New Roman" w:hAnsi="Times New Roman" w:eastAsia="Times New Roman"/>
                <w:sz w:val="21"/>
              </w:rPr>
              <w:t>μg/L</w:t>
            </w:r>
            <w:r>
              <w:rPr>
                <w:sz w:val="21"/>
              </w:rPr>
              <w:t>）</w:t>
            </w:r>
          </w:p>
        </w:tc>
        <w:tc>
          <w:tcPr>
            <w:tcW w:w="1748" w:type="dxa"/>
          </w:tcPr>
          <w:p>
            <w:pPr>
              <w:pStyle w:val="TableParagraph"/>
              <w:spacing w:before="37"/>
              <w:ind w:left="605" w:right="596"/>
              <w:rPr>
                <w:rFonts w:ascii="Times New Roman"/>
                <w:sz w:val="21"/>
              </w:rPr>
            </w:pPr>
            <w:bookmarkStart w:name="2.5L" w:id="270"/>
            <w:bookmarkEnd w:id="270"/>
            <w:r>
              <w:rPr/>
            </w:r>
            <w:r>
              <w:rPr>
                <w:rFonts w:ascii="Times New Roman"/>
                <w:sz w:val="21"/>
              </w:rPr>
              <w:t>2.5L</w:t>
            </w:r>
          </w:p>
        </w:tc>
        <w:tc>
          <w:tcPr>
            <w:tcW w:w="1748" w:type="dxa"/>
          </w:tcPr>
          <w:p>
            <w:pPr>
              <w:pStyle w:val="TableParagraph"/>
              <w:spacing w:before="37"/>
              <w:ind w:left="605" w:right="593"/>
              <w:rPr>
                <w:rFonts w:ascii="Times New Roman"/>
                <w:sz w:val="21"/>
              </w:rPr>
            </w:pPr>
            <w:bookmarkStart w:name="2.5L" w:id="271"/>
            <w:bookmarkEnd w:id="271"/>
            <w:r>
              <w:rPr/>
            </w:r>
            <w:r>
              <w:rPr>
                <w:rFonts w:ascii="Times New Roman"/>
                <w:sz w:val="21"/>
              </w:rPr>
              <w:t>2.5L</w:t>
            </w:r>
          </w:p>
        </w:tc>
        <w:tc>
          <w:tcPr>
            <w:tcW w:w="1749" w:type="dxa"/>
          </w:tcPr>
          <w:p>
            <w:pPr>
              <w:pStyle w:val="TableParagraph"/>
              <w:spacing w:before="37"/>
              <w:ind w:left="499" w:right="490"/>
              <w:rPr>
                <w:rFonts w:ascii="Times New Roman"/>
                <w:sz w:val="21"/>
              </w:rPr>
            </w:pPr>
            <w:bookmarkStart w:name="2.5L" w:id="272"/>
            <w:bookmarkEnd w:id="272"/>
            <w:r>
              <w:rPr/>
            </w:r>
            <w:r>
              <w:rPr>
                <w:rFonts w:ascii="Times New Roman"/>
                <w:sz w:val="21"/>
              </w:rPr>
              <w:t>2.5L</w:t>
            </w:r>
          </w:p>
        </w:tc>
      </w:tr>
      <w:tr>
        <w:trPr>
          <w:trHeight w:val="311" w:hRule="atLeast"/>
        </w:trPr>
        <w:tc>
          <w:tcPr>
            <w:tcW w:w="2255" w:type="dxa"/>
          </w:tcPr>
          <w:p>
            <w:pPr>
              <w:pStyle w:val="TableParagraph"/>
              <w:spacing w:before="20"/>
              <w:ind w:left="12" w:right="6"/>
              <w:rPr>
                <w:sz w:val="21"/>
              </w:rPr>
            </w:pPr>
            <w:r>
              <w:rPr>
                <w:sz w:val="21"/>
              </w:rPr>
              <w:t>六价铬</w:t>
            </w:r>
          </w:p>
        </w:tc>
        <w:tc>
          <w:tcPr>
            <w:tcW w:w="1748" w:type="dxa"/>
          </w:tcPr>
          <w:p>
            <w:pPr>
              <w:pStyle w:val="TableParagraph"/>
              <w:spacing w:before="39"/>
              <w:ind w:left="574"/>
              <w:jc w:val="left"/>
              <w:rPr>
                <w:rFonts w:ascii="Times New Roman"/>
                <w:sz w:val="21"/>
              </w:rPr>
            </w:pPr>
            <w:bookmarkStart w:name="0.004L" w:id="273"/>
            <w:bookmarkEnd w:id="273"/>
            <w:r>
              <w:rPr/>
            </w:r>
            <w:r>
              <w:rPr>
                <w:rFonts w:ascii="Times New Roman"/>
                <w:sz w:val="21"/>
              </w:rPr>
              <w:t>0.004L</w:t>
            </w:r>
          </w:p>
        </w:tc>
        <w:tc>
          <w:tcPr>
            <w:tcW w:w="1748" w:type="dxa"/>
          </w:tcPr>
          <w:p>
            <w:pPr>
              <w:pStyle w:val="TableParagraph"/>
              <w:spacing w:before="39"/>
              <w:ind w:right="561"/>
              <w:jc w:val="right"/>
              <w:rPr>
                <w:rFonts w:ascii="Times New Roman"/>
                <w:sz w:val="21"/>
              </w:rPr>
            </w:pPr>
            <w:bookmarkStart w:name="0.004L" w:id="274"/>
            <w:bookmarkEnd w:id="274"/>
            <w:r>
              <w:rPr/>
            </w:r>
            <w:r>
              <w:rPr>
                <w:rFonts w:ascii="Times New Roman"/>
                <w:w w:val="95"/>
                <w:sz w:val="21"/>
              </w:rPr>
              <w:t>0.004L</w:t>
            </w:r>
          </w:p>
        </w:tc>
        <w:tc>
          <w:tcPr>
            <w:tcW w:w="1749" w:type="dxa"/>
          </w:tcPr>
          <w:p>
            <w:pPr>
              <w:pStyle w:val="TableParagraph"/>
              <w:spacing w:before="39"/>
              <w:ind w:left="497" w:right="490"/>
              <w:rPr>
                <w:rFonts w:ascii="Times New Roman"/>
                <w:sz w:val="21"/>
              </w:rPr>
            </w:pPr>
            <w:bookmarkStart w:name="0.004L" w:id="275"/>
            <w:bookmarkEnd w:id="275"/>
            <w:r>
              <w:rPr/>
            </w:r>
            <w:r>
              <w:rPr>
                <w:rFonts w:ascii="Times New Roman"/>
                <w:sz w:val="21"/>
              </w:rPr>
              <w:t>0.004L</w:t>
            </w:r>
          </w:p>
        </w:tc>
      </w:tr>
      <w:tr>
        <w:trPr>
          <w:trHeight w:val="312" w:hRule="atLeast"/>
        </w:trPr>
        <w:tc>
          <w:tcPr>
            <w:tcW w:w="2255" w:type="dxa"/>
          </w:tcPr>
          <w:p>
            <w:pPr>
              <w:pStyle w:val="TableParagraph"/>
              <w:spacing w:before="20"/>
              <w:ind w:left="12" w:right="6"/>
              <w:rPr>
                <w:sz w:val="21"/>
              </w:rPr>
            </w:pPr>
            <w:r>
              <w:rPr>
                <w:sz w:val="21"/>
              </w:rPr>
              <w:t>氯化物</w:t>
            </w:r>
          </w:p>
        </w:tc>
        <w:tc>
          <w:tcPr>
            <w:tcW w:w="1748" w:type="dxa"/>
          </w:tcPr>
          <w:p>
            <w:pPr>
              <w:pStyle w:val="TableParagraph"/>
              <w:spacing w:before="38"/>
              <w:ind w:left="605" w:right="595"/>
              <w:rPr>
                <w:rFonts w:ascii="Times New Roman"/>
                <w:sz w:val="21"/>
              </w:rPr>
            </w:pPr>
            <w:bookmarkStart w:name="8.12" w:id="276"/>
            <w:bookmarkEnd w:id="276"/>
            <w:r>
              <w:rPr/>
            </w:r>
            <w:r>
              <w:rPr>
                <w:rFonts w:ascii="Times New Roman"/>
                <w:sz w:val="21"/>
              </w:rPr>
              <w:t>8.12</w:t>
            </w:r>
          </w:p>
        </w:tc>
        <w:tc>
          <w:tcPr>
            <w:tcW w:w="1748" w:type="dxa"/>
          </w:tcPr>
          <w:p>
            <w:pPr>
              <w:pStyle w:val="TableParagraph"/>
              <w:spacing w:before="38"/>
              <w:ind w:left="604" w:right="596"/>
              <w:rPr>
                <w:rFonts w:ascii="Times New Roman"/>
                <w:sz w:val="21"/>
              </w:rPr>
            </w:pPr>
            <w:bookmarkStart w:name="8.34" w:id="277"/>
            <w:bookmarkEnd w:id="277"/>
            <w:r>
              <w:rPr/>
            </w:r>
            <w:r>
              <w:rPr>
                <w:rFonts w:ascii="Times New Roman"/>
                <w:sz w:val="21"/>
              </w:rPr>
              <w:t>8.34</w:t>
            </w:r>
          </w:p>
        </w:tc>
        <w:tc>
          <w:tcPr>
            <w:tcW w:w="1749" w:type="dxa"/>
          </w:tcPr>
          <w:p>
            <w:pPr>
              <w:pStyle w:val="TableParagraph"/>
              <w:spacing w:before="38"/>
              <w:ind w:left="500" w:right="490"/>
              <w:rPr>
                <w:rFonts w:ascii="Times New Roman"/>
                <w:sz w:val="21"/>
              </w:rPr>
            </w:pPr>
            <w:bookmarkStart w:name="9.13" w:id="278"/>
            <w:bookmarkEnd w:id="278"/>
            <w:r>
              <w:rPr/>
            </w:r>
            <w:r>
              <w:rPr>
                <w:rFonts w:ascii="Times New Roman"/>
                <w:sz w:val="21"/>
              </w:rPr>
              <w:t>9.13</w:t>
            </w:r>
          </w:p>
        </w:tc>
      </w:tr>
      <w:tr>
        <w:trPr>
          <w:trHeight w:val="311" w:hRule="atLeast"/>
        </w:trPr>
        <w:tc>
          <w:tcPr>
            <w:tcW w:w="2255" w:type="dxa"/>
          </w:tcPr>
          <w:p>
            <w:pPr>
              <w:pStyle w:val="TableParagraph"/>
              <w:spacing w:before="22"/>
              <w:ind w:left="12" w:right="6"/>
              <w:rPr>
                <w:sz w:val="21"/>
              </w:rPr>
            </w:pPr>
            <w:r>
              <w:rPr>
                <w:sz w:val="21"/>
              </w:rPr>
              <w:t>硫酸盐</w:t>
            </w:r>
          </w:p>
        </w:tc>
        <w:tc>
          <w:tcPr>
            <w:tcW w:w="1748" w:type="dxa"/>
          </w:tcPr>
          <w:p>
            <w:pPr>
              <w:pStyle w:val="TableParagraph"/>
              <w:spacing w:before="38"/>
              <w:ind w:left="605" w:right="595"/>
              <w:rPr>
                <w:rFonts w:ascii="Times New Roman"/>
                <w:sz w:val="21"/>
              </w:rPr>
            </w:pPr>
            <w:bookmarkStart w:name="33.5" w:id="279"/>
            <w:bookmarkEnd w:id="279"/>
            <w:r>
              <w:rPr/>
            </w:r>
            <w:r>
              <w:rPr>
                <w:rFonts w:ascii="Times New Roman"/>
                <w:sz w:val="21"/>
              </w:rPr>
              <w:t>33.5</w:t>
            </w:r>
          </w:p>
        </w:tc>
        <w:tc>
          <w:tcPr>
            <w:tcW w:w="1748" w:type="dxa"/>
          </w:tcPr>
          <w:p>
            <w:pPr>
              <w:pStyle w:val="TableParagraph"/>
              <w:spacing w:before="38"/>
              <w:ind w:left="605" w:right="595"/>
              <w:rPr>
                <w:rFonts w:ascii="Times New Roman"/>
                <w:sz w:val="21"/>
              </w:rPr>
            </w:pPr>
            <w:bookmarkStart w:name="11.2" w:id="280"/>
            <w:bookmarkEnd w:id="280"/>
            <w:r>
              <w:rPr/>
            </w:r>
            <w:r>
              <w:rPr>
                <w:rFonts w:ascii="Times New Roman"/>
                <w:sz w:val="21"/>
              </w:rPr>
              <w:t>11.2</w:t>
            </w:r>
          </w:p>
        </w:tc>
        <w:tc>
          <w:tcPr>
            <w:tcW w:w="1749" w:type="dxa"/>
          </w:tcPr>
          <w:p>
            <w:pPr>
              <w:pStyle w:val="TableParagraph"/>
              <w:spacing w:before="38"/>
              <w:ind w:left="500" w:right="490"/>
              <w:rPr>
                <w:rFonts w:ascii="Times New Roman"/>
                <w:sz w:val="21"/>
              </w:rPr>
            </w:pPr>
            <w:bookmarkStart w:name="11.3" w:id="281"/>
            <w:bookmarkEnd w:id="281"/>
            <w:r>
              <w:rPr/>
            </w:r>
            <w:r>
              <w:rPr>
                <w:rFonts w:ascii="Times New Roman"/>
                <w:sz w:val="21"/>
              </w:rPr>
              <w:t>11.3</w:t>
            </w:r>
          </w:p>
        </w:tc>
      </w:tr>
      <w:tr>
        <w:trPr>
          <w:trHeight w:val="436" w:hRule="atLeast"/>
        </w:trPr>
        <w:tc>
          <w:tcPr>
            <w:tcW w:w="2255" w:type="dxa"/>
          </w:tcPr>
          <w:p>
            <w:pPr>
              <w:pStyle w:val="TableParagraph"/>
              <w:spacing w:before="84"/>
              <w:ind w:left="14" w:right="6"/>
              <w:rPr>
                <w:sz w:val="21"/>
              </w:rPr>
            </w:pPr>
            <w:r>
              <w:rPr>
                <w:sz w:val="21"/>
              </w:rPr>
              <w:t>细菌总数（</w:t>
            </w:r>
            <w:r>
              <w:rPr>
                <w:rFonts w:ascii="Times New Roman" w:eastAsia="Times New Roman"/>
                <w:sz w:val="21"/>
              </w:rPr>
              <w:t>CFU/mL</w:t>
            </w:r>
            <w:r>
              <w:rPr>
                <w:sz w:val="21"/>
              </w:rPr>
              <w:t>）</w:t>
            </w:r>
          </w:p>
        </w:tc>
        <w:tc>
          <w:tcPr>
            <w:tcW w:w="1748" w:type="dxa"/>
          </w:tcPr>
          <w:p>
            <w:pPr>
              <w:pStyle w:val="TableParagraph"/>
              <w:spacing w:before="100"/>
              <w:ind w:left="605" w:right="595"/>
              <w:rPr>
                <w:rFonts w:ascii="Times New Roman"/>
                <w:sz w:val="21"/>
              </w:rPr>
            </w:pPr>
            <w:bookmarkStart w:name="12" w:id="282"/>
            <w:bookmarkEnd w:id="282"/>
            <w:r>
              <w:rPr/>
            </w:r>
            <w:r>
              <w:rPr>
                <w:rFonts w:ascii="Times New Roman"/>
                <w:sz w:val="21"/>
              </w:rPr>
              <w:t>12</w:t>
            </w:r>
          </w:p>
        </w:tc>
        <w:tc>
          <w:tcPr>
            <w:tcW w:w="1748" w:type="dxa"/>
          </w:tcPr>
          <w:p>
            <w:pPr>
              <w:pStyle w:val="TableParagraph"/>
              <w:spacing w:before="100"/>
              <w:ind w:left="604" w:right="596"/>
              <w:rPr>
                <w:rFonts w:ascii="Times New Roman"/>
                <w:sz w:val="21"/>
              </w:rPr>
            </w:pPr>
            <w:bookmarkStart w:name="14" w:id="283"/>
            <w:bookmarkEnd w:id="283"/>
            <w:r>
              <w:rPr/>
            </w:r>
            <w:r>
              <w:rPr>
                <w:rFonts w:ascii="Times New Roman"/>
                <w:sz w:val="21"/>
              </w:rPr>
              <w:t>14</w:t>
            </w:r>
          </w:p>
        </w:tc>
        <w:tc>
          <w:tcPr>
            <w:tcW w:w="1749" w:type="dxa"/>
          </w:tcPr>
          <w:p>
            <w:pPr>
              <w:pStyle w:val="TableParagraph"/>
              <w:spacing w:before="100"/>
              <w:ind w:left="500" w:right="490"/>
              <w:rPr>
                <w:rFonts w:ascii="Times New Roman"/>
                <w:sz w:val="21"/>
              </w:rPr>
            </w:pPr>
            <w:bookmarkStart w:name="11" w:id="284"/>
            <w:bookmarkEnd w:id="284"/>
            <w:r>
              <w:rPr/>
            </w:r>
            <w:r>
              <w:rPr>
                <w:rFonts w:ascii="Times New Roman"/>
                <w:sz w:val="21"/>
              </w:rPr>
              <w:t>11</w:t>
            </w:r>
          </w:p>
        </w:tc>
      </w:tr>
      <w:tr>
        <w:trPr>
          <w:trHeight w:val="312" w:hRule="atLeast"/>
        </w:trPr>
        <w:tc>
          <w:tcPr>
            <w:tcW w:w="2255" w:type="dxa"/>
          </w:tcPr>
          <w:p>
            <w:pPr>
              <w:pStyle w:val="TableParagraph"/>
              <w:spacing w:before="22"/>
              <w:ind w:left="86" w:right="6"/>
              <w:rPr>
                <w:sz w:val="21"/>
              </w:rPr>
            </w:pPr>
            <w:r>
              <w:rPr>
                <w:sz w:val="21"/>
              </w:rPr>
              <w:t>总大肠菌群（</w:t>
            </w:r>
            <w:r>
              <w:rPr>
                <w:rFonts w:ascii="Times New Roman" w:eastAsia="Times New Roman"/>
                <w:sz w:val="21"/>
              </w:rPr>
              <w:t>MPN/L</w:t>
            </w:r>
            <w:r>
              <w:rPr>
                <w:sz w:val="21"/>
              </w:rPr>
              <w:t>）</w:t>
            </w:r>
          </w:p>
        </w:tc>
        <w:tc>
          <w:tcPr>
            <w:tcW w:w="1748" w:type="dxa"/>
          </w:tcPr>
          <w:p>
            <w:pPr>
              <w:pStyle w:val="TableParagraph"/>
              <w:spacing w:before="38"/>
              <w:ind w:left="605" w:right="596"/>
              <w:rPr>
                <w:rFonts w:ascii="Times New Roman"/>
                <w:sz w:val="21"/>
              </w:rPr>
            </w:pPr>
            <w:bookmarkStart w:name="20L" w:id="285"/>
            <w:bookmarkEnd w:id="285"/>
            <w:r>
              <w:rPr/>
            </w:r>
            <w:r>
              <w:rPr>
                <w:rFonts w:ascii="Times New Roman"/>
                <w:sz w:val="21"/>
              </w:rPr>
              <w:t>20L</w:t>
            </w:r>
          </w:p>
        </w:tc>
        <w:tc>
          <w:tcPr>
            <w:tcW w:w="1748" w:type="dxa"/>
          </w:tcPr>
          <w:p>
            <w:pPr>
              <w:pStyle w:val="TableParagraph"/>
              <w:spacing w:before="38"/>
              <w:ind w:left="605" w:right="593"/>
              <w:rPr>
                <w:rFonts w:ascii="Times New Roman"/>
                <w:sz w:val="21"/>
              </w:rPr>
            </w:pPr>
            <w:bookmarkStart w:name="20L" w:id="286"/>
            <w:bookmarkEnd w:id="286"/>
            <w:r>
              <w:rPr/>
            </w:r>
            <w:r>
              <w:rPr>
                <w:rFonts w:ascii="Times New Roman"/>
                <w:sz w:val="21"/>
              </w:rPr>
              <w:t>20L</w:t>
            </w:r>
          </w:p>
        </w:tc>
        <w:tc>
          <w:tcPr>
            <w:tcW w:w="1749" w:type="dxa"/>
          </w:tcPr>
          <w:p>
            <w:pPr>
              <w:pStyle w:val="TableParagraph"/>
              <w:spacing w:before="38"/>
              <w:ind w:left="499" w:right="490"/>
              <w:rPr>
                <w:rFonts w:ascii="Times New Roman"/>
                <w:sz w:val="21"/>
              </w:rPr>
            </w:pPr>
            <w:bookmarkStart w:name="20L" w:id="287"/>
            <w:bookmarkEnd w:id="287"/>
            <w:r>
              <w:rPr/>
            </w:r>
            <w:r>
              <w:rPr>
                <w:rFonts w:ascii="Times New Roman"/>
                <w:sz w:val="21"/>
              </w:rPr>
              <w:t>20L</w:t>
            </w:r>
          </w:p>
        </w:tc>
      </w:tr>
      <w:tr>
        <w:trPr>
          <w:trHeight w:val="311" w:hRule="atLeast"/>
        </w:trPr>
        <w:tc>
          <w:tcPr>
            <w:tcW w:w="2255" w:type="dxa"/>
          </w:tcPr>
          <w:p>
            <w:pPr>
              <w:pStyle w:val="TableParagraph"/>
              <w:spacing w:before="21"/>
              <w:ind w:left="14" w:right="6"/>
              <w:rPr>
                <w:sz w:val="21"/>
              </w:rPr>
            </w:pPr>
            <w:r>
              <w:rPr>
                <w:sz w:val="21"/>
              </w:rPr>
              <w:t>挥发性酚类</w:t>
            </w:r>
          </w:p>
        </w:tc>
        <w:tc>
          <w:tcPr>
            <w:tcW w:w="1748" w:type="dxa"/>
          </w:tcPr>
          <w:p>
            <w:pPr>
              <w:pStyle w:val="TableParagraph"/>
              <w:spacing w:before="38"/>
              <w:ind w:left="521"/>
              <w:jc w:val="left"/>
              <w:rPr>
                <w:rFonts w:ascii="Times New Roman"/>
                <w:sz w:val="21"/>
              </w:rPr>
            </w:pPr>
            <w:bookmarkStart w:name="0.0003L" w:id="288"/>
            <w:bookmarkEnd w:id="288"/>
            <w:r>
              <w:rPr/>
            </w:r>
            <w:r>
              <w:rPr>
                <w:rFonts w:ascii="Times New Roman"/>
                <w:sz w:val="21"/>
              </w:rPr>
              <w:t>0.0003L</w:t>
            </w:r>
          </w:p>
        </w:tc>
        <w:tc>
          <w:tcPr>
            <w:tcW w:w="1748" w:type="dxa"/>
          </w:tcPr>
          <w:p>
            <w:pPr>
              <w:pStyle w:val="TableParagraph"/>
              <w:spacing w:before="38"/>
              <w:ind w:right="510"/>
              <w:jc w:val="right"/>
              <w:rPr>
                <w:rFonts w:ascii="Times New Roman"/>
                <w:sz w:val="21"/>
              </w:rPr>
            </w:pPr>
            <w:bookmarkStart w:name="0.0003L" w:id="289"/>
            <w:bookmarkEnd w:id="289"/>
            <w:r>
              <w:rPr/>
            </w:r>
            <w:r>
              <w:rPr>
                <w:rFonts w:ascii="Times New Roman"/>
                <w:w w:val="95"/>
                <w:sz w:val="21"/>
              </w:rPr>
              <w:t>0.0003L</w:t>
            </w:r>
          </w:p>
        </w:tc>
        <w:tc>
          <w:tcPr>
            <w:tcW w:w="1749" w:type="dxa"/>
          </w:tcPr>
          <w:p>
            <w:pPr>
              <w:pStyle w:val="TableParagraph"/>
              <w:spacing w:before="38"/>
              <w:ind w:left="502" w:right="490"/>
              <w:rPr>
                <w:rFonts w:ascii="Times New Roman"/>
                <w:sz w:val="21"/>
              </w:rPr>
            </w:pPr>
            <w:bookmarkStart w:name="0.0003L" w:id="290"/>
            <w:bookmarkEnd w:id="290"/>
            <w:r>
              <w:rPr/>
            </w:r>
            <w:r>
              <w:rPr>
                <w:rFonts w:ascii="Times New Roman"/>
                <w:sz w:val="21"/>
              </w:rPr>
              <w:t>0.0003L</w:t>
            </w:r>
          </w:p>
        </w:tc>
      </w:tr>
      <w:tr>
        <w:trPr>
          <w:trHeight w:val="312" w:hRule="atLeast"/>
        </w:trPr>
        <w:tc>
          <w:tcPr>
            <w:tcW w:w="2255" w:type="dxa"/>
          </w:tcPr>
          <w:p>
            <w:pPr>
              <w:pStyle w:val="TableParagraph"/>
              <w:spacing w:before="21"/>
              <w:ind w:left="12" w:right="6"/>
              <w:rPr>
                <w:sz w:val="21"/>
              </w:rPr>
            </w:pPr>
            <w:r>
              <w:rPr>
                <w:sz w:val="21"/>
              </w:rPr>
              <w:t>氰化物</w:t>
            </w:r>
          </w:p>
        </w:tc>
        <w:tc>
          <w:tcPr>
            <w:tcW w:w="1748" w:type="dxa"/>
          </w:tcPr>
          <w:p>
            <w:pPr>
              <w:pStyle w:val="TableParagraph"/>
              <w:spacing w:before="37"/>
              <w:ind w:left="574"/>
              <w:jc w:val="left"/>
              <w:rPr>
                <w:rFonts w:ascii="Times New Roman"/>
                <w:sz w:val="21"/>
              </w:rPr>
            </w:pPr>
            <w:bookmarkStart w:name="0.002L" w:id="291"/>
            <w:bookmarkEnd w:id="291"/>
            <w:r>
              <w:rPr/>
            </w:r>
            <w:r>
              <w:rPr>
                <w:rFonts w:ascii="Times New Roman"/>
                <w:sz w:val="21"/>
              </w:rPr>
              <w:t>0.002L</w:t>
            </w:r>
          </w:p>
        </w:tc>
        <w:tc>
          <w:tcPr>
            <w:tcW w:w="1748" w:type="dxa"/>
          </w:tcPr>
          <w:p>
            <w:pPr>
              <w:pStyle w:val="TableParagraph"/>
              <w:spacing w:before="37"/>
              <w:ind w:right="561"/>
              <w:jc w:val="right"/>
              <w:rPr>
                <w:rFonts w:ascii="Times New Roman"/>
                <w:sz w:val="21"/>
              </w:rPr>
            </w:pPr>
            <w:bookmarkStart w:name="0.002L" w:id="292"/>
            <w:bookmarkEnd w:id="292"/>
            <w:r>
              <w:rPr/>
            </w:r>
            <w:r>
              <w:rPr>
                <w:rFonts w:ascii="Times New Roman"/>
                <w:w w:val="95"/>
                <w:sz w:val="21"/>
              </w:rPr>
              <w:t>0.002L</w:t>
            </w:r>
          </w:p>
        </w:tc>
        <w:tc>
          <w:tcPr>
            <w:tcW w:w="1749" w:type="dxa"/>
          </w:tcPr>
          <w:p>
            <w:pPr>
              <w:pStyle w:val="TableParagraph"/>
              <w:spacing w:before="37"/>
              <w:ind w:left="497" w:right="490"/>
              <w:rPr>
                <w:rFonts w:ascii="Times New Roman"/>
                <w:sz w:val="21"/>
              </w:rPr>
            </w:pPr>
            <w:bookmarkStart w:name="0.002L" w:id="293"/>
            <w:bookmarkEnd w:id="293"/>
            <w:r>
              <w:rPr/>
            </w:r>
            <w:r>
              <w:rPr>
                <w:rFonts w:ascii="Times New Roman"/>
                <w:sz w:val="21"/>
              </w:rPr>
              <w:t>0.002L</w:t>
            </w:r>
          </w:p>
        </w:tc>
      </w:tr>
      <w:tr>
        <w:trPr>
          <w:trHeight w:val="311" w:hRule="atLeast"/>
        </w:trPr>
        <w:tc>
          <w:tcPr>
            <w:tcW w:w="2255" w:type="dxa"/>
          </w:tcPr>
          <w:p>
            <w:pPr>
              <w:pStyle w:val="TableParagraph"/>
              <w:spacing w:before="21"/>
              <w:ind w:left="14" w:right="6"/>
              <w:rPr>
                <w:sz w:val="21"/>
              </w:rPr>
            </w:pPr>
            <w:r>
              <w:rPr>
                <w:sz w:val="21"/>
              </w:rPr>
              <w:t>砷（</w:t>
            </w:r>
            <w:r>
              <w:rPr>
                <w:rFonts w:ascii="Times New Roman" w:hAnsi="Times New Roman" w:eastAsia="Times New Roman"/>
                <w:sz w:val="21"/>
              </w:rPr>
              <w:t>μg/L</w:t>
            </w:r>
            <w:r>
              <w:rPr>
                <w:sz w:val="21"/>
              </w:rPr>
              <w:t>）</w:t>
            </w:r>
          </w:p>
        </w:tc>
        <w:tc>
          <w:tcPr>
            <w:tcW w:w="1748" w:type="dxa"/>
          </w:tcPr>
          <w:p>
            <w:pPr>
              <w:pStyle w:val="TableParagraph"/>
              <w:spacing w:before="37"/>
              <w:ind w:left="605" w:right="596"/>
              <w:rPr>
                <w:rFonts w:ascii="Times New Roman"/>
                <w:sz w:val="21"/>
              </w:rPr>
            </w:pPr>
            <w:bookmarkStart w:name="0.3L" w:id="294"/>
            <w:bookmarkEnd w:id="294"/>
            <w:r>
              <w:rPr/>
            </w:r>
            <w:r>
              <w:rPr>
                <w:rFonts w:ascii="Times New Roman"/>
                <w:sz w:val="21"/>
              </w:rPr>
              <w:t>0.3L</w:t>
            </w:r>
          </w:p>
        </w:tc>
        <w:tc>
          <w:tcPr>
            <w:tcW w:w="1748" w:type="dxa"/>
          </w:tcPr>
          <w:p>
            <w:pPr>
              <w:pStyle w:val="TableParagraph"/>
              <w:spacing w:before="37"/>
              <w:ind w:left="605" w:right="593"/>
              <w:rPr>
                <w:rFonts w:ascii="Times New Roman"/>
                <w:sz w:val="21"/>
              </w:rPr>
            </w:pPr>
            <w:bookmarkStart w:name="0.3L" w:id="295"/>
            <w:bookmarkEnd w:id="295"/>
            <w:r>
              <w:rPr/>
            </w:r>
            <w:r>
              <w:rPr>
                <w:rFonts w:ascii="Times New Roman"/>
                <w:sz w:val="21"/>
              </w:rPr>
              <w:t>0.3L</w:t>
            </w:r>
          </w:p>
        </w:tc>
        <w:tc>
          <w:tcPr>
            <w:tcW w:w="1749" w:type="dxa"/>
          </w:tcPr>
          <w:p>
            <w:pPr>
              <w:pStyle w:val="TableParagraph"/>
              <w:spacing w:before="37"/>
              <w:ind w:left="499" w:right="490"/>
              <w:rPr>
                <w:rFonts w:ascii="Times New Roman"/>
                <w:sz w:val="21"/>
              </w:rPr>
            </w:pPr>
            <w:bookmarkStart w:name="0.3L" w:id="296"/>
            <w:bookmarkEnd w:id="296"/>
            <w:r>
              <w:rPr/>
            </w:r>
            <w:r>
              <w:rPr>
                <w:rFonts w:ascii="Times New Roman"/>
                <w:sz w:val="21"/>
              </w:rPr>
              <w:t>0.3L</w:t>
            </w:r>
          </w:p>
        </w:tc>
      </w:tr>
      <w:tr>
        <w:trPr>
          <w:trHeight w:val="312" w:hRule="atLeast"/>
        </w:trPr>
        <w:tc>
          <w:tcPr>
            <w:tcW w:w="2255" w:type="dxa"/>
          </w:tcPr>
          <w:p>
            <w:pPr>
              <w:pStyle w:val="TableParagraph"/>
              <w:spacing w:before="20"/>
              <w:ind w:left="14" w:right="6"/>
              <w:rPr>
                <w:sz w:val="21"/>
              </w:rPr>
            </w:pPr>
            <w:r>
              <w:rPr>
                <w:sz w:val="21"/>
              </w:rPr>
              <w:t>汞（</w:t>
            </w:r>
            <w:r>
              <w:rPr>
                <w:rFonts w:ascii="Times New Roman" w:hAnsi="Times New Roman" w:eastAsia="Times New Roman"/>
                <w:sz w:val="21"/>
              </w:rPr>
              <w:t>μg/L</w:t>
            </w:r>
            <w:r>
              <w:rPr>
                <w:sz w:val="21"/>
              </w:rPr>
              <w:t>）</w:t>
            </w:r>
          </w:p>
        </w:tc>
        <w:tc>
          <w:tcPr>
            <w:tcW w:w="1748" w:type="dxa"/>
          </w:tcPr>
          <w:p>
            <w:pPr>
              <w:pStyle w:val="TableParagraph"/>
              <w:spacing w:before="39"/>
              <w:ind w:left="605" w:right="596"/>
              <w:rPr>
                <w:rFonts w:ascii="Times New Roman"/>
                <w:sz w:val="21"/>
              </w:rPr>
            </w:pPr>
            <w:bookmarkStart w:name="0.04L" w:id="297"/>
            <w:bookmarkEnd w:id="297"/>
            <w:r>
              <w:rPr/>
            </w:r>
            <w:r>
              <w:rPr>
                <w:rFonts w:ascii="Times New Roman"/>
                <w:sz w:val="21"/>
              </w:rPr>
              <w:t>0.04L</w:t>
            </w:r>
          </w:p>
        </w:tc>
        <w:tc>
          <w:tcPr>
            <w:tcW w:w="1748" w:type="dxa"/>
          </w:tcPr>
          <w:p>
            <w:pPr>
              <w:pStyle w:val="TableParagraph"/>
              <w:spacing w:before="39"/>
              <w:ind w:right="614"/>
              <w:jc w:val="right"/>
              <w:rPr>
                <w:rFonts w:ascii="Times New Roman"/>
                <w:sz w:val="21"/>
              </w:rPr>
            </w:pPr>
            <w:bookmarkStart w:name="0.04L" w:id="298"/>
            <w:bookmarkEnd w:id="298"/>
            <w:r>
              <w:rPr/>
            </w:r>
            <w:r>
              <w:rPr>
                <w:rFonts w:ascii="Times New Roman"/>
                <w:w w:val="95"/>
                <w:sz w:val="21"/>
              </w:rPr>
              <w:t>0.04L</w:t>
            </w:r>
          </w:p>
        </w:tc>
        <w:tc>
          <w:tcPr>
            <w:tcW w:w="1749" w:type="dxa"/>
          </w:tcPr>
          <w:p>
            <w:pPr>
              <w:pStyle w:val="TableParagraph"/>
              <w:spacing w:before="39"/>
              <w:ind w:left="499" w:right="490"/>
              <w:rPr>
                <w:rFonts w:ascii="Times New Roman"/>
                <w:sz w:val="21"/>
              </w:rPr>
            </w:pPr>
            <w:bookmarkStart w:name="0.04L" w:id="299"/>
            <w:bookmarkEnd w:id="299"/>
            <w:r>
              <w:rPr/>
            </w:r>
            <w:r>
              <w:rPr>
                <w:rFonts w:ascii="Times New Roman"/>
                <w:sz w:val="21"/>
              </w:rPr>
              <w:t>0.04L</w:t>
            </w:r>
          </w:p>
        </w:tc>
      </w:tr>
      <w:tr>
        <w:trPr>
          <w:trHeight w:val="312" w:hRule="atLeast"/>
        </w:trPr>
        <w:tc>
          <w:tcPr>
            <w:tcW w:w="2255" w:type="dxa"/>
          </w:tcPr>
          <w:p>
            <w:pPr>
              <w:pStyle w:val="TableParagraph"/>
              <w:spacing w:before="20"/>
              <w:ind w:left="12" w:right="6"/>
              <w:rPr>
                <w:sz w:val="21"/>
              </w:rPr>
            </w:pPr>
            <w:r>
              <w:rPr>
                <w:sz w:val="21"/>
              </w:rPr>
              <w:t>氟化物</w:t>
            </w:r>
          </w:p>
        </w:tc>
        <w:tc>
          <w:tcPr>
            <w:tcW w:w="1748" w:type="dxa"/>
          </w:tcPr>
          <w:p>
            <w:pPr>
              <w:pStyle w:val="TableParagraph"/>
              <w:spacing w:before="38"/>
              <w:ind w:left="605" w:right="595"/>
              <w:rPr>
                <w:rFonts w:ascii="Times New Roman"/>
                <w:sz w:val="21"/>
              </w:rPr>
            </w:pPr>
            <w:bookmarkStart w:name="0.32" w:id="300"/>
            <w:bookmarkEnd w:id="300"/>
            <w:r>
              <w:rPr/>
            </w:r>
            <w:r>
              <w:rPr>
                <w:rFonts w:ascii="Times New Roman"/>
                <w:sz w:val="21"/>
              </w:rPr>
              <w:t>0.32</w:t>
            </w:r>
          </w:p>
        </w:tc>
        <w:tc>
          <w:tcPr>
            <w:tcW w:w="1748" w:type="dxa"/>
          </w:tcPr>
          <w:p>
            <w:pPr>
              <w:pStyle w:val="TableParagraph"/>
              <w:spacing w:before="38"/>
              <w:ind w:left="604" w:right="596"/>
              <w:rPr>
                <w:rFonts w:ascii="Times New Roman"/>
                <w:sz w:val="21"/>
              </w:rPr>
            </w:pPr>
            <w:bookmarkStart w:name="0.31" w:id="301"/>
            <w:bookmarkEnd w:id="301"/>
            <w:r>
              <w:rPr/>
            </w:r>
            <w:r>
              <w:rPr>
                <w:rFonts w:ascii="Times New Roman"/>
                <w:sz w:val="21"/>
              </w:rPr>
              <w:t>0.31</w:t>
            </w:r>
          </w:p>
        </w:tc>
        <w:tc>
          <w:tcPr>
            <w:tcW w:w="1749" w:type="dxa"/>
          </w:tcPr>
          <w:p>
            <w:pPr>
              <w:pStyle w:val="TableParagraph"/>
              <w:spacing w:before="38"/>
              <w:ind w:left="500" w:right="490"/>
              <w:rPr>
                <w:rFonts w:ascii="Times New Roman"/>
                <w:sz w:val="21"/>
              </w:rPr>
            </w:pPr>
            <w:bookmarkStart w:name="0.35" w:id="302"/>
            <w:bookmarkEnd w:id="302"/>
            <w:r>
              <w:rPr/>
            </w:r>
            <w:r>
              <w:rPr>
                <w:rFonts w:ascii="Times New Roman"/>
                <w:sz w:val="21"/>
              </w:rPr>
              <w:t>0.35</w:t>
            </w:r>
          </w:p>
        </w:tc>
      </w:tr>
      <w:tr>
        <w:trPr>
          <w:trHeight w:val="311" w:hRule="atLeast"/>
        </w:trPr>
        <w:tc>
          <w:tcPr>
            <w:tcW w:w="2255" w:type="dxa"/>
          </w:tcPr>
          <w:p>
            <w:pPr>
              <w:pStyle w:val="TableParagraph"/>
              <w:spacing w:before="22"/>
              <w:ind w:left="14" w:right="6"/>
              <w:rPr>
                <w:sz w:val="21"/>
              </w:rPr>
            </w:pPr>
            <w:r>
              <w:rPr>
                <w:sz w:val="21"/>
              </w:rPr>
              <w:t>镉（</w:t>
            </w:r>
            <w:r>
              <w:rPr>
                <w:rFonts w:ascii="Times New Roman" w:hAnsi="Times New Roman" w:eastAsia="Times New Roman"/>
                <w:sz w:val="21"/>
              </w:rPr>
              <w:t>μg/L</w:t>
            </w:r>
            <w:r>
              <w:rPr>
                <w:sz w:val="21"/>
              </w:rPr>
              <w:t>）</w:t>
            </w:r>
          </w:p>
        </w:tc>
        <w:tc>
          <w:tcPr>
            <w:tcW w:w="1748" w:type="dxa"/>
          </w:tcPr>
          <w:p>
            <w:pPr>
              <w:pStyle w:val="TableParagraph"/>
              <w:spacing w:before="38"/>
              <w:ind w:left="605" w:right="596"/>
              <w:rPr>
                <w:rFonts w:ascii="Times New Roman"/>
                <w:sz w:val="21"/>
              </w:rPr>
            </w:pPr>
            <w:bookmarkStart w:name="0.1L" w:id="303"/>
            <w:bookmarkEnd w:id="303"/>
            <w:r>
              <w:rPr/>
            </w:r>
            <w:r>
              <w:rPr>
                <w:rFonts w:ascii="Times New Roman"/>
                <w:sz w:val="21"/>
              </w:rPr>
              <w:t>0.1L</w:t>
            </w:r>
          </w:p>
        </w:tc>
        <w:tc>
          <w:tcPr>
            <w:tcW w:w="1748" w:type="dxa"/>
          </w:tcPr>
          <w:p>
            <w:pPr>
              <w:pStyle w:val="TableParagraph"/>
              <w:spacing w:before="38"/>
              <w:ind w:left="605" w:right="593"/>
              <w:rPr>
                <w:rFonts w:ascii="Times New Roman"/>
                <w:sz w:val="21"/>
              </w:rPr>
            </w:pPr>
            <w:bookmarkStart w:name="0.1L" w:id="304"/>
            <w:bookmarkEnd w:id="304"/>
            <w:r>
              <w:rPr/>
            </w:r>
            <w:r>
              <w:rPr>
                <w:rFonts w:ascii="Times New Roman"/>
                <w:sz w:val="21"/>
              </w:rPr>
              <w:t>0.1L</w:t>
            </w:r>
          </w:p>
        </w:tc>
        <w:tc>
          <w:tcPr>
            <w:tcW w:w="1749" w:type="dxa"/>
          </w:tcPr>
          <w:p>
            <w:pPr>
              <w:pStyle w:val="TableParagraph"/>
              <w:spacing w:before="38"/>
              <w:ind w:left="499" w:right="490"/>
              <w:rPr>
                <w:rFonts w:ascii="Times New Roman"/>
                <w:sz w:val="21"/>
              </w:rPr>
            </w:pPr>
            <w:bookmarkStart w:name="0.1L" w:id="305"/>
            <w:bookmarkEnd w:id="305"/>
            <w:r>
              <w:rPr/>
            </w:r>
            <w:r>
              <w:rPr>
                <w:rFonts w:ascii="Times New Roman"/>
                <w:sz w:val="21"/>
              </w:rPr>
              <w:t>0.1L</w:t>
            </w:r>
          </w:p>
        </w:tc>
      </w:tr>
      <w:tr>
        <w:trPr>
          <w:trHeight w:val="312" w:hRule="atLeast"/>
        </w:trPr>
        <w:tc>
          <w:tcPr>
            <w:tcW w:w="2255" w:type="dxa"/>
          </w:tcPr>
          <w:p>
            <w:pPr>
              <w:pStyle w:val="TableParagraph"/>
              <w:spacing w:before="36"/>
              <w:ind w:left="15" w:right="6"/>
              <w:rPr>
                <w:rFonts w:ascii="Times New Roman"/>
                <w:sz w:val="13"/>
              </w:rPr>
            </w:pPr>
            <w:r>
              <w:rPr>
                <w:rFonts w:ascii="Times New Roman"/>
                <w:position w:val="-6"/>
                <w:sz w:val="21"/>
              </w:rPr>
              <w:t>K</w:t>
            </w:r>
            <w:r>
              <w:rPr>
                <w:rFonts w:ascii="Times New Roman"/>
                <w:sz w:val="13"/>
              </w:rPr>
              <w:t>+</w:t>
            </w:r>
          </w:p>
        </w:tc>
        <w:tc>
          <w:tcPr>
            <w:tcW w:w="1748" w:type="dxa"/>
          </w:tcPr>
          <w:p>
            <w:pPr>
              <w:pStyle w:val="TableParagraph"/>
              <w:spacing w:before="38"/>
              <w:ind w:left="605" w:right="595"/>
              <w:rPr>
                <w:rFonts w:ascii="Times New Roman"/>
                <w:sz w:val="21"/>
              </w:rPr>
            </w:pPr>
            <w:bookmarkStart w:name="0.46" w:id="306"/>
            <w:bookmarkEnd w:id="306"/>
            <w:r>
              <w:rPr/>
            </w:r>
            <w:r>
              <w:rPr>
                <w:rFonts w:ascii="Times New Roman"/>
                <w:sz w:val="21"/>
              </w:rPr>
              <w:t>0.46</w:t>
            </w:r>
          </w:p>
        </w:tc>
        <w:tc>
          <w:tcPr>
            <w:tcW w:w="1748" w:type="dxa"/>
          </w:tcPr>
          <w:p>
            <w:pPr>
              <w:pStyle w:val="TableParagraph"/>
              <w:spacing w:before="38"/>
              <w:ind w:left="604" w:right="596"/>
              <w:rPr>
                <w:rFonts w:ascii="Times New Roman"/>
                <w:sz w:val="21"/>
              </w:rPr>
            </w:pPr>
            <w:bookmarkStart w:name="1.15" w:id="307"/>
            <w:bookmarkEnd w:id="307"/>
            <w:r>
              <w:rPr/>
            </w:r>
            <w:r>
              <w:rPr>
                <w:rFonts w:ascii="Times New Roman"/>
                <w:sz w:val="21"/>
              </w:rPr>
              <w:t>1.15</w:t>
            </w:r>
          </w:p>
        </w:tc>
        <w:tc>
          <w:tcPr>
            <w:tcW w:w="1749" w:type="dxa"/>
          </w:tcPr>
          <w:p>
            <w:pPr>
              <w:pStyle w:val="TableParagraph"/>
              <w:spacing w:before="38"/>
              <w:ind w:left="500" w:right="490"/>
              <w:rPr>
                <w:rFonts w:ascii="Times New Roman"/>
                <w:sz w:val="21"/>
              </w:rPr>
            </w:pPr>
            <w:bookmarkStart w:name="1.19" w:id="308"/>
            <w:bookmarkEnd w:id="308"/>
            <w:r>
              <w:rPr/>
            </w:r>
            <w:r>
              <w:rPr>
                <w:rFonts w:ascii="Times New Roman"/>
                <w:sz w:val="21"/>
              </w:rPr>
              <w:t>1.19</w:t>
            </w:r>
          </w:p>
        </w:tc>
      </w:tr>
      <w:tr>
        <w:trPr>
          <w:trHeight w:val="312" w:hRule="atLeast"/>
        </w:trPr>
        <w:tc>
          <w:tcPr>
            <w:tcW w:w="2255" w:type="dxa"/>
          </w:tcPr>
          <w:p>
            <w:pPr>
              <w:pStyle w:val="TableParagraph"/>
              <w:spacing w:before="35"/>
              <w:ind w:left="15" w:right="6"/>
              <w:rPr>
                <w:rFonts w:ascii="Times New Roman"/>
                <w:sz w:val="13"/>
              </w:rPr>
            </w:pPr>
            <w:r>
              <w:rPr>
                <w:rFonts w:ascii="Times New Roman"/>
                <w:sz w:val="21"/>
              </w:rPr>
              <w:t>Na</w:t>
            </w:r>
            <w:r>
              <w:rPr>
                <w:rFonts w:ascii="Times New Roman"/>
                <w:position w:val="7"/>
                <w:sz w:val="13"/>
              </w:rPr>
              <w:t>+</w:t>
            </w:r>
          </w:p>
        </w:tc>
        <w:tc>
          <w:tcPr>
            <w:tcW w:w="1748" w:type="dxa"/>
          </w:tcPr>
          <w:p>
            <w:pPr>
              <w:pStyle w:val="TableParagraph"/>
              <w:spacing w:before="37"/>
              <w:ind w:left="605" w:right="595"/>
              <w:rPr>
                <w:rFonts w:ascii="Times New Roman"/>
                <w:sz w:val="21"/>
              </w:rPr>
            </w:pPr>
            <w:bookmarkStart w:name="5.73" w:id="309"/>
            <w:bookmarkEnd w:id="309"/>
            <w:r>
              <w:rPr/>
            </w:r>
            <w:r>
              <w:rPr>
                <w:rFonts w:ascii="Times New Roman"/>
                <w:sz w:val="21"/>
              </w:rPr>
              <w:t>5.73</w:t>
            </w:r>
          </w:p>
        </w:tc>
        <w:tc>
          <w:tcPr>
            <w:tcW w:w="1748" w:type="dxa"/>
          </w:tcPr>
          <w:p>
            <w:pPr>
              <w:pStyle w:val="TableParagraph"/>
              <w:spacing w:before="37"/>
              <w:ind w:left="604" w:right="596"/>
              <w:rPr>
                <w:rFonts w:ascii="Times New Roman"/>
                <w:sz w:val="21"/>
              </w:rPr>
            </w:pPr>
            <w:bookmarkStart w:name="13.2" w:id="310"/>
            <w:bookmarkEnd w:id="310"/>
            <w:r>
              <w:rPr/>
            </w:r>
            <w:r>
              <w:rPr>
                <w:rFonts w:ascii="Times New Roman"/>
                <w:sz w:val="21"/>
              </w:rPr>
              <w:t>13.2</w:t>
            </w:r>
          </w:p>
        </w:tc>
        <w:tc>
          <w:tcPr>
            <w:tcW w:w="1749" w:type="dxa"/>
          </w:tcPr>
          <w:p>
            <w:pPr>
              <w:pStyle w:val="TableParagraph"/>
              <w:spacing w:before="37"/>
              <w:ind w:left="500" w:right="490"/>
              <w:rPr>
                <w:rFonts w:ascii="Times New Roman"/>
                <w:sz w:val="21"/>
              </w:rPr>
            </w:pPr>
            <w:bookmarkStart w:name="13.3" w:id="311"/>
            <w:bookmarkEnd w:id="311"/>
            <w:r>
              <w:rPr/>
            </w:r>
            <w:r>
              <w:rPr>
                <w:rFonts w:ascii="Times New Roman"/>
                <w:sz w:val="21"/>
              </w:rPr>
              <w:t>13.3</w:t>
            </w:r>
          </w:p>
        </w:tc>
      </w:tr>
      <w:tr>
        <w:trPr>
          <w:trHeight w:val="312" w:hRule="atLeast"/>
        </w:trPr>
        <w:tc>
          <w:tcPr>
            <w:tcW w:w="2255" w:type="dxa"/>
          </w:tcPr>
          <w:p>
            <w:pPr>
              <w:pStyle w:val="TableParagraph"/>
              <w:spacing w:before="35"/>
              <w:ind w:left="17" w:right="6"/>
              <w:rPr>
                <w:rFonts w:ascii="Times New Roman"/>
                <w:sz w:val="13"/>
              </w:rPr>
            </w:pPr>
            <w:r>
              <w:rPr>
                <w:rFonts w:ascii="Times New Roman"/>
                <w:position w:val="-6"/>
                <w:sz w:val="21"/>
              </w:rPr>
              <w:t>Ca</w:t>
            </w:r>
            <w:r>
              <w:rPr>
                <w:rFonts w:ascii="Times New Roman"/>
                <w:sz w:val="13"/>
              </w:rPr>
              <w:t>2+</w:t>
            </w:r>
          </w:p>
        </w:tc>
        <w:tc>
          <w:tcPr>
            <w:tcW w:w="1748" w:type="dxa"/>
          </w:tcPr>
          <w:p>
            <w:pPr>
              <w:pStyle w:val="TableParagraph"/>
              <w:spacing w:before="37"/>
              <w:ind w:left="605" w:right="595"/>
              <w:rPr>
                <w:rFonts w:ascii="Times New Roman"/>
                <w:sz w:val="21"/>
              </w:rPr>
            </w:pPr>
            <w:bookmarkStart w:name="16.8" w:id="312"/>
            <w:bookmarkEnd w:id="312"/>
            <w:r>
              <w:rPr/>
            </w:r>
            <w:r>
              <w:rPr>
                <w:rFonts w:ascii="Times New Roman"/>
                <w:sz w:val="21"/>
              </w:rPr>
              <w:t>16.8</w:t>
            </w:r>
          </w:p>
        </w:tc>
        <w:tc>
          <w:tcPr>
            <w:tcW w:w="1748" w:type="dxa"/>
          </w:tcPr>
          <w:p>
            <w:pPr>
              <w:pStyle w:val="TableParagraph"/>
              <w:spacing w:before="37"/>
              <w:ind w:left="604" w:right="596"/>
              <w:rPr>
                <w:rFonts w:ascii="Times New Roman"/>
                <w:sz w:val="21"/>
              </w:rPr>
            </w:pPr>
            <w:bookmarkStart w:name="41.1" w:id="313"/>
            <w:bookmarkEnd w:id="313"/>
            <w:r>
              <w:rPr/>
            </w:r>
            <w:r>
              <w:rPr>
                <w:rFonts w:ascii="Times New Roman"/>
                <w:sz w:val="21"/>
              </w:rPr>
              <w:t>41.1</w:t>
            </w:r>
          </w:p>
        </w:tc>
        <w:tc>
          <w:tcPr>
            <w:tcW w:w="1749" w:type="dxa"/>
          </w:tcPr>
          <w:p>
            <w:pPr>
              <w:pStyle w:val="TableParagraph"/>
              <w:spacing w:before="37"/>
              <w:ind w:left="500" w:right="490"/>
              <w:rPr>
                <w:rFonts w:ascii="Times New Roman"/>
                <w:sz w:val="21"/>
              </w:rPr>
            </w:pPr>
            <w:bookmarkStart w:name="41.0" w:id="314"/>
            <w:bookmarkEnd w:id="314"/>
            <w:r>
              <w:rPr/>
            </w:r>
            <w:r>
              <w:rPr>
                <w:rFonts w:ascii="Times New Roman"/>
                <w:sz w:val="21"/>
              </w:rPr>
              <w:t>41.0</w:t>
            </w:r>
          </w:p>
        </w:tc>
      </w:tr>
      <w:tr>
        <w:trPr>
          <w:trHeight w:val="311" w:hRule="atLeast"/>
        </w:trPr>
        <w:tc>
          <w:tcPr>
            <w:tcW w:w="2255" w:type="dxa"/>
          </w:tcPr>
          <w:p>
            <w:pPr>
              <w:pStyle w:val="TableParagraph"/>
              <w:spacing w:before="37"/>
              <w:ind w:left="17" w:right="6"/>
              <w:rPr>
                <w:rFonts w:ascii="Times New Roman"/>
                <w:sz w:val="13"/>
              </w:rPr>
            </w:pPr>
            <w:r>
              <w:rPr>
                <w:rFonts w:ascii="Times New Roman"/>
                <w:position w:val="-6"/>
                <w:sz w:val="21"/>
              </w:rPr>
              <w:t>Mg</w:t>
            </w:r>
            <w:r>
              <w:rPr>
                <w:rFonts w:ascii="Times New Roman"/>
                <w:sz w:val="13"/>
              </w:rPr>
              <w:t>2+</w:t>
            </w:r>
          </w:p>
        </w:tc>
        <w:tc>
          <w:tcPr>
            <w:tcW w:w="1748" w:type="dxa"/>
          </w:tcPr>
          <w:p>
            <w:pPr>
              <w:pStyle w:val="TableParagraph"/>
              <w:spacing w:before="39"/>
              <w:ind w:left="605" w:right="595"/>
              <w:rPr>
                <w:rFonts w:ascii="Times New Roman"/>
                <w:sz w:val="21"/>
              </w:rPr>
            </w:pPr>
            <w:bookmarkStart w:name="3.87" w:id="315"/>
            <w:bookmarkEnd w:id="315"/>
            <w:r>
              <w:rPr/>
            </w:r>
            <w:r>
              <w:rPr>
                <w:rFonts w:ascii="Times New Roman"/>
                <w:sz w:val="21"/>
              </w:rPr>
              <w:t>3.87</w:t>
            </w:r>
          </w:p>
        </w:tc>
        <w:tc>
          <w:tcPr>
            <w:tcW w:w="1748" w:type="dxa"/>
          </w:tcPr>
          <w:p>
            <w:pPr>
              <w:pStyle w:val="TableParagraph"/>
              <w:spacing w:before="39"/>
              <w:ind w:left="604" w:right="596"/>
              <w:rPr>
                <w:rFonts w:ascii="Times New Roman"/>
                <w:sz w:val="21"/>
              </w:rPr>
            </w:pPr>
            <w:bookmarkStart w:name="12.6" w:id="316"/>
            <w:bookmarkEnd w:id="316"/>
            <w:r>
              <w:rPr/>
            </w:r>
            <w:r>
              <w:rPr>
                <w:rFonts w:ascii="Times New Roman"/>
                <w:sz w:val="21"/>
              </w:rPr>
              <w:t>12.6</w:t>
            </w:r>
          </w:p>
        </w:tc>
        <w:tc>
          <w:tcPr>
            <w:tcW w:w="1749" w:type="dxa"/>
          </w:tcPr>
          <w:p>
            <w:pPr>
              <w:pStyle w:val="TableParagraph"/>
              <w:spacing w:before="39"/>
              <w:ind w:left="500" w:right="490"/>
              <w:rPr>
                <w:rFonts w:ascii="Times New Roman"/>
                <w:sz w:val="21"/>
              </w:rPr>
            </w:pPr>
            <w:bookmarkStart w:name="12.6" w:id="317"/>
            <w:bookmarkEnd w:id="317"/>
            <w:r>
              <w:rPr/>
            </w:r>
            <w:r>
              <w:rPr>
                <w:rFonts w:ascii="Times New Roman"/>
                <w:sz w:val="21"/>
              </w:rPr>
              <w:t>12.6</w:t>
            </w:r>
          </w:p>
        </w:tc>
      </w:tr>
      <w:tr>
        <w:trPr>
          <w:trHeight w:val="312" w:hRule="atLeast"/>
        </w:trPr>
        <w:tc>
          <w:tcPr>
            <w:tcW w:w="2255" w:type="dxa"/>
          </w:tcPr>
          <w:p>
            <w:pPr>
              <w:pStyle w:val="TableParagraph"/>
              <w:spacing w:before="33"/>
              <w:ind w:left="17" w:right="6"/>
              <w:rPr>
                <w:rFonts w:ascii="Times New Roman"/>
                <w:sz w:val="13"/>
              </w:rPr>
            </w:pPr>
            <w:r>
              <w:rPr>
                <w:rFonts w:ascii="Times New Roman"/>
                <w:w w:val="105"/>
                <w:position w:val="2"/>
                <w:sz w:val="21"/>
              </w:rPr>
              <w:t>CO</w:t>
            </w:r>
            <w:r>
              <w:rPr>
                <w:rFonts w:ascii="Times New Roman"/>
                <w:w w:val="105"/>
                <w:sz w:val="13"/>
              </w:rPr>
              <w:t>3</w:t>
            </w:r>
            <w:r>
              <w:rPr>
                <w:rFonts w:ascii="Times New Roman"/>
                <w:w w:val="105"/>
                <w:position w:val="9"/>
                <w:sz w:val="13"/>
              </w:rPr>
              <w:t>2-</w:t>
            </w:r>
          </w:p>
        </w:tc>
        <w:tc>
          <w:tcPr>
            <w:tcW w:w="1748" w:type="dxa"/>
          </w:tcPr>
          <w:p>
            <w:pPr>
              <w:pStyle w:val="TableParagraph"/>
              <w:spacing w:before="34"/>
              <w:ind w:left="10"/>
              <w:rPr>
                <w:rFonts w:ascii="Times New Roman"/>
                <w:sz w:val="21"/>
              </w:rPr>
            </w:pPr>
            <w:r>
              <w:rPr>
                <w:rFonts w:ascii="Times New Roman"/>
                <w:w w:val="99"/>
                <w:sz w:val="21"/>
              </w:rPr>
              <w:t>0</w:t>
            </w:r>
          </w:p>
        </w:tc>
        <w:tc>
          <w:tcPr>
            <w:tcW w:w="1748" w:type="dxa"/>
          </w:tcPr>
          <w:p>
            <w:pPr>
              <w:pStyle w:val="TableParagraph"/>
              <w:spacing w:before="34"/>
              <w:ind w:left="8"/>
              <w:rPr>
                <w:rFonts w:ascii="Times New Roman"/>
                <w:sz w:val="21"/>
              </w:rPr>
            </w:pPr>
            <w:r>
              <w:rPr>
                <w:rFonts w:ascii="Times New Roman"/>
                <w:w w:val="99"/>
                <w:sz w:val="21"/>
              </w:rPr>
              <w:t>0</w:t>
            </w:r>
          </w:p>
        </w:tc>
        <w:tc>
          <w:tcPr>
            <w:tcW w:w="1749" w:type="dxa"/>
          </w:tcPr>
          <w:p>
            <w:pPr>
              <w:pStyle w:val="TableParagraph"/>
              <w:spacing w:before="34"/>
              <w:ind w:left="10"/>
              <w:rPr>
                <w:rFonts w:ascii="Times New Roman"/>
                <w:sz w:val="21"/>
              </w:rPr>
            </w:pPr>
            <w:r>
              <w:rPr>
                <w:rFonts w:ascii="Times New Roman"/>
                <w:w w:val="99"/>
                <w:sz w:val="21"/>
              </w:rPr>
              <w:t>0</w:t>
            </w:r>
          </w:p>
        </w:tc>
      </w:tr>
      <w:tr>
        <w:trPr>
          <w:trHeight w:val="312" w:hRule="atLeast"/>
        </w:trPr>
        <w:tc>
          <w:tcPr>
            <w:tcW w:w="2255" w:type="dxa"/>
          </w:tcPr>
          <w:p>
            <w:pPr>
              <w:pStyle w:val="TableParagraph"/>
              <w:spacing w:line="71" w:lineRule="exact" w:before="41"/>
              <w:ind w:left="522"/>
              <w:rPr>
                <w:rFonts w:ascii="Times New Roman"/>
                <w:sz w:val="13"/>
              </w:rPr>
            </w:pPr>
            <w:r>
              <w:rPr>
                <w:rFonts w:ascii="Times New Roman"/>
                <w:w w:val="105"/>
                <w:sz w:val="13"/>
              </w:rPr>
              <w:t>-</w:t>
            </w:r>
          </w:p>
          <w:p>
            <w:pPr>
              <w:pStyle w:val="TableParagraph"/>
              <w:spacing w:line="180" w:lineRule="exact"/>
              <w:ind w:left="86" w:right="117"/>
              <w:rPr>
                <w:rFonts w:ascii="Times New Roman"/>
                <w:sz w:val="21"/>
              </w:rPr>
            </w:pPr>
            <w:r>
              <w:rPr>
                <w:rFonts w:ascii="Times New Roman"/>
                <w:position w:val="2"/>
                <w:sz w:val="21"/>
              </w:rPr>
              <w:t>HCO</w:t>
            </w:r>
            <w:r>
              <w:rPr>
                <w:rFonts w:ascii="Times New Roman"/>
                <w:position w:val="2"/>
                <w:sz w:val="21"/>
                <w:vertAlign w:val="subscript"/>
              </w:rPr>
              <w:t>3</w:t>
            </w:r>
          </w:p>
        </w:tc>
        <w:tc>
          <w:tcPr>
            <w:tcW w:w="1748" w:type="dxa"/>
          </w:tcPr>
          <w:p>
            <w:pPr>
              <w:pStyle w:val="TableParagraph"/>
              <w:spacing w:before="38"/>
              <w:ind w:left="605" w:right="595"/>
              <w:rPr>
                <w:rFonts w:ascii="Times New Roman"/>
                <w:sz w:val="21"/>
              </w:rPr>
            </w:pPr>
            <w:r>
              <w:rPr>
                <w:rFonts w:ascii="Times New Roman"/>
                <w:sz w:val="21"/>
              </w:rPr>
              <w:t>44.1</w:t>
            </w:r>
          </w:p>
        </w:tc>
        <w:tc>
          <w:tcPr>
            <w:tcW w:w="1748" w:type="dxa"/>
          </w:tcPr>
          <w:p>
            <w:pPr>
              <w:pStyle w:val="TableParagraph"/>
              <w:spacing w:before="38"/>
              <w:ind w:left="605" w:right="595"/>
              <w:rPr>
                <w:rFonts w:ascii="Times New Roman"/>
                <w:sz w:val="21"/>
              </w:rPr>
            </w:pPr>
            <w:bookmarkStart w:name="182.3" w:id="318"/>
            <w:bookmarkEnd w:id="318"/>
            <w:r>
              <w:rPr/>
            </w:r>
            <w:r>
              <w:rPr>
                <w:rFonts w:ascii="Times New Roman"/>
                <w:sz w:val="21"/>
              </w:rPr>
              <w:t>182.3</w:t>
            </w:r>
          </w:p>
        </w:tc>
        <w:tc>
          <w:tcPr>
            <w:tcW w:w="1749" w:type="dxa"/>
          </w:tcPr>
          <w:p>
            <w:pPr>
              <w:pStyle w:val="TableParagraph"/>
              <w:spacing w:before="38"/>
              <w:ind w:left="500" w:right="490"/>
              <w:rPr>
                <w:rFonts w:ascii="Times New Roman"/>
                <w:sz w:val="21"/>
              </w:rPr>
            </w:pPr>
            <w:bookmarkStart w:name="190.8" w:id="319"/>
            <w:bookmarkEnd w:id="319"/>
            <w:r>
              <w:rPr/>
            </w:r>
            <w:r>
              <w:rPr>
                <w:rFonts w:ascii="Times New Roman"/>
                <w:sz w:val="21"/>
              </w:rPr>
              <w:t>190.8</w:t>
            </w:r>
          </w:p>
        </w:tc>
      </w:tr>
      <w:tr>
        <w:trPr>
          <w:trHeight w:val="312" w:hRule="atLeast"/>
        </w:trPr>
        <w:tc>
          <w:tcPr>
            <w:tcW w:w="2255" w:type="dxa"/>
          </w:tcPr>
          <w:p>
            <w:pPr>
              <w:pStyle w:val="TableParagraph"/>
              <w:spacing w:before="35"/>
              <w:ind w:left="17" w:right="6"/>
              <w:rPr>
                <w:rFonts w:ascii="Times New Roman"/>
                <w:sz w:val="13"/>
              </w:rPr>
            </w:pPr>
            <w:r>
              <w:rPr>
                <w:rFonts w:ascii="Times New Roman"/>
                <w:sz w:val="21"/>
              </w:rPr>
              <w:t>Cl</w:t>
            </w:r>
            <w:r>
              <w:rPr>
                <w:rFonts w:ascii="Times New Roman"/>
                <w:position w:val="7"/>
                <w:sz w:val="13"/>
              </w:rPr>
              <w:t>-</w:t>
            </w:r>
          </w:p>
        </w:tc>
        <w:tc>
          <w:tcPr>
            <w:tcW w:w="1748" w:type="dxa"/>
          </w:tcPr>
          <w:p>
            <w:pPr>
              <w:pStyle w:val="TableParagraph"/>
              <w:spacing w:before="38"/>
              <w:ind w:left="605" w:right="595"/>
              <w:rPr>
                <w:rFonts w:ascii="Times New Roman"/>
                <w:sz w:val="21"/>
              </w:rPr>
            </w:pPr>
            <w:bookmarkStart w:name="5.17" w:id="320"/>
            <w:bookmarkEnd w:id="320"/>
            <w:r>
              <w:rPr/>
            </w:r>
            <w:r>
              <w:rPr>
                <w:rFonts w:ascii="Times New Roman"/>
                <w:sz w:val="21"/>
              </w:rPr>
              <w:t>5.17</w:t>
            </w:r>
          </w:p>
        </w:tc>
        <w:tc>
          <w:tcPr>
            <w:tcW w:w="1748" w:type="dxa"/>
          </w:tcPr>
          <w:p>
            <w:pPr>
              <w:pStyle w:val="TableParagraph"/>
              <w:spacing w:before="38"/>
              <w:ind w:left="604" w:right="596"/>
              <w:rPr>
                <w:rFonts w:ascii="Times New Roman"/>
                <w:sz w:val="21"/>
              </w:rPr>
            </w:pPr>
            <w:bookmarkStart w:name="7.51" w:id="321"/>
            <w:bookmarkEnd w:id="321"/>
            <w:r>
              <w:rPr/>
            </w:r>
            <w:r>
              <w:rPr>
                <w:rFonts w:ascii="Times New Roman"/>
                <w:sz w:val="21"/>
              </w:rPr>
              <w:t>7.51</w:t>
            </w:r>
          </w:p>
        </w:tc>
        <w:tc>
          <w:tcPr>
            <w:tcW w:w="1749" w:type="dxa"/>
          </w:tcPr>
          <w:p>
            <w:pPr>
              <w:pStyle w:val="TableParagraph"/>
              <w:spacing w:before="38"/>
              <w:ind w:left="500" w:right="490"/>
              <w:rPr>
                <w:rFonts w:ascii="Times New Roman"/>
                <w:sz w:val="21"/>
              </w:rPr>
            </w:pPr>
            <w:bookmarkStart w:name="7.57" w:id="322"/>
            <w:bookmarkEnd w:id="322"/>
            <w:r>
              <w:rPr/>
            </w:r>
            <w:r>
              <w:rPr>
                <w:rFonts w:ascii="Times New Roman"/>
                <w:sz w:val="21"/>
              </w:rPr>
              <w:t>7.57</w:t>
            </w:r>
          </w:p>
        </w:tc>
      </w:tr>
      <w:tr>
        <w:trPr>
          <w:trHeight w:val="312" w:hRule="atLeast"/>
        </w:trPr>
        <w:tc>
          <w:tcPr>
            <w:tcW w:w="2255" w:type="dxa"/>
          </w:tcPr>
          <w:p>
            <w:pPr>
              <w:pStyle w:val="TableParagraph"/>
              <w:spacing w:line="71" w:lineRule="exact" w:before="40"/>
              <w:ind w:left="353" w:right="6"/>
              <w:rPr>
                <w:rFonts w:ascii="Times New Roman"/>
                <w:sz w:val="13"/>
              </w:rPr>
            </w:pPr>
            <w:r>
              <w:rPr>
                <w:rFonts w:ascii="Times New Roman"/>
                <w:w w:val="105"/>
                <w:sz w:val="13"/>
              </w:rPr>
              <w:t>2-</w:t>
            </w:r>
          </w:p>
          <w:p>
            <w:pPr>
              <w:pStyle w:val="TableParagraph"/>
              <w:spacing w:line="181" w:lineRule="exact"/>
              <w:ind w:left="86" w:right="186"/>
              <w:rPr>
                <w:rFonts w:ascii="Times New Roman"/>
                <w:sz w:val="21"/>
              </w:rPr>
            </w:pPr>
            <w:r>
              <w:rPr>
                <w:rFonts w:ascii="Times New Roman"/>
                <w:position w:val="2"/>
                <w:sz w:val="21"/>
              </w:rPr>
              <w:t>SO</w:t>
            </w:r>
            <w:r>
              <w:rPr>
                <w:rFonts w:ascii="Times New Roman"/>
                <w:position w:val="2"/>
                <w:sz w:val="21"/>
                <w:vertAlign w:val="subscript"/>
              </w:rPr>
              <w:t>4</w:t>
            </w:r>
          </w:p>
        </w:tc>
        <w:tc>
          <w:tcPr>
            <w:tcW w:w="1748" w:type="dxa"/>
          </w:tcPr>
          <w:p>
            <w:pPr>
              <w:pStyle w:val="TableParagraph"/>
              <w:spacing w:before="37"/>
              <w:ind w:left="605" w:right="595"/>
              <w:rPr>
                <w:rFonts w:ascii="Times New Roman"/>
                <w:sz w:val="21"/>
              </w:rPr>
            </w:pPr>
            <w:bookmarkStart w:name="23.7" w:id="323"/>
            <w:bookmarkEnd w:id="323"/>
            <w:r>
              <w:rPr/>
            </w:r>
            <w:r>
              <w:rPr>
                <w:rFonts w:ascii="Times New Roman"/>
                <w:sz w:val="21"/>
              </w:rPr>
              <w:t>23.7</w:t>
            </w:r>
          </w:p>
        </w:tc>
        <w:tc>
          <w:tcPr>
            <w:tcW w:w="1748" w:type="dxa"/>
          </w:tcPr>
          <w:p>
            <w:pPr>
              <w:pStyle w:val="TableParagraph"/>
              <w:spacing w:before="37"/>
              <w:ind w:left="604" w:right="596"/>
              <w:rPr>
                <w:rFonts w:ascii="Times New Roman"/>
                <w:sz w:val="21"/>
              </w:rPr>
            </w:pPr>
            <w:bookmarkStart w:name="9.17" w:id="324"/>
            <w:bookmarkEnd w:id="324"/>
            <w:r>
              <w:rPr/>
            </w:r>
            <w:r>
              <w:rPr>
                <w:rFonts w:ascii="Times New Roman"/>
                <w:sz w:val="21"/>
              </w:rPr>
              <w:t>9.17</w:t>
            </w:r>
          </w:p>
        </w:tc>
        <w:tc>
          <w:tcPr>
            <w:tcW w:w="1749" w:type="dxa"/>
          </w:tcPr>
          <w:p>
            <w:pPr>
              <w:pStyle w:val="TableParagraph"/>
              <w:spacing w:before="37"/>
              <w:ind w:left="500" w:right="490"/>
              <w:rPr>
                <w:rFonts w:ascii="Times New Roman"/>
                <w:sz w:val="21"/>
              </w:rPr>
            </w:pPr>
            <w:bookmarkStart w:name="9.35" w:id="325"/>
            <w:bookmarkEnd w:id="325"/>
            <w:r>
              <w:rPr/>
            </w:r>
            <w:r>
              <w:rPr>
                <w:rFonts w:ascii="Times New Roman"/>
                <w:sz w:val="21"/>
              </w:rPr>
              <w:t>9.35</w:t>
            </w:r>
          </w:p>
        </w:tc>
      </w:tr>
    </w:tbl>
    <w:p>
      <w:pPr>
        <w:spacing w:before="21"/>
        <w:ind w:left="0" w:right="4116" w:firstLine="0"/>
        <w:jc w:val="center"/>
        <w:rPr>
          <w:sz w:val="21"/>
        </w:rPr>
      </w:pPr>
      <w:r>
        <w:rPr>
          <w:rFonts w:ascii="Times New Roman" w:hAnsi="Times New Roman" w:eastAsia="Times New Roman"/>
          <w:sz w:val="21"/>
        </w:rPr>
        <w:t>“L”</w:t>
      </w:r>
      <w:r>
        <w:rPr>
          <w:sz w:val="21"/>
        </w:rPr>
        <w:t>符号表示该检测项目的结果低于方法最低检出限</w:t>
      </w:r>
    </w:p>
    <w:p>
      <w:pPr>
        <w:spacing w:before="43" w:after="22"/>
        <w:ind w:left="0" w:right="424" w:firstLine="0"/>
        <w:jc w:val="center"/>
        <w:rPr>
          <w:b/>
          <w:sz w:val="21"/>
        </w:rPr>
      </w:pPr>
      <w:r>
        <w:rPr>
          <w:b/>
          <w:sz w:val="21"/>
        </w:rPr>
        <w:t>表 </w:t>
      </w:r>
      <w:r>
        <w:rPr>
          <w:rFonts w:ascii="Times New Roman" w:eastAsia="Times New Roman"/>
          <w:b/>
          <w:sz w:val="21"/>
        </w:rPr>
        <w:t>6.4-9 </w:t>
      </w:r>
      <w:r>
        <w:rPr>
          <w:b/>
          <w:sz w:val="21"/>
        </w:rPr>
        <w:t>地下水污染指数计算结果（单位：mg/L）</w:t>
      </w: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8"/>
        <w:gridCol w:w="1749"/>
        <w:gridCol w:w="1749"/>
        <w:gridCol w:w="1749"/>
      </w:tblGrid>
      <w:tr>
        <w:trPr>
          <w:trHeight w:val="320" w:hRule="atLeast"/>
        </w:trPr>
        <w:tc>
          <w:tcPr>
            <w:tcW w:w="2218" w:type="dxa"/>
          </w:tcPr>
          <w:p>
            <w:pPr>
              <w:pStyle w:val="TableParagraph"/>
              <w:spacing w:before="25"/>
              <w:ind w:left="432" w:right="426"/>
              <w:rPr>
                <w:sz w:val="21"/>
              </w:rPr>
            </w:pPr>
            <w:r>
              <w:rPr>
                <w:sz w:val="21"/>
              </w:rPr>
              <w:t>监测项目</w:t>
            </w:r>
          </w:p>
        </w:tc>
        <w:tc>
          <w:tcPr>
            <w:tcW w:w="1749" w:type="dxa"/>
          </w:tcPr>
          <w:p>
            <w:pPr>
              <w:pStyle w:val="TableParagraph"/>
              <w:spacing w:line="239" w:lineRule="exact" w:before="60"/>
              <w:ind w:left="500" w:right="490"/>
              <w:rPr>
                <w:rFonts w:ascii="Times New Roman"/>
                <w:sz w:val="21"/>
              </w:rPr>
            </w:pPr>
            <w:r>
              <w:rPr>
                <w:rFonts w:ascii="Times New Roman"/>
                <w:sz w:val="21"/>
              </w:rPr>
              <w:t>1#</w:t>
            </w:r>
          </w:p>
        </w:tc>
        <w:tc>
          <w:tcPr>
            <w:tcW w:w="1749" w:type="dxa"/>
          </w:tcPr>
          <w:p>
            <w:pPr>
              <w:pStyle w:val="TableParagraph"/>
              <w:spacing w:line="239" w:lineRule="exact" w:before="60"/>
              <w:ind w:left="497" w:right="490"/>
              <w:rPr>
                <w:rFonts w:ascii="Times New Roman"/>
                <w:sz w:val="21"/>
              </w:rPr>
            </w:pPr>
            <w:r>
              <w:rPr>
                <w:rFonts w:ascii="Times New Roman"/>
                <w:sz w:val="21"/>
              </w:rPr>
              <w:t>2#</w:t>
            </w:r>
          </w:p>
        </w:tc>
        <w:tc>
          <w:tcPr>
            <w:tcW w:w="1749" w:type="dxa"/>
          </w:tcPr>
          <w:p>
            <w:pPr>
              <w:pStyle w:val="TableParagraph"/>
              <w:spacing w:line="239" w:lineRule="exact" w:before="60"/>
              <w:ind w:left="498" w:right="490"/>
              <w:rPr>
                <w:rFonts w:ascii="Times New Roman"/>
                <w:sz w:val="21"/>
              </w:rPr>
            </w:pPr>
            <w:r>
              <w:rPr>
                <w:rFonts w:ascii="Times New Roman"/>
                <w:sz w:val="21"/>
              </w:rPr>
              <w:t>3#</w:t>
            </w:r>
          </w:p>
        </w:tc>
      </w:tr>
      <w:tr>
        <w:trPr>
          <w:trHeight w:val="312" w:hRule="atLeast"/>
        </w:trPr>
        <w:tc>
          <w:tcPr>
            <w:tcW w:w="2218" w:type="dxa"/>
          </w:tcPr>
          <w:p>
            <w:pPr>
              <w:pStyle w:val="TableParagraph"/>
              <w:spacing w:before="21"/>
              <w:ind w:left="435" w:right="426"/>
              <w:rPr>
                <w:sz w:val="21"/>
              </w:rPr>
            </w:pPr>
            <w:r>
              <w:rPr>
                <w:rFonts w:ascii="Times New Roman" w:eastAsia="Times New Roman"/>
                <w:sz w:val="21"/>
              </w:rPr>
              <w:t>pH</w:t>
            </w:r>
            <w:r>
              <w:rPr>
                <w:sz w:val="21"/>
              </w:rPr>
              <w:t>（无量纲）</w:t>
            </w:r>
          </w:p>
        </w:tc>
        <w:tc>
          <w:tcPr>
            <w:tcW w:w="1749" w:type="dxa"/>
          </w:tcPr>
          <w:p>
            <w:pPr>
              <w:pStyle w:val="TableParagraph"/>
              <w:spacing w:before="35"/>
              <w:ind w:left="500" w:right="490"/>
              <w:rPr>
                <w:rFonts w:ascii="Times New Roman"/>
                <w:sz w:val="21"/>
              </w:rPr>
            </w:pPr>
            <w:r>
              <w:rPr>
                <w:rFonts w:ascii="Times New Roman"/>
                <w:sz w:val="21"/>
              </w:rPr>
              <w:t>0.07</w:t>
            </w:r>
          </w:p>
        </w:tc>
        <w:tc>
          <w:tcPr>
            <w:tcW w:w="1749" w:type="dxa"/>
          </w:tcPr>
          <w:p>
            <w:pPr>
              <w:pStyle w:val="TableParagraph"/>
              <w:spacing w:before="35"/>
              <w:ind w:left="501" w:right="490"/>
              <w:rPr>
                <w:rFonts w:ascii="Times New Roman"/>
                <w:sz w:val="21"/>
              </w:rPr>
            </w:pPr>
            <w:r>
              <w:rPr>
                <w:rFonts w:ascii="Times New Roman"/>
                <w:sz w:val="21"/>
              </w:rPr>
              <w:t>0.09</w:t>
            </w:r>
          </w:p>
        </w:tc>
        <w:tc>
          <w:tcPr>
            <w:tcW w:w="1749" w:type="dxa"/>
          </w:tcPr>
          <w:p>
            <w:pPr>
              <w:pStyle w:val="TableParagraph"/>
              <w:spacing w:before="35"/>
              <w:ind w:left="500" w:right="490"/>
              <w:rPr>
                <w:rFonts w:ascii="Times New Roman"/>
                <w:sz w:val="21"/>
              </w:rPr>
            </w:pPr>
            <w:r>
              <w:rPr>
                <w:rFonts w:ascii="Times New Roman"/>
                <w:sz w:val="21"/>
              </w:rPr>
              <w:t>0.09</w:t>
            </w:r>
          </w:p>
        </w:tc>
      </w:tr>
      <w:tr>
        <w:trPr>
          <w:trHeight w:val="312" w:hRule="atLeast"/>
        </w:trPr>
        <w:tc>
          <w:tcPr>
            <w:tcW w:w="2218" w:type="dxa"/>
          </w:tcPr>
          <w:p>
            <w:pPr>
              <w:pStyle w:val="TableParagraph"/>
              <w:spacing w:before="21"/>
              <w:ind w:left="435" w:right="426"/>
              <w:rPr>
                <w:sz w:val="21"/>
              </w:rPr>
            </w:pPr>
            <w:r>
              <w:rPr>
                <w:sz w:val="21"/>
              </w:rPr>
              <w:t>氨氮</w:t>
            </w:r>
          </w:p>
        </w:tc>
        <w:tc>
          <w:tcPr>
            <w:tcW w:w="1749" w:type="dxa"/>
          </w:tcPr>
          <w:p>
            <w:pPr>
              <w:pStyle w:val="TableParagraph"/>
              <w:spacing w:before="35"/>
              <w:ind w:left="500" w:right="490"/>
              <w:rPr>
                <w:rFonts w:ascii="Times New Roman"/>
                <w:sz w:val="21"/>
              </w:rPr>
            </w:pPr>
            <w:r>
              <w:rPr>
                <w:rFonts w:ascii="Times New Roman"/>
                <w:sz w:val="21"/>
              </w:rPr>
              <w:t>0.18</w:t>
            </w:r>
          </w:p>
        </w:tc>
        <w:tc>
          <w:tcPr>
            <w:tcW w:w="1749" w:type="dxa"/>
          </w:tcPr>
          <w:p>
            <w:pPr>
              <w:pStyle w:val="TableParagraph"/>
              <w:spacing w:before="35"/>
              <w:ind w:left="501" w:right="490"/>
              <w:rPr>
                <w:rFonts w:ascii="Times New Roman"/>
                <w:sz w:val="21"/>
              </w:rPr>
            </w:pPr>
            <w:r>
              <w:rPr>
                <w:rFonts w:ascii="Times New Roman"/>
                <w:sz w:val="21"/>
              </w:rPr>
              <w:t>0.06</w:t>
            </w:r>
          </w:p>
        </w:tc>
        <w:tc>
          <w:tcPr>
            <w:tcW w:w="1749" w:type="dxa"/>
          </w:tcPr>
          <w:p>
            <w:pPr>
              <w:pStyle w:val="TableParagraph"/>
              <w:spacing w:before="35"/>
              <w:ind w:left="500" w:right="490"/>
              <w:rPr>
                <w:rFonts w:ascii="Times New Roman"/>
                <w:sz w:val="21"/>
              </w:rPr>
            </w:pPr>
            <w:r>
              <w:rPr>
                <w:rFonts w:ascii="Times New Roman"/>
                <w:sz w:val="21"/>
              </w:rPr>
              <w:t>0.12</w:t>
            </w:r>
          </w:p>
        </w:tc>
      </w:tr>
      <w:tr>
        <w:trPr>
          <w:trHeight w:val="312" w:hRule="atLeast"/>
        </w:trPr>
        <w:tc>
          <w:tcPr>
            <w:tcW w:w="2218" w:type="dxa"/>
          </w:tcPr>
          <w:p>
            <w:pPr>
              <w:pStyle w:val="TableParagraph"/>
              <w:spacing w:before="20"/>
              <w:ind w:left="435" w:right="426"/>
              <w:rPr>
                <w:sz w:val="21"/>
              </w:rPr>
            </w:pPr>
            <w:r>
              <w:rPr>
                <w:sz w:val="21"/>
              </w:rPr>
              <w:t>硝酸盐</w:t>
            </w:r>
          </w:p>
        </w:tc>
        <w:tc>
          <w:tcPr>
            <w:tcW w:w="1749" w:type="dxa"/>
          </w:tcPr>
          <w:p>
            <w:pPr>
              <w:pStyle w:val="TableParagraph"/>
              <w:spacing w:before="34"/>
              <w:ind w:left="500" w:right="490"/>
              <w:rPr>
                <w:rFonts w:ascii="Times New Roman"/>
                <w:sz w:val="21"/>
              </w:rPr>
            </w:pPr>
            <w:r>
              <w:rPr>
                <w:rFonts w:ascii="Times New Roman"/>
                <w:sz w:val="21"/>
              </w:rPr>
              <w:t>0.025</w:t>
            </w:r>
          </w:p>
        </w:tc>
        <w:tc>
          <w:tcPr>
            <w:tcW w:w="1749" w:type="dxa"/>
          </w:tcPr>
          <w:p>
            <w:pPr>
              <w:pStyle w:val="TableParagraph"/>
              <w:spacing w:before="34"/>
              <w:ind w:left="501" w:right="490"/>
              <w:rPr>
                <w:rFonts w:ascii="Times New Roman"/>
                <w:sz w:val="21"/>
              </w:rPr>
            </w:pPr>
            <w:r>
              <w:rPr>
                <w:rFonts w:ascii="Times New Roman"/>
                <w:sz w:val="21"/>
              </w:rPr>
              <w:t>0.40</w:t>
            </w:r>
          </w:p>
        </w:tc>
        <w:tc>
          <w:tcPr>
            <w:tcW w:w="1749" w:type="dxa"/>
          </w:tcPr>
          <w:p>
            <w:pPr>
              <w:pStyle w:val="TableParagraph"/>
              <w:spacing w:before="34"/>
              <w:ind w:left="500" w:right="490"/>
              <w:rPr>
                <w:rFonts w:ascii="Times New Roman"/>
                <w:sz w:val="21"/>
              </w:rPr>
            </w:pPr>
            <w:r>
              <w:rPr>
                <w:rFonts w:ascii="Times New Roman"/>
                <w:sz w:val="21"/>
              </w:rPr>
              <w:t>0.40</w:t>
            </w:r>
          </w:p>
        </w:tc>
      </w:tr>
      <w:tr>
        <w:trPr>
          <w:trHeight w:val="311" w:hRule="atLeast"/>
        </w:trPr>
        <w:tc>
          <w:tcPr>
            <w:tcW w:w="2218" w:type="dxa"/>
          </w:tcPr>
          <w:p>
            <w:pPr>
              <w:pStyle w:val="TableParagraph"/>
              <w:spacing w:before="20"/>
              <w:ind w:left="432" w:right="426"/>
              <w:rPr>
                <w:sz w:val="21"/>
              </w:rPr>
            </w:pPr>
            <w:r>
              <w:rPr>
                <w:sz w:val="21"/>
              </w:rPr>
              <w:t>亚硝酸盐</w:t>
            </w:r>
          </w:p>
        </w:tc>
        <w:tc>
          <w:tcPr>
            <w:tcW w:w="1749" w:type="dxa"/>
          </w:tcPr>
          <w:p>
            <w:pPr>
              <w:pStyle w:val="TableParagraph"/>
              <w:spacing w:before="34"/>
              <w:ind w:left="500" w:right="490"/>
              <w:rPr>
                <w:rFonts w:ascii="Times New Roman"/>
                <w:sz w:val="21"/>
              </w:rPr>
            </w:pPr>
            <w:r>
              <w:rPr>
                <w:rFonts w:ascii="Times New Roman"/>
                <w:sz w:val="21"/>
              </w:rPr>
              <w:t>0.022</w:t>
            </w:r>
          </w:p>
        </w:tc>
        <w:tc>
          <w:tcPr>
            <w:tcW w:w="1749" w:type="dxa"/>
          </w:tcPr>
          <w:p>
            <w:pPr>
              <w:pStyle w:val="TableParagraph"/>
              <w:spacing w:before="20"/>
              <w:ind w:left="498" w:right="490"/>
              <w:rPr>
                <w:sz w:val="21"/>
              </w:rPr>
            </w:pPr>
            <w:r>
              <w:rPr>
                <w:sz w:val="21"/>
              </w:rPr>
              <w:t>未检出</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0"/>
              <w:ind w:left="435" w:right="426"/>
              <w:rPr>
                <w:sz w:val="21"/>
              </w:rPr>
            </w:pPr>
            <w:r>
              <w:rPr>
                <w:sz w:val="21"/>
              </w:rPr>
              <w:t>总硬度</w:t>
            </w:r>
          </w:p>
        </w:tc>
        <w:tc>
          <w:tcPr>
            <w:tcW w:w="1749" w:type="dxa"/>
          </w:tcPr>
          <w:p>
            <w:pPr>
              <w:pStyle w:val="TableParagraph"/>
              <w:spacing w:before="34"/>
              <w:ind w:left="500" w:right="490"/>
              <w:rPr>
                <w:rFonts w:ascii="Times New Roman"/>
                <w:sz w:val="21"/>
              </w:rPr>
            </w:pPr>
            <w:r>
              <w:rPr>
                <w:rFonts w:ascii="Times New Roman"/>
                <w:sz w:val="21"/>
              </w:rPr>
              <w:t>0.15</w:t>
            </w:r>
          </w:p>
        </w:tc>
        <w:tc>
          <w:tcPr>
            <w:tcW w:w="1749" w:type="dxa"/>
          </w:tcPr>
          <w:p>
            <w:pPr>
              <w:pStyle w:val="TableParagraph"/>
              <w:spacing w:before="34"/>
              <w:ind w:left="501" w:right="490"/>
              <w:rPr>
                <w:rFonts w:ascii="Times New Roman"/>
                <w:sz w:val="21"/>
              </w:rPr>
            </w:pPr>
            <w:r>
              <w:rPr>
                <w:rFonts w:ascii="Times New Roman"/>
                <w:sz w:val="21"/>
              </w:rPr>
              <w:t>0.39</w:t>
            </w:r>
          </w:p>
        </w:tc>
        <w:tc>
          <w:tcPr>
            <w:tcW w:w="1749" w:type="dxa"/>
          </w:tcPr>
          <w:p>
            <w:pPr>
              <w:pStyle w:val="TableParagraph"/>
              <w:spacing w:before="34"/>
              <w:ind w:left="500" w:right="490"/>
              <w:rPr>
                <w:rFonts w:ascii="Times New Roman"/>
                <w:sz w:val="21"/>
              </w:rPr>
            </w:pPr>
            <w:r>
              <w:rPr>
                <w:rFonts w:ascii="Times New Roman"/>
                <w:sz w:val="21"/>
              </w:rPr>
              <w:t>0.40</w:t>
            </w:r>
          </w:p>
        </w:tc>
      </w:tr>
      <w:tr>
        <w:trPr>
          <w:trHeight w:val="310" w:hRule="atLeast"/>
        </w:trPr>
        <w:tc>
          <w:tcPr>
            <w:tcW w:w="2218" w:type="dxa"/>
          </w:tcPr>
          <w:p>
            <w:pPr>
              <w:pStyle w:val="TableParagraph"/>
              <w:spacing w:line="268" w:lineRule="exact" w:before="22"/>
              <w:ind w:left="435" w:right="426"/>
              <w:rPr>
                <w:sz w:val="21"/>
              </w:rPr>
            </w:pPr>
            <w:r>
              <w:rPr>
                <w:sz w:val="21"/>
              </w:rPr>
              <w:t>高锰酸盐指数</w:t>
            </w:r>
          </w:p>
        </w:tc>
        <w:tc>
          <w:tcPr>
            <w:tcW w:w="1749" w:type="dxa"/>
          </w:tcPr>
          <w:p>
            <w:pPr>
              <w:pStyle w:val="TableParagraph"/>
              <w:spacing w:before="36"/>
              <w:ind w:left="500" w:right="490"/>
              <w:rPr>
                <w:rFonts w:ascii="Times New Roman"/>
                <w:sz w:val="21"/>
              </w:rPr>
            </w:pPr>
            <w:r>
              <w:rPr>
                <w:rFonts w:ascii="Times New Roman"/>
                <w:sz w:val="21"/>
              </w:rPr>
              <w:t>0.67</w:t>
            </w:r>
          </w:p>
        </w:tc>
        <w:tc>
          <w:tcPr>
            <w:tcW w:w="1749" w:type="dxa"/>
          </w:tcPr>
          <w:p>
            <w:pPr>
              <w:pStyle w:val="TableParagraph"/>
              <w:spacing w:before="36"/>
              <w:ind w:left="501" w:right="490"/>
              <w:rPr>
                <w:rFonts w:ascii="Times New Roman"/>
                <w:sz w:val="21"/>
              </w:rPr>
            </w:pPr>
            <w:r>
              <w:rPr>
                <w:rFonts w:ascii="Times New Roman"/>
                <w:sz w:val="21"/>
              </w:rPr>
              <w:t>0.24</w:t>
            </w:r>
          </w:p>
        </w:tc>
        <w:tc>
          <w:tcPr>
            <w:tcW w:w="1749" w:type="dxa"/>
          </w:tcPr>
          <w:p>
            <w:pPr>
              <w:pStyle w:val="TableParagraph"/>
              <w:spacing w:before="36"/>
              <w:ind w:left="500" w:right="490"/>
              <w:rPr>
                <w:rFonts w:ascii="Times New Roman"/>
                <w:sz w:val="21"/>
              </w:rPr>
            </w:pPr>
            <w:r>
              <w:rPr>
                <w:rFonts w:ascii="Times New Roman"/>
                <w:sz w:val="21"/>
              </w:rPr>
              <w:t>0.23</w:t>
            </w:r>
          </w:p>
        </w:tc>
      </w:tr>
    </w:tbl>
    <w:p>
      <w:pPr>
        <w:spacing w:after="0"/>
        <w:rPr>
          <w:rFonts w:ascii="Times New Roman"/>
          <w:sz w:val="21"/>
        </w:rPr>
        <w:sectPr>
          <w:pgSz w:w="11910" w:h="16840"/>
          <w:pgMar w:header="0" w:footer="993" w:top="1440" w:bottom="1180" w:left="1040" w:right="600"/>
        </w:sectPr>
      </w:pP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8"/>
        <w:gridCol w:w="1749"/>
        <w:gridCol w:w="1749"/>
        <w:gridCol w:w="1749"/>
      </w:tblGrid>
      <w:tr>
        <w:trPr>
          <w:trHeight w:val="312" w:hRule="atLeast"/>
        </w:trPr>
        <w:tc>
          <w:tcPr>
            <w:tcW w:w="2218" w:type="dxa"/>
          </w:tcPr>
          <w:p>
            <w:pPr>
              <w:pStyle w:val="TableParagraph"/>
              <w:spacing w:before="21"/>
              <w:ind w:left="479"/>
              <w:jc w:val="left"/>
              <w:rPr>
                <w:sz w:val="21"/>
              </w:rPr>
            </w:pPr>
            <w:r>
              <w:rPr>
                <w:sz w:val="21"/>
              </w:rPr>
              <w:t>溶解性总固体</w:t>
            </w:r>
          </w:p>
        </w:tc>
        <w:tc>
          <w:tcPr>
            <w:tcW w:w="1749" w:type="dxa"/>
          </w:tcPr>
          <w:p>
            <w:pPr>
              <w:pStyle w:val="TableParagraph"/>
              <w:spacing w:before="35"/>
              <w:ind w:left="500" w:right="490"/>
              <w:rPr>
                <w:rFonts w:ascii="Times New Roman"/>
                <w:sz w:val="21"/>
              </w:rPr>
            </w:pPr>
            <w:r>
              <w:rPr>
                <w:rFonts w:ascii="Times New Roman"/>
                <w:sz w:val="21"/>
              </w:rPr>
              <w:t>0.12</w:t>
            </w:r>
          </w:p>
        </w:tc>
        <w:tc>
          <w:tcPr>
            <w:tcW w:w="1749" w:type="dxa"/>
          </w:tcPr>
          <w:p>
            <w:pPr>
              <w:pStyle w:val="TableParagraph"/>
              <w:spacing w:before="35"/>
              <w:ind w:left="501" w:right="490"/>
              <w:rPr>
                <w:rFonts w:ascii="Times New Roman"/>
                <w:sz w:val="21"/>
              </w:rPr>
            </w:pPr>
            <w:r>
              <w:rPr>
                <w:rFonts w:ascii="Times New Roman"/>
                <w:sz w:val="21"/>
              </w:rPr>
              <w:t>0.33</w:t>
            </w:r>
          </w:p>
        </w:tc>
        <w:tc>
          <w:tcPr>
            <w:tcW w:w="1749" w:type="dxa"/>
          </w:tcPr>
          <w:p>
            <w:pPr>
              <w:pStyle w:val="TableParagraph"/>
              <w:spacing w:before="35"/>
              <w:ind w:left="500" w:right="490"/>
              <w:rPr>
                <w:rFonts w:ascii="Times New Roman"/>
                <w:sz w:val="21"/>
              </w:rPr>
            </w:pPr>
            <w:r>
              <w:rPr>
                <w:rFonts w:ascii="Times New Roman"/>
                <w:sz w:val="21"/>
              </w:rPr>
              <w:t>0.34</w:t>
            </w:r>
          </w:p>
        </w:tc>
      </w:tr>
      <w:tr>
        <w:trPr>
          <w:trHeight w:val="311" w:hRule="atLeast"/>
        </w:trPr>
        <w:tc>
          <w:tcPr>
            <w:tcW w:w="2218" w:type="dxa"/>
          </w:tcPr>
          <w:p>
            <w:pPr>
              <w:pStyle w:val="TableParagraph"/>
              <w:spacing w:before="20"/>
              <w:ind w:left="6"/>
              <w:rPr>
                <w:sz w:val="21"/>
              </w:rPr>
            </w:pPr>
            <w:r>
              <w:rPr>
                <w:w w:val="99"/>
                <w:sz w:val="21"/>
              </w:rPr>
              <w:t>铁</w:t>
            </w:r>
          </w:p>
        </w:tc>
        <w:tc>
          <w:tcPr>
            <w:tcW w:w="1749" w:type="dxa"/>
          </w:tcPr>
          <w:p>
            <w:pPr>
              <w:pStyle w:val="TableParagraph"/>
              <w:spacing w:before="34"/>
              <w:ind w:left="500" w:right="490"/>
              <w:rPr>
                <w:rFonts w:ascii="Times New Roman"/>
                <w:sz w:val="21"/>
              </w:rPr>
            </w:pPr>
            <w:r>
              <w:rPr>
                <w:rFonts w:ascii="Times New Roman"/>
                <w:sz w:val="21"/>
              </w:rPr>
              <w:t>0.73</w:t>
            </w:r>
          </w:p>
        </w:tc>
        <w:tc>
          <w:tcPr>
            <w:tcW w:w="1749" w:type="dxa"/>
          </w:tcPr>
          <w:p>
            <w:pPr>
              <w:pStyle w:val="TableParagraph"/>
              <w:spacing w:before="34"/>
              <w:ind w:left="501" w:right="490"/>
              <w:rPr>
                <w:rFonts w:ascii="Times New Roman"/>
                <w:sz w:val="21"/>
              </w:rPr>
            </w:pPr>
            <w:r>
              <w:rPr>
                <w:rFonts w:ascii="Times New Roman"/>
                <w:sz w:val="21"/>
              </w:rPr>
              <w:t>0.13</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0"/>
              <w:ind w:left="6"/>
              <w:rPr>
                <w:sz w:val="21"/>
              </w:rPr>
            </w:pPr>
            <w:r>
              <w:rPr>
                <w:w w:val="99"/>
                <w:sz w:val="21"/>
              </w:rPr>
              <w:t>锰</w:t>
            </w:r>
          </w:p>
        </w:tc>
        <w:tc>
          <w:tcPr>
            <w:tcW w:w="1749" w:type="dxa"/>
          </w:tcPr>
          <w:p>
            <w:pPr>
              <w:pStyle w:val="TableParagraph"/>
              <w:spacing w:before="20"/>
              <w:ind w:left="497" w:right="490"/>
              <w:rPr>
                <w:sz w:val="21"/>
              </w:rPr>
            </w:pPr>
            <w:r>
              <w:rPr>
                <w:sz w:val="21"/>
              </w:rPr>
              <w:t>未检出</w:t>
            </w:r>
          </w:p>
        </w:tc>
        <w:tc>
          <w:tcPr>
            <w:tcW w:w="1749" w:type="dxa"/>
          </w:tcPr>
          <w:p>
            <w:pPr>
              <w:pStyle w:val="TableParagraph"/>
              <w:spacing w:before="34"/>
              <w:ind w:left="501" w:right="490"/>
              <w:rPr>
                <w:rFonts w:ascii="Times New Roman"/>
                <w:sz w:val="21"/>
              </w:rPr>
            </w:pPr>
            <w:r>
              <w:rPr>
                <w:rFonts w:ascii="Times New Roman"/>
                <w:sz w:val="21"/>
              </w:rPr>
              <w:t>0.30</w:t>
            </w:r>
          </w:p>
        </w:tc>
        <w:tc>
          <w:tcPr>
            <w:tcW w:w="1749" w:type="dxa"/>
          </w:tcPr>
          <w:p>
            <w:pPr>
              <w:pStyle w:val="TableParagraph"/>
              <w:spacing w:before="34"/>
              <w:ind w:left="500" w:right="490"/>
              <w:rPr>
                <w:rFonts w:ascii="Times New Roman"/>
                <w:sz w:val="21"/>
              </w:rPr>
            </w:pPr>
            <w:r>
              <w:rPr>
                <w:rFonts w:ascii="Times New Roman"/>
                <w:sz w:val="21"/>
              </w:rPr>
              <w:t>0.30</w:t>
            </w:r>
          </w:p>
        </w:tc>
      </w:tr>
      <w:tr>
        <w:trPr>
          <w:trHeight w:val="312" w:hRule="atLeast"/>
        </w:trPr>
        <w:tc>
          <w:tcPr>
            <w:tcW w:w="2218" w:type="dxa"/>
          </w:tcPr>
          <w:p>
            <w:pPr>
              <w:pStyle w:val="TableParagraph"/>
              <w:spacing w:before="20"/>
              <w:ind w:left="592"/>
              <w:jc w:val="left"/>
              <w:rPr>
                <w:sz w:val="21"/>
              </w:rPr>
            </w:pPr>
            <w:r>
              <w:rPr>
                <w:sz w:val="21"/>
              </w:rPr>
              <w:t>铅（</w:t>
            </w:r>
            <w:r>
              <w:rPr>
                <w:rFonts w:ascii="Times New Roman" w:hAnsi="Times New Roman" w:eastAsia="Times New Roman"/>
                <w:sz w:val="21"/>
              </w:rPr>
              <w:t>μg/L</w:t>
            </w:r>
            <w:r>
              <w:rPr>
                <w:sz w:val="21"/>
              </w:rPr>
              <w:t>）</w:t>
            </w:r>
          </w:p>
        </w:tc>
        <w:tc>
          <w:tcPr>
            <w:tcW w:w="1749" w:type="dxa"/>
          </w:tcPr>
          <w:p>
            <w:pPr>
              <w:pStyle w:val="TableParagraph"/>
              <w:spacing w:before="20"/>
              <w:ind w:left="497" w:right="490"/>
              <w:rPr>
                <w:sz w:val="21"/>
              </w:rPr>
            </w:pPr>
            <w:r>
              <w:rPr>
                <w:sz w:val="21"/>
              </w:rPr>
              <w:t>未检出</w:t>
            </w:r>
          </w:p>
        </w:tc>
        <w:tc>
          <w:tcPr>
            <w:tcW w:w="1749" w:type="dxa"/>
          </w:tcPr>
          <w:p>
            <w:pPr>
              <w:pStyle w:val="TableParagraph"/>
              <w:spacing w:before="20"/>
              <w:ind w:left="498" w:right="490"/>
              <w:rPr>
                <w:sz w:val="21"/>
              </w:rPr>
            </w:pPr>
            <w:r>
              <w:rPr>
                <w:sz w:val="21"/>
              </w:rPr>
              <w:t>未检出</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2"/>
              <w:ind w:left="435" w:right="426"/>
              <w:rPr>
                <w:sz w:val="21"/>
              </w:rPr>
            </w:pPr>
            <w:r>
              <w:rPr>
                <w:sz w:val="21"/>
              </w:rPr>
              <w:t>六价铬</w:t>
            </w:r>
          </w:p>
        </w:tc>
        <w:tc>
          <w:tcPr>
            <w:tcW w:w="1749" w:type="dxa"/>
          </w:tcPr>
          <w:p>
            <w:pPr>
              <w:pStyle w:val="TableParagraph"/>
              <w:spacing w:before="22"/>
              <w:ind w:left="497" w:right="490"/>
              <w:rPr>
                <w:sz w:val="21"/>
              </w:rPr>
            </w:pPr>
            <w:r>
              <w:rPr>
                <w:sz w:val="21"/>
              </w:rPr>
              <w:t>未检出</w:t>
            </w:r>
          </w:p>
        </w:tc>
        <w:tc>
          <w:tcPr>
            <w:tcW w:w="1749" w:type="dxa"/>
          </w:tcPr>
          <w:p>
            <w:pPr>
              <w:pStyle w:val="TableParagraph"/>
              <w:spacing w:before="22"/>
              <w:ind w:left="498" w:right="490"/>
              <w:rPr>
                <w:sz w:val="21"/>
              </w:rPr>
            </w:pPr>
            <w:r>
              <w:rPr>
                <w:sz w:val="21"/>
              </w:rPr>
              <w:t>未检出</w:t>
            </w:r>
          </w:p>
        </w:tc>
        <w:tc>
          <w:tcPr>
            <w:tcW w:w="1749" w:type="dxa"/>
          </w:tcPr>
          <w:p>
            <w:pPr>
              <w:pStyle w:val="TableParagraph"/>
              <w:spacing w:before="22"/>
              <w:ind w:left="499" w:right="490"/>
              <w:rPr>
                <w:sz w:val="21"/>
              </w:rPr>
            </w:pPr>
            <w:r>
              <w:rPr>
                <w:sz w:val="21"/>
              </w:rPr>
              <w:t>未检出</w:t>
            </w:r>
          </w:p>
        </w:tc>
      </w:tr>
      <w:tr>
        <w:trPr>
          <w:trHeight w:val="312" w:hRule="atLeast"/>
        </w:trPr>
        <w:tc>
          <w:tcPr>
            <w:tcW w:w="2218" w:type="dxa"/>
          </w:tcPr>
          <w:p>
            <w:pPr>
              <w:pStyle w:val="TableParagraph"/>
              <w:spacing w:before="21"/>
              <w:ind w:left="435" w:right="426"/>
              <w:rPr>
                <w:sz w:val="21"/>
              </w:rPr>
            </w:pPr>
            <w:r>
              <w:rPr>
                <w:sz w:val="21"/>
              </w:rPr>
              <w:t>氯化物</w:t>
            </w:r>
          </w:p>
        </w:tc>
        <w:tc>
          <w:tcPr>
            <w:tcW w:w="1749" w:type="dxa"/>
          </w:tcPr>
          <w:p>
            <w:pPr>
              <w:pStyle w:val="TableParagraph"/>
              <w:spacing w:before="35"/>
              <w:ind w:left="500" w:right="490"/>
              <w:rPr>
                <w:rFonts w:ascii="Times New Roman"/>
                <w:sz w:val="21"/>
              </w:rPr>
            </w:pPr>
            <w:r>
              <w:rPr>
                <w:rFonts w:ascii="Times New Roman"/>
                <w:sz w:val="21"/>
              </w:rPr>
              <w:t>0.03</w:t>
            </w:r>
          </w:p>
        </w:tc>
        <w:tc>
          <w:tcPr>
            <w:tcW w:w="1749" w:type="dxa"/>
          </w:tcPr>
          <w:p>
            <w:pPr>
              <w:pStyle w:val="TableParagraph"/>
              <w:spacing w:before="35"/>
              <w:ind w:left="501" w:right="490"/>
              <w:rPr>
                <w:rFonts w:ascii="Times New Roman"/>
                <w:sz w:val="21"/>
              </w:rPr>
            </w:pPr>
            <w:r>
              <w:rPr>
                <w:rFonts w:ascii="Times New Roman"/>
                <w:sz w:val="21"/>
              </w:rPr>
              <w:t>0.03</w:t>
            </w:r>
          </w:p>
        </w:tc>
        <w:tc>
          <w:tcPr>
            <w:tcW w:w="1749" w:type="dxa"/>
          </w:tcPr>
          <w:p>
            <w:pPr>
              <w:pStyle w:val="TableParagraph"/>
              <w:spacing w:before="35"/>
              <w:ind w:left="500" w:right="490"/>
              <w:rPr>
                <w:rFonts w:ascii="Times New Roman"/>
                <w:sz w:val="21"/>
              </w:rPr>
            </w:pPr>
            <w:r>
              <w:rPr>
                <w:rFonts w:ascii="Times New Roman"/>
                <w:sz w:val="21"/>
              </w:rPr>
              <w:t>0.04</w:t>
            </w:r>
          </w:p>
        </w:tc>
      </w:tr>
      <w:tr>
        <w:trPr>
          <w:trHeight w:val="311" w:hRule="atLeast"/>
        </w:trPr>
        <w:tc>
          <w:tcPr>
            <w:tcW w:w="2218" w:type="dxa"/>
          </w:tcPr>
          <w:p>
            <w:pPr>
              <w:pStyle w:val="TableParagraph"/>
              <w:spacing w:before="21"/>
              <w:ind w:left="435" w:right="426"/>
              <w:rPr>
                <w:sz w:val="21"/>
              </w:rPr>
            </w:pPr>
            <w:r>
              <w:rPr>
                <w:sz w:val="21"/>
              </w:rPr>
              <w:t>硫酸盐</w:t>
            </w:r>
          </w:p>
        </w:tc>
        <w:tc>
          <w:tcPr>
            <w:tcW w:w="1749" w:type="dxa"/>
          </w:tcPr>
          <w:p>
            <w:pPr>
              <w:pStyle w:val="TableParagraph"/>
              <w:spacing w:before="35"/>
              <w:ind w:left="500" w:right="490"/>
              <w:rPr>
                <w:rFonts w:ascii="Times New Roman"/>
                <w:sz w:val="21"/>
              </w:rPr>
            </w:pPr>
            <w:r>
              <w:rPr>
                <w:rFonts w:ascii="Times New Roman"/>
                <w:sz w:val="21"/>
              </w:rPr>
              <w:t>0.13</w:t>
            </w:r>
          </w:p>
        </w:tc>
        <w:tc>
          <w:tcPr>
            <w:tcW w:w="1749" w:type="dxa"/>
          </w:tcPr>
          <w:p>
            <w:pPr>
              <w:pStyle w:val="TableParagraph"/>
              <w:spacing w:before="35"/>
              <w:ind w:left="501" w:right="490"/>
              <w:rPr>
                <w:rFonts w:ascii="Times New Roman"/>
                <w:sz w:val="21"/>
              </w:rPr>
            </w:pPr>
            <w:r>
              <w:rPr>
                <w:rFonts w:ascii="Times New Roman"/>
                <w:sz w:val="21"/>
              </w:rPr>
              <w:t>0.04</w:t>
            </w:r>
          </w:p>
        </w:tc>
        <w:tc>
          <w:tcPr>
            <w:tcW w:w="1749" w:type="dxa"/>
          </w:tcPr>
          <w:p>
            <w:pPr>
              <w:pStyle w:val="TableParagraph"/>
              <w:spacing w:before="35"/>
              <w:ind w:left="500" w:right="490"/>
              <w:rPr>
                <w:rFonts w:ascii="Times New Roman"/>
                <w:sz w:val="21"/>
              </w:rPr>
            </w:pPr>
            <w:r>
              <w:rPr>
                <w:rFonts w:ascii="Times New Roman"/>
                <w:sz w:val="21"/>
              </w:rPr>
              <w:t>0.05</w:t>
            </w:r>
          </w:p>
        </w:tc>
      </w:tr>
      <w:tr>
        <w:trPr>
          <w:trHeight w:val="436" w:hRule="atLeast"/>
        </w:trPr>
        <w:tc>
          <w:tcPr>
            <w:tcW w:w="2218" w:type="dxa"/>
          </w:tcPr>
          <w:p>
            <w:pPr>
              <w:pStyle w:val="TableParagraph"/>
              <w:spacing w:before="83"/>
              <w:ind w:left="107"/>
              <w:jc w:val="left"/>
              <w:rPr>
                <w:sz w:val="21"/>
              </w:rPr>
            </w:pPr>
            <w:r>
              <w:rPr>
                <w:sz w:val="21"/>
              </w:rPr>
              <w:t>细菌总数（</w:t>
            </w:r>
            <w:r>
              <w:rPr>
                <w:rFonts w:ascii="Times New Roman" w:eastAsia="Times New Roman"/>
                <w:sz w:val="21"/>
              </w:rPr>
              <w:t>CFU/mL</w:t>
            </w:r>
            <w:r>
              <w:rPr>
                <w:sz w:val="21"/>
              </w:rPr>
              <w:t>）</w:t>
            </w:r>
          </w:p>
        </w:tc>
        <w:tc>
          <w:tcPr>
            <w:tcW w:w="1749" w:type="dxa"/>
          </w:tcPr>
          <w:p>
            <w:pPr>
              <w:pStyle w:val="TableParagraph"/>
              <w:spacing w:before="97"/>
              <w:ind w:left="500" w:right="490"/>
              <w:rPr>
                <w:rFonts w:ascii="Times New Roman"/>
                <w:sz w:val="21"/>
              </w:rPr>
            </w:pPr>
            <w:r>
              <w:rPr>
                <w:rFonts w:ascii="Times New Roman"/>
                <w:sz w:val="21"/>
              </w:rPr>
              <w:t>0.12</w:t>
            </w:r>
          </w:p>
        </w:tc>
        <w:tc>
          <w:tcPr>
            <w:tcW w:w="1749" w:type="dxa"/>
          </w:tcPr>
          <w:p>
            <w:pPr>
              <w:pStyle w:val="TableParagraph"/>
              <w:spacing w:before="97"/>
              <w:ind w:left="501" w:right="490"/>
              <w:rPr>
                <w:rFonts w:ascii="Times New Roman"/>
                <w:sz w:val="21"/>
              </w:rPr>
            </w:pPr>
            <w:r>
              <w:rPr>
                <w:rFonts w:ascii="Times New Roman"/>
                <w:sz w:val="21"/>
              </w:rPr>
              <w:t>0.14</w:t>
            </w:r>
          </w:p>
        </w:tc>
        <w:tc>
          <w:tcPr>
            <w:tcW w:w="1749" w:type="dxa"/>
          </w:tcPr>
          <w:p>
            <w:pPr>
              <w:pStyle w:val="TableParagraph"/>
              <w:spacing w:before="97"/>
              <w:ind w:left="502" w:right="489"/>
              <w:rPr>
                <w:rFonts w:ascii="Times New Roman"/>
                <w:sz w:val="21"/>
              </w:rPr>
            </w:pPr>
            <w:r>
              <w:rPr>
                <w:rFonts w:ascii="Times New Roman"/>
                <w:sz w:val="21"/>
              </w:rPr>
              <w:t>0.11</w:t>
            </w:r>
          </w:p>
        </w:tc>
      </w:tr>
      <w:tr>
        <w:trPr>
          <w:trHeight w:val="312" w:hRule="atLeast"/>
        </w:trPr>
        <w:tc>
          <w:tcPr>
            <w:tcW w:w="2218" w:type="dxa"/>
          </w:tcPr>
          <w:p>
            <w:pPr>
              <w:pStyle w:val="TableParagraph"/>
              <w:spacing w:before="21"/>
              <w:ind w:left="107" w:right="-15"/>
              <w:jc w:val="left"/>
              <w:rPr>
                <w:sz w:val="21"/>
              </w:rPr>
            </w:pPr>
            <w:r>
              <w:rPr>
                <w:spacing w:val="-1"/>
                <w:sz w:val="21"/>
              </w:rPr>
              <w:t>总大肠菌群</w:t>
            </w:r>
            <w:r>
              <w:rPr>
                <w:sz w:val="21"/>
              </w:rPr>
              <w:t>（</w:t>
            </w:r>
            <w:r>
              <w:rPr>
                <w:rFonts w:ascii="Times New Roman" w:eastAsia="Times New Roman"/>
                <w:sz w:val="21"/>
              </w:rPr>
              <w:t>MPN/L</w:t>
            </w:r>
            <w:r>
              <w:rPr>
                <w:sz w:val="21"/>
              </w:rPr>
              <w:t>）</w:t>
            </w:r>
          </w:p>
        </w:tc>
        <w:tc>
          <w:tcPr>
            <w:tcW w:w="1749" w:type="dxa"/>
          </w:tcPr>
          <w:p>
            <w:pPr>
              <w:pStyle w:val="TableParagraph"/>
              <w:spacing w:before="21"/>
              <w:ind w:left="497" w:right="490"/>
              <w:rPr>
                <w:sz w:val="21"/>
              </w:rPr>
            </w:pPr>
            <w:r>
              <w:rPr>
                <w:sz w:val="21"/>
              </w:rPr>
              <w:t>未检出</w:t>
            </w:r>
          </w:p>
        </w:tc>
        <w:tc>
          <w:tcPr>
            <w:tcW w:w="1749" w:type="dxa"/>
          </w:tcPr>
          <w:p>
            <w:pPr>
              <w:pStyle w:val="TableParagraph"/>
              <w:spacing w:before="21"/>
              <w:ind w:left="498" w:right="490"/>
              <w:rPr>
                <w:sz w:val="21"/>
              </w:rPr>
            </w:pPr>
            <w:r>
              <w:rPr>
                <w:sz w:val="21"/>
              </w:rPr>
              <w:t>未检出</w:t>
            </w:r>
          </w:p>
        </w:tc>
        <w:tc>
          <w:tcPr>
            <w:tcW w:w="1749" w:type="dxa"/>
          </w:tcPr>
          <w:p>
            <w:pPr>
              <w:pStyle w:val="TableParagraph"/>
              <w:spacing w:before="21"/>
              <w:ind w:left="499" w:right="490"/>
              <w:rPr>
                <w:sz w:val="21"/>
              </w:rPr>
            </w:pPr>
            <w:r>
              <w:rPr>
                <w:sz w:val="21"/>
              </w:rPr>
              <w:t>未检出</w:t>
            </w:r>
          </w:p>
        </w:tc>
      </w:tr>
      <w:tr>
        <w:trPr>
          <w:trHeight w:val="311" w:hRule="atLeast"/>
        </w:trPr>
        <w:tc>
          <w:tcPr>
            <w:tcW w:w="2218" w:type="dxa"/>
          </w:tcPr>
          <w:p>
            <w:pPr>
              <w:pStyle w:val="TableParagraph"/>
              <w:spacing w:before="20"/>
              <w:ind w:left="582"/>
              <w:jc w:val="left"/>
              <w:rPr>
                <w:sz w:val="21"/>
              </w:rPr>
            </w:pPr>
            <w:r>
              <w:rPr>
                <w:sz w:val="21"/>
              </w:rPr>
              <w:t>挥发性酚类</w:t>
            </w:r>
          </w:p>
        </w:tc>
        <w:tc>
          <w:tcPr>
            <w:tcW w:w="1749" w:type="dxa"/>
          </w:tcPr>
          <w:p>
            <w:pPr>
              <w:pStyle w:val="TableParagraph"/>
              <w:spacing w:before="20"/>
              <w:ind w:left="497" w:right="490"/>
              <w:rPr>
                <w:sz w:val="21"/>
              </w:rPr>
            </w:pPr>
            <w:r>
              <w:rPr>
                <w:sz w:val="21"/>
              </w:rPr>
              <w:t>未检出</w:t>
            </w:r>
          </w:p>
        </w:tc>
        <w:tc>
          <w:tcPr>
            <w:tcW w:w="1749" w:type="dxa"/>
          </w:tcPr>
          <w:p>
            <w:pPr>
              <w:pStyle w:val="TableParagraph"/>
              <w:spacing w:before="20"/>
              <w:ind w:left="498" w:right="490"/>
              <w:rPr>
                <w:sz w:val="21"/>
              </w:rPr>
            </w:pPr>
            <w:r>
              <w:rPr>
                <w:sz w:val="21"/>
              </w:rPr>
              <w:t>未检出</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0"/>
              <w:ind w:left="435" w:right="426"/>
              <w:rPr>
                <w:sz w:val="21"/>
              </w:rPr>
            </w:pPr>
            <w:r>
              <w:rPr>
                <w:sz w:val="21"/>
              </w:rPr>
              <w:t>氰化物</w:t>
            </w:r>
          </w:p>
        </w:tc>
        <w:tc>
          <w:tcPr>
            <w:tcW w:w="1749" w:type="dxa"/>
          </w:tcPr>
          <w:p>
            <w:pPr>
              <w:pStyle w:val="TableParagraph"/>
              <w:spacing w:before="20"/>
              <w:ind w:left="497" w:right="490"/>
              <w:rPr>
                <w:sz w:val="21"/>
              </w:rPr>
            </w:pPr>
            <w:r>
              <w:rPr>
                <w:sz w:val="21"/>
              </w:rPr>
              <w:t>未检出</w:t>
            </w:r>
          </w:p>
        </w:tc>
        <w:tc>
          <w:tcPr>
            <w:tcW w:w="1749" w:type="dxa"/>
          </w:tcPr>
          <w:p>
            <w:pPr>
              <w:pStyle w:val="TableParagraph"/>
              <w:spacing w:before="20"/>
              <w:ind w:left="498" w:right="490"/>
              <w:rPr>
                <w:sz w:val="21"/>
              </w:rPr>
            </w:pPr>
            <w:r>
              <w:rPr>
                <w:sz w:val="21"/>
              </w:rPr>
              <w:t>未检出</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0"/>
              <w:ind w:left="592"/>
              <w:jc w:val="left"/>
              <w:rPr>
                <w:sz w:val="21"/>
              </w:rPr>
            </w:pPr>
            <w:r>
              <w:rPr>
                <w:sz w:val="21"/>
              </w:rPr>
              <w:t>砷（</w:t>
            </w:r>
            <w:r>
              <w:rPr>
                <w:rFonts w:ascii="Times New Roman" w:hAnsi="Times New Roman" w:eastAsia="Times New Roman"/>
                <w:sz w:val="21"/>
              </w:rPr>
              <w:t>μg/L</w:t>
            </w:r>
            <w:r>
              <w:rPr>
                <w:sz w:val="21"/>
              </w:rPr>
              <w:t>）</w:t>
            </w:r>
          </w:p>
        </w:tc>
        <w:tc>
          <w:tcPr>
            <w:tcW w:w="1749" w:type="dxa"/>
          </w:tcPr>
          <w:p>
            <w:pPr>
              <w:pStyle w:val="TableParagraph"/>
              <w:spacing w:before="20"/>
              <w:ind w:left="497" w:right="490"/>
              <w:rPr>
                <w:sz w:val="21"/>
              </w:rPr>
            </w:pPr>
            <w:r>
              <w:rPr>
                <w:sz w:val="21"/>
              </w:rPr>
              <w:t>未检出</w:t>
            </w:r>
          </w:p>
        </w:tc>
        <w:tc>
          <w:tcPr>
            <w:tcW w:w="1749" w:type="dxa"/>
          </w:tcPr>
          <w:p>
            <w:pPr>
              <w:pStyle w:val="TableParagraph"/>
              <w:spacing w:before="20"/>
              <w:ind w:left="498" w:right="490"/>
              <w:rPr>
                <w:sz w:val="21"/>
              </w:rPr>
            </w:pPr>
            <w:r>
              <w:rPr>
                <w:sz w:val="21"/>
              </w:rPr>
              <w:t>未检出</w:t>
            </w:r>
          </w:p>
        </w:tc>
        <w:tc>
          <w:tcPr>
            <w:tcW w:w="1749" w:type="dxa"/>
          </w:tcPr>
          <w:p>
            <w:pPr>
              <w:pStyle w:val="TableParagraph"/>
              <w:spacing w:before="20"/>
              <w:ind w:left="499" w:right="490"/>
              <w:rPr>
                <w:sz w:val="21"/>
              </w:rPr>
            </w:pPr>
            <w:r>
              <w:rPr>
                <w:sz w:val="21"/>
              </w:rPr>
              <w:t>未检出</w:t>
            </w:r>
          </w:p>
        </w:tc>
      </w:tr>
      <w:tr>
        <w:trPr>
          <w:trHeight w:val="312" w:hRule="atLeast"/>
        </w:trPr>
        <w:tc>
          <w:tcPr>
            <w:tcW w:w="2218" w:type="dxa"/>
          </w:tcPr>
          <w:p>
            <w:pPr>
              <w:pStyle w:val="TableParagraph"/>
              <w:spacing w:before="22"/>
              <w:ind w:left="592"/>
              <w:jc w:val="left"/>
              <w:rPr>
                <w:sz w:val="21"/>
              </w:rPr>
            </w:pPr>
            <w:r>
              <w:rPr>
                <w:sz w:val="21"/>
              </w:rPr>
              <w:t>汞（</w:t>
            </w:r>
            <w:r>
              <w:rPr>
                <w:rFonts w:ascii="Times New Roman" w:hAnsi="Times New Roman" w:eastAsia="Times New Roman"/>
                <w:sz w:val="21"/>
              </w:rPr>
              <w:t>μg/L</w:t>
            </w:r>
            <w:r>
              <w:rPr>
                <w:sz w:val="21"/>
              </w:rPr>
              <w:t>）</w:t>
            </w:r>
          </w:p>
        </w:tc>
        <w:tc>
          <w:tcPr>
            <w:tcW w:w="1749" w:type="dxa"/>
          </w:tcPr>
          <w:p>
            <w:pPr>
              <w:pStyle w:val="TableParagraph"/>
              <w:spacing w:before="22"/>
              <w:ind w:left="497" w:right="490"/>
              <w:rPr>
                <w:sz w:val="21"/>
              </w:rPr>
            </w:pPr>
            <w:r>
              <w:rPr>
                <w:sz w:val="21"/>
              </w:rPr>
              <w:t>未检出</w:t>
            </w:r>
          </w:p>
        </w:tc>
        <w:tc>
          <w:tcPr>
            <w:tcW w:w="1749" w:type="dxa"/>
          </w:tcPr>
          <w:p>
            <w:pPr>
              <w:pStyle w:val="TableParagraph"/>
              <w:spacing w:before="22"/>
              <w:ind w:left="498" w:right="490"/>
              <w:rPr>
                <w:sz w:val="21"/>
              </w:rPr>
            </w:pPr>
            <w:r>
              <w:rPr>
                <w:sz w:val="21"/>
              </w:rPr>
              <w:t>未检出</w:t>
            </w:r>
          </w:p>
        </w:tc>
        <w:tc>
          <w:tcPr>
            <w:tcW w:w="1749" w:type="dxa"/>
          </w:tcPr>
          <w:p>
            <w:pPr>
              <w:pStyle w:val="TableParagraph"/>
              <w:spacing w:before="22"/>
              <w:ind w:left="499" w:right="490"/>
              <w:rPr>
                <w:sz w:val="21"/>
              </w:rPr>
            </w:pPr>
            <w:r>
              <w:rPr>
                <w:sz w:val="21"/>
              </w:rPr>
              <w:t>未检出</w:t>
            </w:r>
          </w:p>
        </w:tc>
      </w:tr>
      <w:tr>
        <w:trPr>
          <w:trHeight w:val="312" w:hRule="atLeast"/>
        </w:trPr>
        <w:tc>
          <w:tcPr>
            <w:tcW w:w="2218" w:type="dxa"/>
          </w:tcPr>
          <w:p>
            <w:pPr>
              <w:pStyle w:val="TableParagraph"/>
              <w:spacing w:before="21"/>
              <w:ind w:left="435" w:right="426"/>
              <w:rPr>
                <w:sz w:val="21"/>
              </w:rPr>
            </w:pPr>
            <w:r>
              <w:rPr>
                <w:sz w:val="21"/>
              </w:rPr>
              <w:t>氟化物</w:t>
            </w:r>
          </w:p>
        </w:tc>
        <w:tc>
          <w:tcPr>
            <w:tcW w:w="1749" w:type="dxa"/>
          </w:tcPr>
          <w:p>
            <w:pPr>
              <w:pStyle w:val="TableParagraph"/>
              <w:spacing w:before="38"/>
              <w:ind w:left="500" w:right="490"/>
              <w:rPr>
                <w:rFonts w:ascii="Times New Roman"/>
                <w:sz w:val="21"/>
              </w:rPr>
            </w:pPr>
            <w:bookmarkStart w:name="0.32" w:id="326"/>
            <w:bookmarkEnd w:id="326"/>
            <w:r>
              <w:rPr/>
            </w:r>
            <w:r>
              <w:rPr>
                <w:rFonts w:ascii="Times New Roman"/>
                <w:sz w:val="21"/>
              </w:rPr>
              <w:t>0.32</w:t>
            </w:r>
          </w:p>
        </w:tc>
        <w:tc>
          <w:tcPr>
            <w:tcW w:w="1749" w:type="dxa"/>
          </w:tcPr>
          <w:p>
            <w:pPr>
              <w:pStyle w:val="TableParagraph"/>
              <w:spacing w:before="38"/>
              <w:ind w:left="501" w:right="490"/>
              <w:rPr>
                <w:rFonts w:ascii="Times New Roman"/>
                <w:sz w:val="21"/>
              </w:rPr>
            </w:pPr>
            <w:bookmarkStart w:name="0.31" w:id="327"/>
            <w:bookmarkEnd w:id="327"/>
            <w:r>
              <w:rPr/>
            </w:r>
            <w:r>
              <w:rPr>
                <w:rFonts w:ascii="Times New Roman"/>
                <w:sz w:val="21"/>
              </w:rPr>
              <w:t>0.31</w:t>
            </w:r>
          </w:p>
        </w:tc>
        <w:tc>
          <w:tcPr>
            <w:tcW w:w="1749" w:type="dxa"/>
          </w:tcPr>
          <w:p>
            <w:pPr>
              <w:pStyle w:val="TableParagraph"/>
              <w:spacing w:before="38"/>
              <w:ind w:left="500" w:right="490"/>
              <w:rPr>
                <w:rFonts w:ascii="Times New Roman"/>
                <w:sz w:val="21"/>
              </w:rPr>
            </w:pPr>
            <w:bookmarkStart w:name="0.35" w:id="328"/>
            <w:bookmarkEnd w:id="328"/>
            <w:r>
              <w:rPr/>
            </w:r>
            <w:r>
              <w:rPr>
                <w:rFonts w:ascii="Times New Roman"/>
                <w:sz w:val="21"/>
              </w:rPr>
              <w:t>0.35</w:t>
            </w:r>
          </w:p>
        </w:tc>
      </w:tr>
      <w:tr>
        <w:trPr>
          <w:trHeight w:val="311" w:hRule="atLeast"/>
        </w:trPr>
        <w:tc>
          <w:tcPr>
            <w:tcW w:w="2218" w:type="dxa"/>
          </w:tcPr>
          <w:p>
            <w:pPr>
              <w:pStyle w:val="TableParagraph"/>
              <w:spacing w:before="21"/>
              <w:ind w:left="592"/>
              <w:jc w:val="left"/>
              <w:rPr>
                <w:sz w:val="21"/>
              </w:rPr>
            </w:pPr>
            <w:r>
              <w:rPr>
                <w:sz w:val="21"/>
              </w:rPr>
              <w:t>镉（</w:t>
            </w:r>
            <w:r>
              <w:rPr>
                <w:rFonts w:ascii="Times New Roman" w:hAnsi="Times New Roman" w:eastAsia="Times New Roman"/>
                <w:sz w:val="21"/>
              </w:rPr>
              <w:t>μg/L</w:t>
            </w:r>
            <w:r>
              <w:rPr>
                <w:sz w:val="21"/>
              </w:rPr>
              <w:t>）</w:t>
            </w:r>
          </w:p>
        </w:tc>
        <w:tc>
          <w:tcPr>
            <w:tcW w:w="1749" w:type="dxa"/>
          </w:tcPr>
          <w:p>
            <w:pPr>
              <w:pStyle w:val="TableParagraph"/>
              <w:spacing w:before="21"/>
              <w:ind w:left="497" w:right="490"/>
              <w:rPr>
                <w:sz w:val="21"/>
              </w:rPr>
            </w:pPr>
            <w:r>
              <w:rPr>
                <w:sz w:val="21"/>
              </w:rPr>
              <w:t>未检出</w:t>
            </w:r>
          </w:p>
        </w:tc>
        <w:tc>
          <w:tcPr>
            <w:tcW w:w="1749" w:type="dxa"/>
          </w:tcPr>
          <w:p>
            <w:pPr>
              <w:pStyle w:val="TableParagraph"/>
              <w:spacing w:before="21"/>
              <w:ind w:left="498" w:right="490"/>
              <w:rPr>
                <w:sz w:val="21"/>
              </w:rPr>
            </w:pPr>
            <w:r>
              <w:rPr>
                <w:sz w:val="21"/>
              </w:rPr>
              <w:t>未检出</w:t>
            </w:r>
          </w:p>
        </w:tc>
        <w:tc>
          <w:tcPr>
            <w:tcW w:w="1749" w:type="dxa"/>
          </w:tcPr>
          <w:p>
            <w:pPr>
              <w:pStyle w:val="TableParagraph"/>
              <w:spacing w:before="21"/>
              <w:ind w:left="499" w:right="490"/>
              <w:rPr>
                <w:sz w:val="21"/>
              </w:rPr>
            </w:pPr>
            <w:r>
              <w:rPr>
                <w:sz w:val="21"/>
              </w:rPr>
              <w:t>未检出</w:t>
            </w:r>
          </w:p>
        </w:tc>
      </w:tr>
      <w:tr>
        <w:trPr>
          <w:trHeight w:val="312" w:hRule="atLeast"/>
        </w:trPr>
        <w:tc>
          <w:tcPr>
            <w:tcW w:w="2218" w:type="dxa"/>
          </w:tcPr>
          <w:p>
            <w:pPr>
              <w:pStyle w:val="TableParagraph"/>
              <w:spacing w:before="35"/>
              <w:ind w:left="435" w:right="426"/>
              <w:rPr>
                <w:rFonts w:ascii="Times New Roman"/>
                <w:sz w:val="13"/>
              </w:rPr>
            </w:pPr>
            <w:r>
              <w:rPr>
                <w:rFonts w:ascii="Times New Roman"/>
                <w:position w:val="-6"/>
                <w:sz w:val="21"/>
              </w:rPr>
              <w:t>K</w:t>
            </w:r>
            <w:r>
              <w:rPr>
                <w:rFonts w:ascii="Times New Roman"/>
                <w:sz w:val="13"/>
              </w:rPr>
              <w:t>+</w:t>
            </w:r>
          </w:p>
        </w:tc>
        <w:tc>
          <w:tcPr>
            <w:tcW w:w="1749" w:type="dxa"/>
          </w:tcPr>
          <w:p>
            <w:pPr>
              <w:pStyle w:val="TableParagraph"/>
              <w:spacing w:before="34"/>
              <w:ind w:left="7"/>
              <w:rPr>
                <w:rFonts w:ascii="Times New Roman"/>
                <w:b/>
                <w:sz w:val="21"/>
              </w:rPr>
            </w:pPr>
            <w:r>
              <w:rPr>
                <w:rFonts w:ascii="Times New Roman"/>
                <w:b/>
                <w:w w:val="99"/>
                <w:sz w:val="21"/>
              </w:rPr>
              <w:t>/</w:t>
            </w:r>
          </w:p>
        </w:tc>
        <w:tc>
          <w:tcPr>
            <w:tcW w:w="1749" w:type="dxa"/>
          </w:tcPr>
          <w:p>
            <w:pPr>
              <w:pStyle w:val="TableParagraph"/>
              <w:spacing w:before="34"/>
              <w:ind w:left="8"/>
              <w:rPr>
                <w:rFonts w:ascii="Times New Roman"/>
                <w:b/>
                <w:sz w:val="21"/>
              </w:rPr>
            </w:pPr>
            <w:r>
              <w:rPr>
                <w:rFonts w:ascii="Times New Roman"/>
                <w:b/>
                <w:w w:val="99"/>
                <w:sz w:val="21"/>
              </w:rPr>
              <w:t>/</w:t>
            </w:r>
          </w:p>
        </w:tc>
        <w:tc>
          <w:tcPr>
            <w:tcW w:w="1749" w:type="dxa"/>
          </w:tcPr>
          <w:p>
            <w:pPr>
              <w:pStyle w:val="TableParagraph"/>
              <w:spacing w:before="34"/>
              <w:ind w:left="9"/>
              <w:rPr>
                <w:rFonts w:ascii="Times New Roman"/>
                <w:b/>
                <w:sz w:val="21"/>
              </w:rPr>
            </w:pPr>
            <w:r>
              <w:rPr>
                <w:rFonts w:ascii="Times New Roman"/>
                <w:b/>
                <w:w w:val="99"/>
                <w:sz w:val="21"/>
              </w:rPr>
              <w:t>/</w:t>
            </w:r>
          </w:p>
        </w:tc>
      </w:tr>
      <w:tr>
        <w:trPr>
          <w:trHeight w:val="311" w:hRule="atLeast"/>
        </w:trPr>
        <w:tc>
          <w:tcPr>
            <w:tcW w:w="2218" w:type="dxa"/>
          </w:tcPr>
          <w:p>
            <w:pPr>
              <w:pStyle w:val="TableParagraph"/>
              <w:spacing w:before="34"/>
              <w:ind w:left="435" w:right="426"/>
              <w:rPr>
                <w:rFonts w:ascii="Times New Roman"/>
                <w:sz w:val="13"/>
              </w:rPr>
            </w:pPr>
            <w:r>
              <w:rPr>
                <w:rFonts w:ascii="Times New Roman"/>
                <w:sz w:val="21"/>
              </w:rPr>
              <w:t>Na</w:t>
            </w:r>
            <w:r>
              <w:rPr>
                <w:rFonts w:ascii="Times New Roman"/>
                <w:position w:val="7"/>
                <w:sz w:val="13"/>
              </w:rPr>
              <w:t>+</w:t>
            </w:r>
          </w:p>
        </w:tc>
        <w:tc>
          <w:tcPr>
            <w:tcW w:w="1749" w:type="dxa"/>
          </w:tcPr>
          <w:p>
            <w:pPr>
              <w:pStyle w:val="TableParagraph"/>
              <w:spacing w:before="34"/>
              <w:ind w:left="500" w:right="490"/>
              <w:rPr>
                <w:rFonts w:ascii="Times New Roman"/>
                <w:sz w:val="21"/>
              </w:rPr>
            </w:pPr>
            <w:r>
              <w:rPr>
                <w:rFonts w:ascii="Times New Roman"/>
                <w:sz w:val="21"/>
              </w:rPr>
              <w:t>0.03</w:t>
            </w:r>
          </w:p>
        </w:tc>
        <w:tc>
          <w:tcPr>
            <w:tcW w:w="1749" w:type="dxa"/>
          </w:tcPr>
          <w:p>
            <w:pPr>
              <w:pStyle w:val="TableParagraph"/>
              <w:spacing w:before="34"/>
              <w:ind w:left="501" w:right="490"/>
              <w:rPr>
                <w:rFonts w:ascii="Times New Roman"/>
                <w:sz w:val="21"/>
              </w:rPr>
            </w:pPr>
            <w:r>
              <w:rPr>
                <w:rFonts w:ascii="Times New Roman"/>
                <w:sz w:val="21"/>
              </w:rPr>
              <w:t>0.07</w:t>
            </w:r>
          </w:p>
        </w:tc>
        <w:tc>
          <w:tcPr>
            <w:tcW w:w="1749" w:type="dxa"/>
          </w:tcPr>
          <w:p>
            <w:pPr>
              <w:pStyle w:val="TableParagraph"/>
              <w:spacing w:before="34"/>
              <w:ind w:left="500" w:right="490"/>
              <w:rPr>
                <w:rFonts w:ascii="Times New Roman"/>
                <w:sz w:val="21"/>
              </w:rPr>
            </w:pPr>
            <w:r>
              <w:rPr>
                <w:rFonts w:ascii="Times New Roman"/>
                <w:sz w:val="21"/>
              </w:rPr>
              <w:t>0.07</w:t>
            </w:r>
          </w:p>
        </w:tc>
      </w:tr>
      <w:tr>
        <w:trPr>
          <w:trHeight w:val="312" w:hRule="atLeast"/>
        </w:trPr>
        <w:tc>
          <w:tcPr>
            <w:tcW w:w="2218" w:type="dxa"/>
          </w:tcPr>
          <w:p>
            <w:pPr>
              <w:pStyle w:val="TableParagraph"/>
              <w:spacing w:before="36"/>
              <w:ind w:left="435" w:right="426"/>
              <w:rPr>
                <w:rFonts w:ascii="Times New Roman"/>
                <w:sz w:val="13"/>
              </w:rPr>
            </w:pPr>
            <w:r>
              <w:rPr>
                <w:rFonts w:ascii="Times New Roman"/>
                <w:position w:val="-6"/>
                <w:sz w:val="21"/>
              </w:rPr>
              <w:t>Ca</w:t>
            </w:r>
            <w:r>
              <w:rPr>
                <w:rFonts w:ascii="Times New Roman"/>
                <w:sz w:val="13"/>
              </w:rPr>
              <w:t>2+</w:t>
            </w:r>
          </w:p>
        </w:tc>
        <w:tc>
          <w:tcPr>
            <w:tcW w:w="1749" w:type="dxa"/>
          </w:tcPr>
          <w:p>
            <w:pPr>
              <w:pStyle w:val="TableParagraph"/>
              <w:spacing w:before="34"/>
              <w:ind w:left="7"/>
              <w:rPr>
                <w:rFonts w:ascii="Times New Roman"/>
                <w:b/>
                <w:sz w:val="21"/>
              </w:rPr>
            </w:pPr>
            <w:r>
              <w:rPr>
                <w:rFonts w:ascii="Times New Roman"/>
                <w:b/>
                <w:w w:val="99"/>
                <w:sz w:val="21"/>
              </w:rPr>
              <w:t>/</w:t>
            </w:r>
          </w:p>
        </w:tc>
        <w:tc>
          <w:tcPr>
            <w:tcW w:w="1749" w:type="dxa"/>
          </w:tcPr>
          <w:p>
            <w:pPr>
              <w:pStyle w:val="TableParagraph"/>
              <w:spacing w:before="34"/>
              <w:ind w:left="8"/>
              <w:rPr>
                <w:rFonts w:ascii="Times New Roman"/>
                <w:b/>
                <w:sz w:val="21"/>
              </w:rPr>
            </w:pPr>
            <w:r>
              <w:rPr>
                <w:rFonts w:ascii="Times New Roman"/>
                <w:b/>
                <w:w w:val="99"/>
                <w:sz w:val="21"/>
              </w:rPr>
              <w:t>/</w:t>
            </w:r>
          </w:p>
        </w:tc>
        <w:tc>
          <w:tcPr>
            <w:tcW w:w="1749" w:type="dxa"/>
          </w:tcPr>
          <w:p>
            <w:pPr>
              <w:pStyle w:val="TableParagraph"/>
              <w:spacing w:before="34"/>
              <w:ind w:left="9"/>
              <w:rPr>
                <w:rFonts w:ascii="Times New Roman"/>
                <w:b/>
                <w:sz w:val="21"/>
              </w:rPr>
            </w:pPr>
            <w:r>
              <w:rPr>
                <w:rFonts w:ascii="Times New Roman"/>
                <w:b/>
                <w:w w:val="99"/>
                <w:sz w:val="21"/>
              </w:rPr>
              <w:t>/</w:t>
            </w:r>
          </w:p>
        </w:tc>
      </w:tr>
      <w:tr>
        <w:trPr>
          <w:trHeight w:val="311" w:hRule="atLeast"/>
        </w:trPr>
        <w:tc>
          <w:tcPr>
            <w:tcW w:w="2218" w:type="dxa"/>
          </w:tcPr>
          <w:p>
            <w:pPr>
              <w:pStyle w:val="TableParagraph"/>
              <w:spacing w:before="36"/>
              <w:ind w:left="435" w:right="426"/>
              <w:rPr>
                <w:rFonts w:ascii="Times New Roman"/>
                <w:sz w:val="13"/>
              </w:rPr>
            </w:pPr>
            <w:r>
              <w:rPr>
                <w:rFonts w:ascii="Times New Roman"/>
                <w:position w:val="-6"/>
                <w:sz w:val="21"/>
              </w:rPr>
              <w:t>Mg</w:t>
            </w:r>
            <w:r>
              <w:rPr>
                <w:rFonts w:ascii="Times New Roman"/>
                <w:sz w:val="13"/>
              </w:rPr>
              <w:t>2+</w:t>
            </w:r>
          </w:p>
        </w:tc>
        <w:tc>
          <w:tcPr>
            <w:tcW w:w="1749" w:type="dxa"/>
          </w:tcPr>
          <w:p>
            <w:pPr>
              <w:pStyle w:val="TableParagraph"/>
              <w:spacing w:before="36"/>
              <w:ind w:left="7"/>
              <w:rPr>
                <w:rFonts w:ascii="Times New Roman"/>
                <w:b/>
                <w:sz w:val="21"/>
              </w:rPr>
            </w:pPr>
            <w:r>
              <w:rPr>
                <w:rFonts w:ascii="Times New Roman"/>
                <w:b/>
                <w:w w:val="99"/>
                <w:sz w:val="21"/>
              </w:rPr>
              <w:t>/</w:t>
            </w:r>
          </w:p>
        </w:tc>
        <w:tc>
          <w:tcPr>
            <w:tcW w:w="1749" w:type="dxa"/>
          </w:tcPr>
          <w:p>
            <w:pPr>
              <w:pStyle w:val="TableParagraph"/>
              <w:spacing w:before="36"/>
              <w:ind w:left="8"/>
              <w:rPr>
                <w:rFonts w:ascii="Times New Roman"/>
                <w:b/>
                <w:sz w:val="21"/>
              </w:rPr>
            </w:pPr>
            <w:r>
              <w:rPr>
                <w:rFonts w:ascii="Times New Roman"/>
                <w:b/>
                <w:w w:val="99"/>
                <w:sz w:val="21"/>
              </w:rPr>
              <w:t>/</w:t>
            </w:r>
          </w:p>
        </w:tc>
        <w:tc>
          <w:tcPr>
            <w:tcW w:w="1749" w:type="dxa"/>
          </w:tcPr>
          <w:p>
            <w:pPr>
              <w:pStyle w:val="TableParagraph"/>
              <w:spacing w:before="36"/>
              <w:ind w:left="9"/>
              <w:rPr>
                <w:rFonts w:ascii="Times New Roman"/>
                <w:b/>
                <w:sz w:val="21"/>
              </w:rPr>
            </w:pPr>
            <w:r>
              <w:rPr>
                <w:rFonts w:ascii="Times New Roman"/>
                <w:b/>
                <w:w w:val="99"/>
                <w:sz w:val="21"/>
              </w:rPr>
              <w:t>/</w:t>
            </w:r>
          </w:p>
        </w:tc>
      </w:tr>
      <w:tr>
        <w:trPr>
          <w:trHeight w:val="312" w:hRule="atLeast"/>
        </w:trPr>
        <w:tc>
          <w:tcPr>
            <w:tcW w:w="2218" w:type="dxa"/>
          </w:tcPr>
          <w:p>
            <w:pPr>
              <w:pStyle w:val="TableParagraph"/>
              <w:spacing w:line="71" w:lineRule="exact" w:before="40"/>
              <w:ind w:left="435" w:right="66"/>
              <w:rPr>
                <w:rFonts w:ascii="Times New Roman"/>
                <w:sz w:val="13"/>
              </w:rPr>
            </w:pPr>
            <w:r>
              <w:rPr>
                <w:rFonts w:ascii="Times New Roman"/>
                <w:w w:val="105"/>
                <w:sz w:val="13"/>
              </w:rPr>
              <w:t>2-</w:t>
            </w:r>
          </w:p>
          <w:p>
            <w:pPr>
              <w:pStyle w:val="TableParagraph"/>
              <w:spacing w:line="181" w:lineRule="exact"/>
              <w:ind w:left="326" w:right="426"/>
              <w:rPr>
                <w:rFonts w:ascii="Times New Roman"/>
                <w:sz w:val="21"/>
              </w:rPr>
            </w:pPr>
            <w:r>
              <w:rPr>
                <w:rFonts w:ascii="Times New Roman"/>
                <w:position w:val="2"/>
                <w:sz w:val="21"/>
              </w:rPr>
              <w:t>CO</w:t>
            </w:r>
            <w:r>
              <w:rPr>
                <w:rFonts w:ascii="Times New Roman"/>
                <w:position w:val="2"/>
                <w:sz w:val="21"/>
                <w:vertAlign w:val="subscript"/>
              </w:rPr>
              <w:t>3</w:t>
            </w:r>
          </w:p>
        </w:tc>
        <w:tc>
          <w:tcPr>
            <w:tcW w:w="1749" w:type="dxa"/>
          </w:tcPr>
          <w:p>
            <w:pPr>
              <w:pStyle w:val="TableParagraph"/>
              <w:spacing w:before="35"/>
              <w:ind w:left="7"/>
              <w:rPr>
                <w:rFonts w:ascii="Times New Roman"/>
                <w:b/>
                <w:sz w:val="21"/>
              </w:rPr>
            </w:pPr>
            <w:r>
              <w:rPr>
                <w:rFonts w:ascii="Times New Roman"/>
                <w:b/>
                <w:w w:val="99"/>
                <w:sz w:val="21"/>
              </w:rPr>
              <w:t>/</w:t>
            </w:r>
          </w:p>
        </w:tc>
        <w:tc>
          <w:tcPr>
            <w:tcW w:w="1749" w:type="dxa"/>
          </w:tcPr>
          <w:p>
            <w:pPr>
              <w:pStyle w:val="TableParagraph"/>
              <w:spacing w:before="35"/>
              <w:ind w:left="8"/>
              <w:rPr>
                <w:rFonts w:ascii="Times New Roman"/>
                <w:b/>
                <w:sz w:val="21"/>
              </w:rPr>
            </w:pPr>
            <w:r>
              <w:rPr>
                <w:rFonts w:ascii="Times New Roman"/>
                <w:b/>
                <w:w w:val="99"/>
                <w:sz w:val="21"/>
              </w:rPr>
              <w:t>/</w:t>
            </w:r>
          </w:p>
        </w:tc>
        <w:tc>
          <w:tcPr>
            <w:tcW w:w="1749" w:type="dxa"/>
          </w:tcPr>
          <w:p>
            <w:pPr>
              <w:pStyle w:val="TableParagraph"/>
              <w:spacing w:before="35"/>
              <w:ind w:left="9"/>
              <w:rPr>
                <w:rFonts w:ascii="Times New Roman"/>
                <w:b/>
                <w:sz w:val="21"/>
              </w:rPr>
            </w:pPr>
            <w:r>
              <w:rPr>
                <w:rFonts w:ascii="Times New Roman"/>
                <w:b/>
                <w:w w:val="99"/>
                <w:sz w:val="21"/>
              </w:rPr>
              <w:t>/</w:t>
            </w:r>
          </w:p>
        </w:tc>
      </w:tr>
      <w:tr>
        <w:trPr>
          <w:trHeight w:val="312" w:hRule="atLeast"/>
        </w:trPr>
        <w:tc>
          <w:tcPr>
            <w:tcW w:w="2218" w:type="dxa"/>
          </w:tcPr>
          <w:p>
            <w:pPr>
              <w:pStyle w:val="TableParagraph"/>
              <w:spacing w:line="71" w:lineRule="exact" w:before="40"/>
              <w:ind w:left="520"/>
              <w:rPr>
                <w:rFonts w:ascii="Times New Roman"/>
                <w:sz w:val="13"/>
              </w:rPr>
            </w:pPr>
            <w:r>
              <w:rPr>
                <w:rFonts w:ascii="Times New Roman"/>
                <w:w w:val="105"/>
                <w:sz w:val="13"/>
              </w:rPr>
              <w:t>-</w:t>
            </w:r>
          </w:p>
          <w:p>
            <w:pPr>
              <w:pStyle w:val="TableParagraph"/>
              <w:spacing w:line="181" w:lineRule="exact"/>
              <w:ind w:left="393" w:right="426"/>
              <w:rPr>
                <w:rFonts w:ascii="Times New Roman"/>
                <w:sz w:val="21"/>
              </w:rPr>
            </w:pPr>
            <w:r>
              <w:rPr>
                <w:rFonts w:ascii="Times New Roman"/>
                <w:position w:val="2"/>
                <w:sz w:val="21"/>
              </w:rPr>
              <w:t>HCO</w:t>
            </w:r>
            <w:r>
              <w:rPr>
                <w:rFonts w:ascii="Times New Roman"/>
                <w:position w:val="2"/>
                <w:sz w:val="21"/>
                <w:vertAlign w:val="subscript"/>
              </w:rPr>
              <w:t>3</w:t>
            </w:r>
          </w:p>
        </w:tc>
        <w:tc>
          <w:tcPr>
            <w:tcW w:w="1749" w:type="dxa"/>
          </w:tcPr>
          <w:p>
            <w:pPr>
              <w:pStyle w:val="TableParagraph"/>
              <w:spacing w:before="35"/>
              <w:ind w:left="7"/>
              <w:rPr>
                <w:rFonts w:ascii="Times New Roman"/>
                <w:b/>
                <w:sz w:val="21"/>
              </w:rPr>
            </w:pPr>
            <w:r>
              <w:rPr>
                <w:rFonts w:ascii="Times New Roman"/>
                <w:b/>
                <w:w w:val="99"/>
                <w:sz w:val="21"/>
              </w:rPr>
              <w:t>/</w:t>
            </w:r>
          </w:p>
        </w:tc>
        <w:tc>
          <w:tcPr>
            <w:tcW w:w="1749" w:type="dxa"/>
          </w:tcPr>
          <w:p>
            <w:pPr>
              <w:pStyle w:val="TableParagraph"/>
              <w:spacing w:before="35"/>
              <w:ind w:left="8"/>
              <w:rPr>
                <w:rFonts w:ascii="Times New Roman"/>
                <w:b/>
                <w:sz w:val="21"/>
              </w:rPr>
            </w:pPr>
            <w:r>
              <w:rPr>
                <w:rFonts w:ascii="Times New Roman"/>
                <w:b/>
                <w:w w:val="99"/>
                <w:sz w:val="21"/>
              </w:rPr>
              <w:t>/</w:t>
            </w:r>
          </w:p>
        </w:tc>
        <w:tc>
          <w:tcPr>
            <w:tcW w:w="1749" w:type="dxa"/>
          </w:tcPr>
          <w:p>
            <w:pPr>
              <w:pStyle w:val="TableParagraph"/>
              <w:spacing w:before="35"/>
              <w:ind w:left="9"/>
              <w:rPr>
                <w:rFonts w:ascii="Times New Roman"/>
                <w:b/>
                <w:sz w:val="21"/>
              </w:rPr>
            </w:pPr>
            <w:r>
              <w:rPr>
                <w:rFonts w:ascii="Times New Roman"/>
                <w:b/>
                <w:w w:val="99"/>
                <w:sz w:val="21"/>
              </w:rPr>
              <w:t>/</w:t>
            </w:r>
          </w:p>
        </w:tc>
      </w:tr>
      <w:tr>
        <w:trPr>
          <w:trHeight w:val="311" w:hRule="atLeast"/>
        </w:trPr>
        <w:tc>
          <w:tcPr>
            <w:tcW w:w="2218" w:type="dxa"/>
          </w:tcPr>
          <w:p>
            <w:pPr>
              <w:pStyle w:val="TableParagraph"/>
              <w:spacing w:before="34"/>
              <w:ind w:left="435" w:right="426"/>
              <w:rPr>
                <w:rFonts w:ascii="Times New Roman"/>
                <w:sz w:val="13"/>
              </w:rPr>
            </w:pPr>
            <w:r>
              <w:rPr>
                <w:rFonts w:ascii="Times New Roman"/>
                <w:sz w:val="21"/>
              </w:rPr>
              <w:t>Cl</w:t>
            </w:r>
            <w:r>
              <w:rPr>
                <w:rFonts w:ascii="Times New Roman"/>
                <w:position w:val="7"/>
                <w:sz w:val="13"/>
              </w:rPr>
              <w:t>-</w:t>
            </w:r>
          </w:p>
        </w:tc>
        <w:tc>
          <w:tcPr>
            <w:tcW w:w="1749" w:type="dxa"/>
          </w:tcPr>
          <w:p>
            <w:pPr>
              <w:pStyle w:val="TableParagraph"/>
              <w:spacing w:before="34"/>
              <w:ind w:left="7"/>
              <w:rPr>
                <w:rFonts w:ascii="Times New Roman"/>
                <w:b/>
                <w:sz w:val="21"/>
              </w:rPr>
            </w:pPr>
            <w:r>
              <w:rPr>
                <w:rFonts w:ascii="Times New Roman"/>
                <w:b/>
                <w:w w:val="99"/>
                <w:sz w:val="21"/>
              </w:rPr>
              <w:t>/</w:t>
            </w:r>
          </w:p>
        </w:tc>
        <w:tc>
          <w:tcPr>
            <w:tcW w:w="1749" w:type="dxa"/>
          </w:tcPr>
          <w:p>
            <w:pPr>
              <w:pStyle w:val="TableParagraph"/>
              <w:spacing w:before="34"/>
              <w:ind w:left="8"/>
              <w:rPr>
                <w:rFonts w:ascii="Times New Roman"/>
                <w:b/>
                <w:sz w:val="21"/>
              </w:rPr>
            </w:pPr>
            <w:r>
              <w:rPr>
                <w:rFonts w:ascii="Times New Roman"/>
                <w:b/>
                <w:w w:val="99"/>
                <w:sz w:val="21"/>
              </w:rPr>
              <w:t>/</w:t>
            </w:r>
          </w:p>
        </w:tc>
        <w:tc>
          <w:tcPr>
            <w:tcW w:w="1749" w:type="dxa"/>
          </w:tcPr>
          <w:p>
            <w:pPr>
              <w:pStyle w:val="TableParagraph"/>
              <w:spacing w:before="34"/>
              <w:ind w:left="9"/>
              <w:rPr>
                <w:rFonts w:ascii="Times New Roman"/>
                <w:b/>
                <w:sz w:val="21"/>
              </w:rPr>
            </w:pPr>
            <w:r>
              <w:rPr>
                <w:rFonts w:ascii="Times New Roman"/>
                <w:b/>
                <w:w w:val="99"/>
                <w:sz w:val="21"/>
              </w:rPr>
              <w:t>/</w:t>
            </w:r>
          </w:p>
        </w:tc>
      </w:tr>
      <w:tr>
        <w:trPr>
          <w:trHeight w:val="312" w:hRule="atLeast"/>
        </w:trPr>
        <w:tc>
          <w:tcPr>
            <w:tcW w:w="2218" w:type="dxa"/>
          </w:tcPr>
          <w:p>
            <w:pPr>
              <w:pStyle w:val="TableParagraph"/>
              <w:spacing w:before="31"/>
              <w:ind w:left="435" w:right="421"/>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8"/>
                <w:sz w:val="13"/>
              </w:rPr>
              <w:t>2-</w:t>
            </w:r>
          </w:p>
        </w:tc>
        <w:tc>
          <w:tcPr>
            <w:tcW w:w="1749" w:type="dxa"/>
          </w:tcPr>
          <w:p>
            <w:pPr>
              <w:pStyle w:val="TableParagraph"/>
              <w:spacing w:before="34"/>
              <w:ind w:left="7"/>
              <w:rPr>
                <w:rFonts w:ascii="Times New Roman"/>
                <w:b/>
                <w:sz w:val="21"/>
              </w:rPr>
            </w:pPr>
            <w:r>
              <w:rPr>
                <w:rFonts w:ascii="Times New Roman"/>
                <w:b/>
                <w:w w:val="99"/>
                <w:sz w:val="21"/>
              </w:rPr>
              <w:t>/</w:t>
            </w:r>
          </w:p>
        </w:tc>
        <w:tc>
          <w:tcPr>
            <w:tcW w:w="1749" w:type="dxa"/>
          </w:tcPr>
          <w:p>
            <w:pPr>
              <w:pStyle w:val="TableParagraph"/>
              <w:spacing w:before="34"/>
              <w:ind w:left="8"/>
              <w:rPr>
                <w:rFonts w:ascii="Times New Roman"/>
                <w:b/>
                <w:sz w:val="21"/>
              </w:rPr>
            </w:pPr>
            <w:r>
              <w:rPr>
                <w:rFonts w:ascii="Times New Roman"/>
                <w:b/>
                <w:w w:val="99"/>
                <w:sz w:val="21"/>
              </w:rPr>
              <w:t>/</w:t>
            </w:r>
          </w:p>
        </w:tc>
        <w:tc>
          <w:tcPr>
            <w:tcW w:w="1749" w:type="dxa"/>
          </w:tcPr>
          <w:p>
            <w:pPr>
              <w:pStyle w:val="TableParagraph"/>
              <w:spacing w:before="34"/>
              <w:ind w:left="9"/>
              <w:rPr>
                <w:rFonts w:ascii="Times New Roman"/>
                <w:b/>
                <w:sz w:val="21"/>
              </w:rPr>
            </w:pPr>
            <w:r>
              <w:rPr>
                <w:rFonts w:ascii="Times New Roman"/>
                <w:b/>
                <w:w w:val="99"/>
                <w:sz w:val="21"/>
              </w:rPr>
              <w:t>/</w:t>
            </w:r>
          </w:p>
        </w:tc>
      </w:tr>
    </w:tbl>
    <w:p>
      <w:pPr>
        <w:pStyle w:val="Heading4"/>
        <w:numPr>
          <w:ilvl w:val="3"/>
          <w:numId w:val="54"/>
        </w:numPr>
        <w:tabs>
          <w:tab w:pos="1432" w:val="left" w:leader="none"/>
        </w:tabs>
        <w:spacing w:line="240" w:lineRule="auto" w:before="2" w:after="0"/>
        <w:ind w:left="1432" w:right="0" w:hanging="721"/>
        <w:jc w:val="both"/>
      </w:pPr>
      <w:r>
        <w:rPr/>
        <w:t>地下水现状评价结论</w:t>
      </w:r>
    </w:p>
    <w:p>
      <w:pPr>
        <w:pStyle w:val="BodyText"/>
        <w:spacing w:line="364" w:lineRule="auto" w:before="158"/>
        <w:ind w:left="711" w:right="1153" w:firstLine="480"/>
        <w:jc w:val="both"/>
      </w:pPr>
      <w:r>
        <w:rPr>
          <w:spacing w:val="2"/>
        </w:rPr>
        <w:t>根据对黑龙江康和检测有限公司于</w:t>
      </w:r>
      <w:r>
        <w:rPr>
          <w:rFonts w:ascii="Times New Roman" w:hAnsi="Times New Roman" w:eastAsia="Times New Roman"/>
        </w:rPr>
        <w:t>2020</w:t>
      </w:r>
      <w:r>
        <w:rPr>
          <w:rFonts w:ascii="Times New Roman" w:hAnsi="Times New Roman" w:eastAsia="Times New Roman"/>
          <w:spacing w:val="-22"/>
        </w:rPr>
        <w:t> </w:t>
      </w:r>
      <w:r>
        <w:rPr>
          <w:spacing w:val="40"/>
        </w:rPr>
        <w:t>年</w:t>
      </w:r>
      <w:r>
        <w:rPr>
          <w:rFonts w:ascii="Times New Roman" w:hAnsi="Times New Roman" w:eastAsia="Times New Roman"/>
        </w:rPr>
        <w:t>07</w:t>
      </w:r>
      <w:r>
        <w:rPr>
          <w:rFonts w:ascii="Times New Roman" w:hAnsi="Times New Roman" w:eastAsia="Times New Roman"/>
          <w:spacing w:val="-20"/>
        </w:rPr>
        <w:t> </w:t>
      </w:r>
      <w:r>
        <w:rPr>
          <w:spacing w:val="40"/>
        </w:rPr>
        <w:t>月</w:t>
      </w:r>
      <w:r>
        <w:rPr>
          <w:rFonts w:ascii="Times New Roman" w:hAnsi="Times New Roman" w:eastAsia="Times New Roman"/>
        </w:rPr>
        <w:t>06</w:t>
      </w:r>
      <w:r>
        <w:rPr>
          <w:rFonts w:ascii="Times New Roman" w:hAnsi="Times New Roman" w:eastAsia="Times New Roman"/>
          <w:spacing w:val="-22"/>
        </w:rPr>
        <w:t> </w:t>
      </w:r>
      <w:r>
        <w:rPr>
          <w:spacing w:val="-2"/>
        </w:rPr>
        <w:t>日出具的监测报告进行分</w:t>
      </w:r>
      <w:r>
        <w:rPr/>
        <w:t>析可知，</w:t>
      </w:r>
      <w:r>
        <w:rPr>
          <w:rFonts w:ascii="Times New Roman" w:hAnsi="Times New Roman" w:eastAsia="Times New Roman"/>
        </w:rPr>
        <w:t>1#</w:t>
      </w:r>
      <w:r>
        <w:rPr/>
        <w:t>、</w:t>
      </w:r>
      <w:r>
        <w:rPr>
          <w:rFonts w:ascii="Times New Roman" w:hAnsi="Times New Roman" w:eastAsia="Times New Roman"/>
        </w:rPr>
        <w:t>2#</w:t>
      </w:r>
      <w:r>
        <w:rPr/>
        <w:t>、</w:t>
      </w:r>
      <w:r>
        <w:rPr>
          <w:rFonts w:ascii="Times New Roman" w:hAnsi="Times New Roman" w:eastAsia="Times New Roman"/>
        </w:rPr>
        <w:t>3#</w:t>
      </w:r>
      <w:r>
        <w:rPr>
          <w:spacing w:val="-1"/>
        </w:rPr>
        <w:t>监测点水质良好，监测因子均未超标，满足《地下水质量标</w:t>
      </w:r>
      <w:r>
        <w:rPr/>
        <w:t>准》（</w:t>
      </w:r>
      <w:r>
        <w:rPr>
          <w:rFonts w:ascii="Times New Roman" w:hAnsi="Times New Roman" w:eastAsia="Times New Roman"/>
        </w:rPr>
        <w:t>GB/T14848-2017</w:t>
      </w:r>
      <w:r>
        <w:rPr/>
        <w:t>）Ⅲ类标准。</w:t>
      </w:r>
    </w:p>
    <w:p>
      <w:pPr>
        <w:pStyle w:val="Heading2"/>
        <w:numPr>
          <w:ilvl w:val="1"/>
          <w:numId w:val="52"/>
        </w:numPr>
        <w:tabs>
          <w:tab w:pos="1161" w:val="left" w:leader="none"/>
        </w:tabs>
        <w:spacing w:line="240" w:lineRule="auto" w:before="117" w:after="0"/>
        <w:ind w:left="1160" w:right="0" w:hanging="450"/>
        <w:jc w:val="both"/>
        <w:rPr>
          <w:rFonts w:ascii="Times New Roman" w:eastAsia="Times New Roman"/>
        </w:rPr>
      </w:pPr>
      <w:bookmarkStart w:name="6.5建设期地下水环境影响分析与防治措施" w:id="329"/>
      <w:bookmarkEnd w:id="329"/>
      <w:r>
        <w:rPr>
          <w:b w:val="0"/>
        </w:rPr>
      </w:r>
      <w:bookmarkStart w:name="_bookmark33" w:id="330"/>
      <w:bookmarkEnd w:id="330"/>
      <w:r>
        <w:rPr>
          <w:b w:val="0"/>
        </w:rPr>
      </w:r>
      <w:bookmarkStart w:name="_bookmark33" w:id="331"/>
      <w:bookmarkEnd w:id="331"/>
      <w:r>
        <w:rPr/>
        <w:t>建设期地下水环境影响分析与防治措施</w:t>
      </w:r>
    </w:p>
    <w:p>
      <w:pPr>
        <w:pStyle w:val="BodyText"/>
        <w:spacing w:line="374" w:lineRule="auto" w:before="266"/>
        <w:ind w:left="711" w:right="1149" w:firstLine="480"/>
      </w:pPr>
      <w:r>
        <w:rPr/>
        <w:t>矿井建设期污水排放主要有井下排水、施工区废水和施工营地生活污水三部分水污染源。</w:t>
      </w:r>
    </w:p>
    <w:p>
      <w:pPr>
        <w:pStyle w:val="BodyText"/>
        <w:spacing w:line="284" w:lineRule="exact"/>
        <w:ind w:left="1191"/>
      </w:pPr>
      <w:r>
        <w:rPr/>
        <w:t>本项目矿井建设工期施工人数较多，必然要排放一定量的生活污水，使用场</w:t>
      </w:r>
    </w:p>
    <w:p>
      <w:pPr>
        <w:pStyle w:val="BodyText"/>
        <w:spacing w:before="161"/>
        <w:ind w:left="711"/>
      </w:pPr>
      <w:r>
        <w:rPr/>
        <w:t>地设有防渗旱厕，定期清掏，外运堆肥，不外排</w:t>
      </w:r>
    </w:p>
    <w:p>
      <w:pPr>
        <w:pStyle w:val="BodyText"/>
        <w:spacing w:line="364" w:lineRule="auto" w:before="158"/>
        <w:ind w:left="711" w:right="1168" w:firstLine="520"/>
        <w:jc w:val="both"/>
      </w:pPr>
      <w:r>
        <w:rPr/>
        <w:t>施工区废水主要来自于施工设备冲洗水和建材物料冲洗水， 废水中主要含有 </w:t>
      </w:r>
      <w:r>
        <w:rPr>
          <w:rFonts w:ascii="Times New Roman" w:eastAsia="Times New Roman"/>
        </w:rPr>
        <w:t>SS </w:t>
      </w:r>
      <w:r>
        <w:rPr/>
        <w:t>和石油类污染物。该部分废水收集到临时废水沉淀池处理后循环利用。</w:t>
      </w:r>
    </w:p>
    <w:p>
      <w:pPr>
        <w:pStyle w:val="BodyText"/>
        <w:spacing w:line="305" w:lineRule="exact"/>
        <w:ind w:left="711"/>
      </w:pPr>
      <w:r>
        <w:rPr/>
        <w:t>施工期井下排水可能造成局部地下水位的下降和地下水资源的破坏，影响本矿井</w:t>
      </w:r>
    </w:p>
    <w:p>
      <w:pPr>
        <w:spacing w:after="0" w:line="305" w:lineRule="exact"/>
        <w:sectPr>
          <w:footerReference w:type="default" r:id="rId49"/>
          <w:pgSz w:w="11910" w:h="16840"/>
          <w:pgMar w:footer="993" w:header="0" w:top="1420" w:bottom="1180" w:left="1040" w:right="600"/>
          <w:pgNumType w:start="110"/>
        </w:sectPr>
      </w:pPr>
    </w:p>
    <w:p>
      <w:pPr>
        <w:pStyle w:val="BodyText"/>
        <w:spacing w:line="364" w:lineRule="auto" w:before="43"/>
        <w:ind w:left="711" w:right="1029"/>
      </w:pPr>
      <w:r>
        <w:rPr>
          <w:spacing w:val="-6"/>
        </w:rPr>
        <w:t>充水因素的地下水主要是风化裂隙和构造裂隙含水层，受地表水及大气降水补给， </w:t>
      </w:r>
      <w:r>
        <w:rPr/>
        <w:t>补给条件较弱，井筒施工过程对地下水的水量影响较小。井下排水主要污染物为</w:t>
      </w:r>
      <w:r>
        <w:rPr>
          <w:rFonts w:ascii="Times New Roman" w:eastAsia="Times New Roman"/>
          <w:spacing w:val="-5"/>
        </w:rPr>
        <w:t>SS</w:t>
      </w:r>
      <w:r>
        <w:rPr>
          <w:spacing w:val="-3"/>
        </w:rPr>
        <w:t>，抽排至地面设置的临时废水沉淀池，经沉淀处理后再回用于井下施工用水和地面设备、物料冲洗水。</w:t>
      </w:r>
    </w:p>
    <w:p>
      <w:pPr>
        <w:pStyle w:val="Heading3"/>
        <w:numPr>
          <w:ilvl w:val="1"/>
          <w:numId w:val="52"/>
        </w:numPr>
        <w:tabs>
          <w:tab w:pos="1132" w:val="left" w:leader="none"/>
        </w:tabs>
        <w:spacing w:line="357" w:lineRule="exact" w:before="0" w:after="0"/>
        <w:ind w:left="1132" w:right="0" w:hanging="421"/>
        <w:jc w:val="left"/>
        <w:rPr>
          <w:rFonts w:ascii="Times New Roman" w:eastAsia="Times New Roman"/>
        </w:rPr>
      </w:pPr>
      <w:r>
        <w:rPr/>
        <w:t>地下水环境影响分析</w:t>
      </w:r>
    </w:p>
    <w:p>
      <w:pPr>
        <w:pStyle w:val="ListParagraph"/>
        <w:numPr>
          <w:ilvl w:val="2"/>
          <w:numId w:val="52"/>
        </w:numPr>
        <w:tabs>
          <w:tab w:pos="1341" w:val="left" w:leader="none"/>
        </w:tabs>
        <w:spacing w:line="240" w:lineRule="auto" w:before="186" w:after="0"/>
        <w:ind w:left="1340" w:right="0" w:hanging="630"/>
        <w:jc w:val="left"/>
        <w:rPr>
          <w:b/>
          <w:sz w:val="28"/>
        </w:rPr>
      </w:pPr>
      <w:r>
        <w:rPr>
          <w:b/>
          <w:sz w:val="28"/>
        </w:rPr>
        <w:t>地下水影响因素及污染途径识别</w:t>
      </w:r>
    </w:p>
    <w:p>
      <w:pPr>
        <w:pStyle w:val="BodyText"/>
        <w:spacing w:line="364" w:lineRule="auto" w:before="264"/>
        <w:ind w:left="711" w:right="1027" w:firstLine="480"/>
      </w:pPr>
      <w:r>
        <w:rPr>
          <w:spacing w:val="-10"/>
        </w:rPr>
        <w:t>根据项目相关资料，运营期水污染主要为工业场地内的生活污水、矿井涌水。</w:t>
      </w:r>
      <w:r>
        <w:rPr>
          <w:spacing w:val="-5"/>
        </w:rPr>
        <w:t>项目矿井正常的涌水量为 </w:t>
      </w:r>
      <w:r>
        <w:rPr>
          <w:rFonts w:ascii="Times New Roman" w:hAnsi="Times New Roman" w:eastAsia="Times New Roman"/>
          <w:spacing w:val="-6"/>
        </w:rPr>
        <w:t>20m</w:t>
      </w:r>
      <w:r>
        <w:rPr>
          <w:spacing w:val="-6"/>
        </w:rPr>
        <w:t>³</w:t>
      </w:r>
      <w:r>
        <w:rPr>
          <w:rFonts w:ascii="Times New Roman" w:hAnsi="Times New Roman" w:eastAsia="Times New Roman"/>
          <w:spacing w:val="-6"/>
        </w:rPr>
        <w:t>/h</w:t>
      </w:r>
      <w:r>
        <w:rPr>
          <w:spacing w:val="-5"/>
        </w:rPr>
        <w:t>，工业场地设矿井水处理站一座，常规处理规模</w:t>
      </w:r>
      <w:r>
        <w:rPr>
          <w:rFonts w:ascii="Times New Roman" w:hAnsi="Times New Roman" w:eastAsia="Times New Roman"/>
          <w:spacing w:val="-4"/>
        </w:rPr>
        <w:t>720m</w:t>
      </w:r>
      <w:r>
        <w:rPr>
          <w:spacing w:val="-4"/>
        </w:rPr>
        <w:t>³</w:t>
      </w:r>
      <w:r>
        <w:rPr>
          <w:rFonts w:ascii="Times New Roman" w:hAnsi="Times New Roman" w:eastAsia="Times New Roman"/>
          <w:spacing w:val="-4"/>
        </w:rPr>
        <w:t>/d</w:t>
      </w:r>
      <w:r>
        <w:rPr>
          <w:spacing w:val="-2"/>
        </w:rPr>
        <w:t>，经调节</w:t>
      </w:r>
      <w:r>
        <w:rPr>
          <w:rFonts w:ascii="Times New Roman" w:hAnsi="Times New Roman" w:eastAsia="Times New Roman"/>
        </w:rPr>
        <w:t>+</w:t>
      </w:r>
      <w:r>
        <w:rPr/>
        <w:t>混凝</w:t>
      </w:r>
      <w:r>
        <w:rPr>
          <w:rFonts w:ascii="Times New Roman" w:hAnsi="Times New Roman" w:eastAsia="Times New Roman"/>
        </w:rPr>
        <w:t>+</w:t>
      </w:r>
      <w:r>
        <w:rPr/>
        <w:t>沉淀</w:t>
      </w:r>
      <w:r>
        <w:rPr>
          <w:rFonts w:ascii="Times New Roman" w:hAnsi="Times New Roman" w:eastAsia="Times New Roman"/>
        </w:rPr>
        <w:t>+</w:t>
      </w:r>
      <w:r>
        <w:rPr/>
        <w:t>过滤</w:t>
      </w:r>
      <w:r>
        <w:rPr>
          <w:rFonts w:ascii="Times New Roman" w:hAnsi="Times New Roman" w:eastAsia="Times New Roman"/>
        </w:rPr>
        <w:t>+</w:t>
      </w:r>
      <w:r>
        <w:rPr>
          <w:spacing w:val="-7"/>
        </w:rPr>
        <w:t>消毒处理后，部分回用，部分外排自建鱼塘。</w:t>
      </w:r>
      <w:r>
        <w:rPr>
          <w:spacing w:val="-2"/>
        </w:rPr>
        <w:t>工业场地生活污水主要来自食堂、浴室、洗衣房以及办公楼等。产生量 </w:t>
      </w:r>
      <w:r>
        <w:rPr>
          <w:rFonts w:ascii="Times New Roman" w:hAnsi="Times New Roman" w:eastAsia="Times New Roman"/>
        </w:rPr>
        <w:t>92.70m</w:t>
      </w:r>
      <w:r>
        <w:rPr/>
        <w:t>³</w:t>
      </w:r>
    </w:p>
    <w:p>
      <w:pPr>
        <w:pStyle w:val="BodyText"/>
        <w:spacing w:line="364" w:lineRule="auto"/>
        <w:ind w:left="711" w:right="1144"/>
        <w:jc w:val="both"/>
      </w:pPr>
      <w:r>
        <w:rPr>
          <w:rFonts w:ascii="Times New Roman" w:eastAsia="Times New Roman"/>
          <w:position w:val="2"/>
        </w:rPr>
        <w:t>/d</w:t>
      </w:r>
      <w:r>
        <w:rPr>
          <w:spacing w:val="-2"/>
          <w:position w:val="2"/>
        </w:rPr>
        <w:t>。生活污水主要污染物为 </w:t>
      </w:r>
      <w:r>
        <w:rPr>
          <w:rFonts w:ascii="Times New Roman" w:eastAsia="Times New Roman"/>
          <w:position w:val="2"/>
        </w:rPr>
        <w:t>SS</w:t>
      </w:r>
      <w:r>
        <w:rPr>
          <w:position w:val="2"/>
        </w:rPr>
        <w:t>、</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、氨氮。矿井生活污水处理站处理</w:t>
      </w:r>
      <w:r>
        <w:rPr>
          <w:spacing w:val="-13"/>
          <w:vertAlign w:val="baseline"/>
        </w:rPr>
        <w:t>规模为 </w:t>
      </w:r>
      <w:r>
        <w:rPr>
          <w:rFonts w:ascii="Times New Roman" w:eastAsia="Times New Roman"/>
          <w:spacing w:val="-3"/>
          <w:vertAlign w:val="baseline"/>
        </w:rPr>
        <w:t>120m</w:t>
      </w:r>
      <w:r>
        <w:rPr>
          <w:rFonts w:ascii="Times New Roman" w:eastAsia="Times New Roman"/>
          <w:spacing w:val="-3"/>
          <w:position w:val="8"/>
          <w:sz w:val="15"/>
          <w:vertAlign w:val="baseline"/>
        </w:rPr>
        <w:t>3</w:t>
      </w:r>
      <w:r>
        <w:rPr>
          <w:rFonts w:ascii="Times New Roman" w:eastAsia="Times New Roman"/>
          <w:spacing w:val="-3"/>
          <w:vertAlign w:val="baseline"/>
        </w:rPr>
        <w:t>/d</w:t>
      </w:r>
      <w:r>
        <w:rPr>
          <w:spacing w:val="-2"/>
          <w:vertAlign w:val="baseline"/>
        </w:rPr>
        <w:t>，二级生物法</w:t>
      </w:r>
      <w:r>
        <w:rPr>
          <w:rFonts w:ascii="Times New Roman" w:eastAsia="Times New Roman"/>
          <w:vertAlign w:val="baseline"/>
        </w:rPr>
        <w:t>+</w:t>
      </w:r>
      <w:r>
        <w:rPr>
          <w:spacing w:val="-5"/>
          <w:vertAlign w:val="baseline"/>
        </w:rPr>
        <w:t>超滤处理后，回用于生产、工业场地绿化洒水用水</w:t>
      </w:r>
      <w:r>
        <w:rPr>
          <w:vertAlign w:val="baseline"/>
        </w:rPr>
        <w:t>等。</w:t>
      </w:r>
    </w:p>
    <w:p>
      <w:pPr>
        <w:pStyle w:val="BodyText"/>
        <w:ind w:left="1191"/>
        <w:jc w:val="both"/>
      </w:pPr>
      <w:r>
        <w:rPr/>
        <w:t>因此，本次地下水环境影响预测主要以生活污水为主，预测因子取 </w:t>
      </w:r>
      <w:r>
        <w:rPr>
          <w:rFonts w:ascii="Times New Roman" w:eastAsia="Times New Roman"/>
        </w:rPr>
        <w:t>COD</w:t>
      </w:r>
      <w:r>
        <w:rPr/>
        <w:t>。</w:t>
      </w:r>
    </w:p>
    <w:p>
      <w:pPr>
        <w:pStyle w:val="Heading3"/>
        <w:numPr>
          <w:ilvl w:val="2"/>
          <w:numId w:val="52"/>
        </w:numPr>
        <w:tabs>
          <w:tab w:pos="1341" w:val="left" w:leader="none"/>
        </w:tabs>
        <w:spacing w:line="240" w:lineRule="auto" w:before="212" w:after="0"/>
        <w:ind w:left="1340" w:right="0" w:hanging="630"/>
        <w:jc w:val="left"/>
      </w:pPr>
      <w:r>
        <w:rPr/>
        <w:t>运营期地下水环境影响预测和分析</w:t>
      </w:r>
    </w:p>
    <w:p>
      <w:pPr>
        <w:pStyle w:val="BodyText"/>
        <w:spacing w:before="214"/>
        <w:ind w:left="1191"/>
      </w:pPr>
      <w:r>
        <w:rPr>
          <w:rFonts w:ascii="Times New Roman" w:eastAsia="Times New Roman"/>
        </w:rPr>
        <w:t>1</w:t>
      </w:r>
      <w:r>
        <w:rPr/>
        <w:t>、正常情况</w:t>
      </w:r>
    </w:p>
    <w:p>
      <w:pPr>
        <w:pStyle w:val="BodyText"/>
        <w:spacing w:line="364" w:lineRule="auto" w:before="160"/>
        <w:ind w:left="711" w:right="1147" w:firstLine="480"/>
        <w:jc w:val="both"/>
      </w:pPr>
      <w:r>
        <w:rPr/>
        <w:t>正常状况指建设项目污废水集、贮及处理建（构）</w:t>
      </w:r>
      <w:r>
        <w:rPr>
          <w:spacing w:val="-2"/>
        </w:rPr>
        <w:t>筑物、装置和设施区域的</w:t>
      </w:r>
      <w:r>
        <w:rPr>
          <w:spacing w:val="-1"/>
        </w:rPr>
        <w:t>防渗措施达到防渗技术要求。矿井水本身水质较好，运行期矿井水受采煤产生的煤屑污染，受污染后的矿井涌水首先汇集到井底水仓然后通过主排水系统进入矿井水处理站处理。矿井水处理站为防水钢筋混凝土结构，正常状况下，矿井水处理站的防渗措施达到防渗技术要求，对地下水的影响较小。生活污水主要污染物</w:t>
      </w:r>
      <w:r>
        <w:rPr>
          <w:spacing w:val="-30"/>
          <w:position w:val="2"/>
        </w:rPr>
        <w:t>为 </w:t>
      </w:r>
      <w:r>
        <w:rPr>
          <w:rFonts w:ascii="Times New Roman" w:eastAsia="Times New Roman"/>
          <w:position w:val="2"/>
        </w:rPr>
        <w:t>COD</w:t>
      </w:r>
      <w:r>
        <w:rPr>
          <w:spacing w:val="-27"/>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 </w:t>
      </w:r>
      <w:r>
        <w:rPr>
          <w:spacing w:val="-9"/>
          <w:position w:val="2"/>
          <w:vertAlign w:val="baseline"/>
        </w:rPr>
        <w:t>等，水质较差，生活污水处理站为防水钢筋混凝土结构，正常情</w:t>
      </w:r>
      <w:r>
        <w:rPr>
          <w:vertAlign w:val="baseline"/>
        </w:rPr>
        <w:t>况下，生活污水处理站的防渗措施达到防渗技术要求，对地下水的影响较小。</w:t>
      </w:r>
    </w:p>
    <w:p>
      <w:pPr>
        <w:pStyle w:val="BodyText"/>
        <w:spacing w:line="307" w:lineRule="exact"/>
        <w:ind w:left="1191"/>
      </w:pPr>
      <w:r>
        <w:rPr>
          <w:rFonts w:ascii="Times New Roman" w:eastAsia="Times New Roman"/>
        </w:rPr>
        <w:t>2</w:t>
      </w:r>
      <w:r>
        <w:rPr/>
        <w:t>、非正常情况</w:t>
      </w:r>
    </w:p>
    <w:p>
      <w:pPr>
        <w:pStyle w:val="BodyText"/>
        <w:spacing w:line="364" w:lineRule="auto" w:before="161"/>
        <w:ind w:left="711" w:right="1153" w:firstLine="480"/>
        <w:jc w:val="both"/>
      </w:pPr>
      <w:r>
        <w:rPr/>
        <w:t>非正常状况指污废水集、贮及处理建（构）筑物、装置和设施区域的防渗措施因老化、腐蚀等原因达不到防渗技术要求时的状况。本次环评考虑生活污水处理站非正常状况下对地下水环境影响。</w:t>
      </w:r>
    </w:p>
    <w:p>
      <w:pPr>
        <w:pStyle w:val="BodyText"/>
        <w:spacing w:before="2"/>
        <w:ind w:left="1191"/>
      </w:pPr>
      <w:r>
        <w:rPr/>
        <w:t>预测情景</w:t>
      </w:r>
    </w:p>
    <w:p>
      <w:pPr>
        <w:pStyle w:val="BodyText"/>
        <w:spacing w:before="160"/>
        <w:ind w:left="1191"/>
      </w:pPr>
      <w:r>
        <w:rPr/>
        <w:t>本次预测对污染物的吸附、挥发、生物化学反应均不予以考虑，对模型中的</w:t>
      </w:r>
    </w:p>
    <w:p>
      <w:pPr>
        <w:spacing w:after="0"/>
        <w:sectPr>
          <w:pgSz w:w="11910" w:h="16840"/>
          <w:pgMar w:header="0" w:footer="993" w:top="1380" w:bottom="1180" w:left="1040" w:right="600"/>
        </w:sectPr>
      </w:pPr>
    </w:p>
    <w:p>
      <w:pPr>
        <w:pStyle w:val="BodyText"/>
        <w:spacing w:line="364" w:lineRule="auto" w:before="42"/>
        <w:ind w:left="711" w:right="1033"/>
      </w:pPr>
      <w:r>
        <w:rPr/>
        <w:t>各项参数均予保守性估计，即假定污染质在地下运移过程中，不与含水层介质发</w:t>
      </w:r>
      <w:r>
        <w:rPr>
          <w:spacing w:val="-13"/>
        </w:rPr>
        <w:t>生作用或反应，计算按保守性计算，估计污染源最大程度上对地下水水质的影响。</w:t>
      </w:r>
      <w:r>
        <w:rPr/>
        <w:t>非正常状况下，生活污水处理站和矿井水处理站污废水的渗漏不容易被发现，会</w:t>
      </w:r>
      <w:r>
        <w:rPr>
          <w:spacing w:val="-14"/>
        </w:rPr>
        <w:t>发生持续泄漏，因此污染物的渗漏规律概化为连续恒定排放。根据地下水预测《环境影响评价技术导则 地下水》</w:t>
      </w:r>
      <w:r>
        <w:rPr>
          <w:spacing w:val="-3"/>
        </w:rPr>
        <w:t>（</w:t>
      </w:r>
      <w:r>
        <w:rPr>
          <w:rFonts w:ascii="Times New Roman" w:hAnsi="Times New Roman" w:eastAsia="Times New Roman"/>
          <w:spacing w:val="-3"/>
        </w:rPr>
        <w:t>HJ610-2016</w:t>
      </w:r>
      <w:r>
        <w:rPr>
          <w:spacing w:val="-3"/>
        </w:rPr>
        <w:t>）</w:t>
      </w:r>
      <w:r>
        <w:rPr>
          <w:spacing w:val="-5"/>
        </w:rPr>
        <w:t>要求，根据本项目地下水的污染特性选用</w:t>
      </w:r>
      <w:r>
        <w:rPr>
          <w:rFonts w:ascii="Times New Roman" w:hAnsi="Times New Roman" w:eastAsia="Times New Roman"/>
          <w:spacing w:val="-5"/>
        </w:rPr>
        <w:t>“</w:t>
      </w:r>
      <w:r>
        <w:rPr>
          <w:spacing w:val="-5"/>
        </w:rPr>
        <w:t>一维无限长多孔介质柱体，示踪剂瞬时注入</w:t>
      </w:r>
      <w:r>
        <w:rPr>
          <w:rFonts w:ascii="Times New Roman" w:hAnsi="Times New Roman" w:eastAsia="Times New Roman"/>
          <w:spacing w:val="-5"/>
        </w:rPr>
        <w:t>”</w:t>
      </w:r>
      <w:r>
        <w:rPr>
          <w:spacing w:val="-5"/>
        </w:rPr>
        <w:t>，公式如下。</w:t>
      </w:r>
    </w:p>
    <w:p>
      <w:pPr>
        <w:pStyle w:val="BodyText"/>
        <w:spacing w:before="8"/>
        <w:rPr>
          <w:sz w:val="25"/>
        </w:rPr>
      </w:pPr>
      <w:r>
        <w:rPr/>
        <w:drawing>
          <wp:anchor distT="0" distB="0" distL="0" distR="0" allowOverlap="1" layoutInCell="1" locked="0" behindDoc="0" simplePos="0" relativeHeight="151">
            <wp:simplePos x="0" y="0"/>
            <wp:positionH relativeFrom="page">
              <wp:posOffset>2603689</wp:posOffset>
            </wp:positionH>
            <wp:positionV relativeFrom="paragraph">
              <wp:posOffset>233333</wp:posOffset>
            </wp:positionV>
            <wp:extent cx="2501352" cy="643890"/>
            <wp:effectExtent l="0" t="0" r="0" b="0"/>
            <wp:wrapTopAndBottom/>
            <wp:docPr id="53" name="image30.jpeg"/>
            <wp:cNvGraphicFramePr>
              <a:graphicFrameLocks noChangeAspect="1"/>
            </wp:cNvGraphicFramePr>
            <a:graphic>
              <a:graphicData uri="http://schemas.openxmlformats.org/drawingml/2006/picture">
                <pic:pic>
                  <pic:nvPicPr>
                    <pic:cNvPr id="54" name="image30.jpeg"/>
                    <pic:cNvPicPr/>
                  </pic:nvPicPr>
                  <pic:blipFill>
                    <a:blip r:embed="rId50" cstate="print"/>
                    <a:stretch>
                      <a:fillRect/>
                    </a:stretch>
                  </pic:blipFill>
                  <pic:spPr>
                    <a:xfrm>
                      <a:off x="0" y="0"/>
                      <a:ext cx="2501352" cy="643890"/>
                    </a:xfrm>
                    <a:prstGeom prst="rect">
                      <a:avLst/>
                    </a:prstGeom>
                  </pic:spPr>
                </pic:pic>
              </a:graphicData>
            </a:graphic>
          </wp:anchor>
        </w:drawing>
      </w:r>
    </w:p>
    <w:p>
      <w:pPr>
        <w:pStyle w:val="BodyText"/>
        <w:rPr>
          <w:sz w:val="20"/>
        </w:rPr>
      </w:pPr>
    </w:p>
    <w:p>
      <w:pPr>
        <w:pStyle w:val="BodyText"/>
        <w:spacing w:before="9"/>
        <w:rPr>
          <w:sz w:val="16"/>
        </w:rPr>
      </w:pPr>
    </w:p>
    <w:p>
      <w:pPr>
        <w:pStyle w:val="BodyText"/>
        <w:spacing w:line="388" w:lineRule="auto" w:before="76"/>
        <w:ind w:left="1892" w:right="5632" w:hanging="581"/>
      </w:pPr>
      <w:r>
        <w:rPr/>
        <w:t>式中 </w:t>
      </w:r>
      <w:r>
        <w:rPr>
          <w:rFonts w:ascii="Times New Roman" w:hAnsi="Times New Roman" w:eastAsia="Times New Roman"/>
        </w:rPr>
        <w:t>x—</w:t>
      </w:r>
      <w:r>
        <w:rPr/>
        <w:t>距注入点的距离，</w:t>
      </w:r>
      <w:r>
        <w:rPr>
          <w:rFonts w:ascii="Times New Roman" w:hAnsi="Times New Roman" w:eastAsia="Times New Roman"/>
        </w:rPr>
        <w:t>m</w:t>
      </w:r>
      <w:r>
        <w:rPr/>
        <w:t>； </w:t>
      </w:r>
      <w:r>
        <w:rPr>
          <w:rFonts w:ascii="Times New Roman" w:hAnsi="Times New Roman" w:eastAsia="Times New Roman"/>
        </w:rPr>
        <w:t>t—</w:t>
      </w:r>
      <w:r>
        <w:rPr/>
        <w:t>时间，</w:t>
      </w:r>
      <w:r>
        <w:rPr>
          <w:rFonts w:ascii="Times New Roman" w:hAnsi="Times New Roman" w:eastAsia="Times New Roman"/>
        </w:rPr>
        <w:t>d</w:t>
      </w:r>
      <w:r>
        <w:rPr/>
        <w:t>；</w:t>
      </w:r>
    </w:p>
    <w:p>
      <w:pPr>
        <w:pStyle w:val="BodyText"/>
        <w:spacing w:before="2"/>
        <w:ind w:left="1892"/>
      </w:pPr>
      <w:r>
        <w:rPr>
          <w:rFonts w:ascii="Times New Roman" w:hAnsi="Times New Roman" w:eastAsia="Times New Roman"/>
        </w:rPr>
        <w:t>C—t </w:t>
      </w:r>
      <w:r>
        <w:rPr/>
        <w:t>时刻 </w:t>
      </w:r>
      <w:r>
        <w:rPr>
          <w:rFonts w:ascii="Times New Roman" w:hAnsi="Times New Roman" w:eastAsia="Times New Roman"/>
        </w:rPr>
        <w:t>x </w:t>
      </w:r>
      <w:r>
        <w:rPr/>
        <w:t>处的示踪剂浓度，</w:t>
      </w:r>
      <w:r>
        <w:rPr>
          <w:rFonts w:ascii="Times New Roman" w:hAnsi="Times New Roman" w:eastAsia="Times New Roman"/>
        </w:rPr>
        <w:t>g/L</w:t>
      </w:r>
      <w:r>
        <w:rPr/>
        <w:t>；</w:t>
      </w:r>
    </w:p>
    <w:p>
      <w:pPr>
        <w:pStyle w:val="BodyText"/>
        <w:spacing w:line="388" w:lineRule="auto" w:before="195"/>
        <w:ind w:left="1892" w:right="5291"/>
      </w:pPr>
      <w:r>
        <w:rPr>
          <w:rFonts w:ascii="Times New Roman" w:hAnsi="Times New Roman" w:eastAsia="Times New Roman"/>
        </w:rPr>
        <w:t>m—</w:t>
      </w:r>
      <w:r>
        <w:rPr/>
        <w:t>注入的示踪剂质量，</w:t>
      </w:r>
      <w:r>
        <w:rPr>
          <w:rFonts w:ascii="Times New Roman" w:hAnsi="Times New Roman" w:eastAsia="Times New Roman"/>
        </w:rPr>
        <w:t>kg</w:t>
      </w:r>
      <w:r>
        <w:rPr/>
        <w:t>； </w:t>
      </w:r>
      <w:r>
        <w:rPr>
          <w:rFonts w:ascii="Times New Roman" w:hAnsi="Times New Roman" w:eastAsia="Times New Roman"/>
        </w:rPr>
        <w:t>w—</w:t>
      </w:r>
      <w:r>
        <w:rPr/>
        <w:t>横截面面积，</w:t>
      </w:r>
      <w:r>
        <w:rPr>
          <w:rFonts w:ascii="Times New Roman" w:hAnsi="Times New Roman" w:eastAsia="Times New Roman"/>
        </w:rPr>
        <w:t>m</w:t>
      </w:r>
      <w:r>
        <w:rPr>
          <w:rFonts w:ascii="Times New Roman" w:hAnsi="Times New Roman" w:eastAsia="Times New Roman"/>
          <w:position w:val="8"/>
          <w:sz w:val="15"/>
        </w:rPr>
        <w:t>2</w:t>
      </w:r>
      <w:r>
        <w:rPr/>
        <w:t>；</w:t>
      </w:r>
    </w:p>
    <w:p>
      <w:pPr>
        <w:pStyle w:val="BodyText"/>
        <w:spacing w:before="2"/>
        <w:ind w:left="1892"/>
      </w:pPr>
      <w:r>
        <w:rPr>
          <w:rFonts w:ascii="Times New Roman" w:hAnsi="Times New Roman" w:eastAsia="Times New Roman"/>
        </w:rPr>
        <w:t>u—</w:t>
      </w:r>
      <w:r>
        <w:rPr/>
        <w:t>水流速度，</w:t>
      </w:r>
      <w:r>
        <w:rPr>
          <w:rFonts w:ascii="Times New Roman" w:hAnsi="Times New Roman" w:eastAsia="Times New Roman"/>
        </w:rPr>
        <w:t>m/d</w:t>
      </w:r>
      <w:r>
        <w:rPr/>
        <w:t>；</w:t>
      </w:r>
    </w:p>
    <w:p>
      <w:pPr>
        <w:pStyle w:val="BodyText"/>
        <w:spacing w:line="386" w:lineRule="auto" w:before="191"/>
        <w:ind w:left="1892" w:right="5493"/>
        <w:jc w:val="both"/>
      </w:pP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w:t>
      </w:r>
      <w:r>
        <w:rPr>
          <w:position w:val="2"/>
          <w:vertAlign w:val="baseline"/>
        </w:rPr>
        <w:t>有效孔隙度，无量纲； </w:t>
      </w:r>
      <w:r>
        <w:rPr>
          <w:rFonts w:ascii="Times New Roman" w:hAnsi="Times New Roman" w:eastAsia="Times New Roman"/>
          <w:position w:val="2"/>
          <w:vertAlign w:val="baseline"/>
        </w:rPr>
        <w:t>D</w:t>
      </w:r>
      <w:r>
        <w:rPr>
          <w:rFonts w:ascii="Times New Roman" w:hAnsi="Times New Roman" w:eastAsia="Times New Roman"/>
          <w:position w:val="2"/>
          <w:vertAlign w:val="subscript"/>
        </w:rPr>
        <w:t>L</w:t>
      </w:r>
      <w:r>
        <w:rPr>
          <w:rFonts w:ascii="Times New Roman" w:hAnsi="Times New Roman" w:eastAsia="Times New Roman"/>
          <w:position w:val="2"/>
          <w:vertAlign w:val="baseline"/>
        </w:rPr>
        <w:t>—</w:t>
      </w:r>
      <w:r>
        <w:rPr>
          <w:position w:val="2"/>
          <w:vertAlign w:val="baseline"/>
        </w:rPr>
        <w:t>纵向弥散系数，</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 </w:t>
      </w:r>
      <w:r>
        <w:rPr>
          <w:rFonts w:ascii="Times New Roman" w:hAnsi="Times New Roman" w:eastAsia="Times New Roman"/>
          <w:vertAlign w:val="baseline"/>
        </w:rPr>
        <w:t>π—</w:t>
      </w:r>
      <w:r>
        <w:rPr>
          <w:vertAlign w:val="baseline"/>
        </w:rPr>
        <w:t>圆周率。</w:t>
      </w:r>
    </w:p>
    <w:p>
      <w:pPr>
        <w:pStyle w:val="BodyText"/>
        <w:spacing w:line="235" w:lineRule="exact"/>
        <w:ind w:left="1191"/>
        <w:jc w:val="both"/>
      </w:pPr>
      <w:r>
        <w:rPr/>
        <w:t>本项目潜水层主要由砂土组成。渗透系数参照《环境影响评价技术导则 地下</w:t>
      </w:r>
    </w:p>
    <w:p>
      <w:pPr>
        <w:pStyle w:val="BodyText"/>
        <w:spacing w:line="362" w:lineRule="auto" w:before="160"/>
        <w:ind w:left="711" w:right="1147"/>
        <w:jc w:val="both"/>
      </w:pPr>
      <w:r>
        <w:rPr/>
        <w:t>水环境》（</w:t>
      </w:r>
      <w:r>
        <w:rPr>
          <w:rFonts w:ascii="Times New Roman" w:hAnsi="Times New Roman" w:eastAsia="Times New Roman"/>
        </w:rPr>
        <w:t>HJ610-2016</w:t>
      </w:r>
      <w:r>
        <w:rPr/>
        <w:t>）</w:t>
      </w:r>
      <w:r>
        <w:rPr>
          <w:spacing w:val="-15"/>
        </w:rPr>
        <w:t>附录 </w:t>
      </w:r>
      <w:r>
        <w:rPr>
          <w:rFonts w:ascii="Times New Roman" w:hAnsi="Times New Roman" w:eastAsia="Times New Roman"/>
        </w:rPr>
        <w:t>B1 </w:t>
      </w:r>
      <w:r>
        <w:rPr>
          <w:spacing w:val="-6"/>
        </w:rPr>
        <w:t>中的砂土，取值为 </w:t>
      </w:r>
      <w:r>
        <w:rPr>
          <w:rFonts w:ascii="Times New Roman" w:hAnsi="Times New Roman" w:eastAsia="Times New Roman"/>
        </w:rPr>
        <w:t>1.5m/d</w:t>
      </w:r>
      <w:r>
        <w:rPr/>
        <w:t>，有效孔隙度取经验</w:t>
      </w:r>
      <w:r>
        <w:rPr>
          <w:spacing w:val="-29"/>
          <w:position w:val="2"/>
        </w:rPr>
        <w:t>值 </w:t>
      </w:r>
      <w:r>
        <w:rPr>
          <w:rFonts w:ascii="Times New Roman" w:hAnsi="Times New Roman" w:eastAsia="Times New Roman"/>
          <w:spacing w:val="-3"/>
          <w:position w:val="2"/>
        </w:rPr>
        <w:t>n</w:t>
      </w:r>
      <w:r>
        <w:rPr>
          <w:rFonts w:ascii="Times New Roman" w:hAnsi="Times New Roman" w:eastAsia="Times New Roman"/>
          <w:spacing w:val="-3"/>
          <w:position w:val="2"/>
          <w:vertAlign w:val="subscript"/>
        </w:rPr>
        <w:t>e</w:t>
      </w:r>
      <w:r>
        <w:rPr>
          <w:rFonts w:ascii="Times New Roman" w:hAnsi="Times New Roman" w:eastAsia="Times New Roman"/>
          <w:spacing w:val="-3"/>
          <w:position w:val="2"/>
          <w:vertAlign w:val="baseline"/>
        </w:rPr>
        <w:t>=0.30</w:t>
      </w:r>
      <w:r>
        <w:rPr>
          <w:spacing w:val="-10"/>
          <w:position w:val="2"/>
          <w:vertAlign w:val="baseline"/>
        </w:rPr>
        <w:t>，水力坡度取 </w:t>
      </w:r>
      <w:r>
        <w:rPr>
          <w:rFonts w:ascii="Times New Roman" w:hAnsi="Times New Roman" w:eastAsia="Times New Roman"/>
          <w:spacing w:val="-4"/>
          <w:position w:val="2"/>
          <w:vertAlign w:val="baseline"/>
        </w:rPr>
        <w:t>I=3‰</w:t>
      </w:r>
      <w:r>
        <w:rPr>
          <w:spacing w:val="-9"/>
          <w:position w:val="2"/>
          <w:vertAlign w:val="baseline"/>
        </w:rPr>
        <w:t>，根据达西定律 </w:t>
      </w:r>
      <w:r>
        <w:rPr>
          <w:rFonts w:ascii="Times New Roman" w:hAnsi="Times New Roman" w:eastAsia="Times New Roman"/>
          <w:position w:val="2"/>
          <w:vertAlign w:val="baseline"/>
        </w:rPr>
        <w:t>u=</w:t>
      </w:r>
      <w:r>
        <w:rPr>
          <w:position w:val="2"/>
          <w:vertAlign w:val="baseline"/>
        </w:rPr>
        <w:t>渗透系数</w:t>
      </w:r>
      <w:r>
        <w:rPr>
          <w:rFonts w:ascii="Times New Roman" w:hAnsi="Times New Roman" w:eastAsia="Times New Roman"/>
          <w:position w:val="2"/>
          <w:vertAlign w:val="baseline"/>
        </w:rPr>
        <w:t>×</w:t>
      </w:r>
      <w:r>
        <w:rPr>
          <w:position w:val="2"/>
          <w:vertAlign w:val="baseline"/>
        </w:rPr>
        <w:t>地下水水力坡度</w:t>
      </w:r>
      <w:r>
        <w:rPr>
          <w:rFonts w:ascii="Times New Roman" w:hAnsi="Times New Roman" w:eastAsia="Times New Roman"/>
          <w:position w:val="2"/>
          <w:vertAlign w:val="baseline"/>
        </w:rPr>
        <w:t>/</w:t>
      </w:r>
      <w:r>
        <w:rPr>
          <w:spacing w:val="-7"/>
          <w:position w:val="2"/>
          <w:vertAlign w:val="baseline"/>
        </w:rPr>
        <w:t>有效</w:t>
      </w:r>
      <w:r>
        <w:rPr>
          <w:spacing w:val="-6"/>
          <w:vertAlign w:val="baseline"/>
        </w:rPr>
        <w:t>孔隙度，计算可得流速为 </w:t>
      </w:r>
      <w:r>
        <w:rPr>
          <w:rFonts w:ascii="Times New Roman" w:hAnsi="Times New Roman" w:eastAsia="Times New Roman"/>
          <w:vertAlign w:val="baseline"/>
        </w:rPr>
        <w:t>0.015m/d</w:t>
      </w:r>
      <w:r>
        <w:rPr>
          <w:spacing w:val="-5"/>
          <w:vertAlign w:val="baseline"/>
        </w:rPr>
        <w:t>，弥散系数根据经验值取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pStyle w:val="Heading4"/>
        <w:tabs>
          <w:tab w:pos="1039" w:val="left" w:leader="none"/>
        </w:tabs>
        <w:spacing w:line="235" w:lineRule="exact" w:after="3"/>
        <w:ind w:right="435"/>
        <w:jc w:val="center"/>
      </w:pPr>
      <w:r>
        <w:rPr/>
        <w:t>表</w:t>
      </w:r>
      <w:r>
        <w:rPr>
          <w:spacing w:val="-62"/>
        </w:rPr>
        <w:t> </w:t>
      </w:r>
      <w:r>
        <w:rPr>
          <w:rFonts w:ascii="Times New Roman" w:eastAsia="Times New Roman"/>
        </w:rPr>
        <w:t>6.5-4</w:t>
        <w:tab/>
      </w:r>
      <w:r>
        <w:rPr/>
        <w:t>预测参数</w:t>
      </w:r>
    </w:p>
    <w:tbl>
      <w:tblPr>
        <w:tblW w:w="0" w:type="auto"/>
        <w:jc w:val="left"/>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6"/>
        <w:gridCol w:w="4889"/>
      </w:tblGrid>
      <w:tr>
        <w:trPr>
          <w:trHeight w:val="397" w:hRule="atLeast"/>
        </w:trPr>
        <w:tc>
          <w:tcPr>
            <w:tcW w:w="3956" w:type="dxa"/>
          </w:tcPr>
          <w:p>
            <w:pPr>
              <w:pStyle w:val="TableParagraph"/>
              <w:spacing w:before="63"/>
              <w:ind w:left="1432" w:right="1424"/>
              <w:rPr>
                <w:sz w:val="21"/>
              </w:rPr>
            </w:pPr>
            <w:r>
              <w:rPr>
                <w:sz w:val="21"/>
              </w:rPr>
              <w:t>含水层参数</w:t>
            </w:r>
          </w:p>
        </w:tc>
        <w:tc>
          <w:tcPr>
            <w:tcW w:w="4889" w:type="dxa"/>
          </w:tcPr>
          <w:p>
            <w:pPr>
              <w:pStyle w:val="TableParagraph"/>
              <w:spacing w:before="63"/>
              <w:ind w:left="2022" w:right="2015"/>
              <w:rPr>
                <w:sz w:val="21"/>
              </w:rPr>
            </w:pPr>
            <w:r>
              <w:rPr>
                <w:sz w:val="21"/>
              </w:rPr>
              <w:t>取值</w:t>
            </w:r>
          </w:p>
        </w:tc>
      </w:tr>
      <w:tr>
        <w:trPr>
          <w:trHeight w:val="397" w:hRule="atLeast"/>
        </w:trPr>
        <w:tc>
          <w:tcPr>
            <w:tcW w:w="3956" w:type="dxa"/>
          </w:tcPr>
          <w:p>
            <w:pPr>
              <w:pStyle w:val="TableParagraph"/>
              <w:spacing w:before="64"/>
              <w:ind w:left="1432" w:right="1424"/>
              <w:rPr>
                <w:sz w:val="21"/>
              </w:rPr>
            </w:pPr>
            <w:r>
              <w:rPr>
                <w:sz w:val="21"/>
              </w:rPr>
              <w:t>水流速度</w:t>
            </w:r>
          </w:p>
        </w:tc>
        <w:tc>
          <w:tcPr>
            <w:tcW w:w="4889" w:type="dxa"/>
          </w:tcPr>
          <w:p>
            <w:pPr>
              <w:pStyle w:val="TableParagraph"/>
              <w:spacing w:before="78"/>
              <w:ind w:left="2022" w:right="2016"/>
              <w:rPr>
                <w:rFonts w:ascii="Times New Roman"/>
                <w:sz w:val="21"/>
              </w:rPr>
            </w:pPr>
            <w:r>
              <w:rPr>
                <w:rFonts w:ascii="Times New Roman"/>
                <w:sz w:val="21"/>
              </w:rPr>
              <w:t>0.015m/d</w:t>
            </w:r>
          </w:p>
        </w:tc>
      </w:tr>
      <w:tr>
        <w:trPr>
          <w:trHeight w:val="397" w:hRule="atLeast"/>
        </w:trPr>
        <w:tc>
          <w:tcPr>
            <w:tcW w:w="3956" w:type="dxa"/>
          </w:tcPr>
          <w:p>
            <w:pPr>
              <w:pStyle w:val="TableParagraph"/>
              <w:spacing w:before="62"/>
              <w:ind w:left="1432" w:right="1424"/>
              <w:rPr>
                <w:sz w:val="21"/>
              </w:rPr>
            </w:pPr>
            <w:r>
              <w:rPr>
                <w:sz w:val="21"/>
              </w:rPr>
              <w:t>弥散系数</w:t>
            </w:r>
          </w:p>
        </w:tc>
        <w:tc>
          <w:tcPr>
            <w:tcW w:w="4889" w:type="dxa"/>
          </w:tcPr>
          <w:p>
            <w:pPr>
              <w:pStyle w:val="TableParagraph"/>
              <w:spacing w:before="76"/>
              <w:ind w:left="2022" w:right="2016"/>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rPr>
          <w:trHeight w:val="396" w:hRule="atLeast"/>
        </w:trPr>
        <w:tc>
          <w:tcPr>
            <w:tcW w:w="3956" w:type="dxa"/>
          </w:tcPr>
          <w:p>
            <w:pPr>
              <w:pStyle w:val="TableParagraph"/>
              <w:spacing w:before="63"/>
              <w:ind w:left="1432" w:right="1424"/>
              <w:rPr>
                <w:sz w:val="21"/>
              </w:rPr>
            </w:pPr>
            <w:r>
              <w:rPr>
                <w:sz w:val="21"/>
              </w:rPr>
              <w:t>有效孔隙度</w:t>
            </w:r>
          </w:p>
        </w:tc>
        <w:tc>
          <w:tcPr>
            <w:tcW w:w="4889" w:type="dxa"/>
          </w:tcPr>
          <w:p>
            <w:pPr>
              <w:pStyle w:val="TableParagraph"/>
              <w:spacing w:before="77"/>
              <w:ind w:left="2022" w:right="2011"/>
              <w:rPr>
                <w:rFonts w:ascii="Times New Roman"/>
                <w:sz w:val="21"/>
              </w:rPr>
            </w:pPr>
            <w:r>
              <w:rPr>
                <w:rFonts w:ascii="Times New Roman"/>
                <w:sz w:val="21"/>
              </w:rPr>
              <w:t>0.30</w:t>
            </w:r>
          </w:p>
        </w:tc>
      </w:tr>
      <w:tr>
        <w:trPr>
          <w:trHeight w:val="397" w:hRule="atLeast"/>
        </w:trPr>
        <w:tc>
          <w:tcPr>
            <w:tcW w:w="3956" w:type="dxa"/>
          </w:tcPr>
          <w:p>
            <w:pPr>
              <w:pStyle w:val="TableParagraph"/>
              <w:spacing w:before="62"/>
              <w:ind w:left="1432" w:right="1424"/>
              <w:rPr>
                <w:sz w:val="21"/>
              </w:rPr>
            </w:pPr>
            <w:r>
              <w:rPr>
                <w:sz w:val="21"/>
              </w:rPr>
              <w:t>横截面面积</w:t>
            </w:r>
          </w:p>
        </w:tc>
        <w:tc>
          <w:tcPr>
            <w:tcW w:w="4889" w:type="dxa"/>
          </w:tcPr>
          <w:p>
            <w:pPr>
              <w:pStyle w:val="TableParagraph"/>
              <w:spacing w:before="76"/>
              <w:ind w:left="2022" w:right="2013"/>
              <w:rPr>
                <w:rFonts w:ascii="Times New Roman"/>
                <w:sz w:val="13"/>
              </w:rPr>
            </w:pPr>
            <w:r>
              <w:rPr>
                <w:rFonts w:ascii="Times New Roman"/>
                <w:sz w:val="21"/>
              </w:rPr>
              <w:t>0.01m</w:t>
            </w:r>
            <w:r>
              <w:rPr>
                <w:rFonts w:ascii="Times New Roman"/>
                <w:position w:val="7"/>
                <w:sz w:val="13"/>
              </w:rPr>
              <w:t>2</w:t>
            </w:r>
          </w:p>
        </w:tc>
      </w:tr>
    </w:tbl>
    <w:p>
      <w:pPr>
        <w:pStyle w:val="BodyText"/>
        <w:spacing w:before="81"/>
        <w:ind w:left="1191"/>
        <w:jc w:val="both"/>
      </w:pPr>
      <w:r>
        <w:rPr/>
        <w:t>污染物预测参数见表 </w:t>
      </w:r>
      <w:r>
        <w:rPr>
          <w:rFonts w:ascii="Times New Roman" w:eastAsia="Times New Roman"/>
        </w:rPr>
        <w:t>6.5-5</w:t>
      </w:r>
      <w:r>
        <w:rPr/>
        <w:t>。</w:t>
      </w:r>
    </w:p>
    <w:p>
      <w:pPr>
        <w:spacing w:after="0"/>
        <w:jc w:val="both"/>
        <w:sectPr>
          <w:pgSz w:w="11910" w:h="16840"/>
          <w:pgMar w:header="0" w:footer="993" w:top="1460" w:bottom="1180" w:left="1040" w:right="600"/>
        </w:sectPr>
      </w:pPr>
    </w:p>
    <w:p>
      <w:pPr>
        <w:pStyle w:val="Heading4"/>
        <w:tabs>
          <w:tab w:pos="1039" w:val="left" w:leader="none"/>
        </w:tabs>
        <w:spacing w:before="63" w:after="3"/>
        <w:ind w:right="432"/>
        <w:jc w:val="center"/>
      </w:pPr>
      <w:r>
        <w:rPr/>
        <w:t>表</w:t>
      </w:r>
      <w:r>
        <w:rPr>
          <w:spacing w:val="-62"/>
        </w:rPr>
        <w:t> </w:t>
      </w:r>
      <w:r>
        <w:rPr>
          <w:rFonts w:ascii="Times New Roman" w:eastAsia="Times New Roman"/>
        </w:rPr>
        <w:t>6.5-5</w:t>
        <w:tab/>
      </w:r>
      <w:r>
        <w:rPr/>
        <w:t>污染物预测参数</w:t>
      </w: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5"/>
        <w:gridCol w:w="1945"/>
        <w:gridCol w:w="2693"/>
        <w:gridCol w:w="1939"/>
      </w:tblGrid>
      <w:tr>
        <w:trPr>
          <w:trHeight w:val="624" w:hRule="atLeast"/>
        </w:trPr>
        <w:tc>
          <w:tcPr>
            <w:tcW w:w="1945" w:type="dxa"/>
          </w:tcPr>
          <w:p>
            <w:pPr>
              <w:pStyle w:val="TableParagraph"/>
              <w:spacing w:before="178"/>
              <w:ind w:left="303" w:right="295"/>
              <w:rPr>
                <w:sz w:val="21"/>
              </w:rPr>
            </w:pPr>
            <w:r>
              <w:rPr>
                <w:sz w:val="21"/>
              </w:rPr>
              <w:t>污染物</w:t>
            </w:r>
          </w:p>
        </w:tc>
        <w:tc>
          <w:tcPr>
            <w:tcW w:w="1945" w:type="dxa"/>
          </w:tcPr>
          <w:p>
            <w:pPr>
              <w:pStyle w:val="TableParagraph"/>
              <w:spacing w:before="178"/>
              <w:ind w:left="303" w:right="297"/>
              <w:rPr>
                <w:sz w:val="21"/>
              </w:rPr>
            </w:pPr>
            <w:r>
              <w:rPr>
                <w:sz w:val="21"/>
              </w:rPr>
              <w:t>浓度（</w:t>
            </w:r>
            <w:r>
              <w:rPr>
                <w:rFonts w:ascii="Times New Roman" w:eastAsia="Times New Roman"/>
                <w:sz w:val="21"/>
              </w:rPr>
              <w:t>mg/L</w:t>
            </w:r>
            <w:r>
              <w:rPr>
                <w:sz w:val="21"/>
              </w:rPr>
              <w:t>）</w:t>
            </w:r>
          </w:p>
        </w:tc>
        <w:tc>
          <w:tcPr>
            <w:tcW w:w="2693" w:type="dxa"/>
          </w:tcPr>
          <w:p>
            <w:pPr>
              <w:pStyle w:val="TableParagraph"/>
              <w:spacing w:before="178"/>
              <w:ind w:left="393" w:right="388"/>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939" w:type="dxa"/>
          </w:tcPr>
          <w:p>
            <w:pPr>
              <w:pStyle w:val="TableParagraph"/>
              <w:spacing w:before="22"/>
              <w:ind w:left="108" w:right="101"/>
              <w:rPr>
                <w:sz w:val="21"/>
              </w:rPr>
            </w:pPr>
            <w:r>
              <w:rPr>
                <w:sz w:val="21"/>
              </w:rPr>
              <w:t>注入的示踪剂质量</w:t>
            </w:r>
          </w:p>
          <w:p>
            <w:pPr>
              <w:pStyle w:val="TableParagraph"/>
              <w:spacing w:before="43"/>
              <w:ind w:left="106" w:right="101"/>
              <w:rPr>
                <w:sz w:val="21"/>
              </w:rPr>
            </w:pPr>
            <w:r>
              <w:rPr>
                <w:sz w:val="21"/>
              </w:rPr>
              <w:t>（</w:t>
            </w:r>
            <w:r>
              <w:rPr>
                <w:rFonts w:ascii="Times New Roman" w:eastAsia="Times New Roman"/>
                <w:sz w:val="21"/>
              </w:rPr>
              <w:t>kg</w:t>
            </w:r>
            <w:r>
              <w:rPr>
                <w:sz w:val="21"/>
              </w:rPr>
              <w:t>）</w:t>
            </w:r>
          </w:p>
        </w:tc>
      </w:tr>
      <w:tr>
        <w:trPr>
          <w:trHeight w:val="382" w:hRule="atLeast"/>
        </w:trPr>
        <w:tc>
          <w:tcPr>
            <w:tcW w:w="1945" w:type="dxa"/>
          </w:tcPr>
          <w:p>
            <w:pPr>
              <w:pStyle w:val="TableParagraph"/>
              <w:spacing w:before="69"/>
              <w:ind w:left="303" w:right="295"/>
              <w:rPr>
                <w:rFonts w:ascii="Times New Roman"/>
                <w:sz w:val="21"/>
              </w:rPr>
            </w:pPr>
            <w:r>
              <w:rPr>
                <w:rFonts w:ascii="Times New Roman"/>
                <w:sz w:val="21"/>
              </w:rPr>
              <w:t>COD</w:t>
            </w:r>
          </w:p>
        </w:tc>
        <w:tc>
          <w:tcPr>
            <w:tcW w:w="1945" w:type="dxa"/>
          </w:tcPr>
          <w:p>
            <w:pPr>
              <w:pStyle w:val="TableParagraph"/>
              <w:spacing w:before="69"/>
              <w:ind w:left="303" w:right="293"/>
              <w:rPr>
                <w:rFonts w:ascii="Times New Roman"/>
                <w:sz w:val="21"/>
              </w:rPr>
            </w:pPr>
            <w:r>
              <w:rPr>
                <w:rFonts w:ascii="Times New Roman"/>
                <w:sz w:val="21"/>
              </w:rPr>
              <w:t>300</w:t>
            </w:r>
          </w:p>
        </w:tc>
        <w:tc>
          <w:tcPr>
            <w:tcW w:w="2693" w:type="dxa"/>
          </w:tcPr>
          <w:p>
            <w:pPr>
              <w:pStyle w:val="TableParagraph"/>
              <w:spacing w:before="69"/>
              <w:ind w:left="9"/>
              <w:rPr>
                <w:rFonts w:ascii="Times New Roman"/>
                <w:sz w:val="21"/>
              </w:rPr>
            </w:pPr>
            <w:r>
              <w:rPr>
                <w:rFonts w:ascii="Times New Roman"/>
                <w:w w:val="99"/>
                <w:sz w:val="21"/>
              </w:rPr>
              <w:t>3</w:t>
            </w:r>
          </w:p>
        </w:tc>
        <w:tc>
          <w:tcPr>
            <w:tcW w:w="1939" w:type="dxa"/>
          </w:tcPr>
          <w:p>
            <w:pPr>
              <w:pStyle w:val="TableParagraph"/>
              <w:spacing w:before="69"/>
              <w:ind w:left="108" w:right="99"/>
              <w:rPr>
                <w:rFonts w:ascii="Times New Roman"/>
                <w:sz w:val="21"/>
              </w:rPr>
            </w:pPr>
            <w:r>
              <w:rPr>
                <w:rFonts w:ascii="Times New Roman"/>
                <w:sz w:val="21"/>
              </w:rPr>
              <w:t>0.9</w:t>
            </w:r>
          </w:p>
        </w:tc>
      </w:tr>
    </w:tbl>
    <w:p>
      <w:pPr>
        <w:pStyle w:val="BodyText"/>
        <w:spacing w:line="364" w:lineRule="auto" w:before="82"/>
        <w:ind w:left="711" w:right="1153" w:firstLine="480"/>
      </w:pPr>
      <w:r>
        <w:rPr/>
        <w:t>将预测参数代入地下水溶质运移解析模型中，计算污染物在指定浓度持续渗漏 </w:t>
      </w:r>
      <w:r>
        <w:rPr>
          <w:rFonts w:ascii="Times New Roman" w:eastAsia="Times New Roman"/>
        </w:rPr>
        <w:t>100d</w:t>
      </w:r>
      <w:r>
        <w:rPr/>
        <w:t>、</w:t>
      </w:r>
      <w:r>
        <w:rPr>
          <w:rFonts w:ascii="Times New Roman" w:eastAsia="Times New Roman"/>
        </w:rPr>
        <w:t>1000d </w:t>
      </w:r>
      <w:r>
        <w:rPr/>
        <w:t>的迁移情况，预测结果见表 </w:t>
      </w:r>
      <w:r>
        <w:rPr>
          <w:rFonts w:ascii="Times New Roman" w:eastAsia="Times New Roman"/>
        </w:rPr>
        <w:t>6.5-6</w:t>
      </w:r>
      <w:r>
        <w:rPr/>
        <w:t>。</w:t>
      </w:r>
    </w:p>
    <w:p>
      <w:pPr>
        <w:pStyle w:val="Heading4"/>
        <w:tabs>
          <w:tab w:pos="1039" w:val="left" w:leader="none"/>
        </w:tabs>
        <w:spacing w:line="230" w:lineRule="exact" w:after="2"/>
        <w:ind w:right="430"/>
        <w:jc w:val="center"/>
      </w:pPr>
      <w:r>
        <w:rPr/>
        <w:t>表</w:t>
      </w:r>
      <w:r>
        <w:rPr>
          <w:spacing w:val="-62"/>
        </w:rPr>
        <w:t> </w:t>
      </w:r>
      <w:r>
        <w:rPr>
          <w:rFonts w:ascii="Times New Roman" w:eastAsia="Times New Roman"/>
        </w:rPr>
        <w:t>6.5-6</w:t>
        <w:tab/>
        <w:t>COD100d </w:t>
      </w:r>
      <w:r>
        <w:rPr/>
        <w:t>和</w:t>
      </w:r>
      <w:r>
        <w:rPr>
          <w:spacing w:val="-59"/>
        </w:rPr>
        <w:t> </w:t>
      </w:r>
      <w:r>
        <w:rPr>
          <w:rFonts w:ascii="Times New Roman" w:eastAsia="Times New Roman"/>
        </w:rPr>
        <w:t>1000d</w:t>
      </w:r>
      <w:r>
        <w:rPr>
          <w:rFonts w:ascii="Times New Roman" w:eastAsia="Times New Roman"/>
          <w:spacing w:val="-2"/>
        </w:rPr>
        <w:t> </w:t>
      </w:r>
      <w:r>
        <w:rPr/>
        <w:t>地下水迁移情况</w:t>
      </w:r>
    </w:p>
    <w:tbl>
      <w:tblPr>
        <w:tblW w:w="0" w:type="auto"/>
        <w:jc w:val="left"/>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5"/>
        <w:gridCol w:w="2143"/>
        <w:gridCol w:w="2115"/>
        <w:gridCol w:w="2150"/>
      </w:tblGrid>
      <w:tr>
        <w:trPr>
          <w:trHeight w:val="397" w:hRule="atLeast"/>
        </w:trPr>
        <w:tc>
          <w:tcPr>
            <w:tcW w:w="8523" w:type="dxa"/>
            <w:gridSpan w:val="4"/>
          </w:tcPr>
          <w:p>
            <w:pPr>
              <w:pStyle w:val="TableParagraph"/>
              <w:spacing w:before="75"/>
              <w:ind w:left="4017" w:right="4011"/>
              <w:rPr>
                <w:rFonts w:ascii="Times New Roman"/>
                <w:sz w:val="21"/>
              </w:rPr>
            </w:pPr>
            <w:r>
              <w:rPr>
                <w:rFonts w:ascii="Times New Roman"/>
                <w:sz w:val="21"/>
              </w:rPr>
              <w:t>COD</w:t>
            </w:r>
          </w:p>
        </w:tc>
      </w:tr>
      <w:tr>
        <w:trPr>
          <w:trHeight w:val="396" w:hRule="atLeast"/>
        </w:trPr>
        <w:tc>
          <w:tcPr>
            <w:tcW w:w="4258" w:type="dxa"/>
            <w:gridSpan w:val="2"/>
          </w:tcPr>
          <w:p>
            <w:pPr>
              <w:pStyle w:val="TableParagraph"/>
              <w:spacing w:before="62"/>
              <w:ind w:left="1156"/>
              <w:jc w:val="left"/>
              <w:rPr>
                <w:sz w:val="21"/>
              </w:rPr>
            </w:pPr>
            <w:r>
              <w:rPr>
                <w:rFonts w:ascii="Times New Roman" w:eastAsia="Times New Roman"/>
                <w:sz w:val="21"/>
              </w:rPr>
              <w:t>100d </w:t>
            </w:r>
            <w:r>
              <w:rPr>
                <w:sz w:val="21"/>
              </w:rPr>
              <w:t>污染物迁移结果</w:t>
            </w:r>
          </w:p>
        </w:tc>
        <w:tc>
          <w:tcPr>
            <w:tcW w:w="4265" w:type="dxa"/>
            <w:gridSpan w:val="2"/>
          </w:tcPr>
          <w:p>
            <w:pPr>
              <w:pStyle w:val="TableParagraph"/>
              <w:spacing w:before="62"/>
              <w:ind w:left="1108"/>
              <w:jc w:val="left"/>
              <w:rPr>
                <w:sz w:val="21"/>
              </w:rPr>
            </w:pPr>
            <w:r>
              <w:rPr>
                <w:rFonts w:ascii="Times New Roman" w:eastAsia="Times New Roman"/>
                <w:sz w:val="21"/>
              </w:rPr>
              <w:t>1000d </w:t>
            </w:r>
            <w:r>
              <w:rPr>
                <w:sz w:val="21"/>
              </w:rPr>
              <w:t>污染物迁移结果</w:t>
            </w:r>
          </w:p>
        </w:tc>
      </w:tr>
      <w:tr>
        <w:trPr>
          <w:trHeight w:val="397" w:hRule="atLeast"/>
        </w:trPr>
        <w:tc>
          <w:tcPr>
            <w:tcW w:w="2115" w:type="dxa"/>
          </w:tcPr>
          <w:p>
            <w:pPr>
              <w:pStyle w:val="TableParagraph"/>
              <w:spacing w:before="61"/>
              <w:ind w:left="534" w:right="525"/>
              <w:rPr>
                <w:sz w:val="21"/>
              </w:rPr>
            </w:pPr>
            <w:r>
              <w:rPr>
                <w:sz w:val="21"/>
              </w:rPr>
              <w:t>距离（</w:t>
            </w:r>
            <w:r>
              <w:rPr>
                <w:rFonts w:ascii="Times New Roman" w:eastAsia="Times New Roman"/>
                <w:sz w:val="21"/>
              </w:rPr>
              <w:t>m</w:t>
            </w:r>
            <w:r>
              <w:rPr>
                <w:sz w:val="21"/>
              </w:rPr>
              <w:t>）</w:t>
            </w:r>
          </w:p>
        </w:tc>
        <w:tc>
          <w:tcPr>
            <w:tcW w:w="2143" w:type="dxa"/>
          </w:tcPr>
          <w:p>
            <w:pPr>
              <w:pStyle w:val="TableParagraph"/>
              <w:spacing w:before="61"/>
              <w:ind w:left="403" w:right="395"/>
              <w:rPr>
                <w:sz w:val="21"/>
              </w:rPr>
            </w:pPr>
            <w:r>
              <w:rPr>
                <w:sz w:val="21"/>
              </w:rPr>
              <w:t>浓度（</w:t>
            </w:r>
            <w:r>
              <w:rPr>
                <w:rFonts w:ascii="Times New Roman" w:eastAsia="Times New Roman"/>
                <w:sz w:val="21"/>
              </w:rPr>
              <w:t>mg/L</w:t>
            </w:r>
            <w:r>
              <w:rPr>
                <w:sz w:val="21"/>
              </w:rPr>
              <w:t>）</w:t>
            </w:r>
          </w:p>
        </w:tc>
        <w:tc>
          <w:tcPr>
            <w:tcW w:w="2115" w:type="dxa"/>
          </w:tcPr>
          <w:p>
            <w:pPr>
              <w:pStyle w:val="TableParagraph"/>
              <w:spacing w:before="61"/>
              <w:ind w:left="534" w:right="526"/>
              <w:rPr>
                <w:sz w:val="21"/>
              </w:rPr>
            </w:pPr>
            <w:r>
              <w:rPr>
                <w:sz w:val="21"/>
              </w:rPr>
              <w:t>距离（</w:t>
            </w:r>
            <w:r>
              <w:rPr>
                <w:rFonts w:ascii="Times New Roman" w:eastAsia="Times New Roman"/>
                <w:sz w:val="21"/>
              </w:rPr>
              <w:t>m</w:t>
            </w:r>
            <w:r>
              <w:rPr>
                <w:sz w:val="21"/>
              </w:rPr>
              <w:t>）</w:t>
            </w:r>
          </w:p>
        </w:tc>
        <w:tc>
          <w:tcPr>
            <w:tcW w:w="2150" w:type="dxa"/>
          </w:tcPr>
          <w:p>
            <w:pPr>
              <w:pStyle w:val="TableParagraph"/>
              <w:spacing w:before="61"/>
              <w:ind w:left="406" w:right="398"/>
              <w:rPr>
                <w:sz w:val="21"/>
              </w:rPr>
            </w:pPr>
            <w:r>
              <w:rPr>
                <w:sz w:val="21"/>
              </w:rPr>
              <w:t>浓度（</w:t>
            </w:r>
            <w:r>
              <w:rPr>
                <w:rFonts w:ascii="Times New Roman" w:eastAsia="Times New Roman"/>
                <w:sz w:val="21"/>
              </w:rPr>
              <w:t>mg/L</w:t>
            </w:r>
            <w:r>
              <w:rPr>
                <w:sz w:val="21"/>
              </w:rPr>
              <w:t>）</w:t>
            </w:r>
          </w:p>
        </w:tc>
      </w:tr>
      <w:tr>
        <w:trPr>
          <w:trHeight w:val="396" w:hRule="atLeast"/>
        </w:trPr>
        <w:tc>
          <w:tcPr>
            <w:tcW w:w="2115" w:type="dxa"/>
          </w:tcPr>
          <w:p>
            <w:pPr>
              <w:pStyle w:val="TableParagraph"/>
              <w:spacing w:before="76"/>
              <w:ind w:left="10"/>
              <w:rPr>
                <w:rFonts w:ascii="Times New Roman"/>
                <w:sz w:val="21"/>
              </w:rPr>
            </w:pPr>
            <w:r>
              <w:rPr>
                <w:rFonts w:ascii="Times New Roman"/>
                <w:w w:val="99"/>
                <w:sz w:val="21"/>
              </w:rPr>
              <w:t>0</w:t>
            </w:r>
          </w:p>
        </w:tc>
        <w:tc>
          <w:tcPr>
            <w:tcW w:w="2143" w:type="dxa"/>
          </w:tcPr>
          <w:p>
            <w:pPr>
              <w:pStyle w:val="TableParagraph"/>
              <w:spacing w:before="76"/>
              <w:ind w:left="403" w:right="394"/>
              <w:rPr>
                <w:rFonts w:ascii="Times New Roman"/>
                <w:sz w:val="21"/>
              </w:rPr>
            </w:pPr>
            <w:r>
              <w:rPr>
                <w:rFonts w:ascii="Times New Roman"/>
                <w:sz w:val="21"/>
              </w:rPr>
              <w:t>1.84E+04</w:t>
            </w:r>
          </w:p>
        </w:tc>
        <w:tc>
          <w:tcPr>
            <w:tcW w:w="2115" w:type="dxa"/>
          </w:tcPr>
          <w:p>
            <w:pPr>
              <w:pStyle w:val="TableParagraph"/>
              <w:spacing w:before="76"/>
              <w:ind w:left="9"/>
              <w:rPr>
                <w:rFonts w:ascii="Times New Roman"/>
                <w:sz w:val="21"/>
              </w:rPr>
            </w:pPr>
            <w:r>
              <w:rPr>
                <w:rFonts w:ascii="Times New Roman"/>
                <w:w w:val="99"/>
                <w:sz w:val="21"/>
              </w:rPr>
              <w:t>0</w:t>
            </w:r>
          </w:p>
        </w:tc>
        <w:tc>
          <w:tcPr>
            <w:tcW w:w="2150" w:type="dxa"/>
          </w:tcPr>
          <w:p>
            <w:pPr>
              <w:pStyle w:val="TableParagraph"/>
              <w:spacing w:before="76"/>
              <w:ind w:left="406" w:right="397"/>
              <w:rPr>
                <w:rFonts w:ascii="Times New Roman"/>
                <w:sz w:val="21"/>
              </w:rPr>
            </w:pPr>
            <w:r>
              <w:rPr>
                <w:rFonts w:ascii="Times New Roman"/>
                <w:sz w:val="21"/>
              </w:rPr>
              <w:t>4.52E+03</w:t>
            </w:r>
          </w:p>
        </w:tc>
      </w:tr>
      <w:tr>
        <w:trPr>
          <w:trHeight w:val="397" w:hRule="atLeast"/>
        </w:trPr>
        <w:tc>
          <w:tcPr>
            <w:tcW w:w="2115" w:type="dxa"/>
          </w:tcPr>
          <w:p>
            <w:pPr>
              <w:pStyle w:val="TableParagraph"/>
              <w:spacing w:before="77"/>
              <w:ind w:left="534" w:right="524"/>
              <w:rPr>
                <w:rFonts w:ascii="Times New Roman"/>
                <w:sz w:val="21"/>
              </w:rPr>
            </w:pPr>
            <w:r>
              <w:rPr>
                <w:rFonts w:ascii="Times New Roman"/>
                <w:sz w:val="21"/>
              </w:rPr>
              <w:t>10</w:t>
            </w:r>
          </w:p>
        </w:tc>
        <w:tc>
          <w:tcPr>
            <w:tcW w:w="2143" w:type="dxa"/>
          </w:tcPr>
          <w:p>
            <w:pPr>
              <w:pStyle w:val="TableParagraph"/>
              <w:spacing w:before="77"/>
              <w:ind w:left="403" w:right="394"/>
              <w:rPr>
                <w:rFonts w:ascii="Times New Roman"/>
                <w:sz w:val="21"/>
              </w:rPr>
            </w:pPr>
            <w:r>
              <w:rPr>
                <w:rFonts w:ascii="Times New Roman"/>
                <w:sz w:val="21"/>
              </w:rPr>
              <w:t>7.67E+03</w:t>
            </w:r>
          </w:p>
        </w:tc>
        <w:tc>
          <w:tcPr>
            <w:tcW w:w="2115" w:type="dxa"/>
          </w:tcPr>
          <w:p>
            <w:pPr>
              <w:pStyle w:val="TableParagraph"/>
              <w:spacing w:before="77"/>
              <w:ind w:left="534" w:right="525"/>
              <w:rPr>
                <w:rFonts w:ascii="Times New Roman"/>
                <w:sz w:val="21"/>
              </w:rPr>
            </w:pPr>
            <w:r>
              <w:rPr>
                <w:rFonts w:ascii="Times New Roman"/>
                <w:sz w:val="21"/>
              </w:rPr>
              <w:t>50</w:t>
            </w:r>
          </w:p>
        </w:tc>
        <w:tc>
          <w:tcPr>
            <w:tcW w:w="2150" w:type="dxa"/>
          </w:tcPr>
          <w:p>
            <w:pPr>
              <w:pStyle w:val="TableParagraph"/>
              <w:spacing w:before="77"/>
              <w:ind w:left="406" w:right="397"/>
              <w:rPr>
                <w:rFonts w:ascii="Times New Roman"/>
                <w:sz w:val="21"/>
              </w:rPr>
            </w:pPr>
            <w:r>
              <w:rPr>
                <w:rFonts w:ascii="Times New Roman"/>
                <w:sz w:val="21"/>
              </w:rPr>
              <w:t>1.29E+03</w:t>
            </w:r>
          </w:p>
        </w:tc>
      </w:tr>
      <w:tr>
        <w:trPr>
          <w:trHeight w:val="397" w:hRule="atLeast"/>
        </w:trPr>
        <w:tc>
          <w:tcPr>
            <w:tcW w:w="2115" w:type="dxa"/>
          </w:tcPr>
          <w:p>
            <w:pPr>
              <w:pStyle w:val="TableParagraph"/>
              <w:spacing w:before="75"/>
              <w:ind w:left="534" w:right="524"/>
              <w:rPr>
                <w:rFonts w:ascii="Times New Roman"/>
                <w:sz w:val="21"/>
              </w:rPr>
            </w:pPr>
            <w:r>
              <w:rPr>
                <w:rFonts w:ascii="Times New Roman"/>
                <w:sz w:val="21"/>
              </w:rPr>
              <w:t>20</w:t>
            </w:r>
          </w:p>
        </w:tc>
        <w:tc>
          <w:tcPr>
            <w:tcW w:w="2143" w:type="dxa"/>
          </w:tcPr>
          <w:p>
            <w:pPr>
              <w:pStyle w:val="TableParagraph"/>
              <w:spacing w:before="78"/>
              <w:ind w:left="403" w:right="394"/>
              <w:rPr>
                <w:rFonts w:ascii="Times New Roman"/>
                <w:sz w:val="21"/>
              </w:rPr>
            </w:pPr>
            <w:r>
              <w:rPr>
                <w:rFonts w:ascii="Times New Roman"/>
                <w:sz w:val="21"/>
              </w:rPr>
              <w:t>2.62E+02</w:t>
            </w:r>
          </w:p>
        </w:tc>
        <w:tc>
          <w:tcPr>
            <w:tcW w:w="2115" w:type="dxa"/>
          </w:tcPr>
          <w:p>
            <w:pPr>
              <w:pStyle w:val="TableParagraph"/>
              <w:spacing w:before="75"/>
              <w:ind w:left="534" w:right="525"/>
              <w:rPr>
                <w:rFonts w:ascii="Times New Roman"/>
                <w:sz w:val="21"/>
              </w:rPr>
            </w:pPr>
            <w:r>
              <w:rPr>
                <w:rFonts w:ascii="Times New Roman"/>
                <w:sz w:val="21"/>
              </w:rPr>
              <w:t>100</w:t>
            </w:r>
          </w:p>
        </w:tc>
        <w:tc>
          <w:tcPr>
            <w:tcW w:w="2150" w:type="dxa"/>
          </w:tcPr>
          <w:p>
            <w:pPr>
              <w:pStyle w:val="TableParagraph"/>
              <w:spacing w:before="75"/>
              <w:ind w:left="406" w:right="397"/>
              <w:rPr>
                <w:rFonts w:ascii="Times New Roman"/>
                <w:sz w:val="21"/>
              </w:rPr>
            </w:pPr>
            <w:r>
              <w:rPr>
                <w:rFonts w:ascii="Times New Roman"/>
                <w:sz w:val="21"/>
              </w:rPr>
              <w:t>7.16E-01</w:t>
            </w:r>
          </w:p>
        </w:tc>
      </w:tr>
      <w:tr>
        <w:trPr>
          <w:trHeight w:val="396" w:hRule="atLeast"/>
        </w:trPr>
        <w:tc>
          <w:tcPr>
            <w:tcW w:w="2115" w:type="dxa"/>
          </w:tcPr>
          <w:p>
            <w:pPr>
              <w:pStyle w:val="TableParagraph"/>
              <w:spacing w:before="76"/>
              <w:ind w:left="534" w:right="524"/>
              <w:rPr>
                <w:rFonts w:ascii="Times New Roman"/>
                <w:sz w:val="21"/>
              </w:rPr>
            </w:pPr>
            <w:r>
              <w:rPr>
                <w:rFonts w:ascii="Times New Roman"/>
                <w:sz w:val="21"/>
              </w:rPr>
              <w:t>30</w:t>
            </w:r>
          </w:p>
        </w:tc>
        <w:tc>
          <w:tcPr>
            <w:tcW w:w="2143" w:type="dxa"/>
          </w:tcPr>
          <w:p>
            <w:pPr>
              <w:pStyle w:val="TableParagraph"/>
              <w:spacing w:before="76"/>
              <w:ind w:left="402" w:right="395"/>
              <w:rPr>
                <w:rFonts w:ascii="Times New Roman"/>
                <w:sz w:val="21"/>
              </w:rPr>
            </w:pPr>
            <w:r>
              <w:rPr>
                <w:rFonts w:ascii="Times New Roman"/>
                <w:sz w:val="21"/>
              </w:rPr>
              <w:t>7.37E-01</w:t>
            </w:r>
          </w:p>
        </w:tc>
        <w:tc>
          <w:tcPr>
            <w:tcW w:w="2115" w:type="dxa"/>
          </w:tcPr>
          <w:p>
            <w:pPr>
              <w:pStyle w:val="TableParagraph"/>
              <w:spacing w:before="76"/>
              <w:ind w:left="534" w:right="525"/>
              <w:rPr>
                <w:rFonts w:ascii="Times New Roman"/>
                <w:sz w:val="21"/>
              </w:rPr>
            </w:pPr>
            <w:r>
              <w:rPr>
                <w:rFonts w:ascii="Times New Roman"/>
                <w:sz w:val="21"/>
              </w:rPr>
              <w:t>150</w:t>
            </w:r>
          </w:p>
        </w:tc>
        <w:tc>
          <w:tcPr>
            <w:tcW w:w="2150" w:type="dxa"/>
          </w:tcPr>
          <w:p>
            <w:pPr>
              <w:pStyle w:val="TableParagraph"/>
              <w:spacing w:before="76"/>
              <w:ind w:left="406" w:right="397"/>
              <w:rPr>
                <w:rFonts w:ascii="Times New Roman"/>
                <w:sz w:val="21"/>
              </w:rPr>
            </w:pPr>
            <w:r>
              <w:rPr>
                <w:rFonts w:ascii="Times New Roman"/>
                <w:sz w:val="21"/>
              </w:rPr>
              <w:t>7.64E-07</w:t>
            </w:r>
          </w:p>
        </w:tc>
      </w:tr>
      <w:tr>
        <w:trPr>
          <w:trHeight w:val="397" w:hRule="atLeast"/>
        </w:trPr>
        <w:tc>
          <w:tcPr>
            <w:tcW w:w="2115" w:type="dxa"/>
          </w:tcPr>
          <w:p>
            <w:pPr>
              <w:pStyle w:val="TableParagraph"/>
              <w:spacing w:before="75"/>
              <w:ind w:left="534" w:right="524"/>
              <w:rPr>
                <w:rFonts w:ascii="Times New Roman"/>
                <w:sz w:val="21"/>
              </w:rPr>
            </w:pPr>
            <w:r>
              <w:rPr>
                <w:rFonts w:ascii="Times New Roman"/>
                <w:sz w:val="21"/>
              </w:rPr>
              <w:t>40</w:t>
            </w:r>
          </w:p>
        </w:tc>
        <w:tc>
          <w:tcPr>
            <w:tcW w:w="2143" w:type="dxa"/>
          </w:tcPr>
          <w:p>
            <w:pPr>
              <w:pStyle w:val="TableParagraph"/>
              <w:spacing w:before="77"/>
              <w:ind w:left="402" w:right="395"/>
              <w:rPr>
                <w:rFonts w:ascii="Times New Roman"/>
                <w:sz w:val="21"/>
              </w:rPr>
            </w:pPr>
            <w:r>
              <w:rPr>
                <w:rFonts w:ascii="Times New Roman"/>
                <w:sz w:val="21"/>
              </w:rPr>
              <w:t>1.70E-04</w:t>
            </w:r>
          </w:p>
        </w:tc>
        <w:tc>
          <w:tcPr>
            <w:tcW w:w="2115" w:type="dxa"/>
          </w:tcPr>
          <w:p>
            <w:pPr>
              <w:pStyle w:val="TableParagraph"/>
              <w:spacing w:before="75"/>
              <w:ind w:left="534" w:right="525"/>
              <w:rPr>
                <w:rFonts w:ascii="Times New Roman"/>
                <w:sz w:val="21"/>
              </w:rPr>
            </w:pPr>
            <w:r>
              <w:rPr>
                <w:rFonts w:ascii="Times New Roman"/>
                <w:sz w:val="21"/>
              </w:rPr>
              <w:t>200</w:t>
            </w:r>
          </w:p>
        </w:tc>
        <w:tc>
          <w:tcPr>
            <w:tcW w:w="2150" w:type="dxa"/>
          </w:tcPr>
          <w:p>
            <w:pPr>
              <w:pStyle w:val="TableParagraph"/>
              <w:spacing w:before="75"/>
              <w:ind w:left="406" w:right="397"/>
              <w:rPr>
                <w:rFonts w:ascii="Times New Roman"/>
                <w:sz w:val="21"/>
              </w:rPr>
            </w:pPr>
            <w:r>
              <w:rPr>
                <w:rFonts w:ascii="Times New Roman"/>
                <w:sz w:val="21"/>
              </w:rPr>
              <w:t>1.58E-15</w:t>
            </w:r>
          </w:p>
        </w:tc>
      </w:tr>
      <w:tr>
        <w:trPr>
          <w:trHeight w:val="396" w:hRule="atLeast"/>
        </w:trPr>
        <w:tc>
          <w:tcPr>
            <w:tcW w:w="2115" w:type="dxa"/>
          </w:tcPr>
          <w:p>
            <w:pPr>
              <w:pStyle w:val="TableParagraph"/>
              <w:spacing w:before="76"/>
              <w:ind w:left="534" w:right="524"/>
              <w:rPr>
                <w:rFonts w:ascii="Times New Roman"/>
                <w:sz w:val="21"/>
              </w:rPr>
            </w:pPr>
            <w:r>
              <w:rPr>
                <w:rFonts w:ascii="Times New Roman"/>
                <w:sz w:val="21"/>
              </w:rPr>
              <w:t>50</w:t>
            </w:r>
          </w:p>
        </w:tc>
        <w:tc>
          <w:tcPr>
            <w:tcW w:w="2143" w:type="dxa"/>
          </w:tcPr>
          <w:p>
            <w:pPr>
              <w:pStyle w:val="TableParagraph"/>
              <w:spacing w:before="76"/>
              <w:ind w:left="402" w:right="395"/>
              <w:rPr>
                <w:rFonts w:ascii="Times New Roman"/>
                <w:sz w:val="21"/>
              </w:rPr>
            </w:pPr>
            <w:r>
              <w:rPr>
                <w:rFonts w:ascii="Times New Roman"/>
                <w:sz w:val="21"/>
              </w:rPr>
              <w:t>3.22E-09</w:t>
            </w:r>
          </w:p>
        </w:tc>
        <w:tc>
          <w:tcPr>
            <w:tcW w:w="2115" w:type="dxa"/>
          </w:tcPr>
          <w:p>
            <w:pPr>
              <w:pStyle w:val="TableParagraph"/>
              <w:spacing w:before="76"/>
              <w:ind w:left="534" w:right="525"/>
              <w:rPr>
                <w:rFonts w:ascii="Times New Roman"/>
                <w:sz w:val="21"/>
              </w:rPr>
            </w:pPr>
            <w:r>
              <w:rPr>
                <w:rFonts w:ascii="Times New Roman"/>
                <w:sz w:val="21"/>
              </w:rPr>
              <w:t>250</w:t>
            </w:r>
          </w:p>
        </w:tc>
        <w:tc>
          <w:tcPr>
            <w:tcW w:w="2150" w:type="dxa"/>
          </w:tcPr>
          <w:p>
            <w:pPr>
              <w:pStyle w:val="TableParagraph"/>
              <w:spacing w:before="76"/>
              <w:ind w:left="406" w:right="397"/>
              <w:rPr>
                <w:rFonts w:ascii="Times New Roman"/>
                <w:sz w:val="21"/>
              </w:rPr>
            </w:pPr>
            <w:r>
              <w:rPr>
                <w:rFonts w:ascii="Times New Roman"/>
                <w:sz w:val="21"/>
              </w:rPr>
              <w:t>6.27E-27</w:t>
            </w:r>
          </w:p>
        </w:tc>
      </w:tr>
      <w:tr>
        <w:trPr>
          <w:trHeight w:val="397" w:hRule="atLeast"/>
        </w:trPr>
        <w:tc>
          <w:tcPr>
            <w:tcW w:w="2115" w:type="dxa"/>
          </w:tcPr>
          <w:p>
            <w:pPr>
              <w:pStyle w:val="TableParagraph"/>
              <w:spacing w:before="77"/>
              <w:ind w:left="534" w:right="524"/>
              <w:rPr>
                <w:rFonts w:ascii="Times New Roman"/>
                <w:sz w:val="21"/>
              </w:rPr>
            </w:pPr>
            <w:r>
              <w:rPr>
                <w:rFonts w:ascii="Times New Roman"/>
                <w:sz w:val="21"/>
              </w:rPr>
              <w:t>60</w:t>
            </w:r>
          </w:p>
        </w:tc>
        <w:tc>
          <w:tcPr>
            <w:tcW w:w="2143" w:type="dxa"/>
          </w:tcPr>
          <w:p>
            <w:pPr>
              <w:pStyle w:val="TableParagraph"/>
              <w:spacing w:before="77"/>
              <w:ind w:left="402" w:right="395"/>
              <w:rPr>
                <w:rFonts w:ascii="Times New Roman"/>
                <w:sz w:val="21"/>
              </w:rPr>
            </w:pPr>
            <w:r>
              <w:rPr>
                <w:rFonts w:ascii="Times New Roman"/>
                <w:sz w:val="21"/>
              </w:rPr>
              <w:t>5.00E-15</w:t>
            </w:r>
          </w:p>
        </w:tc>
        <w:tc>
          <w:tcPr>
            <w:tcW w:w="2115" w:type="dxa"/>
          </w:tcPr>
          <w:p>
            <w:pPr>
              <w:pStyle w:val="TableParagraph"/>
              <w:spacing w:before="77"/>
              <w:ind w:left="534" w:right="525"/>
              <w:rPr>
                <w:rFonts w:ascii="Times New Roman"/>
                <w:sz w:val="21"/>
              </w:rPr>
            </w:pPr>
            <w:r>
              <w:rPr>
                <w:rFonts w:ascii="Times New Roman"/>
                <w:sz w:val="21"/>
              </w:rPr>
              <w:t>300</w:t>
            </w:r>
          </w:p>
        </w:tc>
        <w:tc>
          <w:tcPr>
            <w:tcW w:w="2150" w:type="dxa"/>
          </w:tcPr>
          <w:p>
            <w:pPr>
              <w:pStyle w:val="TableParagraph"/>
              <w:spacing w:before="77"/>
              <w:ind w:left="406" w:right="397"/>
              <w:rPr>
                <w:rFonts w:ascii="Times New Roman"/>
                <w:sz w:val="21"/>
              </w:rPr>
            </w:pPr>
            <w:r>
              <w:rPr>
                <w:rFonts w:ascii="Times New Roman"/>
                <w:sz w:val="21"/>
              </w:rPr>
              <w:t>4.81E-41</w:t>
            </w:r>
          </w:p>
        </w:tc>
      </w:tr>
      <w:tr>
        <w:trPr>
          <w:trHeight w:val="396" w:hRule="atLeast"/>
        </w:trPr>
        <w:tc>
          <w:tcPr>
            <w:tcW w:w="2115" w:type="dxa"/>
          </w:tcPr>
          <w:p>
            <w:pPr>
              <w:pStyle w:val="TableParagraph"/>
              <w:spacing w:before="75"/>
              <w:ind w:left="534" w:right="524"/>
              <w:rPr>
                <w:rFonts w:ascii="Times New Roman"/>
                <w:sz w:val="21"/>
              </w:rPr>
            </w:pPr>
            <w:r>
              <w:rPr>
                <w:rFonts w:ascii="Times New Roman"/>
                <w:sz w:val="21"/>
              </w:rPr>
              <w:t>70</w:t>
            </w:r>
          </w:p>
        </w:tc>
        <w:tc>
          <w:tcPr>
            <w:tcW w:w="2143" w:type="dxa"/>
          </w:tcPr>
          <w:p>
            <w:pPr>
              <w:pStyle w:val="TableParagraph"/>
              <w:spacing w:before="78"/>
              <w:ind w:left="402" w:right="395"/>
              <w:rPr>
                <w:rFonts w:ascii="Times New Roman"/>
                <w:sz w:val="21"/>
              </w:rPr>
            </w:pPr>
            <w:r>
              <w:rPr>
                <w:rFonts w:ascii="Times New Roman"/>
                <w:sz w:val="21"/>
              </w:rPr>
              <w:t>6.37E-22</w:t>
            </w:r>
          </w:p>
        </w:tc>
        <w:tc>
          <w:tcPr>
            <w:tcW w:w="2115" w:type="dxa"/>
          </w:tcPr>
          <w:p>
            <w:pPr>
              <w:pStyle w:val="TableParagraph"/>
              <w:spacing w:before="75"/>
              <w:ind w:left="534" w:right="525"/>
              <w:rPr>
                <w:rFonts w:ascii="Times New Roman"/>
                <w:sz w:val="21"/>
              </w:rPr>
            </w:pPr>
            <w:r>
              <w:rPr>
                <w:rFonts w:ascii="Times New Roman"/>
                <w:sz w:val="21"/>
              </w:rPr>
              <w:t>350</w:t>
            </w:r>
          </w:p>
        </w:tc>
        <w:tc>
          <w:tcPr>
            <w:tcW w:w="2150" w:type="dxa"/>
          </w:tcPr>
          <w:p>
            <w:pPr>
              <w:pStyle w:val="TableParagraph"/>
              <w:spacing w:before="75"/>
              <w:ind w:left="406" w:right="397"/>
              <w:rPr>
                <w:rFonts w:ascii="Times New Roman"/>
                <w:sz w:val="21"/>
              </w:rPr>
            </w:pPr>
            <w:r>
              <w:rPr>
                <w:rFonts w:ascii="Times New Roman"/>
                <w:sz w:val="21"/>
              </w:rPr>
              <w:t>0.00E+00</w:t>
            </w:r>
          </w:p>
        </w:tc>
      </w:tr>
      <w:tr>
        <w:trPr>
          <w:trHeight w:val="397" w:hRule="atLeast"/>
        </w:trPr>
        <w:tc>
          <w:tcPr>
            <w:tcW w:w="2115" w:type="dxa"/>
          </w:tcPr>
          <w:p>
            <w:pPr>
              <w:pStyle w:val="TableParagraph"/>
              <w:spacing w:before="76"/>
              <w:ind w:left="534" w:right="524"/>
              <w:rPr>
                <w:rFonts w:ascii="Times New Roman"/>
                <w:sz w:val="21"/>
              </w:rPr>
            </w:pPr>
            <w:r>
              <w:rPr>
                <w:rFonts w:ascii="Times New Roman"/>
                <w:sz w:val="21"/>
              </w:rPr>
              <w:t>80</w:t>
            </w:r>
          </w:p>
        </w:tc>
        <w:tc>
          <w:tcPr>
            <w:tcW w:w="2143" w:type="dxa"/>
          </w:tcPr>
          <w:p>
            <w:pPr>
              <w:pStyle w:val="TableParagraph"/>
              <w:spacing w:before="76"/>
              <w:ind w:left="402" w:right="395"/>
              <w:rPr>
                <w:rFonts w:ascii="Times New Roman"/>
                <w:sz w:val="21"/>
              </w:rPr>
            </w:pPr>
            <w:r>
              <w:rPr>
                <w:rFonts w:ascii="Times New Roman"/>
                <w:sz w:val="21"/>
              </w:rPr>
              <w:t>6.67E-30</w:t>
            </w:r>
          </w:p>
        </w:tc>
        <w:tc>
          <w:tcPr>
            <w:tcW w:w="2115" w:type="dxa"/>
          </w:tcPr>
          <w:p>
            <w:pPr>
              <w:pStyle w:val="TableParagraph"/>
              <w:spacing w:before="76"/>
              <w:ind w:left="534" w:right="525"/>
              <w:rPr>
                <w:rFonts w:ascii="Times New Roman"/>
                <w:sz w:val="21"/>
              </w:rPr>
            </w:pPr>
            <w:r>
              <w:rPr>
                <w:rFonts w:ascii="Times New Roman"/>
                <w:sz w:val="21"/>
              </w:rPr>
              <w:t>400</w:t>
            </w:r>
          </w:p>
        </w:tc>
        <w:tc>
          <w:tcPr>
            <w:tcW w:w="2150" w:type="dxa"/>
          </w:tcPr>
          <w:p>
            <w:pPr>
              <w:pStyle w:val="TableParagraph"/>
              <w:spacing w:before="76"/>
              <w:ind w:left="406" w:right="397"/>
              <w:rPr>
                <w:rFonts w:ascii="Times New Roman"/>
                <w:sz w:val="21"/>
              </w:rPr>
            </w:pPr>
            <w:r>
              <w:rPr>
                <w:rFonts w:ascii="Times New Roman"/>
                <w:sz w:val="21"/>
              </w:rPr>
              <w:t>0.00E+00</w:t>
            </w:r>
          </w:p>
        </w:tc>
      </w:tr>
      <w:tr>
        <w:trPr>
          <w:trHeight w:val="397" w:hRule="atLeast"/>
        </w:trPr>
        <w:tc>
          <w:tcPr>
            <w:tcW w:w="2115" w:type="dxa"/>
          </w:tcPr>
          <w:p>
            <w:pPr>
              <w:pStyle w:val="TableParagraph"/>
              <w:spacing w:before="75"/>
              <w:ind w:left="534" w:right="524"/>
              <w:rPr>
                <w:rFonts w:ascii="Times New Roman"/>
                <w:sz w:val="21"/>
              </w:rPr>
            </w:pPr>
            <w:r>
              <w:rPr>
                <w:rFonts w:ascii="Times New Roman"/>
                <w:sz w:val="21"/>
              </w:rPr>
              <w:t>90</w:t>
            </w:r>
          </w:p>
        </w:tc>
        <w:tc>
          <w:tcPr>
            <w:tcW w:w="2143" w:type="dxa"/>
          </w:tcPr>
          <w:p>
            <w:pPr>
              <w:pStyle w:val="TableParagraph"/>
              <w:spacing w:before="77"/>
              <w:ind w:left="402" w:right="395"/>
              <w:rPr>
                <w:rFonts w:ascii="Times New Roman"/>
                <w:sz w:val="21"/>
              </w:rPr>
            </w:pPr>
            <w:r>
              <w:rPr>
                <w:rFonts w:ascii="Times New Roman"/>
                <w:sz w:val="21"/>
              </w:rPr>
              <w:t>5.73E-39</w:t>
            </w:r>
          </w:p>
        </w:tc>
        <w:tc>
          <w:tcPr>
            <w:tcW w:w="2115" w:type="dxa"/>
          </w:tcPr>
          <w:p>
            <w:pPr>
              <w:pStyle w:val="TableParagraph"/>
              <w:spacing w:before="75"/>
              <w:ind w:left="534" w:right="525"/>
              <w:rPr>
                <w:rFonts w:ascii="Times New Roman"/>
                <w:sz w:val="21"/>
              </w:rPr>
            </w:pPr>
            <w:r>
              <w:rPr>
                <w:rFonts w:ascii="Times New Roman"/>
                <w:sz w:val="21"/>
              </w:rPr>
              <w:t>450</w:t>
            </w:r>
          </w:p>
        </w:tc>
        <w:tc>
          <w:tcPr>
            <w:tcW w:w="2150" w:type="dxa"/>
          </w:tcPr>
          <w:p>
            <w:pPr>
              <w:pStyle w:val="TableParagraph"/>
              <w:spacing w:before="75"/>
              <w:ind w:left="406" w:right="397"/>
              <w:rPr>
                <w:rFonts w:ascii="Times New Roman"/>
                <w:sz w:val="21"/>
              </w:rPr>
            </w:pPr>
            <w:r>
              <w:rPr>
                <w:rFonts w:ascii="Times New Roman"/>
                <w:sz w:val="21"/>
              </w:rPr>
              <w:t>0.00E+00</w:t>
            </w:r>
          </w:p>
        </w:tc>
      </w:tr>
      <w:tr>
        <w:trPr>
          <w:trHeight w:val="396" w:hRule="atLeast"/>
        </w:trPr>
        <w:tc>
          <w:tcPr>
            <w:tcW w:w="2115" w:type="dxa"/>
          </w:tcPr>
          <w:p>
            <w:pPr>
              <w:pStyle w:val="TableParagraph"/>
              <w:spacing w:before="76"/>
              <w:ind w:left="534" w:right="524"/>
              <w:rPr>
                <w:rFonts w:ascii="Times New Roman"/>
                <w:sz w:val="21"/>
              </w:rPr>
            </w:pPr>
            <w:r>
              <w:rPr>
                <w:rFonts w:ascii="Times New Roman"/>
                <w:sz w:val="21"/>
              </w:rPr>
              <w:t>100</w:t>
            </w:r>
          </w:p>
        </w:tc>
        <w:tc>
          <w:tcPr>
            <w:tcW w:w="2143" w:type="dxa"/>
          </w:tcPr>
          <w:p>
            <w:pPr>
              <w:pStyle w:val="TableParagraph"/>
              <w:spacing w:before="76"/>
              <w:ind w:left="403" w:right="394"/>
              <w:rPr>
                <w:rFonts w:ascii="Times New Roman"/>
                <w:sz w:val="21"/>
              </w:rPr>
            </w:pPr>
            <w:r>
              <w:rPr>
                <w:rFonts w:ascii="Times New Roman"/>
                <w:sz w:val="21"/>
              </w:rPr>
              <w:t>0.00E+00</w:t>
            </w:r>
          </w:p>
        </w:tc>
        <w:tc>
          <w:tcPr>
            <w:tcW w:w="2115" w:type="dxa"/>
          </w:tcPr>
          <w:p>
            <w:pPr>
              <w:pStyle w:val="TableParagraph"/>
              <w:spacing w:before="76"/>
              <w:ind w:left="534" w:right="525"/>
              <w:rPr>
                <w:rFonts w:ascii="Times New Roman"/>
                <w:sz w:val="21"/>
              </w:rPr>
            </w:pPr>
            <w:r>
              <w:rPr>
                <w:rFonts w:ascii="Times New Roman"/>
                <w:sz w:val="21"/>
              </w:rPr>
              <w:t>500</w:t>
            </w:r>
          </w:p>
        </w:tc>
        <w:tc>
          <w:tcPr>
            <w:tcW w:w="2150" w:type="dxa"/>
          </w:tcPr>
          <w:p>
            <w:pPr>
              <w:pStyle w:val="TableParagraph"/>
              <w:spacing w:before="76"/>
              <w:ind w:left="406" w:right="397"/>
              <w:rPr>
                <w:rFonts w:ascii="Times New Roman"/>
                <w:sz w:val="21"/>
              </w:rPr>
            </w:pPr>
            <w:r>
              <w:rPr>
                <w:rFonts w:ascii="Times New Roman"/>
                <w:sz w:val="21"/>
              </w:rPr>
              <w:t>0.00E+00</w:t>
            </w:r>
          </w:p>
        </w:tc>
      </w:tr>
    </w:tbl>
    <w:p>
      <w:pPr>
        <w:pStyle w:val="BodyText"/>
        <w:spacing w:line="364" w:lineRule="auto" w:before="79"/>
        <w:ind w:left="711" w:right="1033" w:firstLine="480"/>
      </w:pPr>
      <w:r>
        <w:rPr>
          <w:spacing w:val="-12"/>
        </w:rPr>
        <w:t>由上表可知，在非正常情况下，区域地下水流动缓慢，如污染物渗入地下水， </w:t>
      </w:r>
      <w:r>
        <w:rPr/>
        <w:t>污染物随地下水迁移速度较慢，</w:t>
      </w:r>
      <w:r>
        <w:rPr>
          <w:rFonts w:ascii="Times New Roman" w:eastAsia="Times New Roman"/>
        </w:rPr>
        <w:t>100</w:t>
      </w:r>
      <w:r>
        <w:rPr>
          <w:spacing w:val="-2"/>
        </w:rPr>
        <w:t>天时，预测的最大值为</w:t>
      </w:r>
      <w:r>
        <w:rPr>
          <w:rFonts w:ascii="Times New Roman" w:eastAsia="Times New Roman"/>
        </w:rPr>
        <w:t>18923.49mg/l</w:t>
      </w:r>
      <w:r>
        <w:rPr/>
        <w:t>，预测超标距离最远为</w:t>
      </w:r>
      <w:r>
        <w:rPr>
          <w:rFonts w:ascii="Times New Roman" w:eastAsia="Times New Roman"/>
          <w:spacing w:val="-6"/>
        </w:rPr>
        <w:t>27m</w:t>
      </w:r>
      <w:r>
        <w:rPr>
          <w:spacing w:val="-2"/>
        </w:rPr>
        <w:t>；影响距离最远为</w:t>
      </w:r>
      <w:r>
        <w:rPr>
          <w:rFonts w:ascii="Times New Roman" w:eastAsia="Times New Roman"/>
          <w:spacing w:val="-5"/>
        </w:rPr>
        <w:t>32m</w:t>
      </w:r>
      <w:r>
        <w:rPr>
          <w:spacing w:val="-2"/>
        </w:rPr>
        <w:t>；影响距离最远为</w:t>
      </w:r>
      <w:r>
        <w:rPr>
          <w:rFonts w:ascii="Times New Roman" w:eastAsia="Times New Roman"/>
          <w:spacing w:val="-3"/>
        </w:rPr>
        <w:t>32m</w:t>
      </w:r>
      <w:r>
        <w:rPr>
          <w:spacing w:val="-3"/>
        </w:rPr>
        <w:t>；</w:t>
      </w:r>
      <w:r>
        <w:rPr>
          <w:rFonts w:ascii="Times New Roman" w:eastAsia="Times New Roman"/>
          <w:spacing w:val="-3"/>
        </w:rPr>
        <w:t>1000</w:t>
      </w:r>
      <w:r>
        <w:rPr>
          <w:spacing w:val="-5"/>
        </w:rPr>
        <w:t>天时，预测的最大值为</w:t>
      </w:r>
      <w:r>
        <w:rPr>
          <w:rFonts w:ascii="Times New Roman" w:eastAsia="Times New Roman"/>
          <w:spacing w:val="-5"/>
        </w:rPr>
        <w:t>5984.134mg/l</w:t>
      </w:r>
      <w:r>
        <w:rPr>
          <w:spacing w:val="-5"/>
        </w:rPr>
        <w:t>，预测超标距离最远为</w:t>
      </w:r>
      <w:r>
        <w:rPr>
          <w:rFonts w:ascii="Times New Roman" w:eastAsia="Times New Roman"/>
          <w:spacing w:val="-5"/>
        </w:rPr>
        <w:t>92m</w:t>
      </w:r>
      <w:r>
        <w:rPr>
          <w:spacing w:val="-5"/>
        </w:rPr>
        <w:t>；影响距离最远为</w:t>
      </w:r>
      <w:r>
        <w:rPr>
          <w:rFonts w:ascii="Times New Roman" w:eastAsia="Times New Roman"/>
          <w:spacing w:val="-5"/>
        </w:rPr>
        <w:t>108m</w:t>
      </w:r>
      <w:r>
        <w:rPr>
          <w:spacing w:val="-5"/>
        </w:rPr>
        <w:t>，该范围内无地下水敏感目标，不会对周围地下水井产生影响，故对其地下水环境影响较小。</w:t>
      </w:r>
    </w:p>
    <w:p>
      <w:pPr>
        <w:pStyle w:val="BodyText"/>
        <w:spacing w:before="3"/>
        <w:ind w:left="1191"/>
      </w:pPr>
      <w:r>
        <w:rPr>
          <w:rFonts w:ascii="Times New Roman" w:eastAsia="Times New Roman"/>
        </w:rPr>
        <w:t>3</w:t>
      </w:r>
      <w:r>
        <w:rPr/>
        <w:t>、煤矸石转运场对地下水水质的影响</w:t>
      </w:r>
    </w:p>
    <w:p>
      <w:pPr>
        <w:pStyle w:val="ListParagraph"/>
        <w:numPr>
          <w:ilvl w:val="0"/>
          <w:numId w:val="55"/>
        </w:numPr>
        <w:tabs>
          <w:tab w:pos="1793" w:val="left" w:leader="none"/>
        </w:tabs>
        <w:spacing w:line="240" w:lineRule="auto" w:before="161" w:after="0"/>
        <w:ind w:left="1793" w:right="0" w:hanging="602"/>
        <w:jc w:val="left"/>
        <w:rPr>
          <w:sz w:val="24"/>
        </w:rPr>
      </w:pPr>
      <w:r>
        <w:rPr>
          <w:sz w:val="24"/>
        </w:rPr>
        <w:t>煤矸石转运场地质情况</w:t>
      </w:r>
    </w:p>
    <w:p>
      <w:pPr>
        <w:pStyle w:val="BodyText"/>
        <w:spacing w:line="364" w:lineRule="auto" w:before="160"/>
        <w:ind w:left="711" w:right="1086" w:firstLine="480"/>
      </w:pPr>
      <w:r>
        <w:rPr/>
        <w:t>据调查煤矸石转运场地面新生界第四系顶部有 </w:t>
      </w:r>
      <w:r>
        <w:rPr>
          <w:rFonts w:ascii="Times New Roman" w:hAnsi="Times New Roman" w:eastAsia="Times New Roman"/>
        </w:rPr>
        <w:t>1.0—8.0 </w:t>
      </w:r>
      <w:r>
        <w:rPr/>
        <w:t>米的腐植土和粘土， 在一定程度上对大气降水起着隔水作用，可以防止矸石淋滤液下渗。</w:t>
      </w:r>
    </w:p>
    <w:p>
      <w:pPr>
        <w:pStyle w:val="ListParagraph"/>
        <w:numPr>
          <w:ilvl w:val="0"/>
          <w:numId w:val="55"/>
        </w:numPr>
        <w:tabs>
          <w:tab w:pos="1793" w:val="left" w:leader="none"/>
        </w:tabs>
        <w:spacing w:line="240" w:lineRule="auto" w:before="2" w:after="0"/>
        <w:ind w:left="1793" w:right="0" w:hanging="602"/>
        <w:jc w:val="left"/>
        <w:rPr>
          <w:sz w:val="24"/>
        </w:rPr>
      </w:pPr>
      <w:r>
        <w:rPr>
          <w:sz w:val="24"/>
        </w:rPr>
        <w:t>煤矸石种类检测结果</w:t>
      </w:r>
    </w:p>
    <w:p>
      <w:pPr>
        <w:pStyle w:val="BodyText"/>
        <w:spacing w:before="160"/>
        <w:ind w:left="1312"/>
      </w:pPr>
      <w:r>
        <w:rPr/>
        <w:t>经检测，本项目煤矸石属于《一般工业固体废物贮存、处置场污染控制标准》</w:t>
      </w:r>
    </w:p>
    <w:p>
      <w:pPr>
        <w:spacing w:after="0"/>
        <w:sectPr>
          <w:pgSz w:w="11910" w:h="16840"/>
          <w:pgMar w:header="0" w:footer="993" w:top="1360" w:bottom="1180" w:left="1040" w:right="600"/>
        </w:sectPr>
      </w:pPr>
    </w:p>
    <w:p>
      <w:pPr>
        <w:pStyle w:val="BodyText"/>
        <w:spacing w:before="62"/>
        <w:ind w:left="711"/>
      </w:pPr>
      <w:r>
        <w:rPr>
          <w:rFonts w:ascii="Times New Roman" w:hAnsi="Times New Roman" w:eastAsia="Times New Roman"/>
        </w:rPr>
        <w:t>(GB18599-2001)</w:t>
      </w:r>
      <w:r>
        <w:rPr/>
        <w:t>中所定义第Ⅰ类一般固体废物，煤矸石转运场按Ⅰ类贮存场设计。</w:t>
      </w:r>
    </w:p>
    <w:p>
      <w:pPr>
        <w:pStyle w:val="ListParagraph"/>
        <w:numPr>
          <w:ilvl w:val="0"/>
          <w:numId w:val="55"/>
        </w:numPr>
        <w:tabs>
          <w:tab w:pos="1793" w:val="left" w:leader="none"/>
        </w:tabs>
        <w:spacing w:line="240" w:lineRule="auto" w:before="160" w:after="0"/>
        <w:ind w:left="1793" w:right="0" w:hanging="602"/>
        <w:jc w:val="left"/>
        <w:rPr>
          <w:sz w:val="24"/>
        </w:rPr>
      </w:pPr>
      <w:r>
        <w:rPr>
          <w:sz w:val="24"/>
        </w:rPr>
        <w:t>煤矸石转运场对地下水影响</w:t>
      </w:r>
    </w:p>
    <w:p>
      <w:pPr>
        <w:pStyle w:val="BodyText"/>
        <w:spacing w:line="364" w:lineRule="auto" w:before="161"/>
        <w:ind w:left="711" w:right="1147" w:firstLine="600"/>
        <w:jc w:val="both"/>
      </w:pPr>
      <w:r>
        <w:rPr>
          <w:spacing w:val="-8"/>
        </w:rPr>
        <w:t>矸石堆场周边修建截排水沟，正常状况下不会产生矸石淋滤水。根据煤矸石</w:t>
      </w:r>
      <w:r>
        <w:rPr>
          <w:spacing w:val="-1"/>
        </w:rPr>
        <w:t>浸出液监测结果，矸石淋溶液各特征污染物浓度均较低，各浓度特征污染物浓度</w:t>
      </w:r>
      <w:r>
        <w:rPr>
          <w:spacing w:val="-12"/>
        </w:rPr>
        <w:t>均低于 </w:t>
      </w:r>
      <w:r>
        <w:rPr>
          <w:rFonts w:ascii="Times New Roman" w:eastAsia="Times New Roman"/>
        </w:rPr>
        <w:t>GB/T14848-2017</w:t>
      </w:r>
      <w:r>
        <w:rPr/>
        <w:t>《地下水质量标准》</w:t>
      </w:r>
      <w:r>
        <w:rPr>
          <w:rFonts w:ascii="Times New Roman" w:eastAsia="Times New Roman"/>
        </w:rPr>
        <w:t>III </w:t>
      </w:r>
      <w:r>
        <w:rPr/>
        <w:t>类水标准限值，故本次评价不再对临时矸石堆场淋滤液下渗污染进行预测评价。</w:t>
      </w:r>
    </w:p>
    <w:p>
      <w:pPr>
        <w:pStyle w:val="Heading3"/>
        <w:spacing w:before="56"/>
        <w:ind w:left="711" w:firstLine="0"/>
      </w:pPr>
      <w:r>
        <w:rPr>
          <w:rFonts w:ascii="Times New Roman" w:eastAsia="Times New Roman"/>
        </w:rPr>
        <w:t>6.6.6 </w:t>
      </w:r>
      <w:r>
        <w:rPr/>
        <w:t>地下水环境影响分析结论</w:t>
      </w:r>
    </w:p>
    <w:p>
      <w:pPr>
        <w:pStyle w:val="BodyText"/>
        <w:spacing w:line="364" w:lineRule="auto" w:before="212"/>
        <w:ind w:left="711" w:right="1033" w:firstLine="480"/>
      </w:pPr>
      <w:r>
        <w:rPr/>
        <w:t>建设项目对地下水的污染主要来自污水处理站下渗对地下水造成的污染，本工程污水处理构筑物及污水管道均采取了防渗处理措施，在运行期间，通过加强</w:t>
      </w:r>
      <w:r>
        <w:rPr>
          <w:spacing w:val="-12"/>
        </w:rPr>
        <w:t>管理，严防污染物的跑、冒、滴、漏，将污染物渗漏的环境风险事故降到最低限， </w:t>
      </w:r>
      <w:r>
        <w:rPr/>
        <w:t>通过预测结果可以看出本工程污染物渗漏对地下水水质影响较小。</w:t>
      </w:r>
    </w:p>
    <w:p>
      <w:pPr>
        <w:pStyle w:val="Heading2"/>
        <w:numPr>
          <w:ilvl w:val="1"/>
          <w:numId w:val="52"/>
        </w:numPr>
        <w:tabs>
          <w:tab w:pos="1161" w:val="left" w:leader="none"/>
        </w:tabs>
        <w:spacing w:line="240" w:lineRule="auto" w:before="43" w:after="0"/>
        <w:ind w:left="1160" w:right="0" w:hanging="450"/>
        <w:jc w:val="left"/>
        <w:rPr>
          <w:rFonts w:ascii="Times New Roman" w:eastAsia="Times New Roman"/>
        </w:rPr>
      </w:pPr>
      <w:bookmarkStart w:name="6.7地下水环境保护措施" w:id="332"/>
      <w:bookmarkEnd w:id="332"/>
      <w:r>
        <w:rPr>
          <w:b w:val="0"/>
        </w:rPr>
      </w:r>
      <w:bookmarkStart w:name="_bookmark34" w:id="333"/>
      <w:bookmarkEnd w:id="333"/>
      <w:r>
        <w:rPr>
          <w:b w:val="0"/>
        </w:rPr>
      </w:r>
      <w:bookmarkStart w:name="_bookmark34" w:id="334"/>
      <w:bookmarkEnd w:id="334"/>
      <w:r>
        <w:rPr/>
        <w:t>地下水环境保护措施</w:t>
      </w:r>
    </w:p>
    <w:p>
      <w:pPr>
        <w:pStyle w:val="Heading3"/>
        <w:numPr>
          <w:ilvl w:val="2"/>
          <w:numId w:val="52"/>
        </w:numPr>
        <w:tabs>
          <w:tab w:pos="1341" w:val="left" w:leader="none"/>
        </w:tabs>
        <w:spacing w:line="240" w:lineRule="auto" w:before="120" w:after="0"/>
        <w:ind w:left="1340" w:right="0" w:hanging="630"/>
        <w:jc w:val="left"/>
      </w:pPr>
      <w:bookmarkStart w:name="6.7.1源头控制措施" w:id="335"/>
      <w:bookmarkEnd w:id="335"/>
      <w:r>
        <w:rPr>
          <w:b w:val="0"/>
        </w:rPr>
      </w:r>
      <w:bookmarkStart w:name="6.7.1源头控制措施" w:id="336"/>
      <w:bookmarkEnd w:id="336"/>
      <w:r>
        <w:rPr/>
        <w:t>源头控制措施</w:t>
      </w:r>
    </w:p>
    <w:p>
      <w:pPr>
        <w:pStyle w:val="BodyText"/>
        <w:spacing w:line="364" w:lineRule="auto" w:before="185"/>
        <w:ind w:left="711" w:right="1149" w:firstLine="480"/>
      </w:pPr>
      <w:r>
        <w:rPr>
          <w:rFonts w:ascii="Times New Roman" w:eastAsia="Times New Roman"/>
        </w:rPr>
        <w:t>1</w:t>
      </w:r>
      <w:r>
        <w:rPr>
          <w:spacing w:val="-11"/>
        </w:rPr>
        <w:t>、矿井生活污水处理站和矿井水处理站水处理过程中的池、渠及地面要采取</w:t>
      </w:r>
      <w:r>
        <w:rPr/>
        <w:t>防渗处理，阻断污染物进入地下水环境途径。</w:t>
      </w:r>
    </w:p>
    <w:p>
      <w:pPr>
        <w:pStyle w:val="BodyText"/>
        <w:spacing w:line="364" w:lineRule="auto"/>
        <w:ind w:left="711" w:right="1149" w:firstLine="480"/>
      </w:pPr>
      <w:r>
        <w:rPr>
          <w:rFonts w:ascii="Times New Roman" w:eastAsia="Times New Roman"/>
        </w:rPr>
        <w:t>2</w:t>
      </w:r>
      <w:r>
        <w:rPr>
          <w:spacing w:val="-12"/>
        </w:rPr>
        <w:t>、禁止建设及生产过程中生活垃圾乱堆乱放，生活垃圾统一收集、集中运至</w:t>
      </w:r>
      <w:r>
        <w:rPr/>
        <w:t>垃圾处理厂处置。</w:t>
      </w:r>
    </w:p>
    <w:p>
      <w:pPr>
        <w:pStyle w:val="BodyText"/>
        <w:spacing w:line="364" w:lineRule="auto"/>
        <w:ind w:left="711" w:right="1148" w:firstLine="480"/>
        <w:jc w:val="both"/>
      </w:pPr>
      <w:r>
        <w:rPr>
          <w:rFonts w:ascii="Times New Roman" w:hAnsi="Times New Roman" w:eastAsia="Times New Roman"/>
        </w:rPr>
        <w:t>3</w:t>
      </w:r>
      <w:r>
        <w:rPr/>
        <w:t>、在开采煤层时，需要坚持</w:t>
      </w:r>
      <w:r>
        <w:rPr>
          <w:rFonts w:ascii="Times New Roman" w:hAnsi="Times New Roman" w:eastAsia="Times New Roman"/>
        </w:rPr>
        <w:t>“</w:t>
      </w:r>
      <w:r>
        <w:rPr/>
        <w:t>预测预报、有掘必探、先探后掘，先治后采</w:t>
      </w:r>
      <w:r>
        <w:rPr>
          <w:rFonts w:ascii="Times New Roman" w:hAnsi="Times New Roman" w:eastAsia="Times New Roman"/>
        </w:rPr>
        <w:t>” </w:t>
      </w:r>
      <w:r>
        <w:rPr/>
        <w:t>的原则，避免发生突水、透水事故，既可以保护水资源，又可以保证煤矿安全生产。需严格执行《煤矿安全规程》，防止煤矿开采对奥灰水造成影响。严格执行探水工作，在可能发生突水的区域应采取探防水措施，探测是否有隐伏陷落柱和断裂构造，探明构造情况后进行注浆堵水等工程措施，杜绝矿井突水事件发生。探水钻进要严格按照操作规程进行，报废的钻孔必须及时封孔，切断各含水层间因钻孔形成的水力联系，防止地下水通过钻孔进入井巷，以保护地下水资源。另外应加强开采过程中对断层导水性变化的鉴别以及渗水量的监测。</w:t>
      </w:r>
    </w:p>
    <w:p>
      <w:pPr>
        <w:pStyle w:val="BodyText"/>
        <w:spacing w:line="362" w:lineRule="auto"/>
        <w:ind w:left="711" w:right="1149" w:firstLine="480"/>
      </w:pPr>
      <w:r>
        <w:rPr>
          <w:rFonts w:ascii="Times New Roman" w:eastAsia="Times New Roman"/>
        </w:rPr>
        <w:t>5</w:t>
      </w:r>
      <w:r>
        <w:rPr>
          <w:spacing w:val="-12"/>
        </w:rPr>
        <w:t>、矸石场必须建设完备的排水设施并做好防渗处理，确保矸石淋溶液不对区</w:t>
      </w:r>
      <w:r>
        <w:rPr/>
        <w:t>域水环境产生明显影响。</w:t>
      </w:r>
    </w:p>
    <w:p>
      <w:pPr>
        <w:pStyle w:val="Heading3"/>
        <w:numPr>
          <w:ilvl w:val="2"/>
          <w:numId w:val="52"/>
        </w:numPr>
        <w:tabs>
          <w:tab w:pos="1341" w:val="left" w:leader="none"/>
        </w:tabs>
        <w:spacing w:line="240" w:lineRule="auto" w:before="0" w:after="0"/>
        <w:ind w:left="1340" w:right="0" w:hanging="630"/>
        <w:jc w:val="left"/>
      </w:pPr>
      <w:bookmarkStart w:name="6.7.2地下水水资源损失减缓措施" w:id="337"/>
      <w:bookmarkEnd w:id="337"/>
      <w:r>
        <w:rPr>
          <w:b w:val="0"/>
        </w:rPr>
      </w:r>
      <w:bookmarkStart w:name="6.7.2地下水水资源损失减缓措施" w:id="338"/>
      <w:bookmarkEnd w:id="338"/>
      <w:r>
        <w:rPr/>
        <w:t>地下水水资源损失减缓措施</w:t>
      </w:r>
    </w:p>
    <w:p>
      <w:pPr>
        <w:pStyle w:val="BodyText"/>
        <w:spacing w:before="184"/>
        <w:ind w:left="1191"/>
      </w:pPr>
      <w:r>
        <w:rPr>
          <w:rFonts w:ascii="Times New Roman" w:eastAsia="Times New Roman"/>
        </w:rPr>
        <w:t>1</w:t>
      </w:r>
      <w:r>
        <w:rPr/>
        <w:t>、建立地下水观测网系统</w:t>
      </w:r>
    </w:p>
    <w:p>
      <w:pPr>
        <w:spacing w:after="0"/>
        <w:sectPr>
          <w:pgSz w:w="11910" w:h="16840"/>
          <w:pgMar w:header="0" w:footer="993" w:top="1440" w:bottom="1180" w:left="1040" w:right="600"/>
        </w:sectPr>
      </w:pPr>
    </w:p>
    <w:p>
      <w:pPr>
        <w:pStyle w:val="BodyText"/>
        <w:spacing w:line="364" w:lineRule="auto" w:before="43"/>
        <w:ind w:left="711" w:right="1149" w:firstLine="480"/>
        <w:jc w:val="both"/>
      </w:pPr>
      <w:r>
        <w:rPr/>
        <w:t>结合观测区地质水文地质、地表、地下条件，以用最少点控制较大面积为原则，建立地下水动态观测网，以掌握地下水位动态变化规律，有效预测疏干涌水量，指导疏干工作。若实际开发中造成区域地下水水位严重下降，建设单位应及时组织水文地质专家查找原因，针对性地制定工程防治措施和配套补救措施，对可能造成的不良影响的给予经济补偿，并根据建设项目可能诱发的环境水文地质问题制定相应的监测方案。</w:t>
      </w:r>
    </w:p>
    <w:p>
      <w:pPr>
        <w:pStyle w:val="BodyText"/>
        <w:spacing w:line="304" w:lineRule="exact"/>
        <w:ind w:left="1191"/>
      </w:pPr>
      <w:r>
        <w:rPr>
          <w:rFonts w:ascii="Times New Roman" w:eastAsia="Times New Roman"/>
        </w:rPr>
        <w:t>2</w:t>
      </w:r>
      <w:r>
        <w:rPr/>
        <w:t>、做好雨季或非正常状态下的矿坑防排水工作</w:t>
      </w:r>
    </w:p>
    <w:p>
      <w:pPr>
        <w:pStyle w:val="BodyText"/>
        <w:spacing w:line="364" w:lineRule="auto" w:before="160"/>
        <w:ind w:left="711" w:right="1027" w:firstLine="480"/>
      </w:pPr>
      <w:r>
        <w:rPr/>
        <w:t>在雨季或非正常状态下，矿井涌水量会再很短时间内突然增大，如果防排水系统不合理或者不通畅，涌水量超过排水能力，会造成淹没煤层，污染煤系地层</w:t>
      </w:r>
      <w:r>
        <w:rPr>
          <w:spacing w:val="-11"/>
        </w:rPr>
        <w:t>的地下水水质，甚至会影响煤矿安全生产。因此，为了保证煤矿的正常安全生产， </w:t>
      </w:r>
      <w:r>
        <w:rPr/>
        <w:t>矿方应提前建立好相关的地下水疏干计算机控制系统、地下水位监测计算机控制系统、地面防排水、地下水疏干系统，根据需要进行预先疏干。</w:t>
      </w:r>
    </w:p>
    <w:p>
      <w:pPr>
        <w:pStyle w:val="Heading3"/>
        <w:numPr>
          <w:ilvl w:val="2"/>
          <w:numId w:val="52"/>
        </w:numPr>
        <w:tabs>
          <w:tab w:pos="1341" w:val="left" w:leader="none"/>
        </w:tabs>
        <w:spacing w:line="358" w:lineRule="exact" w:before="0" w:after="0"/>
        <w:ind w:left="1340" w:right="0" w:hanging="630"/>
        <w:jc w:val="left"/>
      </w:pPr>
      <w:bookmarkStart w:name="6.7.3分区防渗控制措施" w:id="339"/>
      <w:bookmarkEnd w:id="339"/>
      <w:r>
        <w:rPr>
          <w:b w:val="0"/>
        </w:rPr>
      </w:r>
      <w:bookmarkStart w:name="6.7.3分区防渗控制措施" w:id="340"/>
      <w:bookmarkEnd w:id="340"/>
      <w:r>
        <w:rPr/>
        <w:t>分区防渗控制措施</w:t>
      </w:r>
    </w:p>
    <w:p>
      <w:pPr>
        <w:pStyle w:val="BodyText"/>
        <w:spacing w:line="364" w:lineRule="auto" w:before="185"/>
        <w:ind w:left="711" w:right="1149" w:firstLine="480"/>
        <w:jc w:val="both"/>
      </w:pPr>
      <w:r>
        <w:rPr/>
        <w:t>将工业场地区划分为重点污染防治区和一般污染防治区，将临时排矸场区域及生活污水处理站、矿井水处理站等区域划分为重点防治区域，对这些区域的地面做防渗处理，防止污染物下渗造成地下水污染。其它区域划分为一般污染防治区域，对这些区域仅做一般的硬化处理。为防止项目对地下水产生污染，场区拟采取以下分区防渗措施：</w:t>
      </w:r>
    </w:p>
    <w:p>
      <w:pPr>
        <w:pStyle w:val="BodyText"/>
        <w:spacing w:line="303" w:lineRule="exact"/>
        <w:ind w:left="1191"/>
      </w:pPr>
      <w:r>
        <w:rPr/>
        <w:t>将项目分为重点防渗区、一般防渗区。</w:t>
      </w:r>
    </w:p>
    <w:p>
      <w:pPr>
        <w:pStyle w:val="BodyText"/>
        <w:spacing w:line="362" w:lineRule="auto" w:before="161"/>
        <w:ind w:left="711" w:right="1149" w:firstLine="480"/>
      </w:pPr>
      <w:r>
        <w:rPr>
          <w:rFonts w:ascii="Times New Roman" w:hAnsi="Times New Roman" w:eastAsia="Times New Roman"/>
        </w:rPr>
        <w:t>1</w:t>
      </w:r>
      <w:r>
        <w:rPr>
          <w:spacing w:val="-12"/>
        </w:rPr>
        <w:t>、重点防渗区为工业广场、矸石堆场、生活区污水处理站及化粪池、矿井水</w:t>
      </w:r>
      <w:r>
        <w:rPr>
          <w:spacing w:val="-4"/>
        </w:rPr>
        <w:t>处理站，需满足等效黏土防渗层 </w:t>
      </w:r>
      <w:r>
        <w:rPr>
          <w:rFonts w:ascii="Times New Roman" w:hAnsi="Times New Roman" w:eastAsia="Times New Roman"/>
        </w:rPr>
        <w:t>Mb≥6.0m</w:t>
      </w:r>
      <w:r>
        <w:rP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cm/s </w:t>
      </w:r>
      <w:r>
        <w:rPr/>
        <w:t>的要求。</w:t>
      </w:r>
    </w:p>
    <w:p>
      <w:pPr>
        <w:pStyle w:val="BodyText"/>
        <w:spacing w:line="362" w:lineRule="auto" w:before="5"/>
        <w:ind w:left="711" w:right="1149" w:firstLine="480"/>
      </w:pPr>
      <w:r>
        <w:rPr>
          <w:rFonts w:ascii="Times New Roman" w:hAnsi="Times New Roman" w:eastAsia="Times New Roman"/>
        </w:rPr>
        <w:t>2 </w:t>
      </w:r>
      <w:r>
        <w:rPr/>
        <w:t>、一般防渗区为储煤仓等区域， 需满足等效黏土防渗层 </w:t>
      </w:r>
      <w:r>
        <w:rPr>
          <w:rFonts w:ascii="Times New Roman" w:hAnsi="Times New Roman" w:eastAsia="Times New Roman"/>
        </w:rPr>
        <w:t>Mb≥1.5m</w:t>
      </w:r>
      <w:r>
        <w:rPr/>
        <w:t>，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cm/s </w:t>
      </w:r>
      <w:r>
        <w:rPr/>
        <w:t>的要求。</w:t>
      </w:r>
    </w:p>
    <w:p>
      <w:pPr>
        <w:pStyle w:val="BodyText"/>
        <w:spacing w:before="5"/>
        <w:ind w:left="1191"/>
      </w:pPr>
      <w:r>
        <w:rPr>
          <w:rFonts w:ascii="Times New Roman" w:eastAsia="Times New Roman"/>
        </w:rPr>
        <w:t>3</w:t>
      </w:r>
      <w:r>
        <w:rPr/>
        <w:t>、简单防渗区</w:t>
      </w:r>
    </w:p>
    <w:p>
      <w:pPr>
        <w:pStyle w:val="BodyText"/>
        <w:spacing w:line="364" w:lineRule="auto" w:before="158"/>
        <w:ind w:left="711" w:right="1149" w:firstLine="480"/>
      </w:pPr>
      <w:r>
        <w:rPr/>
        <w:t>简单防渗区为厂区道路、综合办公区域、变电所和职工宿舍大楼等区域，进行一般地面硬化。</w:t>
      </w:r>
    </w:p>
    <w:p>
      <w:pPr>
        <w:pStyle w:val="Heading3"/>
        <w:numPr>
          <w:ilvl w:val="2"/>
          <w:numId w:val="52"/>
        </w:numPr>
        <w:tabs>
          <w:tab w:pos="1341" w:val="left" w:leader="none"/>
        </w:tabs>
        <w:spacing w:line="358" w:lineRule="exact" w:before="0" w:after="0"/>
        <w:ind w:left="1340" w:right="0" w:hanging="630"/>
        <w:jc w:val="left"/>
      </w:pPr>
      <w:bookmarkStart w:name="6.7.4地下水监测措施" w:id="341"/>
      <w:bookmarkEnd w:id="341"/>
      <w:r>
        <w:rPr>
          <w:b w:val="0"/>
        </w:rPr>
      </w:r>
      <w:bookmarkStart w:name="6.7.4地下水监测措施" w:id="342"/>
      <w:bookmarkEnd w:id="342"/>
      <w:r>
        <w:rPr/>
        <w:t>地下水监测措施</w:t>
      </w:r>
    </w:p>
    <w:p>
      <w:pPr>
        <w:pStyle w:val="BodyText"/>
        <w:spacing w:line="364" w:lineRule="auto" w:before="185"/>
        <w:ind w:left="711" w:right="1149" w:firstLine="480"/>
      </w:pPr>
      <w:r>
        <w:rPr/>
        <w:t>本次评价给出地下水监测计划，目的在于保护井田下游居民饮水安全，对开采导致的地下水污染及时预警，并采取合理的补救措施。因此，为了及时准确的</w:t>
      </w:r>
    </w:p>
    <w:p>
      <w:pPr>
        <w:spacing w:after="0" w:line="364" w:lineRule="auto"/>
        <w:sectPr>
          <w:pgSz w:w="11910" w:h="16840"/>
          <w:pgMar w:header="0" w:footer="993" w:top="1380" w:bottom="1180" w:left="1040" w:right="600"/>
        </w:sectPr>
      </w:pPr>
    </w:p>
    <w:p>
      <w:pPr>
        <w:pStyle w:val="BodyText"/>
        <w:spacing w:line="364" w:lineRule="auto" w:before="43"/>
        <w:ind w:left="711" w:right="1149"/>
      </w:pPr>
      <w:r>
        <w:rPr/>
        <w:t>掌握地下水水质的变化情况，评价建议建立评价区的区域地下水监控体系，其主要包括监测点位与监测项目、监测频率与监测因子、监测设备与监测人员等。</w:t>
      </w:r>
    </w:p>
    <w:p>
      <w:pPr>
        <w:pStyle w:val="BodyText"/>
        <w:spacing w:line="306" w:lineRule="exact"/>
        <w:ind w:left="1191"/>
      </w:pPr>
      <w:r>
        <w:rPr>
          <w:rFonts w:ascii="Times New Roman" w:eastAsia="Times New Roman"/>
        </w:rPr>
        <w:t>1</w:t>
      </w:r>
      <w:r>
        <w:rPr/>
        <w:t>、监测项目</w:t>
      </w:r>
    </w:p>
    <w:p>
      <w:pPr>
        <w:pStyle w:val="BodyText"/>
        <w:spacing w:line="364" w:lineRule="auto" w:before="160"/>
        <w:ind w:left="711" w:right="1022" w:firstLine="480"/>
      </w:pPr>
      <w:r>
        <w:rPr>
          <w:rFonts w:ascii="Times New Roman" w:eastAsia="Times New Roman"/>
        </w:rPr>
        <w:t>pH </w:t>
      </w:r>
      <w:r>
        <w:rPr>
          <w:spacing w:val="-11"/>
        </w:rPr>
        <w:t>值、溶解性总固体、总硬度、钾、钠、钙、镁、碳酸根、碳酸氢根、硫酸</w:t>
      </w:r>
      <w:r>
        <w:rPr>
          <w:spacing w:val="-12"/>
        </w:rPr>
        <w:t>盐、氯化物、氨氮、硝酸盐氮、亚硝酸盐氮、挥发酚、氟化物、氰化物、铁、锰、</w:t>
      </w:r>
      <w:r>
        <w:rPr>
          <w:spacing w:val="-13"/>
        </w:rPr>
        <w:t>铅、六价铬、镉、汞、砷、高锰酸盐指数、总大肠菌群和细菌总数共 </w:t>
      </w:r>
      <w:r>
        <w:rPr>
          <w:rFonts w:ascii="Times New Roman" w:eastAsia="Times New Roman"/>
        </w:rPr>
        <w:t>29 </w:t>
      </w:r>
      <w:r>
        <w:rPr>
          <w:spacing w:val="-5"/>
        </w:rPr>
        <w:t>项，并记录井深、水位、水温。</w:t>
      </w:r>
    </w:p>
    <w:p>
      <w:pPr>
        <w:pStyle w:val="BodyText"/>
        <w:spacing w:line="305" w:lineRule="exact"/>
        <w:ind w:left="1191"/>
      </w:pPr>
      <w:r>
        <w:rPr>
          <w:rFonts w:ascii="Times New Roman" w:eastAsia="Times New Roman"/>
        </w:rPr>
        <w:t>2</w:t>
      </w:r>
      <w:r>
        <w:rPr/>
        <w:t>、监测点布设</w:t>
      </w:r>
    </w:p>
    <w:p>
      <w:pPr>
        <w:pStyle w:val="BodyText"/>
        <w:spacing w:line="364" w:lineRule="auto" w:before="161"/>
        <w:ind w:left="711" w:right="1149" w:firstLine="480"/>
        <w:jc w:val="both"/>
      </w:pPr>
      <w:r>
        <w:rPr/>
        <w:t>煤炭开采疏排水对浅层含水层水位影响较小，且井田内无居民饮用水井，因此，大顺煤矿开采形成的沉陷对居民水井设施影响不大，且东盛煤矿疏排水对第四系含水层影响较小，因此，本次评价不再对居民水井进行长期监测，仅要求对工业场地下游厂界布设一口第四系含水层的长期监测井进行水位、水质的长期监测。</w:t>
      </w:r>
    </w:p>
    <w:p>
      <w:pPr>
        <w:pStyle w:val="BodyText"/>
        <w:spacing w:line="303" w:lineRule="exact"/>
        <w:ind w:left="1191"/>
      </w:pPr>
      <w:r>
        <w:rPr>
          <w:rFonts w:ascii="Times New Roman" w:eastAsia="Times New Roman"/>
        </w:rPr>
        <w:t>3</w:t>
      </w:r>
      <w:r>
        <w:rPr/>
        <w:t>、监测频率</w:t>
      </w:r>
    </w:p>
    <w:p>
      <w:pPr>
        <w:pStyle w:val="BodyText"/>
        <w:spacing w:line="362" w:lineRule="auto" w:before="160"/>
        <w:ind w:left="711" w:right="1103" w:firstLine="480"/>
      </w:pPr>
      <w:r>
        <w:rPr/>
        <w:t>地下水水质监测，根据《地下水环境监测技术规范》（</w:t>
      </w:r>
      <w:r>
        <w:rPr>
          <w:rFonts w:ascii="Times New Roman" w:eastAsia="Times New Roman"/>
        </w:rPr>
        <w:t>HJ/T 164-2004</w:t>
      </w:r>
      <w:r>
        <w:rPr/>
        <w:t>）污染控制监测井逢单月监测 </w:t>
      </w:r>
      <w:r>
        <w:rPr>
          <w:rFonts w:ascii="Times New Roman" w:eastAsia="Times New Roman"/>
        </w:rPr>
        <w:t>1 </w:t>
      </w:r>
      <w:r>
        <w:rPr/>
        <w:t>次，全年 </w:t>
      </w:r>
      <w:r>
        <w:rPr>
          <w:rFonts w:ascii="Times New Roman" w:eastAsia="Times New Roman"/>
        </w:rPr>
        <w:t>6 </w:t>
      </w:r>
      <w:r>
        <w:rPr/>
        <w:t>次。</w:t>
      </w:r>
    </w:p>
    <w:p>
      <w:pPr>
        <w:pStyle w:val="BodyText"/>
        <w:spacing w:before="5"/>
        <w:ind w:left="1191"/>
      </w:pPr>
      <w:r>
        <w:rPr>
          <w:rFonts w:ascii="Times New Roman" w:eastAsia="Times New Roman"/>
        </w:rPr>
        <w:t>4</w:t>
      </w:r>
      <w:r>
        <w:rPr/>
        <w:t>、监测数据管理</w:t>
      </w:r>
    </w:p>
    <w:p>
      <w:pPr>
        <w:pStyle w:val="BodyText"/>
        <w:spacing w:line="364" w:lineRule="auto" w:before="158"/>
        <w:ind w:left="711" w:right="1149" w:firstLine="480"/>
        <w:jc w:val="both"/>
      </w:pPr>
      <w:r>
        <w:rPr/>
        <w:t>监测结果应及时建立档案，并定期向厂安全环保部门汇报，对于常规监测数据应该进行公开，信息公开计划应至少包括建设项目特征因子的地下水环境监测值，特别是跟周边居民用水安全相关的数据要定期张贴公示，如发现异常或者发生事故，应加密监测频次，改为每天监测一次，并分析污染原因，及时采取应对措施。</w:t>
      </w:r>
    </w:p>
    <w:p>
      <w:pPr>
        <w:pStyle w:val="Heading3"/>
        <w:numPr>
          <w:ilvl w:val="2"/>
          <w:numId w:val="52"/>
        </w:numPr>
        <w:tabs>
          <w:tab w:pos="1341" w:val="left" w:leader="none"/>
        </w:tabs>
        <w:spacing w:line="358" w:lineRule="exact" w:before="0" w:after="0"/>
        <w:ind w:left="1340" w:right="0" w:hanging="630"/>
        <w:jc w:val="left"/>
      </w:pPr>
      <w:bookmarkStart w:name="6.7.5应急管理措施" w:id="343"/>
      <w:bookmarkEnd w:id="343"/>
      <w:r>
        <w:rPr>
          <w:b w:val="0"/>
        </w:rPr>
      </w:r>
      <w:bookmarkStart w:name="6.7.5应急管理措施" w:id="344"/>
      <w:bookmarkEnd w:id="344"/>
      <w:r>
        <w:rPr/>
        <w:t>应急管理措施</w:t>
      </w:r>
    </w:p>
    <w:p>
      <w:pPr>
        <w:pStyle w:val="BodyText"/>
        <w:spacing w:before="185"/>
        <w:ind w:left="1191"/>
      </w:pPr>
      <w:r>
        <w:rPr>
          <w:rFonts w:ascii="Times New Roman" w:eastAsia="Times New Roman"/>
        </w:rPr>
        <w:t>1</w:t>
      </w:r>
      <w:r>
        <w:rPr/>
        <w:t>、风险应急预案</w:t>
      </w:r>
    </w:p>
    <w:p>
      <w:pPr>
        <w:pStyle w:val="BodyText"/>
        <w:spacing w:line="364" w:lineRule="auto" w:before="159"/>
        <w:ind w:left="711" w:right="1149" w:firstLine="480"/>
        <w:jc w:val="both"/>
      </w:pPr>
      <w:r>
        <w:rPr/>
        <w:t>制定风险事故应急预案的目的是为了在发生风险事故时，能以最快的速度发挥最大的效能，有序地实施救援，尽快控制事态的发展，降低事故对地下水的污染。针对应急工作需要，参照相关技术导则，结合地下水污染治理的技术特点， 制定地下水污染应急治理程序见图 </w:t>
      </w:r>
      <w:r>
        <w:rPr>
          <w:rFonts w:ascii="Times New Roman" w:eastAsia="Times New Roman"/>
        </w:rPr>
        <w:t>6.5-1</w:t>
      </w:r>
      <w:r>
        <w:rPr/>
        <w:t>。</w:t>
      </w:r>
    </w:p>
    <w:p>
      <w:pPr>
        <w:spacing w:after="0" w:line="364" w:lineRule="auto"/>
        <w:jc w:val="both"/>
        <w:sectPr>
          <w:pgSz w:w="11910" w:h="16840"/>
          <w:pgMar w:header="0" w:footer="993" w:top="1380" w:bottom="1180" w:left="1040" w:right="600"/>
        </w:sectPr>
      </w:pPr>
    </w:p>
    <w:p>
      <w:pPr>
        <w:pStyle w:val="BodyText"/>
        <w:ind w:left="1789"/>
        <w:rPr>
          <w:sz w:val="20"/>
        </w:rPr>
      </w:pPr>
      <w:r>
        <w:rPr>
          <w:sz w:val="20"/>
        </w:rPr>
        <w:drawing>
          <wp:inline distT="0" distB="0" distL="0" distR="0">
            <wp:extent cx="4338691" cy="5646420"/>
            <wp:effectExtent l="0" t="0" r="0" b="0"/>
            <wp:docPr id="55" name="image31.jpeg"/>
            <wp:cNvGraphicFramePr>
              <a:graphicFrameLocks noChangeAspect="1"/>
            </wp:cNvGraphicFramePr>
            <a:graphic>
              <a:graphicData uri="http://schemas.openxmlformats.org/drawingml/2006/picture">
                <pic:pic>
                  <pic:nvPicPr>
                    <pic:cNvPr id="56" name="image31.jpeg"/>
                    <pic:cNvPicPr/>
                  </pic:nvPicPr>
                  <pic:blipFill>
                    <a:blip r:embed="rId51" cstate="print"/>
                    <a:stretch>
                      <a:fillRect/>
                    </a:stretch>
                  </pic:blipFill>
                  <pic:spPr>
                    <a:xfrm>
                      <a:off x="0" y="0"/>
                      <a:ext cx="4338691" cy="5646420"/>
                    </a:xfrm>
                    <a:prstGeom prst="rect">
                      <a:avLst/>
                    </a:prstGeom>
                  </pic:spPr>
                </pic:pic>
              </a:graphicData>
            </a:graphic>
          </wp:inline>
        </w:drawing>
      </w:r>
      <w:r>
        <w:rPr>
          <w:sz w:val="20"/>
        </w:rPr>
      </w:r>
    </w:p>
    <w:p>
      <w:pPr>
        <w:pStyle w:val="BodyText"/>
        <w:spacing w:before="1"/>
        <w:rPr>
          <w:sz w:val="8"/>
        </w:rPr>
      </w:pPr>
    </w:p>
    <w:p>
      <w:pPr>
        <w:pStyle w:val="BodyText"/>
        <w:tabs>
          <w:tab w:pos="1079" w:val="left" w:leader="none"/>
        </w:tabs>
        <w:spacing w:before="77"/>
        <w:ind w:left="40"/>
        <w:jc w:val="center"/>
      </w:pPr>
      <w:r>
        <w:rPr/>
        <w:t>图</w:t>
      </w:r>
      <w:r>
        <w:rPr>
          <w:spacing w:val="-61"/>
        </w:rPr>
        <w:t> </w:t>
      </w:r>
      <w:r>
        <w:rPr>
          <w:rFonts w:ascii="Times New Roman" w:eastAsia="Times New Roman"/>
        </w:rPr>
        <w:t>6.5-1</w:t>
        <w:tab/>
      </w:r>
      <w:r>
        <w:rPr/>
        <w:t>地下水污染应急治理程序框图</w:t>
      </w:r>
    </w:p>
    <w:p>
      <w:pPr>
        <w:pStyle w:val="BodyText"/>
        <w:spacing w:before="158"/>
        <w:ind w:left="1191"/>
      </w:pPr>
      <w:r>
        <w:rPr>
          <w:rFonts w:ascii="Times New Roman" w:eastAsia="Times New Roman"/>
        </w:rPr>
        <w:t>2</w:t>
      </w:r>
      <w:r>
        <w:rPr/>
        <w:t>、应急管理</w:t>
      </w:r>
    </w:p>
    <w:p>
      <w:pPr>
        <w:pStyle w:val="BodyText"/>
        <w:spacing w:line="362" w:lineRule="auto" w:before="160"/>
        <w:ind w:left="711" w:right="1149" w:firstLine="480"/>
      </w:pPr>
      <w:r>
        <w:rPr/>
        <w:t>在突发地下水污染事故情况下，建议采取以下应急管理措施，以保护地下水环境：</w:t>
      </w:r>
    </w:p>
    <w:p>
      <w:pPr>
        <w:pStyle w:val="BodyText"/>
        <w:spacing w:before="5"/>
        <w:ind w:left="1191"/>
      </w:pPr>
      <w:r>
        <w:rPr/>
        <w:t>①立即启动应急预案；</w:t>
      </w:r>
    </w:p>
    <w:p>
      <w:pPr>
        <w:pStyle w:val="BodyText"/>
        <w:spacing w:before="161"/>
        <w:ind w:left="1191"/>
      </w:pPr>
      <w:r>
        <w:rPr/>
        <w:t>②查明并切断污染源；</w:t>
      </w:r>
    </w:p>
    <w:p>
      <w:pPr>
        <w:pStyle w:val="BodyText"/>
        <w:spacing w:before="158"/>
        <w:ind w:left="1191"/>
      </w:pPr>
      <w:r>
        <w:rPr/>
        <w:t>③查明地下水污染深度、范围和程度；</w:t>
      </w:r>
    </w:p>
    <w:p>
      <w:pPr>
        <w:pStyle w:val="BodyText"/>
        <w:spacing w:before="160"/>
        <w:ind w:left="1191"/>
      </w:pPr>
      <w:r>
        <w:rPr/>
        <w:t>④依据查明的地下水污染情况，合理布置浅井，并进行试抽水工作；</w:t>
      </w:r>
    </w:p>
    <w:p>
      <w:pPr>
        <w:pStyle w:val="BodyText"/>
        <w:spacing w:before="159"/>
        <w:ind w:left="1191"/>
      </w:pPr>
      <w:r>
        <w:rPr/>
        <w:t>⑤依据抽水设计方案进行施工，抽出被污染的地下水体；</w:t>
      </w:r>
    </w:p>
    <w:p>
      <w:pPr>
        <w:pStyle w:val="BodyText"/>
        <w:spacing w:before="160"/>
        <w:ind w:left="1191"/>
      </w:pPr>
      <w:r>
        <w:rPr/>
        <w:t>⑥将抽出的地下水进行集中收集处理，并送实验室进行化验分析；</w:t>
      </w:r>
    </w:p>
    <w:p>
      <w:pPr>
        <w:spacing w:after="0"/>
        <w:sectPr>
          <w:pgSz w:w="11910" w:h="16840"/>
          <w:pgMar w:header="0" w:footer="993" w:top="1420" w:bottom="1180" w:left="1040" w:right="600"/>
        </w:sectPr>
      </w:pPr>
    </w:p>
    <w:p>
      <w:pPr>
        <w:pStyle w:val="BodyText"/>
        <w:spacing w:line="364" w:lineRule="auto" w:before="43"/>
        <w:ind w:left="711" w:right="1149" w:firstLine="480"/>
      </w:pPr>
      <w:r>
        <w:rPr/>
        <w:t>⑦监测孔中的特征污染物浓度满足《地下水质量标准》相关级别标准后，逐步停止抽水，并进行土壤修复治理工作。</w:t>
      </w:r>
    </w:p>
    <w:p>
      <w:pPr>
        <w:pStyle w:val="BodyText"/>
        <w:spacing w:line="306" w:lineRule="exact"/>
        <w:ind w:left="1191"/>
      </w:pPr>
      <w:r>
        <w:rPr>
          <w:rFonts w:ascii="Times New Roman" w:eastAsia="Times New Roman"/>
        </w:rPr>
        <w:t>3</w:t>
      </w:r>
      <w:r>
        <w:rPr/>
        <w:t>、应急保障</w:t>
      </w:r>
    </w:p>
    <w:p>
      <w:pPr>
        <w:pStyle w:val="BodyText"/>
        <w:spacing w:line="362" w:lineRule="auto" w:before="160"/>
        <w:ind w:left="711" w:right="1149" w:firstLine="480"/>
      </w:pPr>
      <w:r>
        <w:rPr/>
        <w:t>①人力资源保障：明确各类应急响应的人力资源，包括专业应急队伍、兼职应急队伍的组织与保障方案。</w:t>
      </w:r>
    </w:p>
    <w:p>
      <w:pPr>
        <w:pStyle w:val="BodyText"/>
        <w:spacing w:line="362" w:lineRule="auto" w:before="5"/>
        <w:ind w:left="711" w:right="1149" w:firstLine="480"/>
      </w:pPr>
      <w:r>
        <w:rPr/>
        <w:t>②财力保障：明确应急专项经费来源、使用范围、数量和监督管理措施，保障应急状态时应急经费的及时到位。</w:t>
      </w:r>
    </w:p>
    <w:p>
      <w:pPr>
        <w:pStyle w:val="BodyText"/>
        <w:spacing w:line="364" w:lineRule="auto" w:before="5"/>
        <w:ind w:left="711" w:right="1029" w:firstLine="480"/>
      </w:pPr>
      <w:r>
        <w:rPr>
          <w:spacing w:val="-11"/>
        </w:rPr>
        <w:t>③物资保障：明确应急救援需要使用的应急物资、应急监测仪器、防护器材、</w:t>
      </w:r>
      <w:r>
        <w:rPr/>
        <w:t>装备的类型、数量、性能、存放位置、管理责任人等内容。</w:t>
      </w:r>
    </w:p>
    <w:p>
      <w:pPr>
        <w:spacing w:after="0" w:line="364" w:lineRule="auto"/>
        <w:sectPr>
          <w:pgSz w:w="11910" w:h="16840"/>
          <w:pgMar w:header="0" w:footer="993" w:top="1380" w:bottom="1180" w:left="1040" w:right="600"/>
        </w:sectPr>
      </w:pPr>
    </w:p>
    <w:p>
      <w:pPr>
        <w:pStyle w:val="BodyText"/>
      </w:pPr>
    </w:p>
    <w:p>
      <w:pPr>
        <w:pStyle w:val="Heading1"/>
        <w:numPr>
          <w:ilvl w:val="1"/>
          <w:numId w:val="49"/>
        </w:numPr>
        <w:tabs>
          <w:tab w:pos="3453" w:val="left" w:leader="none"/>
        </w:tabs>
        <w:spacing w:line="240" w:lineRule="auto" w:before="61" w:after="0"/>
        <w:ind w:left="3452" w:right="380" w:hanging="3453"/>
        <w:jc w:val="left"/>
      </w:pPr>
      <w:bookmarkStart w:name="7.地表水环境影响分析" w:id="345"/>
      <w:bookmarkEnd w:id="345"/>
      <w:r>
        <w:rPr>
          <w:b w:val="0"/>
        </w:rPr>
      </w:r>
      <w:bookmarkStart w:name="_bookmark35" w:id="346"/>
      <w:bookmarkEnd w:id="346"/>
      <w:r>
        <w:rPr>
          <w:b w:val="0"/>
        </w:rPr>
      </w:r>
      <w:bookmarkStart w:name="_bookmark35" w:id="347"/>
      <w:bookmarkEnd w:id="347"/>
      <w:r>
        <w:rPr/>
        <w:t>地表水环境影响分析</w:t>
      </w:r>
    </w:p>
    <w:p>
      <w:pPr>
        <w:pStyle w:val="Heading2"/>
        <w:spacing w:before="239"/>
        <w:ind w:left="375" w:firstLine="0"/>
      </w:pPr>
      <w:r>
        <w:rPr>
          <w:rFonts w:ascii="Times New Roman" w:eastAsia="Times New Roman"/>
        </w:rPr>
        <w:t>7.1</w:t>
      </w:r>
      <w:r>
        <w:rPr>
          <w:rFonts w:ascii="Times New Roman" w:eastAsia="Times New Roman"/>
          <w:spacing w:val="74"/>
        </w:rPr>
        <w:t> </w:t>
      </w:r>
      <w:r>
        <w:rPr/>
        <w:t>地表水环境质量现状</w:t>
      </w:r>
    </w:p>
    <w:p>
      <w:pPr>
        <w:pStyle w:val="BodyText"/>
        <w:spacing w:before="199"/>
        <w:ind w:left="856"/>
      </w:pPr>
      <w:r>
        <w:rPr/>
        <w:t>本项目区域地表水体为安邦河，根据《全国重要江河湖泊水功能区划（</w:t>
      </w:r>
      <w:r>
        <w:rPr>
          <w:rFonts w:ascii="Times New Roman" w:eastAsia="Times New Roman"/>
        </w:rPr>
        <w:t>2011-2030</w:t>
      </w:r>
      <w:r>
        <w:rPr/>
        <w:t>）</w:t>
      </w:r>
    </w:p>
    <w:p>
      <w:pPr>
        <w:pStyle w:val="BodyText"/>
        <w:spacing w:line="362" w:lineRule="auto" w:before="158"/>
        <w:ind w:left="375" w:right="757"/>
        <w:jc w:val="both"/>
      </w:pPr>
      <w:r>
        <w:rPr>
          <w:spacing w:val="4"/>
        </w:rPr>
        <w:t>（黑龙江省）</w:t>
      </w:r>
      <w:r>
        <w:rPr>
          <w:spacing w:val="1"/>
        </w:rPr>
        <w:t>》，该区域段的安邦河为Ⅲ类水体。根据黑龙江康和检测有限公司 </w:t>
      </w:r>
      <w:r>
        <w:rPr>
          <w:rFonts w:ascii="Times New Roman" w:hAnsi="Times New Roman" w:eastAsia="Times New Roman"/>
        </w:rPr>
        <w:t>2020 </w:t>
      </w:r>
      <w:r>
        <w:rPr>
          <w:spacing w:val="-30"/>
          <w:position w:val="2"/>
        </w:rPr>
        <w:t>年 </w:t>
      </w:r>
      <w:r>
        <w:rPr>
          <w:rFonts w:ascii="Times New Roman" w:hAnsi="Times New Roman" w:eastAsia="Times New Roman"/>
          <w:position w:val="2"/>
        </w:rPr>
        <w:t>6 </w:t>
      </w:r>
      <w:r>
        <w:rPr>
          <w:spacing w:val="-30"/>
          <w:position w:val="2"/>
        </w:rPr>
        <w:t>月 </w:t>
      </w:r>
      <w:r>
        <w:rPr>
          <w:rFonts w:ascii="Times New Roman" w:hAnsi="Times New Roman" w:eastAsia="Times New Roman"/>
          <w:position w:val="2"/>
        </w:rPr>
        <w:t>16 </w:t>
      </w:r>
      <w:r>
        <w:rPr>
          <w:position w:val="2"/>
        </w:rPr>
        <w:t>日</w:t>
      </w:r>
      <w:r>
        <w:rPr>
          <w:rFonts w:ascii="Times New Roman" w:hAnsi="Times New Roman" w:eastAsia="Times New Roman"/>
          <w:position w:val="2"/>
        </w:rPr>
        <w:t>~6 </w:t>
      </w:r>
      <w:r>
        <w:rPr>
          <w:spacing w:val="-30"/>
          <w:position w:val="2"/>
        </w:rPr>
        <w:t>月 </w:t>
      </w:r>
      <w:r>
        <w:rPr>
          <w:rFonts w:ascii="Times New Roman" w:hAnsi="Times New Roman" w:eastAsia="Times New Roman"/>
          <w:position w:val="2"/>
        </w:rPr>
        <w:t>18 </w:t>
      </w:r>
      <w:r>
        <w:rPr>
          <w:spacing w:val="-6"/>
          <w:position w:val="2"/>
        </w:rPr>
        <w:t>日补充监测数据显示，评价区内污染物 </w:t>
      </w:r>
      <w:r>
        <w:rPr>
          <w:rFonts w:ascii="Times New Roman" w:hAnsi="Times New Roman" w:eastAsia="Times New Roman"/>
          <w:spacing w:val="-4"/>
          <w:position w:val="2"/>
        </w:rPr>
        <w:t>COD</w:t>
      </w:r>
      <w:r>
        <w:rPr>
          <w:spacing w:val="-4"/>
          <w:position w:val="2"/>
        </w:rPr>
        <w:t>，</w:t>
      </w:r>
      <w:r>
        <w:rPr>
          <w:rFonts w:ascii="Times New Roman" w:hAnsi="Times New Roman" w:eastAsia="Times New Roman"/>
          <w:spacing w:val="-4"/>
          <w:position w:val="2"/>
        </w:rPr>
        <w:t>BOD</w:t>
      </w:r>
      <w:r>
        <w:rPr>
          <w:rFonts w:ascii="Times New Roman" w:hAnsi="Times New Roman" w:eastAsia="Times New Roman"/>
          <w:spacing w:val="-4"/>
          <w:position w:val="2"/>
          <w:vertAlign w:val="subscript"/>
        </w:rPr>
        <w:t>5</w:t>
      </w:r>
      <w:r>
        <w:rPr>
          <w:rFonts w:ascii="Times New Roman" w:hAnsi="Times New Roman" w:eastAsia="Times New Roman"/>
          <w:spacing w:val="-4"/>
          <w:position w:val="2"/>
          <w:vertAlign w:val="baseline"/>
        </w:rPr>
        <w:t> </w:t>
      </w:r>
      <w:r>
        <w:rPr>
          <w:spacing w:val="-3"/>
          <w:position w:val="2"/>
          <w:vertAlign w:val="baseline"/>
        </w:rPr>
        <w:t>监测结果不能</w:t>
      </w:r>
      <w:r>
        <w:rPr>
          <w:vertAlign w:val="baseline"/>
        </w:rPr>
        <w:t>满足《地表水环境质量标准》（</w:t>
      </w:r>
      <w:r>
        <w:rPr>
          <w:rFonts w:ascii="Times New Roman" w:hAnsi="Times New Roman" w:eastAsia="Times New Roman"/>
          <w:vertAlign w:val="baseline"/>
        </w:rPr>
        <w:t>GB3838-2002</w:t>
      </w:r>
      <w:r>
        <w:rPr>
          <w:vertAlign w:val="baseline"/>
        </w:rPr>
        <w:t>）中Ⅲ类标准要求。地表水现状监测项目</w:t>
      </w:r>
      <w:r>
        <w:rPr>
          <w:spacing w:val="-8"/>
          <w:vertAlign w:val="baseline"/>
        </w:rPr>
        <w:t>及分析方法见表 </w:t>
      </w:r>
      <w:r>
        <w:rPr>
          <w:rFonts w:ascii="Times New Roman" w:hAnsi="Times New Roman" w:eastAsia="Times New Roman"/>
          <w:vertAlign w:val="baseline"/>
        </w:rPr>
        <w:t>7.1-1</w:t>
      </w:r>
      <w:r>
        <w:rPr>
          <w:spacing w:val="-6"/>
          <w:vertAlign w:val="baseline"/>
        </w:rPr>
        <w:t>，地表水监测结果见表 </w:t>
      </w:r>
      <w:r>
        <w:rPr>
          <w:rFonts w:ascii="Times New Roman" w:hAnsi="Times New Roman" w:eastAsia="Times New Roman"/>
          <w:vertAlign w:val="baseline"/>
        </w:rPr>
        <w:t>7.1-2</w:t>
      </w:r>
      <w:r>
        <w:rPr>
          <w:vertAlign w:val="baseline"/>
        </w:rPr>
        <w:t>。</w:t>
      </w:r>
    </w:p>
    <w:p>
      <w:pPr>
        <w:pStyle w:val="Heading4"/>
        <w:spacing w:before="6" w:after="3"/>
        <w:ind w:left="3222"/>
        <w:jc w:val="both"/>
      </w:pPr>
      <w:r>
        <w:rPr/>
        <w:t>表 </w:t>
      </w:r>
      <w:r>
        <w:rPr>
          <w:rFonts w:ascii="Times New Roman" w:eastAsia="Times New Roman"/>
        </w:rPr>
        <w:t>7.1-1  </w:t>
      </w:r>
      <w:r>
        <w:rPr/>
        <w:t>地表水监测项目及分析方法</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5"/>
        <w:gridCol w:w="1950"/>
        <w:gridCol w:w="5969"/>
      </w:tblGrid>
      <w:tr>
        <w:trPr>
          <w:trHeight w:val="545" w:hRule="atLeast"/>
        </w:trPr>
        <w:tc>
          <w:tcPr>
            <w:tcW w:w="1425" w:type="dxa"/>
          </w:tcPr>
          <w:p>
            <w:pPr>
              <w:pStyle w:val="TableParagraph"/>
              <w:spacing w:before="137"/>
              <w:ind w:left="270" w:right="265"/>
              <w:rPr>
                <w:sz w:val="21"/>
              </w:rPr>
            </w:pPr>
            <w:r>
              <w:rPr>
                <w:sz w:val="21"/>
              </w:rPr>
              <w:t>监测项目</w:t>
            </w:r>
          </w:p>
        </w:tc>
        <w:tc>
          <w:tcPr>
            <w:tcW w:w="1950" w:type="dxa"/>
          </w:tcPr>
          <w:p>
            <w:pPr>
              <w:pStyle w:val="TableParagraph"/>
              <w:spacing w:before="137"/>
              <w:ind w:left="638" w:right="631"/>
              <w:rPr>
                <w:sz w:val="21"/>
              </w:rPr>
            </w:pPr>
            <w:r>
              <w:rPr>
                <w:sz w:val="21"/>
              </w:rPr>
              <w:t>单位</w:t>
            </w:r>
          </w:p>
        </w:tc>
        <w:tc>
          <w:tcPr>
            <w:tcW w:w="5969" w:type="dxa"/>
          </w:tcPr>
          <w:p>
            <w:pPr>
              <w:pStyle w:val="TableParagraph"/>
              <w:spacing w:before="137"/>
              <w:ind w:left="55" w:right="49"/>
              <w:rPr>
                <w:sz w:val="21"/>
              </w:rPr>
            </w:pPr>
            <w:r>
              <w:rPr>
                <w:sz w:val="21"/>
              </w:rPr>
              <w:t>分析方法</w:t>
            </w:r>
          </w:p>
        </w:tc>
      </w:tr>
      <w:tr>
        <w:trPr>
          <w:trHeight w:val="272" w:hRule="atLeast"/>
        </w:trPr>
        <w:tc>
          <w:tcPr>
            <w:tcW w:w="1425" w:type="dxa"/>
          </w:tcPr>
          <w:p>
            <w:pPr>
              <w:pStyle w:val="TableParagraph"/>
              <w:spacing w:line="239" w:lineRule="exact" w:before="13"/>
              <w:ind w:left="270" w:right="260"/>
              <w:rPr>
                <w:rFonts w:ascii="Times New Roman"/>
                <w:sz w:val="21"/>
              </w:rPr>
            </w:pPr>
            <w:r>
              <w:rPr>
                <w:rFonts w:ascii="Times New Roman"/>
                <w:sz w:val="21"/>
              </w:rPr>
              <w:t>pH</w:t>
            </w:r>
          </w:p>
        </w:tc>
        <w:tc>
          <w:tcPr>
            <w:tcW w:w="1950" w:type="dxa"/>
          </w:tcPr>
          <w:p>
            <w:pPr>
              <w:pStyle w:val="TableParagraph"/>
              <w:spacing w:line="252" w:lineRule="exact"/>
              <w:ind w:left="638" w:right="631"/>
              <w:rPr>
                <w:sz w:val="21"/>
              </w:rPr>
            </w:pPr>
            <w:r>
              <w:rPr>
                <w:sz w:val="21"/>
              </w:rPr>
              <w:t>无量纲</w:t>
            </w:r>
          </w:p>
        </w:tc>
        <w:tc>
          <w:tcPr>
            <w:tcW w:w="5969" w:type="dxa"/>
          </w:tcPr>
          <w:p>
            <w:pPr>
              <w:pStyle w:val="TableParagraph"/>
              <w:spacing w:line="252" w:lineRule="exact"/>
              <w:ind w:left="59" w:right="47"/>
              <w:rPr>
                <w:rFonts w:ascii="Times New Roman" w:eastAsia="Times New Roman"/>
                <w:sz w:val="21"/>
              </w:rPr>
            </w:pPr>
            <w:r>
              <w:rPr>
                <w:sz w:val="21"/>
              </w:rPr>
              <w:t>水质 </w:t>
            </w:r>
            <w:r>
              <w:rPr>
                <w:rFonts w:ascii="Times New Roman" w:eastAsia="Times New Roman"/>
                <w:sz w:val="21"/>
              </w:rPr>
              <w:t>pH </w:t>
            </w:r>
            <w:r>
              <w:rPr>
                <w:sz w:val="21"/>
              </w:rPr>
              <w:t>值的测定玻璃电极法 </w:t>
            </w:r>
            <w:r>
              <w:rPr>
                <w:rFonts w:ascii="Times New Roman" w:eastAsia="Times New Roman"/>
                <w:sz w:val="21"/>
              </w:rPr>
              <w:t>GB/T 6920-1986</w:t>
            </w:r>
          </w:p>
        </w:tc>
      </w:tr>
      <w:tr>
        <w:trPr>
          <w:trHeight w:val="271" w:hRule="atLeast"/>
        </w:trPr>
        <w:tc>
          <w:tcPr>
            <w:tcW w:w="1425" w:type="dxa"/>
          </w:tcPr>
          <w:p>
            <w:pPr>
              <w:pStyle w:val="TableParagraph"/>
              <w:spacing w:line="237" w:lineRule="exact" w:before="14"/>
              <w:ind w:left="270" w:right="261"/>
              <w:rPr>
                <w:rFonts w:ascii="Times New Roman"/>
                <w:sz w:val="21"/>
              </w:rPr>
            </w:pPr>
            <w:r>
              <w:rPr>
                <w:rFonts w:ascii="Times New Roman"/>
                <w:sz w:val="21"/>
              </w:rPr>
              <w:t>SS</w:t>
            </w:r>
          </w:p>
        </w:tc>
        <w:tc>
          <w:tcPr>
            <w:tcW w:w="1950" w:type="dxa"/>
          </w:tcPr>
          <w:p>
            <w:pPr>
              <w:pStyle w:val="TableParagraph"/>
              <w:spacing w:line="237" w:lineRule="exact" w:before="14"/>
              <w:ind w:left="638" w:right="630"/>
              <w:rPr>
                <w:rFonts w:ascii="Times New Roman"/>
                <w:sz w:val="21"/>
              </w:rPr>
            </w:pPr>
            <w:r>
              <w:rPr>
                <w:rFonts w:ascii="Times New Roman"/>
                <w:sz w:val="21"/>
              </w:rPr>
              <w:t>mg/L</w:t>
            </w:r>
          </w:p>
        </w:tc>
        <w:tc>
          <w:tcPr>
            <w:tcW w:w="5969" w:type="dxa"/>
          </w:tcPr>
          <w:p>
            <w:pPr>
              <w:pStyle w:val="TableParagraph"/>
              <w:spacing w:line="251" w:lineRule="exact"/>
              <w:ind w:left="1049"/>
              <w:jc w:val="left"/>
              <w:rPr>
                <w:rFonts w:ascii="Times New Roman" w:eastAsia="Times New Roman"/>
                <w:sz w:val="21"/>
              </w:rPr>
            </w:pPr>
            <w:r>
              <w:rPr>
                <w:sz w:val="21"/>
              </w:rPr>
              <w:t>水质 悬浮物的测定重量法 </w:t>
            </w:r>
            <w:r>
              <w:rPr>
                <w:rFonts w:ascii="Times New Roman" w:eastAsia="Times New Roman"/>
                <w:sz w:val="21"/>
              </w:rPr>
              <w:t>GB 11901-1989</w:t>
            </w:r>
          </w:p>
        </w:tc>
      </w:tr>
      <w:tr>
        <w:trPr>
          <w:trHeight w:val="273" w:hRule="atLeast"/>
        </w:trPr>
        <w:tc>
          <w:tcPr>
            <w:tcW w:w="1425" w:type="dxa"/>
          </w:tcPr>
          <w:p>
            <w:pPr>
              <w:pStyle w:val="TableParagraph"/>
              <w:spacing w:line="237" w:lineRule="exact" w:before="15"/>
              <w:ind w:left="270" w:right="263"/>
              <w:rPr>
                <w:rFonts w:ascii="Times New Roman"/>
                <w:sz w:val="21"/>
              </w:rPr>
            </w:pPr>
            <w:r>
              <w:rPr>
                <w:rFonts w:ascii="Times New Roman"/>
                <w:sz w:val="21"/>
              </w:rPr>
              <w:t>COD</w:t>
            </w:r>
          </w:p>
        </w:tc>
        <w:tc>
          <w:tcPr>
            <w:tcW w:w="1950" w:type="dxa"/>
          </w:tcPr>
          <w:p>
            <w:pPr>
              <w:pStyle w:val="TableParagraph"/>
              <w:spacing w:line="237" w:lineRule="exact" w:before="15"/>
              <w:ind w:left="638" w:right="630"/>
              <w:rPr>
                <w:rFonts w:ascii="Times New Roman"/>
                <w:sz w:val="21"/>
              </w:rPr>
            </w:pPr>
            <w:r>
              <w:rPr>
                <w:rFonts w:ascii="Times New Roman"/>
                <w:sz w:val="21"/>
              </w:rPr>
              <w:t>mg/L</w:t>
            </w:r>
          </w:p>
        </w:tc>
        <w:tc>
          <w:tcPr>
            <w:tcW w:w="5969" w:type="dxa"/>
          </w:tcPr>
          <w:p>
            <w:pPr>
              <w:pStyle w:val="TableParagraph"/>
              <w:spacing w:line="251" w:lineRule="exact" w:before="1"/>
              <w:ind w:left="58" w:right="49"/>
              <w:rPr>
                <w:rFonts w:ascii="Times New Roman" w:eastAsia="Times New Roman"/>
                <w:sz w:val="21"/>
              </w:rPr>
            </w:pPr>
            <w:r>
              <w:rPr>
                <w:sz w:val="21"/>
              </w:rPr>
              <w:t>水质 化学需氧量的测定重铬酸盐法 </w:t>
            </w:r>
            <w:r>
              <w:rPr>
                <w:rFonts w:ascii="Times New Roman" w:eastAsia="Times New Roman"/>
                <w:sz w:val="21"/>
              </w:rPr>
              <w:t>HJ 828-2017</w:t>
            </w:r>
          </w:p>
        </w:tc>
      </w:tr>
      <w:tr>
        <w:trPr>
          <w:trHeight w:val="271" w:hRule="atLeast"/>
        </w:trPr>
        <w:tc>
          <w:tcPr>
            <w:tcW w:w="1425" w:type="dxa"/>
          </w:tcPr>
          <w:p>
            <w:pPr>
              <w:pStyle w:val="TableParagraph"/>
              <w:spacing w:line="252" w:lineRule="exact"/>
              <w:ind w:left="270" w:right="262"/>
              <w:rPr>
                <w:sz w:val="21"/>
              </w:rPr>
            </w:pPr>
            <w:r>
              <w:rPr>
                <w:sz w:val="21"/>
              </w:rPr>
              <w:t>石油类</w:t>
            </w:r>
          </w:p>
        </w:tc>
        <w:tc>
          <w:tcPr>
            <w:tcW w:w="1950" w:type="dxa"/>
          </w:tcPr>
          <w:p>
            <w:pPr>
              <w:pStyle w:val="TableParagraph"/>
              <w:spacing w:line="238" w:lineRule="exact" w:before="13"/>
              <w:ind w:left="638" w:right="630"/>
              <w:rPr>
                <w:rFonts w:ascii="Times New Roman"/>
                <w:sz w:val="21"/>
              </w:rPr>
            </w:pPr>
            <w:r>
              <w:rPr>
                <w:rFonts w:ascii="Times New Roman"/>
                <w:sz w:val="21"/>
              </w:rPr>
              <w:t>mg/L</w:t>
            </w:r>
          </w:p>
        </w:tc>
        <w:tc>
          <w:tcPr>
            <w:tcW w:w="5969" w:type="dxa"/>
          </w:tcPr>
          <w:p>
            <w:pPr>
              <w:pStyle w:val="TableParagraph"/>
              <w:spacing w:line="252" w:lineRule="exact"/>
              <w:ind w:left="58" w:right="49"/>
              <w:rPr>
                <w:rFonts w:ascii="Times New Roman" w:eastAsia="Times New Roman"/>
                <w:sz w:val="21"/>
              </w:rPr>
            </w:pPr>
            <w:r>
              <w:rPr>
                <w:sz w:val="21"/>
              </w:rPr>
              <w:t>水质 石油类的测定紫外分光光度法 </w:t>
            </w:r>
            <w:r>
              <w:rPr>
                <w:rFonts w:ascii="Times New Roman" w:eastAsia="Times New Roman"/>
                <w:sz w:val="21"/>
              </w:rPr>
              <w:t>HJ 970-2018</w:t>
            </w:r>
          </w:p>
        </w:tc>
      </w:tr>
      <w:tr>
        <w:trPr>
          <w:trHeight w:val="272" w:hRule="atLeast"/>
        </w:trPr>
        <w:tc>
          <w:tcPr>
            <w:tcW w:w="1425" w:type="dxa"/>
          </w:tcPr>
          <w:p>
            <w:pPr>
              <w:pStyle w:val="TableParagraph"/>
              <w:spacing w:line="251" w:lineRule="exact"/>
              <w:ind w:left="5"/>
              <w:rPr>
                <w:sz w:val="21"/>
              </w:rPr>
            </w:pPr>
            <w:r>
              <w:rPr>
                <w:w w:val="99"/>
                <w:sz w:val="21"/>
              </w:rPr>
              <w:t>铁</w:t>
            </w:r>
          </w:p>
        </w:tc>
        <w:tc>
          <w:tcPr>
            <w:tcW w:w="1950" w:type="dxa"/>
          </w:tcPr>
          <w:p>
            <w:pPr>
              <w:pStyle w:val="TableParagraph"/>
              <w:spacing w:line="237" w:lineRule="exact" w:before="14"/>
              <w:ind w:left="638" w:right="630"/>
              <w:rPr>
                <w:rFonts w:ascii="Times New Roman"/>
                <w:sz w:val="21"/>
              </w:rPr>
            </w:pPr>
            <w:r>
              <w:rPr>
                <w:rFonts w:ascii="Times New Roman"/>
                <w:sz w:val="21"/>
              </w:rPr>
              <w:t>mg/L</w:t>
            </w:r>
          </w:p>
        </w:tc>
        <w:tc>
          <w:tcPr>
            <w:tcW w:w="5969" w:type="dxa"/>
          </w:tcPr>
          <w:p>
            <w:pPr>
              <w:pStyle w:val="TableParagraph"/>
              <w:spacing w:line="251" w:lineRule="exact"/>
              <w:ind w:right="192"/>
              <w:jc w:val="right"/>
              <w:rPr>
                <w:rFonts w:ascii="Times New Roman" w:eastAsia="Times New Roman"/>
                <w:sz w:val="21"/>
              </w:rPr>
            </w:pPr>
            <w:r>
              <w:rPr>
                <w:sz w:val="21"/>
              </w:rPr>
              <w:t>水质 铁、锰的测定火焰原子吸收分光光度法 </w:t>
            </w:r>
            <w:r>
              <w:rPr>
                <w:rFonts w:ascii="Times New Roman" w:eastAsia="Times New Roman"/>
                <w:sz w:val="21"/>
              </w:rPr>
              <w:t>GB 11911-1989</w:t>
            </w:r>
          </w:p>
        </w:tc>
      </w:tr>
      <w:tr>
        <w:trPr>
          <w:trHeight w:val="272" w:hRule="atLeast"/>
        </w:trPr>
        <w:tc>
          <w:tcPr>
            <w:tcW w:w="1425" w:type="dxa"/>
          </w:tcPr>
          <w:p>
            <w:pPr>
              <w:pStyle w:val="TableParagraph"/>
              <w:spacing w:line="251" w:lineRule="exact" w:before="2"/>
              <w:ind w:left="5"/>
              <w:rPr>
                <w:sz w:val="21"/>
              </w:rPr>
            </w:pPr>
            <w:r>
              <w:rPr>
                <w:w w:val="99"/>
                <w:sz w:val="21"/>
              </w:rPr>
              <w:t>锰</w:t>
            </w:r>
          </w:p>
        </w:tc>
        <w:tc>
          <w:tcPr>
            <w:tcW w:w="1950" w:type="dxa"/>
          </w:tcPr>
          <w:p>
            <w:pPr>
              <w:pStyle w:val="TableParagraph"/>
              <w:spacing w:line="237" w:lineRule="exact" w:before="16"/>
              <w:ind w:left="638" w:right="630"/>
              <w:rPr>
                <w:rFonts w:ascii="Times New Roman"/>
                <w:sz w:val="21"/>
              </w:rPr>
            </w:pPr>
            <w:r>
              <w:rPr>
                <w:rFonts w:ascii="Times New Roman"/>
                <w:sz w:val="21"/>
              </w:rPr>
              <w:t>mg/L</w:t>
            </w:r>
          </w:p>
        </w:tc>
        <w:tc>
          <w:tcPr>
            <w:tcW w:w="5969" w:type="dxa"/>
          </w:tcPr>
          <w:p>
            <w:pPr>
              <w:pStyle w:val="TableParagraph"/>
              <w:spacing w:line="251" w:lineRule="exact" w:before="2"/>
              <w:ind w:right="192"/>
              <w:jc w:val="right"/>
              <w:rPr>
                <w:rFonts w:ascii="Times New Roman" w:eastAsia="Times New Roman"/>
                <w:sz w:val="21"/>
              </w:rPr>
            </w:pPr>
            <w:r>
              <w:rPr>
                <w:sz w:val="21"/>
              </w:rPr>
              <w:t>水质 铁、锰的测定火焰原子吸收分光光度法 </w:t>
            </w:r>
            <w:r>
              <w:rPr>
                <w:rFonts w:ascii="Times New Roman" w:eastAsia="Times New Roman"/>
                <w:sz w:val="21"/>
              </w:rPr>
              <w:t>GB 11911-1989</w:t>
            </w:r>
          </w:p>
        </w:tc>
      </w:tr>
      <w:tr>
        <w:trPr>
          <w:trHeight w:val="272" w:hRule="atLeast"/>
        </w:trPr>
        <w:tc>
          <w:tcPr>
            <w:tcW w:w="1425" w:type="dxa"/>
          </w:tcPr>
          <w:p>
            <w:pPr>
              <w:pStyle w:val="TableParagraph"/>
              <w:spacing w:line="252" w:lineRule="exact"/>
              <w:ind w:left="5"/>
              <w:rPr>
                <w:sz w:val="21"/>
              </w:rPr>
            </w:pPr>
            <w:r>
              <w:rPr>
                <w:w w:val="99"/>
                <w:sz w:val="21"/>
              </w:rPr>
              <w:t>汞</w:t>
            </w:r>
          </w:p>
        </w:tc>
        <w:tc>
          <w:tcPr>
            <w:tcW w:w="1950" w:type="dxa"/>
          </w:tcPr>
          <w:p>
            <w:pPr>
              <w:pStyle w:val="TableParagraph"/>
              <w:spacing w:line="238" w:lineRule="exact" w:before="13"/>
              <w:ind w:left="638" w:right="630"/>
              <w:rPr>
                <w:rFonts w:ascii="Times New Roman"/>
                <w:sz w:val="21"/>
              </w:rPr>
            </w:pPr>
            <w:r>
              <w:rPr>
                <w:rFonts w:ascii="Times New Roman"/>
                <w:sz w:val="21"/>
              </w:rPr>
              <w:t>mg/L</w:t>
            </w:r>
          </w:p>
        </w:tc>
        <w:tc>
          <w:tcPr>
            <w:tcW w:w="5969" w:type="dxa"/>
          </w:tcPr>
          <w:p>
            <w:pPr>
              <w:pStyle w:val="TableParagraph"/>
              <w:spacing w:line="252" w:lineRule="exact"/>
              <w:ind w:left="338"/>
              <w:jc w:val="left"/>
              <w:rPr>
                <w:rFonts w:ascii="Times New Roman" w:eastAsia="Times New Roman"/>
                <w:sz w:val="21"/>
              </w:rPr>
            </w:pPr>
            <w:r>
              <w:rPr>
                <w:sz w:val="21"/>
              </w:rPr>
              <w:t>水质 汞、砷、硒、铋和锑的测定原子荧光法 </w:t>
            </w:r>
            <w:r>
              <w:rPr>
                <w:rFonts w:ascii="Times New Roman" w:eastAsia="Times New Roman"/>
                <w:sz w:val="21"/>
              </w:rPr>
              <w:t>HJ 694-2014</w:t>
            </w:r>
          </w:p>
        </w:tc>
      </w:tr>
      <w:tr>
        <w:trPr>
          <w:trHeight w:val="545" w:hRule="atLeast"/>
        </w:trPr>
        <w:tc>
          <w:tcPr>
            <w:tcW w:w="1425" w:type="dxa"/>
          </w:tcPr>
          <w:p>
            <w:pPr>
              <w:pStyle w:val="TableParagraph"/>
              <w:spacing w:before="135"/>
              <w:ind w:left="5"/>
              <w:rPr>
                <w:sz w:val="21"/>
              </w:rPr>
            </w:pPr>
            <w:r>
              <w:rPr>
                <w:w w:val="99"/>
                <w:sz w:val="21"/>
              </w:rPr>
              <w:t>镉</w:t>
            </w:r>
          </w:p>
        </w:tc>
        <w:tc>
          <w:tcPr>
            <w:tcW w:w="1950" w:type="dxa"/>
          </w:tcPr>
          <w:p>
            <w:pPr>
              <w:pStyle w:val="TableParagraph"/>
              <w:spacing w:before="151"/>
              <w:ind w:left="638" w:right="630"/>
              <w:rPr>
                <w:rFonts w:ascii="Times New Roman"/>
                <w:sz w:val="21"/>
              </w:rPr>
            </w:pPr>
            <w:r>
              <w:rPr>
                <w:rFonts w:ascii="Times New Roman"/>
                <w:sz w:val="21"/>
              </w:rPr>
              <w:t>mg/L</w:t>
            </w:r>
          </w:p>
        </w:tc>
        <w:tc>
          <w:tcPr>
            <w:tcW w:w="5969" w:type="dxa"/>
          </w:tcPr>
          <w:p>
            <w:pPr>
              <w:pStyle w:val="TableParagraph"/>
              <w:spacing w:before="1"/>
              <w:ind w:left="59" w:right="49"/>
              <w:rPr>
                <w:rFonts w:ascii="Times New Roman" w:eastAsia="Times New Roman"/>
                <w:sz w:val="21"/>
              </w:rPr>
            </w:pPr>
            <w:r>
              <w:rPr>
                <w:sz w:val="21"/>
              </w:rPr>
              <w:t>镉石墨炉原子吸收法《水和废水监测分析方法》</w:t>
            </w:r>
            <w:r>
              <w:rPr>
                <w:rFonts w:ascii="Times New Roman" w:eastAsia="Times New Roman"/>
                <w:sz w:val="21"/>
              </w:rPr>
              <w:t>(</w:t>
            </w:r>
            <w:r>
              <w:rPr>
                <w:sz w:val="21"/>
              </w:rPr>
              <w:t>第四版增补版</w:t>
            </w:r>
            <w:r>
              <w:rPr>
                <w:rFonts w:ascii="Times New Roman" w:eastAsia="Times New Roman"/>
                <w:sz w:val="21"/>
              </w:rPr>
              <w:t>)</w:t>
            </w:r>
          </w:p>
          <w:p>
            <w:pPr>
              <w:pStyle w:val="TableParagraph"/>
              <w:spacing w:line="253" w:lineRule="exact" w:before="2"/>
              <w:ind w:left="59" w:right="47"/>
              <w:rPr>
                <w:rFonts w:ascii="Times New Roman" w:eastAsia="Times New Roman"/>
                <w:sz w:val="21"/>
              </w:rPr>
            </w:pPr>
            <w:r>
              <w:rPr>
                <w:sz w:val="21"/>
              </w:rPr>
              <w:t>国家环境保护总局</w:t>
            </w:r>
            <w:r>
              <w:rPr>
                <w:rFonts w:ascii="Times New Roman" w:eastAsia="Times New Roman"/>
                <w:sz w:val="21"/>
              </w:rPr>
              <w:t>(2002 </w:t>
            </w:r>
            <w:r>
              <w:rPr>
                <w:sz w:val="21"/>
              </w:rPr>
              <w:t>年</w:t>
            </w:r>
            <w:r>
              <w:rPr>
                <w:rFonts w:ascii="Times New Roman" w:eastAsia="Times New Roman"/>
                <w:sz w:val="21"/>
              </w:rPr>
              <w:t>) P331</w:t>
            </w:r>
          </w:p>
        </w:tc>
      </w:tr>
      <w:tr>
        <w:trPr>
          <w:trHeight w:val="271" w:hRule="atLeast"/>
        </w:trPr>
        <w:tc>
          <w:tcPr>
            <w:tcW w:w="1425" w:type="dxa"/>
          </w:tcPr>
          <w:p>
            <w:pPr>
              <w:pStyle w:val="TableParagraph"/>
              <w:spacing w:line="252" w:lineRule="exact"/>
              <w:ind w:left="5"/>
              <w:rPr>
                <w:sz w:val="21"/>
              </w:rPr>
            </w:pPr>
            <w:r>
              <w:rPr>
                <w:w w:val="99"/>
                <w:sz w:val="21"/>
              </w:rPr>
              <w:t>铬</w:t>
            </w:r>
          </w:p>
        </w:tc>
        <w:tc>
          <w:tcPr>
            <w:tcW w:w="1950" w:type="dxa"/>
          </w:tcPr>
          <w:p>
            <w:pPr>
              <w:pStyle w:val="TableParagraph"/>
              <w:spacing w:line="238" w:lineRule="exact" w:before="14"/>
              <w:ind w:left="638" w:right="630"/>
              <w:rPr>
                <w:rFonts w:ascii="Times New Roman"/>
                <w:sz w:val="21"/>
              </w:rPr>
            </w:pPr>
            <w:r>
              <w:rPr>
                <w:rFonts w:ascii="Times New Roman"/>
                <w:sz w:val="21"/>
              </w:rPr>
              <w:t>mg/L</w:t>
            </w:r>
          </w:p>
        </w:tc>
        <w:tc>
          <w:tcPr>
            <w:tcW w:w="5969" w:type="dxa"/>
          </w:tcPr>
          <w:p>
            <w:pPr>
              <w:pStyle w:val="TableParagraph"/>
              <w:spacing w:line="252" w:lineRule="exact"/>
              <w:ind w:left="550"/>
              <w:jc w:val="left"/>
              <w:rPr>
                <w:rFonts w:ascii="Times New Roman" w:eastAsia="Times New Roman"/>
                <w:sz w:val="21"/>
              </w:rPr>
            </w:pPr>
            <w:hyperlink r:id="rId53">
              <w:r>
                <w:rPr>
                  <w:sz w:val="21"/>
                </w:rPr>
                <w:t>水质 铬的测定火焰原子吸收分光光度法 </w:t>
              </w:r>
            </w:hyperlink>
            <w:r>
              <w:rPr>
                <w:rFonts w:ascii="Times New Roman" w:eastAsia="Times New Roman"/>
                <w:sz w:val="21"/>
              </w:rPr>
              <w:t>HJ 757-2015</w:t>
            </w:r>
          </w:p>
        </w:tc>
      </w:tr>
      <w:tr>
        <w:trPr>
          <w:trHeight w:val="273" w:hRule="atLeast"/>
        </w:trPr>
        <w:tc>
          <w:tcPr>
            <w:tcW w:w="1425" w:type="dxa"/>
          </w:tcPr>
          <w:p>
            <w:pPr>
              <w:pStyle w:val="TableParagraph"/>
              <w:spacing w:line="251" w:lineRule="exact" w:before="1"/>
              <w:ind w:left="270" w:right="262"/>
              <w:rPr>
                <w:sz w:val="21"/>
              </w:rPr>
            </w:pPr>
            <w:r>
              <w:rPr>
                <w:sz w:val="21"/>
              </w:rPr>
              <w:t>六价铬</w:t>
            </w:r>
          </w:p>
        </w:tc>
        <w:tc>
          <w:tcPr>
            <w:tcW w:w="1950" w:type="dxa"/>
          </w:tcPr>
          <w:p>
            <w:pPr>
              <w:pStyle w:val="TableParagraph"/>
              <w:spacing w:line="237" w:lineRule="exact" w:before="15"/>
              <w:ind w:left="638" w:right="630"/>
              <w:rPr>
                <w:rFonts w:ascii="Times New Roman"/>
                <w:sz w:val="21"/>
              </w:rPr>
            </w:pPr>
            <w:r>
              <w:rPr>
                <w:rFonts w:ascii="Times New Roman"/>
                <w:sz w:val="21"/>
              </w:rPr>
              <w:t>mg/L</w:t>
            </w:r>
          </w:p>
        </w:tc>
        <w:tc>
          <w:tcPr>
            <w:tcW w:w="5969" w:type="dxa"/>
          </w:tcPr>
          <w:p>
            <w:pPr>
              <w:pStyle w:val="TableParagraph"/>
              <w:spacing w:line="251" w:lineRule="exact" w:before="1"/>
              <w:ind w:right="151"/>
              <w:jc w:val="right"/>
              <w:rPr>
                <w:rFonts w:ascii="Times New Roman" w:eastAsia="Times New Roman"/>
                <w:sz w:val="21"/>
              </w:rPr>
            </w:pPr>
            <w:r>
              <w:rPr>
                <w:sz w:val="21"/>
              </w:rPr>
              <w:t>水质 六价铬的测定二苯碳酰二肼分光光度法 </w:t>
            </w:r>
            <w:r>
              <w:rPr>
                <w:rFonts w:ascii="Times New Roman" w:eastAsia="Times New Roman"/>
                <w:sz w:val="21"/>
              </w:rPr>
              <w:t>GB/T 7467-1987</w:t>
            </w:r>
          </w:p>
        </w:tc>
      </w:tr>
      <w:tr>
        <w:trPr>
          <w:trHeight w:val="271" w:hRule="atLeast"/>
        </w:trPr>
        <w:tc>
          <w:tcPr>
            <w:tcW w:w="1425" w:type="dxa"/>
          </w:tcPr>
          <w:p>
            <w:pPr>
              <w:pStyle w:val="TableParagraph"/>
              <w:spacing w:line="252" w:lineRule="exact"/>
              <w:ind w:left="5"/>
              <w:rPr>
                <w:sz w:val="21"/>
              </w:rPr>
            </w:pPr>
            <w:r>
              <w:rPr>
                <w:w w:val="99"/>
                <w:sz w:val="21"/>
              </w:rPr>
              <w:t>铅</w:t>
            </w:r>
          </w:p>
        </w:tc>
        <w:tc>
          <w:tcPr>
            <w:tcW w:w="1950" w:type="dxa"/>
          </w:tcPr>
          <w:p>
            <w:pPr>
              <w:pStyle w:val="TableParagraph"/>
              <w:spacing w:line="239" w:lineRule="exact" w:before="13"/>
              <w:ind w:left="638" w:right="630"/>
              <w:rPr>
                <w:rFonts w:ascii="Times New Roman"/>
                <w:sz w:val="21"/>
              </w:rPr>
            </w:pPr>
            <w:r>
              <w:rPr>
                <w:rFonts w:ascii="Times New Roman"/>
                <w:sz w:val="21"/>
              </w:rPr>
              <w:t>mg/L</w:t>
            </w:r>
          </w:p>
        </w:tc>
        <w:tc>
          <w:tcPr>
            <w:tcW w:w="5969" w:type="dxa"/>
          </w:tcPr>
          <w:p>
            <w:pPr>
              <w:pStyle w:val="TableParagraph"/>
              <w:spacing w:line="252" w:lineRule="exact"/>
              <w:ind w:right="94"/>
              <w:jc w:val="right"/>
              <w:rPr>
                <w:rFonts w:ascii="Times New Roman" w:eastAsia="Times New Roman"/>
                <w:sz w:val="21"/>
              </w:rPr>
            </w:pPr>
            <w:r>
              <w:rPr>
                <w:spacing w:val="-15"/>
                <w:sz w:val="21"/>
              </w:rPr>
              <w:t>水质铜、锌、铅、镉的测定原子吸收分光光度法 </w:t>
            </w:r>
            <w:r>
              <w:rPr>
                <w:rFonts w:ascii="Times New Roman" w:eastAsia="Times New Roman"/>
                <w:sz w:val="21"/>
              </w:rPr>
              <w:t>GB/T 7475-1987</w:t>
            </w:r>
          </w:p>
        </w:tc>
      </w:tr>
      <w:tr>
        <w:trPr>
          <w:trHeight w:val="272" w:hRule="atLeast"/>
        </w:trPr>
        <w:tc>
          <w:tcPr>
            <w:tcW w:w="1425" w:type="dxa"/>
          </w:tcPr>
          <w:p>
            <w:pPr>
              <w:pStyle w:val="TableParagraph"/>
              <w:spacing w:line="251" w:lineRule="exact"/>
              <w:ind w:left="5"/>
              <w:rPr>
                <w:sz w:val="21"/>
              </w:rPr>
            </w:pPr>
            <w:r>
              <w:rPr>
                <w:w w:val="99"/>
                <w:sz w:val="21"/>
              </w:rPr>
              <w:t>砷</w:t>
            </w:r>
          </w:p>
        </w:tc>
        <w:tc>
          <w:tcPr>
            <w:tcW w:w="1950" w:type="dxa"/>
          </w:tcPr>
          <w:p>
            <w:pPr>
              <w:pStyle w:val="TableParagraph"/>
              <w:spacing w:line="237" w:lineRule="exact" w:before="14"/>
              <w:ind w:left="638" w:right="630"/>
              <w:rPr>
                <w:rFonts w:ascii="Times New Roman"/>
                <w:sz w:val="21"/>
              </w:rPr>
            </w:pPr>
            <w:r>
              <w:rPr>
                <w:rFonts w:ascii="Times New Roman"/>
                <w:sz w:val="21"/>
              </w:rPr>
              <w:t>mg/L</w:t>
            </w:r>
          </w:p>
        </w:tc>
        <w:tc>
          <w:tcPr>
            <w:tcW w:w="5969" w:type="dxa"/>
          </w:tcPr>
          <w:p>
            <w:pPr>
              <w:pStyle w:val="TableParagraph"/>
              <w:tabs>
                <w:tab w:pos="917" w:val="left" w:leader="none"/>
              </w:tabs>
              <w:spacing w:line="251" w:lineRule="exact"/>
              <w:ind w:left="288"/>
              <w:jc w:val="left"/>
              <w:rPr>
                <w:rFonts w:ascii="Times New Roman" w:eastAsia="Times New Roman"/>
                <w:sz w:val="21"/>
              </w:rPr>
            </w:pPr>
            <w:r>
              <w:rPr>
                <w:sz w:val="21"/>
              </w:rPr>
              <w:t>水质</w:t>
              <w:tab/>
              <w:t>汞、砷、硒、铋和锑的测定原子荧光法</w:t>
            </w:r>
            <w:r>
              <w:rPr>
                <w:spacing w:val="-3"/>
                <w:sz w:val="21"/>
              </w:rPr>
              <w:t> </w:t>
            </w:r>
            <w:r>
              <w:rPr>
                <w:rFonts w:ascii="Times New Roman" w:eastAsia="Times New Roman"/>
                <w:sz w:val="21"/>
              </w:rPr>
              <w:t>HJ</w:t>
            </w:r>
            <w:r>
              <w:rPr>
                <w:rFonts w:ascii="Times New Roman" w:eastAsia="Times New Roman"/>
                <w:spacing w:val="-1"/>
                <w:sz w:val="21"/>
              </w:rPr>
              <w:t> </w:t>
            </w:r>
            <w:r>
              <w:rPr>
                <w:rFonts w:ascii="Times New Roman" w:eastAsia="Times New Roman"/>
                <w:sz w:val="21"/>
              </w:rPr>
              <w:t>694-2014</w:t>
            </w:r>
          </w:p>
        </w:tc>
      </w:tr>
      <w:tr>
        <w:trPr>
          <w:trHeight w:val="273" w:hRule="atLeast"/>
        </w:trPr>
        <w:tc>
          <w:tcPr>
            <w:tcW w:w="1425" w:type="dxa"/>
          </w:tcPr>
          <w:p>
            <w:pPr>
              <w:pStyle w:val="TableParagraph"/>
              <w:spacing w:line="251" w:lineRule="exact" w:before="2"/>
              <w:ind w:left="5"/>
              <w:rPr>
                <w:sz w:val="21"/>
              </w:rPr>
            </w:pPr>
            <w:r>
              <w:rPr>
                <w:w w:val="99"/>
                <w:sz w:val="21"/>
              </w:rPr>
              <w:t>锌</w:t>
            </w:r>
          </w:p>
        </w:tc>
        <w:tc>
          <w:tcPr>
            <w:tcW w:w="1950" w:type="dxa"/>
          </w:tcPr>
          <w:p>
            <w:pPr>
              <w:pStyle w:val="TableParagraph"/>
              <w:spacing w:line="237" w:lineRule="exact" w:before="15"/>
              <w:ind w:left="638" w:right="630"/>
              <w:rPr>
                <w:rFonts w:ascii="Times New Roman"/>
                <w:sz w:val="21"/>
              </w:rPr>
            </w:pPr>
            <w:r>
              <w:rPr>
                <w:rFonts w:ascii="Times New Roman"/>
                <w:sz w:val="21"/>
              </w:rPr>
              <w:t>mg/L</w:t>
            </w:r>
          </w:p>
        </w:tc>
        <w:tc>
          <w:tcPr>
            <w:tcW w:w="5969" w:type="dxa"/>
          </w:tcPr>
          <w:p>
            <w:pPr>
              <w:pStyle w:val="TableParagraph"/>
              <w:spacing w:line="251" w:lineRule="exact" w:before="2"/>
              <w:ind w:right="94"/>
              <w:jc w:val="right"/>
              <w:rPr>
                <w:rFonts w:ascii="Times New Roman" w:eastAsia="Times New Roman"/>
                <w:sz w:val="21"/>
              </w:rPr>
            </w:pPr>
            <w:r>
              <w:rPr>
                <w:spacing w:val="-15"/>
                <w:sz w:val="21"/>
              </w:rPr>
              <w:t>水质铜、锌、铅、镉的测定原子吸收分光光度法 </w:t>
            </w:r>
            <w:r>
              <w:rPr>
                <w:rFonts w:ascii="Times New Roman" w:eastAsia="Times New Roman"/>
                <w:sz w:val="21"/>
              </w:rPr>
              <w:t>GB/T 7475-1987</w:t>
            </w:r>
          </w:p>
        </w:tc>
      </w:tr>
      <w:tr>
        <w:trPr>
          <w:trHeight w:val="272" w:hRule="atLeast"/>
        </w:trPr>
        <w:tc>
          <w:tcPr>
            <w:tcW w:w="1425" w:type="dxa"/>
          </w:tcPr>
          <w:p>
            <w:pPr>
              <w:pStyle w:val="TableParagraph"/>
              <w:spacing w:line="252" w:lineRule="exact"/>
              <w:ind w:left="270" w:right="262"/>
              <w:rPr>
                <w:sz w:val="21"/>
              </w:rPr>
            </w:pPr>
            <w:r>
              <w:rPr>
                <w:sz w:val="21"/>
              </w:rPr>
              <w:t>氟化物</w:t>
            </w:r>
          </w:p>
        </w:tc>
        <w:tc>
          <w:tcPr>
            <w:tcW w:w="1950" w:type="dxa"/>
          </w:tcPr>
          <w:p>
            <w:pPr>
              <w:pStyle w:val="TableParagraph"/>
              <w:spacing w:line="238" w:lineRule="exact" w:before="13"/>
              <w:ind w:left="638" w:right="630"/>
              <w:rPr>
                <w:rFonts w:ascii="Times New Roman"/>
                <w:sz w:val="21"/>
              </w:rPr>
            </w:pPr>
            <w:r>
              <w:rPr>
                <w:rFonts w:ascii="Times New Roman"/>
                <w:sz w:val="21"/>
              </w:rPr>
              <w:t>mg/L</w:t>
            </w:r>
          </w:p>
        </w:tc>
        <w:tc>
          <w:tcPr>
            <w:tcW w:w="5969" w:type="dxa"/>
          </w:tcPr>
          <w:p>
            <w:pPr>
              <w:pStyle w:val="TableParagraph"/>
              <w:spacing w:line="252" w:lineRule="exact"/>
              <w:ind w:left="58" w:right="49"/>
              <w:rPr>
                <w:rFonts w:ascii="Times New Roman" w:eastAsia="Times New Roman"/>
                <w:sz w:val="21"/>
              </w:rPr>
            </w:pPr>
            <w:r>
              <w:rPr>
                <w:sz w:val="21"/>
              </w:rPr>
              <w:t>水质氟化物的测定离子选择电极法 </w:t>
            </w:r>
            <w:r>
              <w:rPr>
                <w:rFonts w:ascii="Times New Roman" w:eastAsia="Times New Roman"/>
                <w:sz w:val="21"/>
              </w:rPr>
              <w:t>GB7484-1987</w:t>
            </w:r>
          </w:p>
        </w:tc>
      </w:tr>
      <w:tr>
        <w:trPr>
          <w:trHeight w:val="271" w:hRule="atLeast"/>
        </w:trPr>
        <w:tc>
          <w:tcPr>
            <w:tcW w:w="1425" w:type="dxa"/>
          </w:tcPr>
          <w:p>
            <w:pPr>
              <w:pStyle w:val="TableParagraph"/>
              <w:spacing w:line="251" w:lineRule="exact"/>
              <w:ind w:left="270" w:right="262"/>
              <w:rPr>
                <w:sz w:val="21"/>
              </w:rPr>
            </w:pPr>
            <w:r>
              <w:rPr>
                <w:sz w:val="21"/>
              </w:rPr>
              <w:t>溶解氧</w:t>
            </w:r>
          </w:p>
        </w:tc>
        <w:tc>
          <w:tcPr>
            <w:tcW w:w="1950" w:type="dxa"/>
          </w:tcPr>
          <w:p>
            <w:pPr>
              <w:pStyle w:val="TableParagraph"/>
              <w:spacing w:line="237" w:lineRule="exact" w:before="14"/>
              <w:ind w:left="638" w:right="630"/>
              <w:rPr>
                <w:rFonts w:ascii="Times New Roman"/>
                <w:sz w:val="21"/>
              </w:rPr>
            </w:pPr>
            <w:r>
              <w:rPr>
                <w:rFonts w:ascii="Times New Roman"/>
                <w:sz w:val="21"/>
              </w:rPr>
              <w:t>mg/L</w:t>
            </w:r>
          </w:p>
        </w:tc>
        <w:tc>
          <w:tcPr>
            <w:tcW w:w="5969" w:type="dxa"/>
          </w:tcPr>
          <w:p>
            <w:pPr>
              <w:pStyle w:val="TableParagraph"/>
              <w:spacing w:line="251" w:lineRule="exact"/>
              <w:ind w:left="59" w:right="47"/>
              <w:rPr>
                <w:rFonts w:ascii="Times New Roman" w:eastAsia="Times New Roman"/>
                <w:sz w:val="21"/>
              </w:rPr>
            </w:pPr>
            <w:r>
              <w:rPr>
                <w:sz w:val="21"/>
              </w:rPr>
              <w:t>水质溶解氧的测定电化学探头法 </w:t>
            </w:r>
            <w:r>
              <w:rPr>
                <w:rFonts w:ascii="Times New Roman" w:eastAsia="Times New Roman"/>
                <w:sz w:val="21"/>
              </w:rPr>
              <w:t>HJ 506-2009</w:t>
            </w:r>
          </w:p>
        </w:tc>
      </w:tr>
      <w:tr>
        <w:trPr>
          <w:trHeight w:val="514" w:hRule="atLeast"/>
        </w:trPr>
        <w:tc>
          <w:tcPr>
            <w:tcW w:w="1425" w:type="dxa"/>
          </w:tcPr>
          <w:p>
            <w:pPr>
              <w:pStyle w:val="TableParagraph"/>
              <w:spacing w:before="132"/>
              <w:ind w:left="270" w:right="261"/>
              <w:rPr>
                <w:rFonts w:ascii="Times New Roman"/>
                <w:sz w:val="21"/>
              </w:rPr>
            </w:pPr>
            <w:r>
              <w:rPr>
                <w:rFonts w:ascii="Times New Roman"/>
                <w:position w:val="2"/>
                <w:sz w:val="21"/>
              </w:rPr>
              <w:t>BOD</w:t>
            </w:r>
            <w:r>
              <w:rPr>
                <w:rFonts w:ascii="Times New Roman"/>
                <w:position w:val="2"/>
                <w:sz w:val="21"/>
                <w:vertAlign w:val="subscript"/>
              </w:rPr>
              <w:t>5</w:t>
            </w:r>
          </w:p>
        </w:tc>
        <w:tc>
          <w:tcPr>
            <w:tcW w:w="1950" w:type="dxa"/>
          </w:tcPr>
          <w:p>
            <w:pPr>
              <w:pStyle w:val="TableParagraph"/>
              <w:spacing w:before="136"/>
              <w:ind w:left="638" w:right="630"/>
              <w:rPr>
                <w:rFonts w:ascii="Times New Roman"/>
                <w:sz w:val="21"/>
              </w:rPr>
            </w:pPr>
            <w:r>
              <w:rPr>
                <w:rFonts w:ascii="Times New Roman"/>
                <w:sz w:val="21"/>
              </w:rPr>
              <w:t>mg/L</w:t>
            </w:r>
          </w:p>
        </w:tc>
        <w:tc>
          <w:tcPr>
            <w:tcW w:w="5969" w:type="dxa"/>
          </w:tcPr>
          <w:p>
            <w:pPr>
              <w:pStyle w:val="TableParagraph"/>
              <w:spacing w:before="2"/>
              <w:ind w:left="57" w:right="49"/>
              <w:rPr>
                <w:sz w:val="21"/>
              </w:rPr>
            </w:pPr>
            <w:r>
              <w:rPr>
                <w:sz w:val="21"/>
              </w:rPr>
              <w:t>水质 五日生化需氧量</w:t>
            </w:r>
            <w:r>
              <w:rPr>
                <w:rFonts w:ascii="Times New Roman" w:eastAsia="Times New Roman"/>
                <w:sz w:val="21"/>
              </w:rPr>
              <w:t>(BOD5)</w:t>
            </w:r>
            <w:r>
              <w:rPr>
                <w:sz w:val="21"/>
              </w:rPr>
              <w:t>的测定 稀释与接种法</w:t>
            </w:r>
          </w:p>
          <w:p>
            <w:pPr>
              <w:pStyle w:val="TableParagraph"/>
              <w:spacing w:line="221" w:lineRule="exact" w:before="1"/>
              <w:ind w:left="58" w:right="49"/>
              <w:rPr>
                <w:rFonts w:ascii="Times New Roman"/>
                <w:sz w:val="21"/>
              </w:rPr>
            </w:pPr>
            <w:r>
              <w:rPr>
                <w:rFonts w:ascii="Times New Roman"/>
                <w:sz w:val="21"/>
              </w:rPr>
              <w:t>HJ 505-2009</w:t>
            </w:r>
          </w:p>
        </w:tc>
      </w:tr>
      <w:tr>
        <w:trPr>
          <w:trHeight w:val="272" w:hRule="atLeast"/>
        </w:trPr>
        <w:tc>
          <w:tcPr>
            <w:tcW w:w="1425" w:type="dxa"/>
          </w:tcPr>
          <w:p>
            <w:pPr>
              <w:pStyle w:val="TableParagraph"/>
              <w:spacing w:line="251" w:lineRule="exact" w:before="1"/>
              <w:ind w:left="270" w:right="262"/>
              <w:rPr>
                <w:sz w:val="21"/>
              </w:rPr>
            </w:pPr>
            <w:r>
              <w:rPr>
                <w:sz w:val="21"/>
              </w:rPr>
              <w:t>氨氮</w:t>
            </w:r>
          </w:p>
        </w:tc>
        <w:tc>
          <w:tcPr>
            <w:tcW w:w="1950" w:type="dxa"/>
          </w:tcPr>
          <w:p>
            <w:pPr>
              <w:pStyle w:val="TableParagraph"/>
              <w:spacing w:line="237" w:lineRule="exact" w:before="15"/>
              <w:ind w:left="638" w:right="630"/>
              <w:rPr>
                <w:rFonts w:ascii="Times New Roman"/>
                <w:sz w:val="21"/>
              </w:rPr>
            </w:pPr>
            <w:r>
              <w:rPr>
                <w:rFonts w:ascii="Times New Roman"/>
                <w:sz w:val="21"/>
              </w:rPr>
              <w:t>mg/L</w:t>
            </w:r>
          </w:p>
        </w:tc>
        <w:tc>
          <w:tcPr>
            <w:tcW w:w="5969" w:type="dxa"/>
          </w:tcPr>
          <w:p>
            <w:pPr>
              <w:pStyle w:val="TableParagraph"/>
              <w:spacing w:line="251" w:lineRule="exact" w:before="1"/>
              <w:ind w:left="602"/>
              <w:jc w:val="left"/>
              <w:rPr>
                <w:rFonts w:ascii="Times New Roman" w:eastAsia="Times New Roman"/>
                <w:sz w:val="21"/>
              </w:rPr>
            </w:pPr>
            <w:r>
              <w:rPr>
                <w:sz w:val="21"/>
              </w:rPr>
              <w:t>水质 氨氮的测定 纳氏试剂分光光度法 </w:t>
            </w:r>
            <w:r>
              <w:rPr>
                <w:rFonts w:ascii="Times New Roman" w:eastAsia="Times New Roman"/>
                <w:sz w:val="21"/>
              </w:rPr>
              <w:t>HJ 535-2009</w:t>
            </w:r>
          </w:p>
        </w:tc>
      </w:tr>
    </w:tbl>
    <w:p>
      <w:pPr>
        <w:tabs>
          <w:tab w:pos="1041" w:val="left" w:leader="none"/>
        </w:tabs>
        <w:spacing w:before="1"/>
        <w:ind w:left="0" w:right="377" w:firstLine="0"/>
        <w:jc w:val="center"/>
        <w:rPr>
          <w:b/>
          <w:sz w:val="24"/>
        </w:rPr>
      </w:pPr>
      <w:r>
        <w:rPr>
          <w:b/>
          <w:sz w:val="24"/>
        </w:rPr>
        <w:t>表</w:t>
      </w:r>
      <w:r>
        <w:rPr>
          <w:b/>
          <w:spacing w:val="-61"/>
          <w:sz w:val="24"/>
        </w:rPr>
        <w:t> </w:t>
      </w:r>
      <w:r>
        <w:rPr>
          <w:rFonts w:ascii="Times New Roman" w:eastAsia="Times New Roman"/>
          <w:b/>
          <w:sz w:val="24"/>
        </w:rPr>
        <w:t>7.1-2</w:t>
        <w:tab/>
      </w:r>
      <w:r>
        <w:rPr>
          <w:b/>
          <w:sz w:val="24"/>
        </w:rPr>
        <w:t>地表水监测结果</w:t>
      </w:r>
    </w:p>
    <w:p>
      <w:pPr>
        <w:pStyle w:val="BodyText"/>
        <w:spacing w:before="5"/>
        <w:rPr>
          <w:b/>
          <w:sz w:val="12"/>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0"/>
        <w:gridCol w:w="882"/>
        <w:gridCol w:w="882"/>
        <w:gridCol w:w="882"/>
        <w:gridCol w:w="882"/>
        <w:gridCol w:w="882"/>
        <w:gridCol w:w="882"/>
        <w:gridCol w:w="882"/>
        <w:gridCol w:w="882"/>
        <w:gridCol w:w="888"/>
      </w:tblGrid>
      <w:tr>
        <w:trPr>
          <w:trHeight w:val="272" w:hRule="atLeast"/>
        </w:trPr>
        <w:tc>
          <w:tcPr>
            <w:tcW w:w="1400" w:type="dxa"/>
            <w:vMerge w:val="restart"/>
          </w:tcPr>
          <w:p>
            <w:pPr>
              <w:pStyle w:val="TableParagraph"/>
              <w:spacing w:before="11"/>
              <w:jc w:val="left"/>
              <w:rPr>
                <w:b/>
                <w:sz w:val="16"/>
              </w:rPr>
            </w:pPr>
          </w:p>
          <w:p>
            <w:pPr>
              <w:pStyle w:val="TableParagraph"/>
              <w:ind w:left="279"/>
              <w:jc w:val="left"/>
              <w:rPr>
                <w:sz w:val="21"/>
              </w:rPr>
            </w:pPr>
            <w:r>
              <w:rPr>
                <w:sz w:val="21"/>
              </w:rPr>
              <w:t>监测项目</w:t>
            </w:r>
          </w:p>
        </w:tc>
        <w:tc>
          <w:tcPr>
            <w:tcW w:w="7944" w:type="dxa"/>
            <w:gridSpan w:val="9"/>
          </w:tcPr>
          <w:p>
            <w:pPr>
              <w:pStyle w:val="TableParagraph"/>
              <w:spacing w:line="252" w:lineRule="exact"/>
              <w:ind w:left="3531" w:right="3523"/>
              <w:rPr>
                <w:sz w:val="21"/>
              </w:rPr>
            </w:pPr>
            <w:r>
              <w:rPr>
                <w:sz w:val="21"/>
              </w:rPr>
              <w:t>监测结果</w:t>
            </w:r>
          </w:p>
        </w:tc>
      </w:tr>
      <w:tr>
        <w:trPr>
          <w:trHeight w:val="422" w:hRule="atLeast"/>
        </w:trPr>
        <w:tc>
          <w:tcPr>
            <w:tcW w:w="1400" w:type="dxa"/>
            <w:vMerge/>
            <w:tcBorders>
              <w:top w:val="nil"/>
            </w:tcBorders>
          </w:tcPr>
          <w:p>
            <w:pPr>
              <w:rPr>
                <w:sz w:val="2"/>
                <w:szCs w:val="2"/>
              </w:rPr>
            </w:pPr>
          </w:p>
        </w:tc>
        <w:tc>
          <w:tcPr>
            <w:tcW w:w="2646" w:type="dxa"/>
            <w:gridSpan w:val="3"/>
          </w:tcPr>
          <w:p>
            <w:pPr>
              <w:pStyle w:val="TableParagraph"/>
              <w:spacing w:before="75"/>
              <w:ind w:left="847"/>
              <w:jc w:val="left"/>
              <w:rPr>
                <w:rFonts w:ascii="Times New Roman" w:eastAsia="Times New Roman"/>
                <w:sz w:val="21"/>
              </w:rPr>
            </w:pPr>
            <w:r>
              <w:rPr>
                <w:sz w:val="21"/>
              </w:rPr>
              <w:t>上游 </w:t>
            </w:r>
            <w:r>
              <w:rPr>
                <w:rFonts w:ascii="Times New Roman" w:eastAsia="Times New Roman"/>
                <w:sz w:val="21"/>
              </w:rPr>
              <w:t>500m</w:t>
            </w:r>
          </w:p>
        </w:tc>
        <w:tc>
          <w:tcPr>
            <w:tcW w:w="2646" w:type="dxa"/>
            <w:gridSpan w:val="3"/>
          </w:tcPr>
          <w:p>
            <w:pPr>
              <w:pStyle w:val="TableParagraph"/>
              <w:spacing w:before="75"/>
              <w:ind w:left="793"/>
              <w:jc w:val="left"/>
              <w:rPr>
                <w:rFonts w:ascii="Times New Roman" w:eastAsia="Times New Roman"/>
                <w:sz w:val="21"/>
              </w:rPr>
            </w:pPr>
            <w:r>
              <w:rPr>
                <w:sz w:val="21"/>
              </w:rPr>
              <w:t>下游 </w:t>
            </w:r>
            <w:r>
              <w:rPr>
                <w:rFonts w:ascii="Times New Roman" w:eastAsia="Times New Roman"/>
                <w:sz w:val="21"/>
              </w:rPr>
              <w:t>1000m</w:t>
            </w:r>
          </w:p>
        </w:tc>
        <w:tc>
          <w:tcPr>
            <w:tcW w:w="2652" w:type="dxa"/>
            <w:gridSpan w:val="3"/>
          </w:tcPr>
          <w:p>
            <w:pPr>
              <w:pStyle w:val="TableParagraph"/>
              <w:spacing w:before="75"/>
              <w:ind w:left="797"/>
              <w:jc w:val="left"/>
              <w:rPr>
                <w:rFonts w:ascii="Times New Roman" w:eastAsia="Times New Roman"/>
                <w:sz w:val="21"/>
              </w:rPr>
            </w:pPr>
            <w:r>
              <w:rPr>
                <w:sz w:val="21"/>
              </w:rPr>
              <w:t>下游 </w:t>
            </w:r>
            <w:r>
              <w:rPr>
                <w:rFonts w:ascii="Times New Roman" w:eastAsia="Times New Roman"/>
                <w:sz w:val="21"/>
              </w:rPr>
              <w:t>5000m</w:t>
            </w:r>
          </w:p>
        </w:tc>
      </w:tr>
      <w:tr>
        <w:trPr>
          <w:trHeight w:val="271" w:hRule="atLeast"/>
        </w:trPr>
        <w:tc>
          <w:tcPr>
            <w:tcW w:w="1400" w:type="dxa"/>
          </w:tcPr>
          <w:p>
            <w:pPr>
              <w:pStyle w:val="TableParagraph"/>
              <w:spacing w:line="251" w:lineRule="exact" w:before="1"/>
              <w:ind w:left="106" w:right="-15"/>
              <w:jc w:val="left"/>
              <w:rPr>
                <w:sz w:val="21"/>
              </w:rPr>
            </w:pPr>
            <w:r>
              <w:rPr>
                <w:rFonts w:ascii="Times New Roman" w:eastAsia="Times New Roman"/>
                <w:spacing w:val="-6"/>
                <w:sz w:val="21"/>
              </w:rPr>
              <w:t>pH</w:t>
            </w:r>
            <w:r>
              <w:rPr>
                <w:spacing w:val="-6"/>
                <w:sz w:val="21"/>
              </w:rPr>
              <w:t>（</w:t>
            </w:r>
            <w:r>
              <w:rPr>
                <w:sz w:val="21"/>
              </w:rPr>
              <w:t>无量纲）</w:t>
            </w:r>
          </w:p>
        </w:tc>
        <w:tc>
          <w:tcPr>
            <w:tcW w:w="882" w:type="dxa"/>
          </w:tcPr>
          <w:p>
            <w:pPr>
              <w:pStyle w:val="TableParagraph"/>
              <w:spacing w:line="235" w:lineRule="exact" w:before="17"/>
              <w:ind w:right="244"/>
              <w:jc w:val="right"/>
              <w:rPr>
                <w:rFonts w:ascii="Times New Roman"/>
                <w:sz w:val="21"/>
              </w:rPr>
            </w:pPr>
            <w:bookmarkStart w:name="7.02" w:id="348"/>
            <w:bookmarkEnd w:id="348"/>
            <w:r>
              <w:rPr/>
            </w:r>
            <w:r>
              <w:rPr>
                <w:rFonts w:ascii="Times New Roman"/>
                <w:sz w:val="21"/>
              </w:rPr>
              <w:t>7.02</w:t>
            </w:r>
          </w:p>
        </w:tc>
        <w:tc>
          <w:tcPr>
            <w:tcW w:w="882" w:type="dxa"/>
          </w:tcPr>
          <w:p>
            <w:pPr>
              <w:pStyle w:val="TableParagraph"/>
              <w:spacing w:line="235" w:lineRule="exact" w:before="17"/>
              <w:ind w:right="245"/>
              <w:jc w:val="right"/>
              <w:rPr>
                <w:rFonts w:ascii="Times New Roman"/>
                <w:sz w:val="21"/>
              </w:rPr>
            </w:pPr>
            <w:bookmarkStart w:name="7.13" w:id="349"/>
            <w:bookmarkEnd w:id="349"/>
            <w:r>
              <w:rPr/>
            </w:r>
            <w:r>
              <w:rPr>
                <w:rFonts w:ascii="Times New Roman"/>
                <w:sz w:val="21"/>
              </w:rPr>
              <w:t>7.13</w:t>
            </w:r>
          </w:p>
        </w:tc>
        <w:tc>
          <w:tcPr>
            <w:tcW w:w="882" w:type="dxa"/>
          </w:tcPr>
          <w:p>
            <w:pPr>
              <w:pStyle w:val="TableParagraph"/>
              <w:spacing w:line="235" w:lineRule="exact" w:before="17"/>
              <w:ind w:left="119" w:right="109"/>
              <w:rPr>
                <w:rFonts w:ascii="Times New Roman"/>
                <w:sz w:val="21"/>
              </w:rPr>
            </w:pPr>
            <w:bookmarkStart w:name="7.15" w:id="350"/>
            <w:bookmarkEnd w:id="350"/>
            <w:r>
              <w:rPr/>
            </w:r>
            <w:r>
              <w:rPr>
                <w:rFonts w:ascii="Times New Roman"/>
                <w:sz w:val="21"/>
              </w:rPr>
              <w:t>7.15</w:t>
            </w:r>
          </w:p>
        </w:tc>
        <w:tc>
          <w:tcPr>
            <w:tcW w:w="882" w:type="dxa"/>
          </w:tcPr>
          <w:p>
            <w:pPr>
              <w:pStyle w:val="TableParagraph"/>
              <w:spacing w:line="235" w:lineRule="exact" w:before="17"/>
              <w:ind w:left="119" w:right="106"/>
              <w:rPr>
                <w:rFonts w:ascii="Times New Roman"/>
                <w:sz w:val="21"/>
              </w:rPr>
            </w:pPr>
            <w:bookmarkStart w:name="7.11" w:id="351"/>
            <w:bookmarkEnd w:id="351"/>
            <w:r>
              <w:rPr/>
            </w:r>
            <w:r>
              <w:rPr>
                <w:rFonts w:ascii="Times New Roman"/>
                <w:sz w:val="21"/>
              </w:rPr>
              <w:t>7.11</w:t>
            </w:r>
          </w:p>
        </w:tc>
        <w:tc>
          <w:tcPr>
            <w:tcW w:w="882" w:type="dxa"/>
          </w:tcPr>
          <w:p>
            <w:pPr>
              <w:pStyle w:val="TableParagraph"/>
              <w:spacing w:line="235" w:lineRule="exact" w:before="17"/>
              <w:ind w:left="119" w:right="109"/>
              <w:rPr>
                <w:rFonts w:ascii="Times New Roman"/>
                <w:sz w:val="21"/>
              </w:rPr>
            </w:pPr>
            <w:bookmarkStart w:name="7.14" w:id="352"/>
            <w:bookmarkEnd w:id="352"/>
            <w:r>
              <w:rPr/>
            </w:r>
            <w:r>
              <w:rPr>
                <w:rFonts w:ascii="Times New Roman"/>
                <w:sz w:val="21"/>
              </w:rPr>
              <w:t>7.14</w:t>
            </w:r>
          </w:p>
        </w:tc>
        <w:tc>
          <w:tcPr>
            <w:tcW w:w="882" w:type="dxa"/>
          </w:tcPr>
          <w:p>
            <w:pPr>
              <w:pStyle w:val="TableParagraph"/>
              <w:spacing w:line="235" w:lineRule="exact" w:before="17"/>
              <w:ind w:left="118" w:right="110"/>
              <w:rPr>
                <w:rFonts w:ascii="Times New Roman"/>
                <w:sz w:val="21"/>
              </w:rPr>
            </w:pPr>
            <w:bookmarkStart w:name="7.26" w:id="353"/>
            <w:bookmarkEnd w:id="353"/>
            <w:r>
              <w:rPr/>
            </w:r>
            <w:r>
              <w:rPr>
                <w:rFonts w:ascii="Times New Roman"/>
                <w:sz w:val="21"/>
              </w:rPr>
              <w:t>7.26</w:t>
            </w:r>
          </w:p>
        </w:tc>
        <w:tc>
          <w:tcPr>
            <w:tcW w:w="882" w:type="dxa"/>
          </w:tcPr>
          <w:p>
            <w:pPr>
              <w:pStyle w:val="TableParagraph"/>
              <w:spacing w:line="235" w:lineRule="exact" w:before="17"/>
              <w:ind w:left="119" w:right="109"/>
              <w:rPr>
                <w:rFonts w:ascii="Times New Roman"/>
                <w:sz w:val="21"/>
              </w:rPr>
            </w:pPr>
            <w:bookmarkStart w:name="7.02" w:id="354"/>
            <w:bookmarkEnd w:id="354"/>
            <w:r>
              <w:rPr/>
            </w:r>
            <w:r>
              <w:rPr>
                <w:rFonts w:ascii="Times New Roman"/>
                <w:sz w:val="21"/>
              </w:rPr>
              <w:t>7.02</w:t>
            </w:r>
          </w:p>
        </w:tc>
        <w:tc>
          <w:tcPr>
            <w:tcW w:w="882" w:type="dxa"/>
          </w:tcPr>
          <w:p>
            <w:pPr>
              <w:pStyle w:val="TableParagraph"/>
              <w:spacing w:line="235" w:lineRule="exact" w:before="17"/>
              <w:ind w:left="118" w:right="110"/>
              <w:rPr>
                <w:rFonts w:ascii="Times New Roman"/>
                <w:sz w:val="21"/>
              </w:rPr>
            </w:pPr>
            <w:bookmarkStart w:name="6.89" w:id="355"/>
            <w:bookmarkEnd w:id="355"/>
            <w:r>
              <w:rPr/>
            </w:r>
            <w:r>
              <w:rPr>
                <w:rFonts w:ascii="Times New Roman"/>
                <w:sz w:val="21"/>
              </w:rPr>
              <w:t>6.89</w:t>
            </w:r>
          </w:p>
        </w:tc>
        <w:tc>
          <w:tcPr>
            <w:tcW w:w="888" w:type="dxa"/>
          </w:tcPr>
          <w:p>
            <w:pPr>
              <w:pStyle w:val="TableParagraph"/>
              <w:spacing w:line="235" w:lineRule="exact" w:before="17"/>
              <w:ind w:left="259"/>
              <w:jc w:val="left"/>
              <w:rPr>
                <w:rFonts w:ascii="Times New Roman"/>
                <w:sz w:val="21"/>
              </w:rPr>
            </w:pPr>
            <w:bookmarkStart w:name="6.99" w:id="356"/>
            <w:bookmarkEnd w:id="356"/>
            <w:r>
              <w:rPr/>
            </w:r>
            <w:r>
              <w:rPr>
                <w:rFonts w:ascii="Times New Roman"/>
                <w:sz w:val="21"/>
              </w:rPr>
              <w:t>6.99</w:t>
            </w:r>
          </w:p>
        </w:tc>
      </w:tr>
      <w:tr>
        <w:trPr>
          <w:trHeight w:val="272" w:hRule="atLeast"/>
        </w:trPr>
        <w:tc>
          <w:tcPr>
            <w:tcW w:w="1400" w:type="dxa"/>
          </w:tcPr>
          <w:p>
            <w:pPr>
              <w:pStyle w:val="TableParagraph"/>
              <w:spacing w:line="252" w:lineRule="exact"/>
              <w:ind w:left="147"/>
              <w:jc w:val="left"/>
              <w:rPr>
                <w:sz w:val="21"/>
              </w:rPr>
            </w:pPr>
            <w:r>
              <w:rPr>
                <w:rFonts w:ascii="Times New Roman" w:eastAsia="Times New Roman"/>
                <w:sz w:val="21"/>
              </w:rPr>
              <w:t>SS</w:t>
            </w:r>
            <w:r>
              <w:rPr>
                <w:sz w:val="21"/>
              </w:rPr>
              <w:t>（</w:t>
            </w:r>
            <w:r>
              <w:rPr>
                <w:rFonts w:ascii="Times New Roman" w:eastAsia="Times New Roman"/>
                <w:sz w:val="21"/>
              </w:rPr>
              <w:t>mg/L</w:t>
            </w:r>
            <w:r>
              <w:rPr>
                <w:sz w:val="21"/>
              </w:rPr>
              <w:t>）</w:t>
            </w:r>
          </w:p>
        </w:tc>
        <w:tc>
          <w:tcPr>
            <w:tcW w:w="882" w:type="dxa"/>
          </w:tcPr>
          <w:p>
            <w:pPr>
              <w:pStyle w:val="TableParagraph"/>
              <w:spacing w:line="236" w:lineRule="exact" w:before="16"/>
              <w:ind w:left="119" w:right="109"/>
              <w:rPr>
                <w:rFonts w:ascii="Times New Roman"/>
                <w:sz w:val="21"/>
              </w:rPr>
            </w:pPr>
            <w:bookmarkStart w:name="67" w:id="357"/>
            <w:bookmarkEnd w:id="357"/>
            <w:r>
              <w:rPr/>
            </w:r>
            <w:r>
              <w:rPr>
                <w:rFonts w:ascii="Times New Roman"/>
                <w:sz w:val="21"/>
              </w:rPr>
              <w:t>67</w:t>
            </w:r>
          </w:p>
        </w:tc>
        <w:tc>
          <w:tcPr>
            <w:tcW w:w="882" w:type="dxa"/>
          </w:tcPr>
          <w:p>
            <w:pPr>
              <w:pStyle w:val="TableParagraph"/>
              <w:spacing w:line="236" w:lineRule="exact" w:before="16"/>
              <w:ind w:left="118" w:right="110"/>
              <w:rPr>
                <w:rFonts w:ascii="Times New Roman"/>
                <w:sz w:val="21"/>
              </w:rPr>
            </w:pPr>
            <w:bookmarkStart w:name="42" w:id="358"/>
            <w:bookmarkEnd w:id="358"/>
            <w:r>
              <w:rPr/>
            </w:r>
            <w:r>
              <w:rPr>
                <w:rFonts w:ascii="Times New Roman"/>
                <w:sz w:val="21"/>
              </w:rPr>
              <w:t>42</w:t>
            </w:r>
          </w:p>
        </w:tc>
        <w:tc>
          <w:tcPr>
            <w:tcW w:w="882" w:type="dxa"/>
          </w:tcPr>
          <w:p>
            <w:pPr>
              <w:pStyle w:val="TableParagraph"/>
              <w:spacing w:line="236" w:lineRule="exact" w:before="16"/>
              <w:ind w:left="119" w:right="109"/>
              <w:rPr>
                <w:rFonts w:ascii="Times New Roman"/>
                <w:sz w:val="21"/>
              </w:rPr>
            </w:pPr>
            <w:bookmarkStart w:name="49" w:id="359"/>
            <w:bookmarkEnd w:id="359"/>
            <w:r>
              <w:rPr/>
            </w:r>
            <w:r>
              <w:rPr>
                <w:rFonts w:ascii="Times New Roman"/>
                <w:sz w:val="21"/>
              </w:rPr>
              <w:t>49</w:t>
            </w:r>
          </w:p>
        </w:tc>
        <w:tc>
          <w:tcPr>
            <w:tcW w:w="882" w:type="dxa"/>
          </w:tcPr>
          <w:p>
            <w:pPr>
              <w:pStyle w:val="TableParagraph"/>
              <w:spacing w:line="236" w:lineRule="exact" w:before="16"/>
              <w:ind w:left="118" w:right="110"/>
              <w:rPr>
                <w:rFonts w:ascii="Times New Roman"/>
                <w:sz w:val="21"/>
              </w:rPr>
            </w:pPr>
            <w:bookmarkStart w:name="62" w:id="360"/>
            <w:bookmarkEnd w:id="360"/>
            <w:r>
              <w:rPr/>
            </w:r>
            <w:r>
              <w:rPr>
                <w:rFonts w:ascii="Times New Roman"/>
                <w:sz w:val="21"/>
              </w:rPr>
              <w:t>62</w:t>
            </w:r>
          </w:p>
        </w:tc>
        <w:tc>
          <w:tcPr>
            <w:tcW w:w="882" w:type="dxa"/>
          </w:tcPr>
          <w:p>
            <w:pPr>
              <w:pStyle w:val="TableParagraph"/>
              <w:spacing w:line="236" w:lineRule="exact" w:before="16"/>
              <w:ind w:left="119" w:right="109"/>
              <w:rPr>
                <w:rFonts w:ascii="Times New Roman"/>
                <w:sz w:val="21"/>
              </w:rPr>
            </w:pPr>
            <w:bookmarkStart w:name="69" w:id="361"/>
            <w:bookmarkEnd w:id="361"/>
            <w:r>
              <w:rPr/>
            </w:r>
            <w:r>
              <w:rPr>
                <w:rFonts w:ascii="Times New Roman"/>
                <w:sz w:val="21"/>
              </w:rPr>
              <w:t>69</w:t>
            </w:r>
          </w:p>
        </w:tc>
        <w:tc>
          <w:tcPr>
            <w:tcW w:w="882" w:type="dxa"/>
          </w:tcPr>
          <w:p>
            <w:pPr>
              <w:pStyle w:val="TableParagraph"/>
              <w:spacing w:line="236" w:lineRule="exact" w:before="16"/>
              <w:ind w:left="118" w:right="110"/>
              <w:rPr>
                <w:rFonts w:ascii="Times New Roman"/>
                <w:sz w:val="21"/>
              </w:rPr>
            </w:pPr>
            <w:bookmarkStart w:name="75" w:id="362"/>
            <w:bookmarkEnd w:id="362"/>
            <w:r>
              <w:rPr/>
            </w:r>
            <w:r>
              <w:rPr>
                <w:rFonts w:ascii="Times New Roman"/>
                <w:sz w:val="21"/>
              </w:rPr>
              <w:t>75</w:t>
            </w:r>
          </w:p>
        </w:tc>
        <w:tc>
          <w:tcPr>
            <w:tcW w:w="882" w:type="dxa"/>
          </w:tcPr>
          <w:p>
            <w:pPr>
              <w:pStyle w:val="TableParagraph"/>
              <w:spacing w:line="236" w:lineRule="exact" w:before="16"/>
              <w:ind w:left="119" w:right="109"/>
              <w:rPr>
                <w:rFonts w:ascii="Times New Roman"/>
                <w:sz w:val="21"/>
              </w:rPr>
            </w:pPr>
            <w:bookmarkStart w:name="68" w:id="363"/>
            <w:bookmarkEnd w:id="363"/>
            <w:r>
              <w:rPr/>
            </w:r>
            <w:r>
              <w:rPr>
                <w:rFonts w:ascii="Times New Roman"/>
                <w:sz w:val="21"/>
              </w:rPr>
              <w:t>68</w:t>
            </w:r>
          </w:p>
        </w:tc>
        <w:tc>
          <w:tcPr>
            <w:tcW w:w="882" w:type="dxa"/>
          </w:tcPr>
          <w:p>
            <w:pPr>
              <w:pStyle w:val="TableParagraph"/>
              <w:spacing w:line="236" w:lineRule="exact" w:before="16"/>
              <w:ind w:left="118" w:right="110"/>
              <w:rPr>
                <w:rFonts w:ascii="Times New Roman"/>
                <w:sz w:val="21"/>
              </w:rPr>
            </w:pPr>
            <w:bookmarkStart w:name="64" w:id="364"/>
            <w:bookmarkEnd w:id="364"/>
            <w:r>
              <w:rPr/>
            </w:r>
            <w:r>
              <w:rPr>
                <w:rFonts w:ascii="Times New Roman"/>
                <w:sz w:val="21"/>
              </w:rPr>
              <w:t>64</w:t>
            </w:r>
          </w:p>
        </w:tc>
        <w:tc>
          <w:tcPr>
            <w:tcW w:w="888" w:type="dxa"/>
          </w:tcPr>
          <w:p>
            <w:pPr>
              <w:pStyle w:val="TableParagraph"/>
              <w:spacing w:line="236" w:lineRule="exact" w:before="16"/>
              <w:ind w:left="122" w:right="113"/>
              <w:rPr>
                <w:rFonts w:ascii="Times New Roman"/>
                <w:sz w:val="21"/>
              </w:rPr>
            </w:pPr>
            <w:bookmarkStart w:name="69" w:id="365"/>
            <w:bookmarkEnd w:id="365"/>
            <w:r>
              <w:rPr/>
            </w:r>
            <w:r>
              <w:rPr>
                <w:rFonts w:ascii="Times New Roman"/>
                <w:sz w:val="21"/>
              </w:rPr>
              <w:t>69</w:t>
            </w:r>
          </w:p>
        </w:tc>
      </w:tr>
      <w:tr>
        <w:trPr>
          <w:trHeight w:val="272" w:hRule="atLeast"/>
        </w:trPr>
        <w:tc>
          <w:tcPr>
            <w:tcW w:w="1400" w:type="dxa"/>
          </w:tcPr>
          <w:p>
            <w:pPr>
              <w:pStyle w:val="TableParagraph"/>
              <w:spacing w:line="252" w:lineRule="exact"/>
              <w:ind w:left="109" w:right="-15"/>
              <w:jc w:val="left"/>
              <w:rPr>
                <w:sz w:val="21"/>
              </w:rPr>
            </w:pPr>
            <w:r>
              <w:rPr>
                <w:rFonts w:ascii="Times New Roman" w:eastAsia="Times New Roman"/>
                <w:spacing w:val="-4"/>
                <w:sz w:val="21"/>
              </w:rPr>
              <w:t>COD</w:t>
            </w:r>
            <w:r>
              <w:rPr>
                <w:spacing w:val="-4"/>
                <w:sz w:val="21"/>
              </w:rPr>
              <w:t>（</w:t>
            </w:r>
            <w:r>
              <w:rPr>
                <w:rFonts w:ascii="Times New Roman" w:eastAsia="Times New Roman"/>
                <w:spacing w:val="-4"/>
                <w:sz w:val="21"/>
              </w:rPr>
              <w:t>mg/L</w:t>
            </w:r>
            <w:r>
              <w:rPr>
                <w:spacing w:val="-4"/>
                <w:sz w:val="21"/>
              </w:rPr>
              <w:t>）</w:t>
            </w:r>
          </w:p>
        </w:tc>
        <w:tc>
          <w:tcPr>
            <w:tcW w:w="882" w:type="dxa"/>
          </w:tcPr>
          <w:p>
            <w:pPr>
              <w:pStyle w:val="TableParagraph"/>
              <w:spacing w:line="236" w:lineRule="exact" w:before="17"/>
              <w:ind w:left="119" w:right="109"/>
              <w:rPr>
                <w:rFonts w:ascii="Times New Roman"/>
                <w:sz w:val="21"/>
              </w:rPr>
            </w:pPr>
            <w:bookmarkStart w:name="28" w:id="366"/>
            <w:bookmarkEnd w:id="366"/>
            <w:r>
              <w:rPr/>
            </w:r>
            <w:r>
              <w:rPr>
                <w:rFonts w:ascii="Times New Roman"/>
                <w:sz w:val="21"/>
              </w:rPr>
              <w:t>28</w:t>
            </w:r>
          </w:p>
        </w:tc>
        <w:tc>
          <w:tcPr>
            <w:tcW w:w="882" w:type="dxa"/>
          </w:tcPr>
          <w:p>
            <w:pPr>
              <w:pStyle w:val="TableParagraph"/>
              <w:spacing w:line="236" w:lineRule="exact" w:before="17"/>
              <w:ind w:left="118" w:right="110"/>
              <w:rPr>
                <w:rFonts w:ascii="Times New Roman"/>
                <w:sz w:val="21"/>
              </w:rPr>
            </w:pPr>
            <w:bookmarkStart w:name="29" w:id="367"/>
            <w:bookmarkEnd w:id="367"/>
            <w:r>
              <w:rPr/>
            </w:r>
            <w:r>
              <w:rPr>
                <w:rFonts w:ascii="Times New Roman"/>
                <w:sz w:val="21"/>
              </w:rPr>
              <w:t>29</w:t>
            </w:r>
          </w:p>
        </w:tc>
        <w:tc>
          <w:tcPr>
            <w:tcW w:w="882" w:type="dxa"/>
          </w:tcPr>
          <w:p>
            <w:pPr>
              <w:pStyle w:val="TableParagraph"/>
              <w:spacing w:line="236" w:lineRule="exact" w:before="17"/>
              <w:ind w:left="119" w:right="109"/>
              <w:rPr>
                <w:rFonts w:ascii="Times New Roman"/>
                <w:sz w:val="21"/>
              </w:rPr>
            </w:pPr>
            <w:bookmarkStart w:name="28" w:id="368"/>
            <w:bookmarkEnd w:id="368"/>
            <w:r>
              <w:rPr/>
            </w:r>
            <w:r>
              <w:rPr>
                <w:rFonts w:ascii="Times New Roman"/>
                <w:sz w:val="21"/>
              </w:rPr>
              <w:t>28</w:t>
            </w:r>
          </w:p>
        </w:tc>
        <w:tc>
          <w:tcPr>
            <w:tcW w:w="882" w:type="dxa"/>
          </w:tcPr>
          <w:p>
            <w:pPr>
              <w:pStyle w:val="TableParagraph"/>
              <w:spacing w:line="236" w:lineRule="exact" w:before="17"/>
              <w:ind w:left="118" w:right="110"/>
              <w:rPr>
                <w:rFonts w:ascii="Times New Roman"/>
                <w:sz w:val="21"/>
              </w:rPr>
            </w:pPr>
            <w:bookmarkStart w:name="29" w:id="369"/>
            <w:bookmarkEnd w:id="369"/>
            <w:r>
              <w:rPr/>
            </w:r>
            <w:r>
              <w:rPr>
                <w:rFonts w:ascii="Times New Roman"/>
                <w:sz w:val="21"/>
              </w:rPr>
              <w:t>29</w:t>
            </w:r>
          </w:p>
        </w:tc>
        <w:tc>
          <w:tcPr>
            <w:tcW w:w="882" w:type="dxa"/>
          </w:tcPr>
          <w:p>
            <w:pPr>
              <w:pStyle w:val="TableParagraph"/>
              <w:spacing w:line="236" w:lineRule="exact" w:before="17"/>
              <w:ind w:left="119" w:right="109"/>
              <w:rPr>
                <w:rFonts w:ascii="Times New Roman"/>
                <w:sz w:val="21"/>
              </w:rPr>
            </w:pPr>
            <w:bookmarkStart w:name="27" w:id="370"/>
            <w:bookmarkEnd w:id="370"/>
            <w:r>
              <w:rPr/>
            </w:r>
            <w:r>
              <w:rPr>
                <w:rFonts w:ascii="Times New Roman"/>
                <w:sz w:val="21"/>
              </w:rPr>
              <w:t>27</w:t>
            </w:r>
          </w:p>
        </w:tc>
        <w:tc>
          <w:tcPr>
            <w:tcW w:w="882" w:type="dxa"/>
          </w:tcPr>
          <w:p>
            <w:pPr>
              <w:pStyle w:val="TableParagraph"/>
              <w:spacing w:line="236" w:lineRule="exact" w:before="17"/>
              <w:ind w:left="118" w:right="110"/>
              <w:rPr>
                <w:rFonts w:ascii="Times New Roman"/>
                <w:sz w:val="21"/>
              </w:rPr>
            </w:pPr>
            <w:bookmarkStart w:name="26" w:id="371"/>
            <w:bookmarkEnd w:id="371"/>
            <w:r>
              <w:rPr/>
            </w:r>
            <w:r>
              <w:rPr>
                <w:rFonts w:ascii="Times New Roman"/>
                <w:sz w:val="21"/>
              </w:rPr>
              <w:t>26</w:t>
            </w:r>
          </w:p>
        </w:tc>
        <w:tc>
          <w:tcPr>
            <w:tcW w:w="882" w:type="dxa"/>
          </w:tcPr>
          <w:p>
            <w:pPr>
              <w:pStyle w:val="TableParagraph"/>
              <w:spacing w:line="236" w:lineRule="exact" w:before="17"/>
              <w:ind w:left="119" w:right="109"/>
              <w:rPr>
                <w:rFonts w:ascii="Times New Roman"/>
                <w:sz w:val="21"/>
              </w:rPr>
            </w:pPr>
            <w:bookmarkStart w:name="28" w:id="372"/>
            <w:bookmarkEnd w:id="372"/>
            <w:r>
              <w:rPr/>
            </w:r>
            <w:r>
              <w:rPr>
                <w:rFonts w:ascii="Times New Roman"/>
                <w:sz w:val="21"/>
              </w:rPr>
              <w:t>28</w:t>
            </w:r>
          </w:p>
        </w:tc>
        <w:tc>
          <w:tcPr>
            <w:tcW w:w="882" w:type="dxa"/>
          </w:tcPr>
          <w:p>
            <w:pPr>
              <w:pStyle w:val="TableParagraph"/>
              <w:spacing w:line="236" w:lineRule="exact" w:before="17"/>
              <w:ind w:left="118" w:right="110"/>
              <w:rPr>
                <w:rFonts w:ascii="Times New Roman"/>
                <w:sz w:val="21"/>
              </w:rPr>
            </w:pPr>
            <w:bookmarkStart w:name="29" w:id="373"/>
            <w:bookmarkEnd w:id="373"/>
            <w:r>
              <w:rPr/>
            </w:r>
            <w:r>
              <w:rPr>
                <w:rFonts w:ascii="Times New Roman"/>
                <w:sz w:val="21"/>
              </w:rPr>
              <w:t>29</w:t>
            </w:r>
          </w:p>
        </w:tc>
        <w:tc>
          <w:tcPr>
            <w:tcW w:w="888" w:type="dxa"/>
          </w:tcPr>
          <w:p>
            <w:pPr>
              <w:pStyle w:val="TableParagraph"/>
              <w:spacing w:line="236" w:lineRule="exact" w:before="17"/>
              <w:ind w:left="122" w:right="113"/>
              <w:rPr>
                <w:rFonts w:ascii="Times New Roman"/>
                <w:sz w:val="21"/>
              </w:rPr>
            </w:pPr>
            <w:bookmarkStart w:name="28" w:id="374"/>
            <w:bookmarkEnd w:id="374"/>
            <w:r>
              <w:rPr/>
            </w:r>
            <w:r>
              <w:rPr>
                <w:rFonts w:ascii="Times New Roman"/>
                <w:sz w:val="21"/>
              </w:rPr>
              <w:t>28</w:t>
            </w:r>
          </w:p>
        </w:tc>
      </w:tr>
      <w:tr>
        <w:trPr>
          <w:trHeight w:val="544" w:hRule="atLeast"/>
        </w:trPr>
        <w:tc>
          <w:tcPr>
            <w:tcW w:w="1400" w:type="dxa"/>
          </w:tcPr>
          <w:p>
            <w:pPr>
              <w:pStyle w:val="TableParagraph"/>
              <w:spacing w:before="1"/>
              <w:ind w:left="242" w:right="233"/>
              <w:rPr>
                <w:sz w:val="21"/>
              </w:rPr>
            </w:pPr>
            <w:r>
              <w:rPr>
                <w:sz w:val="21"/>
              </w:rPr>
              <w:t>石油类</w:t>
            </w:r>
          </w:p>
          <w:p>
            <w:pPr>
              <w:pStyle w:val="TableParagraph"/>
              <w:spacing w:line="252" w:lineRule="exact" w:before="2"/>
              <w:ind w:left="242" w:right="233"/>
              <w:rPr>
                <w:sz w:val="21"/>
              </w:rPr>
            </w:pPr>
            <w:r>
              <w:rPr>
                <w:sz w:val="21"/>
              </w:rPr>
              <w:t>（</w:t>
            </w:r>
            <w:r>
              <w:rPr>
                <w:rFonts w:ascii="Times New Roman" w:eastAsia="Times New Roman"/>
                <w:sz w:val="21"/>
              </w:rPr>
              <w:t>mg/L</w:t>
            </w:r>
            <w:r>
              <w:rPr>
                <w:sz w:val="21"/>
              </w:rPr>
              <w:t>）</w:t>
            </w:r>
          </w:p>
        </w:tc>
        <w:tc>
          <w:tcPr>
            <w:tcW w:w="882" w:type="dxa"/>
          </w:tcPr>
          <w:p>
            <w:pPr>
              <w:pStyle w:val="TableParagraph"/>
              <w:spacing w:before="154"/>
              <w:ind w:right="180"/>
              <w:jc w:val="right"/>
              <w:rPr>
                <w:rFonts w:ascii="Times New Roman"/>
                <w:sz w:val="21"/>
              </w:rPr>
            </w:pPr>
            <w:bookmarkStart w:name="0.01L" w:id="375"/>
            <w:bookmarkEnd w:id="375"/>
            <w:r>
              <w:rPr/>
            </w:r>
            <w:r>
              <w:rPr>
                <w:rFonts w:ascii="Times New Roman"/>
                <w:sz w:val="21"/>
              </w:rPr>
              <w:t>0.01L</w:t>
            </w:r>
          </w:p>
        </w:tc>
        <w:tc>
          <w:tcPr>
            <w:tcW w:w="882" w:type="dxa"/>
          </w:tcPr>
          <w:p>
            <w:pPr>
              <w:pStyle w:val="TableParagraph"/>
              <w:spacing w:before="154"/>
              <w:ind w:right="181"/>
              <w:jc w:val="right"/>
              <w:rPr>
                <w:rFonts w:ascii="Times New Roman"/>
                <w:sz w:val="21"/>
              </w:rPr>
            </w:pPr>
            <w:bookmarkStart w:name="0.01L" w:id="376"/>
            <w:bookmarkEnd w:id="376"/>
            <w:r>
              <w:rPr/>
            </w:r>
            <w:r>
              <w:rPr>
                <w:rFonts w:ascii="Times New Roman"/>
                <w:w w:val="95"/>
                <w:sz w:val="21"/>
              </w:rPr>
              <w:t>0.01L</w:t>
            </w:r>
          </w:p>
        </w:tc>
        <w:tc>
          <w:tcPr>
            <w:tcW w:w="882" w:type="dxa"/>
          </w:tcPr>
          <w:p>
            <w:pPr>
              <w:pStyle w:val="TableParagraph"/>
              <w:spacing w:before="154"/>
              <w:ind w:left="119" w:right="109"/>
              <w:rPr>
                <w:rFonts w:ascii="Times New Roman"/>
                <w:sz w:val="21"/>
              </w:rPr>
            </w:pPr>
            <w:bookmarkStart w:name="0.01L" w:id="377"/>
            <w:bookmarkEnd w:id="377"/>
            <w:r>
              <w:rPr/>
            </w:r>
            <w:r>
              <w:rPr>
                <w:rFonts w:ascii="Times New Roman"/>
                <w:sz w:val="21"/>
              </w:rPr>
              <w:t>0.01L</w:t>
            </w:r>
          </w:p>
        </w:tc>
        <w:tc>
          <w:tcPr>
            <w:tcW w:w="882" w:type="dxa"/>
          </w:tcPr>
          <w:p>
            <w:pPr>
              <w:pStyle w:val="TableParagraph"/>
              <w:spacing w:before="154"/>
              <w:ind w:left="119" w:right="109"/>
              <w:rPr>
                <w:rFonts w:ascii="Times New Roman"/>
                <w:sz w:val="21"/>
              </w:rPr>
            </w:pPr>
            <w:bookmarkStart w:name="0.01L" w:id="378"/>
            <w:bookmarkEnd w:id="378"/>
            <w:r>
              <w:rPr/>
            </w:r>
            <w:r>
              <w:rPr>
                <w:rFonts w:ascii="Times New Roman"/>
                <w:sz w:val="21"/>
              </w:rPr>
              <w:t>0.01L</w:t>
            </w:r>
          </w:p>
        </w:tc>
        <w:tc>
          <w:tcPr>
            <w:tcW w:w="882" w:type="dxa"/>
          </w:tcPr>
          <w:p>
            <w:pPr>
              <w:pStyle w:val="TableParagraph"/>
              <w:spacing w:before="154"/>
              <w:ind w:left="119" w:right="109"/>
              <w:rPr>
                <w:rFonts w:ascii="Times New Roman"/>
                <w:sz w:val="21"/>
              </w:rPr>
            </w:pPr>
            <w:bookmarkStart w:name="0.01L" w:id="379"/>
            <w:bookmarkEnd w:id="379"/>
            <w:r>
              <w:rPr/>
            </w:r>
            <w:r>
              <w:rPr>
                <w:rFonts w:ascii="Times New Roman"/>
                <w:sz w:val="21"/>
              </w:rPr>
              <w:t>0.01L</w:t>
            </w:r>
          </w:p>
        </w:tc>
        <w:tc>
          <w:tcPr>
            <w:tcW w:w="882" w:type="dxa"/>
          </w:tcPr>
          <w:p>
            <w:pPr>
              <w:pStyle w:val="TableParagraph"/>
              <w:spacing w:before="154"/>
              <w:ind w:left="119" w:right="109"/>
              <w:rPr>
                <w:rFonts w:ascii="Times New Roman"/>
                <w:sz w:val="21"/>
              </w:rPr>
            </w:pPr>
            <w:bookmarkStart w:name="0.01L" w:id="380"/>
            <w:bookmarkEnd w:id="380"/>
            <w:r>
              <w:rPr/>
            </w:r>
            <w:r>
              <w:rPr>
                <w:rFonts w:ascii="Times New Roman"/>
                <w:sz w:val="21"/>
              </w:rPr>
              <w:t>0.01L</w:t>
            </w:r>
          </w:p>
        </w:tc>
        <w:tc>
          <w:tcPr>
            <w:tcW w:w="882" w:type="dxa"/>
          </w:tcPr>
          <w:p>
            <w:pPr>
              <w:pStyle w:val="TableParagraph"/>
              <w:spacing w:before="154"/>
              <w:ind w:left="119" w:right="109"/>
              <w:rPr>
                <w:rFonts w:ascii="Times New Roman"/>
                <w:sz w:val="21"/>
              </w:rPr>
            </w:pPr>
            <w:bookmarkStart w:name="0.01L" w:id="381"/>
            <w:bookmarkEnd w:id="381"/>
            <w:r>
              <w:rPr/>
            </w:r>
            <w:r>
              <w:rPr>
                <w:rFonts w:ascii="Times New Roman"/>
                <w:sz w:val="21"/>
              </w:rPr>
              <w:t>0.01L</w:t>
            </w:r>
          </w:p>
        </w:tc>
        <w:tc>
          <w:tcPr>
            <w:tcW w:w="882" w:type="dxa"/>
          </w:tcPr>
          <w:p>
            <w:pPr>
              <w:pStyle w:val="TableParagraph"/>
              <w:spacing w:before="154"/>
              <w:ind w:left="119" w:right="109"/>
              <w:rPr>
                <w:rFonts w:ascii="Times New Roman"/>
                <w:sz w:val="21"/>
              </w:rPr>
            </w:pPr>
            <w:bookmarkStart w:name="0.01L" w:id="382"/>
            <w:bookmarkEnd w:id="382"/>
            <w:r>
              <w:rPr/>
            </w:r>
            <w:r>
              <w:rPr>
                <w:rFonts w:ascii="Times New Roman"/>
                <w:sz w:val="21"/>
              </w:rPr>
              <w:t>0.01L</w:t>
            </w:r>
          </w:p>
        </w:tc>
        <w:tc>
          <w:tcPr>
            <w:tcW w:w="888" w:type="dxa"/>
          </w:tcPr>
          <w:p>
            <w:pPr>
              <w:pStyle w:val="TableParagraph"/>
              <w:spacing w:before="154"/>
              <w:ind w:left="194"/>
              <w:jc w:val="left"/>
              <w:rPr>
                <w:rFonts w:ascii="Times New Roman"/>
                <w:sz w:val="21"/>
              </w:rPr>
            </w:pPr>
            <w:bookmarkStart w:name="0.01L" w:id="383"/>
            <w:bookmarkEnd w:id="383"/>
            <w:r>
              <w:rPr/>
            </w:r>
            <w:r>
              <w:rPr>
                <w:rFonts w:ascii="Times New Roman"/>
                <w:sz w:val="21"/>
              </w:rPr>
              <w:t>0.01L</w:t>
            </w:r>
          </w:p>
        </w:tc>
      </w:tr>
      <w:tr>
        <w:trPr>
          <w:trHeight w:val="272" w:hRule="atLeast"/>
        </w:trPr>
        <w:tc>
          <w:tcPr>
            <w:tcW w:w="1400" w:type="dxa"/>
          </w:tcPr>
          <w:p>
            <w:pPr>
              <w:pStyle w:val="TableParagraph"/>
              <w:spacing w:line="252" w:lineRule="exact" w:before="1"/>
              <w:ind w:left="157"/>
              <w:jc w:val="left"/>
              <w:rPr>
                <w:sz w:val="21"/>
              </w:rPr>
            </w:pPr>
            <w:r>
              <w:rPr>
                <w:sz w:val="21"/>
              </w:rPr>
              <w:t>铁（</w:t>
            </w:r>
            <w:r>
              <w:rPr>
                <w:rFonts w:ascii="Times New Roman" w:eastAsia="Times New Roman"/>
                <w:sz w:val="21"/>
              </w:rPr>
              <w:t>mg/L</w:t>
            </w:r>
            <w:r>
              <w:rPr>
                <w:sz w:val="21"/>
              </w:rPr>
              <w:t>）</w:t>
            </w:r>
          </w:p>
        </w:tc>
        <w:tc>
          <w:tcPr>
            <w:tcW w:w="882" w:type="dxa"/>
          </w:tcPr>
          <w:p>
            <w:pPr>
              <w:pStyle w:val="TableParagraph"/>
              <w:spacing w:line="235" w:lineRule="exact" w:before="17"/>
              <w:ind w:right="244"/>
              <w:jc w:val="right"/>
              <w:rPr>
                <w:rFonts w:ascii="Times New Roman"/>
                <w:sz w:val="21"/>
              </w:rPr>
            </w:pPr>
            <w:bookmarkStart w:name="0.20" w:id="384"/>
            <w:bookmarkEnd w:id="384"/>
            <w:r>
              <w:rPr/>
            </w:r>
            <w:r>
              <w:rPr>
                <w:rFonts w:ascii="Times New Roman"/>
                <w:sz w:val="21"/>
              </w:rPr>
              <w:t>0.20</w:t>
            </w:r>
          </w:p>
        </w:tc>
        <w:tc>
          <w:tcPr>
            <w:tcW w:w="882" w:type="dxa"/>
          </w:tcPr>
          <w:p>
            <w:pPr>
              <w:pStyle w:val="TableParagraph"/>
              <w:spacing w:line="235" w:lineRule="exact" w:before="17"/>
              <w:ind w:right="245"/>
              <w:jc w:val="right"/>
              <w:rPr>
                <w:rFonts w:ascii="Times New Roman"/>
                <w:sz w:val="21"/>
              </w:rPr>
            </w:pPr>
            <w:bookmarkStart w:name="0.20" w:id="385"/>
            <w:bookmarkEnd w:id="385"/>
            <w:r>
              <w:rPr/>
            </w:r>
            <w:r>
              <w:rPr>
                <w:rFonts w:ascii="Times New Roman"/>
                <w:sz w:val="21"/>
              </w:rPr>
              <w:t>0.20</w:t>
            </w:r>
          </w:p>
        </w:tc>
        <w:tc>
          <w:tcPr>
            <w:tcW w:w="882" w:type="dxa"/>
          </w:tcPr>
          <w:p>
            <w:pPr>
              <w:pStyle w:val="TableParagraph"/>
              <w:spacing w:line="235" w:lineRule="exact" w:before="17"/>
              <w:ind w:left="119" w:right="109"/>
              <w:rPr>
                <w:rFonts w:ascii="Times New Roman"/>
                <w:sz w:val="21"/>
              </w:rPr>
            </w:pPr>
            <w:bookmarkStart w:name="0.22" w:id="386"/>
            <w:bookmarkEnd w:id="386"/>
            <w:r>
              <w:rPr/>
            </w:r>
            <w:r>
              <w:rPr>
                <w:rFonts w:ascii="Times New Roman"/>
                <w:sz w:val="21"/>
              </w:rPr>
              <w:t>0.22</w:t>
            </w:r>
          </w:p>
        </w:tc>
        <w:tc>
          <w:tcPr>
            <w:tcW w:w="882" w:type="dxa"/>
          </w:tcPr>
          <w:p>
            <w:pPr>
              <w:pStyle w:val="TableParagraph"/>
              <w:spacing w:line="235" w:lineRule="exact" w:before="17"/>
              <w:ind w:left="118" w:right="110"/>
              <w:rPr>
                <w:rFonts w:ascii="Times New Roman"/>
                <w:sz w:val="21"/>
              </w:rPr>
            </w:pPr>
            <w:bookmarkStart w:name="0.21" w:id="387"/>
            <w:bookmarkEnd w:id="387"/>
            <w:r>
              <w:rPr/>
            </w:r>
            <w:r>
              <w:rPr>
                <w:rFonts w:ascii="Times New Roman"/>
                <w:sz w:val="21"/>
              </w:rPr>
              <w:t>0.21</w:t>
            </w:r>
          </w:p>
        </w:tc>
        <w:tc>
          <w:tcPr>
            <w:tcW w:w="882" w:type="dxa"/>
          </w:tcPr>
          <w:p>
            <w:pPr>
              <w:pStyle w:val="TableParagraph"/>
              <w:spacing w:line="235" w:lineRule="exact" w:before="17"/>
              <w:ind w:left="119" w:right="109"/>
              <w:rPr>
                <w:rFonts w:ascii="Times New Roman"/>
                <w:sz w:val="21"/>
              </w:rPr>
            </w:pPr>
            <w:bookmarkStart w:name="0.21" w:id="388"/>
            <w:bookmarkEnd w:id="388"/>
            <w:r>
              <w:rPr/>
            </w:r>
            <w:r>
              <w:rPr>
                <w:rFonts w:ascii="Times New Roman"/>
                <w:sz w:val="21"/>
              </w:rPr>
              <w:t>0.21</w:t>
            </w:r>
          </w:p>
        </w:tc>
        <w:tc>
          <w:tcPr>
            <w:tcW w:w="882" w:type="dxa"/>
          </w:tcPr>
          <w:p>
            <w:pPr>
              <w:pStyle w:val="TableParagraph"/>
              <w:spacing w:line="235" w:lineRule="exact" w:before="17"/>
              <w:ind w:left="118" w:right="110"/>
              <w:rPr>
                <w:rFonts w:ascii="Times New Roman"/>
                <w:sz w:val="21"/>
              </w:rPr>
            </w:pPr>
            <w:bookmarkStart w:name="0.21" w:id="389"/>
            <w:bookmarkEnd w:id="389"/>
            <w:r>
              <w:rPr/>
            </w:r>
            <w:r>
              <w:rPr>
                <w:rFonts w:ascii="Times New Roman"/>
                <w:sz w:val="21"/>
              </w:rPr>
              <w:t>0.21</w:t>
            </w:r>
          </w:p>
        </w:tc>
        <w:tc>
          <w:tcPr>
            <w:tcW w:w="882" w:type="dxa"/>
          </w:tcPr>
          <w:p>
            <w:pPr>
              <w:pStyle w:val="TableParagraph"/>
              <w:spacing w:line="235" w:lineRule="exact" w:before="17"/>
              <w:ind w:left="119" w:right="109"/>
              <w:rPr>
                <w:rFonts w:ascii="Times New Roman"/>
                <w:sz w:val="21"/>
              </w:rPr>
            </w:pPr>
            <w:bookmarkStart w:name="0.20" w:id="390"/>
            <w:bookmarkEnd w:id="390"/>
            <w:r>
              <w:rPr/>
            </w:r>
            <w:r>
              <w:rPr>
                <w:rFonts w:ascii="Times New Roman"/>
                <w:sz w:val="21"/>
              </w:rPr>
              <w:t>0.20</w:t>
            </w:r>
          </w:p>
        </w:tc>
        <w:tc>
          <w:tcPr>
            <w:tcW w:w="882" w:type="dxa"/>
          </w:tcPr>
          <w:p>
            <w:pPr>
              <w:pStyle w:val="TableParagraph"/>
              <w:spacing w:line="235" w:lineRule="exact" w:before="17"/>
              <w:ind w:left="118" w:right="110"/>
              <w:rPr>
                <w:rFonts w:ascii="Times New Roman"/>
                <w:sz w:val="21"/>
              </w:rPr>
            </w:pPr>
            <w:bookmarkStart w:name="0.22" w:id="391"/>
            <w:bookmarkEnd w:id="391"/>
            <w:r>
              <w:rPr/>
            </w:r>
            <w:r>
              <w:rPr>
                <w:rFonts w:ascii="Times New Roman"/>
                <w:sz w:val="21"/>
              </w:rPr>
              <w:t>0.22</w:t>
            </w:r>
          </w:p>
        </w:tc>
        <w:tc>
          <w:tcPr>
            <w:tcW w:w="888" w:type="dxa"/>
          </w:tcPr>
          <w:p>
            <w:pPr>
              <w:pStyle w:val="TableParagraph"/>
              <w:spacing w:line="235" w:lineRule="exact" w:before="17"/>
              <w:ind w:left="259"/>
              <w:jc w:val="left"/>
              <w:rPr>
                <w:rFonts w:ascii="Times New Roman"/>
                <w:sz w:val="21"/>
              </w:rPr>
            </w:pPr>
            <w:bookmarkStart w:name="0.21" w:id="392"/>
            <w:bookmarkEnd w:id="392"/>
            <w:r>
              <w:rPr/>
            </w:r>
            <w:r>
              <w:rPr>
                <w:rFonts w:ascii="Times New Roman"/>
                <w:sz w:val="21"/>
              </w:rPr>
              <w:t>0.21</w:t>
            </w:r>
          </w:p>
        </w:tc>
      </w:tr>
      <w:tr>
        <w:trPr>
          <w:trHeight w:val="272" w:hRule="atLeast"/>
        </w:trPr>
        <w:tc>
          <w:tcPr>
            <w:tcW w:w="1400" w:type="dxa"/>
          </w:tcPr>
          <w:p>
            <w:pPr>
              <w:pStyle w:val="TableParagraph"/>
              <w:spacing w:line="252" w:lineRule="exact"/>
              <w:ind w:left="157"/>
              <w:jc w:val="left"/>
              <w:rPr>
                <w:sz w:val="21"/>
              </w:rPr>
            </w:pPr>
            <w:r>
              <w:rPr>
                <w:sz w:val="21"/>
              </w:rPr>
              <w:t>锰（</w:t>
            </w:r>
            <w:r>
              <w:rPr>
                <w:rFonts w:ascii="Times New Roman" w:eastAsia="Times New Roman"/>
                <w:sz w:val="21"/>
              </w:rPr>
              <w:t>mg/L</w:t>
            </w:r>
            <w:r>
              <w:rPr>
                <w:sz w:val="21"/>
              </w:rPr>
              <w:t>）</w:t>
            </w:r>
          </w:p>
        </w:tc>
        <w:tc>
          <w:tcPr>
            <w:tcW w:w="882" w:type="dxa"/>
          </w:tcPr>
          <w:p>
            <w:pPr>
              <w:pStyle w:val="TableParagraph"/>
              <w:spacing w:line="234" w:lineRule="exact" w:before="18"/>
              <w:ind w:right="180"/>
              <w:jc w:val="right"/>
              <w:rPr>
                <w:rFonts w:ascii="Times New Roman"/>
                <w:sz w:val="21"/>
              </w:rPr>
            </w:pPr>
            <w:bookmarkStart w:name="0.01L" w:id="393"/>
            <w:bookmarkEnd w:id="393"/>
            <w:r>
              <w:rPr/>
            </w:r>
            <w:r>
              <w:rPr>
                <w:rFonts w:ascii="Times New Roman"/>
                <w:sz w:val="21"/>
              </w:rPr>
              <w:t>0.01L</w:t>
            </w:r>
          </w:p>
        </w:tc>
        <w:tc>
          <w:tcPr>
            <w:tcW w:w="882" w:type="dxa"/>
          </w:tcPr>
          <w:p>
            <w:pPr>
              <w:pStyle w:val="TableParagraph"/>
              <w:spacing w:line="234" w:lineRule="exact" w:before="18"/>
              <w:ind w:right="181"/>
              <w:jc w:val="right"/>
              <w:rPr>
                <w:rFonts w:ascii="Times New Roman"/>
                <w:sz w:val="21"/>
              </w:rPr>
            </w:pPr>
            <w:bookmarkStart w:name="0.01L" w:id="394"/>
            <w:bookmarkEnd w:id="394"/>
            <w:r>
              <w:rPr/>
            </w:r>
            <w:r>
              <w:rPr>
                <w:rFonts w:ascii="Times New Roman"/>
                <w:w w:val="95"/>
                <w:sz w:val="21"/>
              </w:rPr>
              <w:t>0.01L</w:t>
            </w:r>
          </w:p>
        </w:tc>
        <w:tc>
          <w:tcPr>
            <w:tcW w:w="882" w:type="dxa"/>
          </w:tcPr>
          <w:p>
            <w:pPr>
              <w:pStyle w:val="TableParagraph"/>
              <w:spacing w:line="234" w:lineRule="exact" w:before="18"/>
              <w:ind w:left="119" w:right="109"/>
              <w:rPr>
                <w:rFonts w:ascii="Times New Roman"/>
                <w:sz w:val="21"/>
              </w:rPr>
            </w:pPr>
            <w:bookmarkStart w:name="0.01L" w:id="395"/>
            <w:bookmarkEnd w:id="395"/>
            <w:r>
              <w:rPr/>
            </w:r>
            <w:r>
              <w:rPr>
                <w:rFonts w:ascii="Times New Roman"/>
                <w:sz w:val="21"/>
              </w:rPr>
              <w:t>0.01L</w:t>
            </w:r>
          </w:p>
        </w:tc>
        <w:tc>
          <w:tcPr>
            <w:tcW w:w="882" w:type="dxa"/>
          </w:tcPr>
          <w:p>
            <w:pPr>
              <w:pStyle w:val="TableParagraph"/>
              <w:spacing w:line="234" w:lineRule="exact" w:before="18"/>
              <w:ind w:left="119" w:right="109"/>
              <w:rPr>
                <w:rFonts w:ascii="Times New Roman"/>
                <w:sz w:val="21"/>
              </w:rPr>
            </w:pPr>
            <w:bookmarkStart w:name="0.01L" w:id="396"/>
            <w:bookmarkEnd w:id="396"/>
            <w:r>
              <w:rPr/>
            </w:r>
            <w:r>
              <w:rPr>
                <w:rFonts w:ascii="Times New Roman"/>
                <w:sz w:val="21"/>
              </w:rPr>
              <w:t>0.01L</w:t>
            </w:r>
          </w:p>
        </w:tc>
        <w:tc>
          <w:tcPr>
            <w:tcW w:w="882" w:type="dxa"/>
          </w:tcPr>
          <w:p>
            <w:pPr>
              <w:pStyle w:val="TableParagraph"/>
              <w:spacing w:line="234" w:lineRule="exact" w:before="18"/>
              <w:ind w:left="119" w:right="109"/>
              <w:rPr>
                <w:rFonts w:ascii="Times New Roman"/>
                <w:sz w:val="21"/>
              </w:rPr>
            </w:pPr>
            <w:bookmarkStart w:name="0.01L" w:id="397"/>
            <w:bookmarkEnd w:id="397"/>
            <w:r>
              <w:rPr/>
            </w:r>
            <w:r>
              <w:rPr>
                <w:rFonts w:ascii="Times New Roman"/>
                <w:sz w:val="21"/>
              </w:rPr>
              <w:t>0.01L</w:t>
            </w:r>
          </w:p>
        </w:tc>
        <w:tc>
          <w:tcPr>
            <w:tcW w:w="882" w:type="dxa"/>
          </w:tcPr>
          <w:p>
            <w:pPr>
              <w:pStyle w:val="TableParagraph"/>
              <w:spacing w:line="234" w:lineRule="exact" w:before="18"/>
              <w:ind w:left="119" w:right="109"/>
              <w:rPr>
                <w:rFonts w:ascii="Times New Roman"/>
                <w:sz w:val="21"/>
              </w:rPr>
            </w:pPr>
            <w:bookmarkStart w:name="0.01L" w:id="398"/>
            <w:bookmarkEnd w:id="398"/>
            <w:r>
              <w:rPr/>
            </w:r>
            <w:r>
              <w:rPr>
                <w:rFonts w:ascii="Times New Roman"/>
                <w:sz w:val="21"/>
              </w:rPr>
              <w:t>0.01L</w:t>
            </w:r>
          </w:p>
        </w:tc>
        <w:tc>
          <w:tcPr>
            <w:tcW w:w="882" w:type="dxa"/>
          </w:tcPr>
          <w:p>
            <w:pPr>
              <w:pStyle w:val="TableParagraph"/>
              <w:spacing w:line="234" w:lineRule="exact" w:before="18"/>
              <w:ind w:left="119" w:right="109"/>
              <w:rPr>
                <w:rFonts w:ascii="Times New Roman"/>
                <w:sz w:val="21"/>
              </w:rPr>
            </w:pPr>
            <w:bookmarkStart w:name="0.01L" w:id="399"/>
            <w:bookmarkEnd w:id="399"/>
            <w:r>
              <w:rPr/>
            </w:r>
            <w:r>
              <w:rPr>
                <w:rFonts w:ascii="Times New Roman"/>
                <w:sz w:val="21"/>
              </w:rPr>
              <w:t>0.01L</w:t>
            </w:r>
          </w:p>
        </w:tc>
        <w:tc>
          <w:tcPr>
            <w:tcW w:w="882" w:type="dxa"/>
          </w:tcPr>
          <w:p>
            <w:pPr>
              <w:pStyle w:val="TableParagraph"/>
              <w:spacing w:line="234" w:lineRule="exact" w:before="18"/>
              <w:ind w:left="119" w:right="109"/>
              <w:rPr>
                <w:rFonts w:ascii="Times New Roman"/>
                <w:sz w:val="21"/>
              </w:rPr>
            </w:pPr>
            <w:bookmarkStart w:name="0.01L" w:id="400"/>
            <w:bookmarkEnd w:id="400"/>
            <w:r>
              <w:rPr/>
            </w:r>
            <w:r>
              <w:rPr>
                <w:rFonts w:ascii="Times New Roman"/>
                <w:sz w:val="21"/>
              </w:rPr>
              <w:t>0.01L</w:t>
            </w:r>
          </w:p>
        </w:tc>
        <w:tc>
          <w:tcPr>
            <w:tcW w:w="888" w:type="dxa"/>
          </w:tcPr>
          <w:p>
            <w:pPr>
              <w:pStyle w:val="TableParagraph"/>
              <w:spacing w:line="234" w:lineRule="exact" w:before="18"/>
              <w:ind w:left="194"/>
              <w:jc w:val="left"/>
              <w:rPr>
                <w:rFonts w:ascii="Times New Roman"/>
                <w:sz w:val="21"/>
              </w:rPr>
            </w:pPr>
            <w:bookmarkStart w:name="0.01L" w:id="401"/>
            <w:bookmarkEnd w:id="401"/>
            <w:r>
              <w:rPr/>
            </w:r>
            <w:r>
              <w:rPr>
                <w:rFonts w:ascii="Times New Roman"/>
                <w:sz w:val="21"/>
              </w:rPr>
              <w:t>0.01L</w:t>
            </w:r>
          </w:p>
        </w:tc>
      </w:tr>
      <w:tr>
        <w:trPr>
          <w:trHeight w:val="270" w:hRule="atLeast"/>
        </w:trPr>
        <w:tc>
          <w:tcPr>
            <w:tcW w:w="1400" w:type="dxa"/>
          </w:tcPr>
          <w:p>
            <w:pPr>
              <w:pStyle w:val="TableParagraph"/>
              <w:spacing w:line="250" w:lineRule="exact"/>
              <w:ind w:left="183"/>
              <w:jc w:val="left"/>
              <w:rPr>
                <w:sz w:val="21"/>
              </w:rPr>
            </w:pPr>
            <w:r>
              <w:rPr>
                <w:sz w:val="21"/>
              </w:rPr>
              <w:t>汞（</w:t>
            </w:r>
            <w:r>
              <w:rPr>
                <w:rFonts w:ascii="Times New Roman" w:hAnsi="Times New Roman" w:eastAsia="Times New Roman"/>
                <w:sz w:val="21"/>
              </w:rPr>
              <w:t>μg/L</w:t>
            </w:r>
            <w:r>
              <w:rPr>
                <w:sz w:val="21"/>
              </w:rPr>
              <w:t>）</w:t>
            </w:r>
          </w:p>
        </w:tc>
        <w:tc>
          <w:tcPr>
            <w:tcW w:w="882" w:type="dxa"/>
          </w:tcPr>
          <w:p>
            <w:pPr>
              <w:pStyle w:val="TableParagraph"/>
              <w:spacing w:line="231" w:lineRule="exact" w:before="19"/>
              <w:ind w:right="180"/>
              <w:jc w:val="right"/>
              <w:rPr>
                <w:rFonts w:ascii="Times New Roman"/>
                <w:sz w:val="21"/>
              </w:rPr>
            </w:pPr>
            <w:bookmarkStart w:name="0.04L" w:id="402"/>
            <w:bookmarkEnd w:id="402"/>
            <w:r>
              <w:rPr/>
            </w:r>
            <w:r>
              <w:rPr>
                <w:rFonts w:ascii="Times New Roman"/>
                <w:sz w:val="21"/>
              </w:rPr>
              <w:t>0.04L</w:t>
            </w:r>
          </w:p>
        </w:tc>
        <w:tc>
          <w:tcPr>
            <w:tcW w:w="882" w:type="dxa"/>
          </w:tcPr>
          <w:p>
            <w:pPr>
              <w:pStyle w:val="TableParagraph"/>
              <w:spacing w:line="231" w:lineRule="exact" w:before="19"/>
              <w:ind w:right="181"/>
              <w:jc w:val="right"/>
              <w:rPr>
                <w:rFonts w:ascii="Times New Roman"/>
                <w:sz w:val="21"/>
              </w:rPr>
            </w:pPr>
            <w:bookmarkStart w:name="0.04L" w:id="403"/>
            <w:bookmarkEnd w:id="403"/>
            <w:r>
              <w:rPr/>
            </w:r>
            <w:r>
              <w:rPr>
                <w:rFonts w:ascii="Times New Roman"/>
                <w:w w:val="95"/>
                <w:sz w:val="21"/>
              </w:rPr>
              <w:t>0.04L</w:t>
            </w:r>
          </w:p>
        </w:tc>
        <w:tc>
          <w:tcPr>
            <w:tcW w:w="882" w:type="dxa"/>
          </w:tcPr>
          <w:p>
            <w:pPr>
              <w:pStyle w:val="TableParagraph"/>
              <w:spacing w:line="231" w:lineRule="exact" w:before="19"/>
              <w:ind w:left="119" w:right="109"/>
              <w:rPr>
                <w:rFonts w:ascii="Times New Roman"/>
                <w:sz w:val="21"/>
              </w:rPr>
            </w:pPr>
            <w:bookmarkStart w:name="0.04L" w:id="404"/>
            <w:bookmarkEnd w:id="404"/>
            <w:r>
              <w:rPr/>
            </w:r>
            <w:r>
              <w:rPr>
                <w:rFonts w:ascii="Times New Roman"/>
                <w:sz w:val="21"/>
              </w:rPr>
              <w:t>0.04L</w:t>
            </w:r>
          </w:p>
        </w:tc>
        <w:tc>
          <w:tcPr>
            <w:tcW w:w="882" w:type="dxa"/>
          </w:tcPr>
          <w:p>
            <w:pPr>
              <w:pStyle w:val="TableParagraph"/>
              <w:spacing w:line="231" w:lineRule="exact" w:before="19"/>
              <w:ind w:left="119" w:right="109"/>
              <w:rPr>
                <w:rFonts w:ascii="Times New Roman"/>
                <w:sz w:val="21"/>
              </w:rPr>
            </w:pPr>
            <w:bookmarkStart w:name="0.04L" w:id="405"/>
            <w:bookmarkEnd w:id="405"/>
            <w:r>
              <w:rPr/>
            </w:r>
            <w:r>
              <w:rPr>
                <w:rFonts w:ascii="Times New Roman"/>
                <w:sz w:val="21"/>
              </w:rPr>
              <w:t>0.04L</w:t>
            </w:r>
          </w:p>
        </w:tc>
        <w:tc>
          <w:tcPr>
            <w:tcW w:w="882" w:type="dxa"/>
          </w:tcPr>
          <w:p>
            <w:pPr>
              <w:pStyle w:val="TableParagraph"/>
              <w:spacing w:line="231" w:lineRule="exact" w:before="19"/>
              <w:ind w:left="119" w:right="109"/>
              <w:rPr>
                <w:rFonts w:ascii="Times New Roman"/>
                <w:sz w:val="21"/>
              </w:rPr>
            </w:pPr>
            <w:bookmarkStart w:name="0.04L" w:id="406"/>
            <w:bookmarkEnd w:id="406"/>
            <w:r>
              <w:rPr/>
            </w:r>
            <w:r>
              <w:rPr>
                <w:rFonts w:ascii="Times New Roman"/>
                <w:sz w:val="21"/>
              </w:rPr>
              <w:t>0.04L</w:t>
            </w:r>
          </w:p>
        </w:tc>
        <w:tc>
          <w:tcPr>
            <w:tcW w:w="882" w:type="dxa"/>
          </w:tcPr>
          <w:p>
            <w:pPr>
              <w:pStyle w:val="TableParagraph"/>
              <w:spacing w:line="231" w:lineRule="exact" w:before="19"/>
              <w:ind w:left="119" w:right="109"/>
              <w:rPr>
                <w:rFonts w:ascii="Times New Roman"/>
                <w:sz w:val="21"/>
              </w:rPr>
            </w:pPr>
            <w:bookmarkStart w:name="0.04L" w:id="407"/>
            <w:bookmarkEnd w:id="407"/>
            <w:r>
              <w:rPr/>
            </w:r>
            <w:r>
              <w:rPr>
                <w:rFonts w:ascii="Times New Roman"/>
                <w:sz w:val="21"/>
              </w:rPr>
              <w:t>0.04L</w:t>
            </w:r>
          </w:p>
        </w:tc>
        <w:tc>
          <w:tcPr>
            <w:tcW w:w="882" w:type="dxa"/>
          </w:tcPr>
          <w:p>
            <w:pPr>
              <w:pStyle w:val="TableParagraph"/>
              <w:spacing w:line="231" w:lineRule="exact" w:before="19"/>
              <w:ind w:left="119" w:right="109"/>
              <w:rPr>
                <w:rFonts w:ascii="Times New Roman"/>
                <w:sz w:val="21"/>
              </w:rPr>
            </w:pPr>
            <w:bookmarkStart w:name="0.04L" w:id="408"/>
            <w:bookmarkEnd w:id="408"/>
            <w:r>
              <w:rPr/>
            </w:r>
            <w:r>
              <w:rPr>
                <w:rFonts w:ascii="Times New Roman"/>
                <w:sz w:val="21"/>
              </w:rPr>
              <w:t>0.04L</w:t>
            </w:r>
          </w:p>
        </w:tc>
        <w:tc>
          <w:tcPr>
            <w:tcW w:w="882" w:type="dxa"/>
          </w:tcPr>
          <w:p>
            <w:pPr>
              <w:pStyle w:val="TableParagraph"/>
              <w:spacing w:line="231" w:lineRule="exact" w:before="19"/>
              <w:ind w:left="119" w:right="109"/>
              <w:rPr>
                <w:rFonts w:ascii="Times New Roman"/>
                <w:sz w:val="21"/>
              </w:rPr>
            </w:pPr>
            <w:bookmarkStart w:name="0.04L" w:id="409"/>
            <w:bookmarkEnd w:id="409"/>
            <w:r>
              <w:rPr/>
            </w:r>
            <w:r>
              <w:rPr>
                <w:rFonts w:ascii="Times New Roman"/>
                <w:sz w:val="21"/>
              </w:rPr>
              <w:t>0.04L</w:t>
            </w:r>
          </w:p>
        </w:tc>
        <w:tc>
          <w:tcPr>
            <w:tcW w:w="888" w:type="dxa"/>
          </w:tcPr>
          <w:p>
            <w:pPr>
              <w:pStyle w:val="TableParagraph"/>
              <w:spacing w:line="231" w:lineRule="exact" w:before="19"/>
              <w:ind w:left="194"/>
              <w:jc w:val="left"/>
              <w:rPr>
                <w:rFonts w:ascii="Times New Roman"/>
                <w:sz w:val="21"/>
              </w:rPr>
            </w:pPr>
            <w:bookmarkStart w:name="0.04L" w:id="410"/>
            <w:bookmarkEnd w:id="410"/>
            <w:r>
              <w:rPr/>
            </w:r>
            <w:r>
              <w:rPr>
                <w:rFonts w:ascii="Times New Roman"/>
                <w:sz w:val="21"/>
              </w:rPr>
              <w:t>0.04L</w:t>
            </w:r>
          </w:p>
        </w:tc>
      </w:tr>
    </w:tbl>
    <w:p>
      <w:pPr>
        <w:spacing w:after="0" w:line="231" w:lineRule="exact"/>
        <w:jc w:val="left"/>
        <w:rPr>
          <w:rFonts w:ascii="Times New Roman"/>
          <w:sz w:val="21"/>
        </w:rPr>
        <w:sectPr>
          <w:footerReference w:type="default" r:id="rId52"/>
          <w:pgSz w:w="11910" w:h="16840"/>
          <w:pgMar w:footer="1169" w:header="0" w:top="1580" w:bottom="1360" w:left="1040" w:right="600"/>
          <w:pgNumType w:start="119"/>
        </w:sect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0"/>
        <w:gridCol w:w="882"/>
        <w:gridCol w:w="882"/>
        <w:gridCol w:w="882"/>
        <w:gridCol w:w="882"/>
        <w:gridCol w:w="882"/>
        <w:gridCol w:w="882"/>
        <w:gridCol w:w="882"/>
        <w:gridCol w:w="882"/>
        <w:gridCol w:w="888"/>
      </w:tblGrid>
      <w:tr>
        <w:trPr>
          <w:trHeight w:val="271" w:hRule="atLeast"/>
        </w:trPr>
        <w:tc>
          <w:tcPr>
            <w:tcW w:w="1400" w:type="dxa"/>
          </w:tcPr>
          <w:p>
            <w:pPr>
              <w:pStyle w:val="TableParagraph"/>
              <w:spacing w:line="251" w:lineRule="exact"/>
              <w:ind w:left="183"/>
              <w:jc w:val="left"/>
              <w:rPr>
                <w:sz w:val="21"/>
              </w:rPr>
            </w:pPr>
            <w:r>
              <w:rPr>
                <w:sz w:val="21"/>
              </w:rPr>
              <w:t>镉（</w:t>
            </w:r>
            <w:r>
              <w:rPr>
                <w:rFonts w:ascii="Times New Roman" w:hAnsi="Times New Roman" w:eastAsia="Times New Roman"/>
                <w:sz w:val="21"/>
              </w:rPr>
              <w:t>μg/L</w:t>
            </w:r>
            <w:r>
              <w:rPr>
                <w:sz w:val="21"/>
              </w:rPr>
              <w:t>）</w:t>
            </w:r>
          </w:p>
        </w:tc>
        <w:tc>
          <w:tcPr>
            <w:tcW w:w="882" w:type="dxa"/>
          </w:tcPr>
          <w:p>
            <w:pPr>
              <w:pStyle w:val="TableParagraph"/>
              <w:spacing w:line="235" w:lineRule="exact" w:before="17"/>
              <w:ind w:left="119" w:right="109"/>
              <w:rPr>
                <w:rFonts w:ascii="Times New Roman"/>
                <w:sz w:val="21"/>
              </w:rPr>
            </w:pPr>
            <w:bookmarkStart w:name="0.1L" w:id="411"/>
            <w:bookmarkEnd w:id="411"/>
            <w:r>
              <w:rPr/>
            </w:r>
            <w:r>
              <w:rPr>
                <w:rFonts w:ascii="Times New Roman"/>
                <w:sz w:val="21"/>
              </w:rPr>
              <w:t>0.1L</w:t>
            </w:r>
          </w:p>
        </w:tc>
        <w:tc>
          <w:tcPr>
            <w:tcW w:w="882" w:type="dxa"/>
          </w:tcPr>
          <w:p>
            <w:pPr>
              <w:pStyle w:val="TableParagraph"/>
              <w:spacing w:line="235" w:lineRule="exact" w:before="17"/>
              <w:ind w:left="119" w:right="107"/>
              <w:rPr>
                <w:rFonts w:ascii="Times New Roman"/>
                <w:sz w:val="21"/>
              </w:rPr>
            </w:pPr>
            <w:bookmarkStart w:name="0.1L" w:id="412"/>
            <w:bookmarkEnd w:id="412"/>
            <w:r>
              <w:rPr/>
            </w:r>
            <w:r>
              <w:rPr>
                <w:rFonts w:ascii="Times New Roman"/>
                <w:sz w:val="21"/>
              </w:rPr>
              <w:t>0.1L</w:t>
            </w:r>
          </w:p>
        </w:tc>
        <w:tc>
          <w:tcPr>
            <w:tcW w:w="882" w:type="dxa"/>
          </w:tcPr>
          <w:p>
            <w:pPr>
              <w:pStyle w:val="TableParagraph"/>
              <w:spacing w:line="235" w:lineRule="exact" w:before="17"/>
              <w:ind w:left="119" w:right="109"/>
              <w:rPr>
                <w:rFonts w:ascii="Times New Roman"/>
                <w:sz w:val="21"/>
              </w:rPr>
            </w:pPr>
            <w:bookmarkStart w:name="0.1L" w:id="413"/>
            <w:bookmarkEnd w:id="413"/>
            <w:r>
              <w:rPr/>
            </w:r>
            <w:r>
              <w:rPr>
                <w:rFonts w:ascii="Times New Roman"/>
                <w:sz w:val="21"/>
              </w:rPr>
              <w:t>0.1L</w:t>
            </w:r>
          </w:p>
        </w:tc>
        <w:tc>
          <w:tcPr>
            <w:tcW w:w="882" w:type="dxa"/>
          </w:tcPr>
          <w:p>
            <w:pPr>
              <w:pStyle w:val="TableParagraph"/>
              <w:spacing w:line="235" w:lineRule="exact" w:before="17"/>
              <w:ind w:left="119" w:right="107"/>
              <w:rPr>
                <w:rFonts w:ascii="Times New Roman"/>
                <w:sz w:val="21"/>
              </w:rPr>
            </w:pPr>
            <w:bookmarkStart w:name="0.1L" w:id="414"/>
            <w:bookmarkEnd w:id="414"/>
            <w:r>
              <w:rPr/>
            </w:r>
            <w:r>
              <w:rPr>
                <w:rFonts w:ascii="Times New Roman"/>
                <w:sz w:val="21"/>
              </w:rPr>
              <w:t>0.1L</w:t>
            </w:r>
          </w:p>
        </w:tc>
        <w:tc>
          <w:tcPr>
            <w:tcW w:w="882" w:type="dxa"/>
          </w:tcPr>
          <w:p>
            <w:pPr>
              <w:pStyle w:val="TableParagraph"/>
              <w:spacing w:line="235" w:lineRule="exact" w:before="17"/>
              <w:ind w:left="119" w:right="109"/>
              <w:rPr>
                <w:rFonts w:ascii="Times New Roman"/>
                <w:sz w:val="21"/>
              </w:rPr>
            </w:pPr>
            <w:bookmarkStart w:name="0.1L" w:id="415"/>
            <w:bookmarkEnd w:id="415"/>
            <w:r>
              <w:rPr/>
            </w:r>
            <w:r>
              <w:rPr>
                <w:rFonts w:ascii="Times New Roman"/>
                <w:sz w:val="21"/>
              </w:rPr>
              <w:t>0.1L</w:t>
            </w:r>
          </w:p>
        </w:tc>
        <w:tc>
          <w:tcPr>
            <w:tcW w:w="882" w:type="dxa"/>
          </w:tcPr>
          <w:p>
            <w:pPr>
              <w:pStyle w:val="TableParagraph"/>
              <w:spacing w:line="235" w:lineRule="exact" w:before="17"/>
              <w:ind w:left="119" w:right="107"/>
              <w:rPr>
                <w:rFonts w:ascii="Times New Roman"/>
                <w:sz w:val="21"/>
              </w:rPr>
            </w:pPr>
            <w:bookmarkStart w:name="0.1L" w:id="416"/>
            <w:bookmarkEnd w:id="416"/>
            <w:r>
              <w:rPr/>
            </w:r>
            <w:r>
              <w:rPr>
                <w:rFonts w:ascii="Times New Roman"/>
                <w:sz w:val="21"/>
              </w:rPr>
              <w:t>0.1L</w:t>
            </w:r>
          </w:p>
        </w:tc>
        <w:tc>
          <w:tcPr>
            <w:tcW w:w="882" w:type="dxa"/>
          </w:tcPr>
          <w:p>
            <w:pPr>
              <w:pStyle w:val="TableParagraph"/>
              <w:spacing w:line="235" w:lineRule="exact" w:before="17"/>
              <w:ind w:left="119" w:right="109"/>
              <w:rPr>
                <w:rFonts w:ascii="Times New Roman"/>
                <w:sz w:val="21"/>
              </w:rPr>
            </w:pPr>
            <w:bookmarkStart w:name="0.1L" w:id="417"/>
            <w:bookmarkEnd w:id="417"/>
            <w:r>
              <w:rPr/>
            </w:r>
            <w:r>
              <w:rPr>
                <w:rFonts w:ascii="Times New Roman"/>
                <w:sz w:val="21"/>
              </w:rPr>
              <w:t>0.1L</w:t>
            </w:r>
          </w:p>
        </w:tc>
        <w:tc>
          <w:tcPr>
            <w:tcW w:w="882" w:type="dxa"/>
          </w:tcPr>
          <w:p>
            <w:pPr>
              <w:pStyle w:val="TableParagraph"/>
              <w:spacing w:line="235" w:lineRule="exact" w:before="17"/>
              <w:ind w:left="119" w:right="107"/>
              <w:rPr>
                <w:rFonts w:ascii="Times New Roman"/>
                <w:sz w:val="21"/>
              </w:rPr>
            </w:pPr>
            <w:bookmarkStart w:name="0.1L" w:id="418"/>
            <w:bookmarkEnd w:id="418"/>
            <w:r>
              <w:rPr/>
            </w:r>
            <w:r>
              <w:rPr>
                <w:rFonts w:ascii="Times New Roman"/>
                <w:sz w:val="21"/>
              </w:rPr>
              <w:t>0.1L</w:t>
            </w:r>
          </w:p>
        </w:tc>
        <w:tc>
          <w:tcPr>
            <w:tcW w:w="888" w:type="dxa"/>
          </w:tcPr>
          <w:p>
            <w:pPr>
              <w:pStyle w:val="TableParagraph"/>
              <w:spacing w:line="235" w:lineRule="exact" w:before="17"/>
              <w:ind w:left="121" w:right="113"/>
              <w:rPr>
                <w:rFonts w:ascii="Times New Roman"/>
                <w:sz w:val="21"/>
              </w:rPr>
            </w:pPr>
            <w:bookmarkStart w:name="0.1L" w:id="419"/>
            <w:bookmarkEnd w:id="419"/>
            <w:r>
              <w:rPr/>
            </w:r>
            <w:r>
              <w:rPr>
                <w:rFonts w:ascii="Times New Roman"/>
                <w:sz w:val="21"/>
              </w:rPr>
              <w:t>0.1L</w:t>
            </w:r>
          </w:p>
        </w:tc>
      </w:tr>
      <w:tr>
        <w:trPr>
          <w:trHeight w:val="273" w:hRule="atLeast"/>
        </w:trPr>
        <w:tc>
          <w:tcPr>
            <w:tcW w:w="1400" w:type="dxa"/>
          </w:tcPr>
          <w:p>
            <w:pPr>
              <w:pStyle w:val="TableParagraph"/>
              <w:spacing w:line="251" w:lineRule="exact" w:before="2"/>
              <w:ind w:left="157"/>
              <w:jc w:val="left"/>
              <w:rPr>
                <w:sz w:val="21"/>
              </w:rPr>
            </w:pPr>
            <w:r>
              <w:rPr>
                <w:sz w:val="21"/>
              </w:rPr>
              <w:t>铬（</w:t>
            </w:r>
            <w:r>
              <w:rPr>
                <w:rFonts w:ascii="Times New Roman" w:eastAsia="Times New Roman"/>
                <w:sz w:val="21"/>
              </w:rPr>
              <w:t>mg/L</w:t>
            </w:r>
            <w:r>
              <w:rPr>
                <w:sz w:val="21"/>
              </w:rPr>
              <w:t>）</w:t>
            </w:r>
          </w:p>
        </w:tc>
        <w:tc>
          <w:tcPr>
            <w:tcW w:w="882" w:type="dxa"/>
          </w:tcPr>
          <w:p>
            <w:pPr>
              <w:pStyle w:val="TableParagraph"/>
              <w:spacing w:line="235" w:lineRule="exact" w:before="18"/>
              <w:ind w:left="119" w:right="109"/>
              <w:rPr>
                <w:rFonts w:ascii="Times New Roman"/>
                <w:sz w:val="21"/>
              </w:rPr>
            </w:pPr>
            <w:bookmarkStart w:name="0.03L" w:id="420"/>
            <w:bookmarkEnd w:id="420"/>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1"/>
            <w:bookmarkEnd w:id="421"/>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2"/>
            <w:bookmarkEnd w:id="422"/>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3"/>
            <w:bookmarkEnd w:id="423"/>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4"/>
            <w:bookmarkEnd w:id="424"/>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5"/>
            <w:bookmarkEnd w:id="425"/>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6"/>
            <w:bookmarkEnd w:id="426"/>
            <w:r>
              <w:rPr/>
            </w:r>
            <w:r>
              <w:rPr>
                <w:rFonts w:ascii="Times New Roman"/>
                <w:sz w:val="21"/>
              </w:rPr>
              <w:t>0.03L</w:t>
            </w:r>
          </w:p>
        </w:tc>
        <w:tc>
          <w:tcPr>
            <w:tcW w:w="882" w:type="dxa"/>
          </w:tcPr>
          <w:p>
            <w:pPr>
              <w:pStyle w:val="TableParagraph"/>
              <w:spacing w:line="235" w:lineRule="exact" w:before="18"/>
              <w:ind w:left="119" w:right="109"/>
              <w:rPr>
                <w:rFonts w:ascii="Times New Roman"/>
                <w:sz w:val="21"/>
              </w:rPr>
            </w:pPr>
            <w:bookmarkStart w:name="0.03L" w:id="427"/>
            <w:bookmarkEnd w:id="427"/>
            <w:r>
              <w:rPr/>
            </w:r>
            <w:r>
              <w:rPr>
                <w:rFonts w:ascii="Times New Roman"/>
                <w:sz w:val="21"/>
              </w:rPr>
              <w:t>0.03L</w:t>
            </w:r>
          </w:p>
        </w:tc>
        <w:tc>
          <w:tcPr>
            <w:tcW w:w="888" w:type="dxa"/>
          </w:tcPr>
          <w:p>
            <w:pPr>
              <w:pStyle w:val="TableParagraph"/>
              <w:spacing w:line="235" w:lineRule="exact" w:before="18"/>
              <w:ind w:left="121" w:right="113"/>
              <w:rPr>
                <w:rFonts w:ascii="Times New Roman"/>
                <w:sz w:val="21"/>
              </w:rPr>
            </w:pPr>
            <w:bookmarkStart w:name="0.03L" w:id="428"/>
            <w:bookmarkEnd w:id="428"/>
            <w:r>
              <w:rPr/>
            </w:r>
            <w:r>
              <w:rPr>
                <w:rFonts w:ascii="Times New Roman"/>
                <w:sz w:val="21"/>
              </w:rPr>
              <w:t>0.03L</w:t>
            </w:r>
          </w:p>
        </w:tc>
      </w:tr>
      <w:tr>
        <w:trPr>
          <w:trHeight w:val="271" w:hRule="atLeast"/>
        </w:trPr>
        <w:tc>
          <w:tcPr>
            <w:tcW w:w="1400" w:type="dxa"/>
          </w:tcPr>
          <w:p>
            <w:pPr>
              <w:pStyle w:val="TableParagraph"/>
              <w:spacing w:line="252" w:lineRule="exact"/>
              <w:ind w:left="183"/>
              <w:jc w:val="left"/>
              <w:rPr>
                <w:sz w:val="21"/>
              </w:rPr>
            </w:pPr>
            <w:r>
              <w:rPr>
                <w:sz w:val="21"/>
              </w:rPr>
              <w:t>铅（</w:t>
            </w:r>
            <w:r>
              <w:rPr>
                <w:rFonts w:ascii="Times New Roman" w:hAnsi="Times New Roman" w:eastAsia="Times New Roman"/>
                <w:sz w:val="21"/>
              </w:rPr>
              <w:t>μg/L</w:t>
            </w:r>
            <w:r>
              <w:rPr>
                <w:sz w:val="21"/>
              </w:rPr>
              <w:t>）</w:t>
            </w:r>
          </w:p>
        </w:tc>
        <w:tc>
          <w:tcPr>
            <w:tcW w:w="882" w:type="dxa"/>
          </w:tcPr>
          <w:p>
            <w:pPr>
              <w:pStyle w:val="TableParagraph"/>
              <w:spacing w:line="236" w:lineRule="exact" w:before="16"/>
              <w:ind w:left="119" w:right="109"/>
              <w:rPr>
                <w:rFonts w:ascii="Times New Roman"/>
                <w:sz w:val="21"/>
              </w:rPr>
            </w:pPr>
            <w:bookmarkStart w:name="10L" w:id="429"/>
            <w:bookmarkEnd w:id="429"/>
            <w:r>
              <w:rPr/>
            </w:r>
            <w:r>
              <w:rPr>
                <w:rFonts w:ascii="Times New Roman"/>
                <w:sz w:val="21"/>
              </w:rPr>
              <w:t>10L</w:t>
            </w:r>
          </w:p>
        </w:tc>
        <w:tc>
          <w:tcPr>
            <w:tcW w:w="882" w:type="dxa"/>
          </w:tcPr>
          <w:p>
            <w:pPr>
              <w:pStyle w:val="TableParagraph"/>
              <w:spacing w:line="236" w:lineRule="exact" w:before="16"/>
              <w:ind w:left="119" w:right="107"/>
              <w:rPr>
                <w:rFonts w:ascii="Times New Roman"/>
                <w:sz w:val="21"/>
              </w:rPr>
            </w:pPr>
            <w:bookmarkStart w:name="10L" w:id="430"/>
            <w:bookmarkEnd w:id="430"/>
            <w:r>
              <w:rPr/>
            </w:r>
            <w:r>
              <w:rPr>
                <w:rFonts w:ascii="Times New Roman"/>
                <w:sz w:val="21"/>
              </w:rPr>
              <w:t>10L</w:t>
            </w:r>
          </w:p>
        </w:tc>
        <w:tc>
          <w:tcPr>
            <w:tcW w:w="882" w:type="dxa"/>
          </w:tcPr>
          <w:p>
            <w:pPr>
              <w:pStyle w:val="TableParagraph"/>
              <w:spacing w:line="236" w:lineRule="exact" w:before="16"/>
              <w:ind w:left="119" w:right="109"/>
              <w:rPr>
                <w:rFonts w:ascii="Times New Roman"/>
                <w:sz w:val="21"/>
              </w:rPr>
            </w:pPr>
            <w:bookmarkStart w:name="10L" w:id="431"/>
            <w:bookmarkEnd w:id="431"/>
            <w:r>
              <w:rPr/>
            </w:r>
            <w:r>
              <w:rPr>
                <w:rFonts w:ascii="Times New Roman"/>
                <w:sz w:val="21"/>
              </w:rPr>
              <w:t>10L</w:t>
            </w:r>
          </w:p>
        </w:tc>
        <w:tc>
          <w:tcPr>
            <w:tcW w:w="882" w:type="dxa"/>
          </w:tcPr>
          <w:p>
            <w:pPr>
              <w:pStyle w:val="TableParagraph"/>
              <w:spacing w:line="236" w:lineRule="exact" w:before="16"/>
              <w:ind w:left="119" w:right="107"/>
              <w:rPr>
                <w:rFonts w:ascii="Times New Roman"/>
                <w:sz w:val="21"/>
              </w:rPr>
            </w:pPr>
            <w:bookmarkStart w:name="10L" w:id="432"/>
            <w:bookmarkEnd w:id="432"/>
            <w:r>
              <w:rPr/>
            </w:r>
            <w:r>
              <w:rPr>
                <w:rFonts w:ascii="Times New Roman"/>
                <w:sz w:val="21"/>
              </w:rPr>
              <w:t>10L</w:t>
            </w:r>
          </w:p>
        </w:tc>
        <w:tc>
          <w:tcPr>
            <w:tcW w:w="882" w:type="dxa"/>
          </w:tcPr>
          <w:p>
            <w:pPr>
              <w:pStyle w:val="TableParagraph"/>
              <w:spacing w:line="236" w:lineRule="exact" w:before="16"/>
              <w:ind w:left="119" w:right="109"/>
              <w:rPr>
                <w:rFonts w:ascii="Times New Roman"/>
                <w:sz w:val="21"/>
              </w:rPr>
            </w:pPr>
            <w:bookmarkStart w:name="10L" w:id="433"/>
            <w:bookmarkEnd w:id="433"/>
            <w:r>
              <w:rPr/>
            </w:r>
            <w:r>
              <w:rPr>
                <w:rFonts w:ascii="Times New Roman"/>
                <w:sz w:val="21"/>
              </w:rPr>
              <w:t>10L</w:t>
            </w:r>
          </w:p>
        </w:tc>
        <w:tc>
          <w:tcPr>
            <w:tcW w:w="882" w:type="dxa"/>
          </w:tcPr>
          <w:p>
            <w:pPr>
              <w:pStyle w:val="TableParagraph"/>
              <w:spacing w:line="236" w:lineRule="exact" w:before="16"/>
              <w:ind w:left="119" w:right="107"/>
              <w:rPr>
                <w:rFonts w:ascii="Times New Roman"/>
                <w:sz w:val="21"/>
              </w:rPr>
            </w:pPr>
            <w:bookmarkStart w:name="10L" w:id="434"/>
            <w:bookmarkEnd w:id="434"/>
            <w:r>
              <w:rPr/>
            </w:r>
            <w:r>
              <w:rPr>
                <w:rFonts w:ascii="Times New Roman"/>
                <w:sz w:val="21"/>
              </w:rPr>
              <w:t>10L</w:t>
            </w:r>
          </w:p>
        </w:tc>
        <w:tc>
          <w:tcPr>
            <w:tcW w:w="882" w:type="dxa"/>
          </w:tcPr>
          <w:p>
            <w:pPr>
              <w:pStyle w:val="TableParagraph"/>
              <w:spacing w:line="236" w:lineRule="exact" w:before="16"/>
              <w:ind w:left="119" w:right="109"/>
              <w:rPr>
                <w:rFonts w:ascii="Times New Roman"/>
                <w:sz w:val="21"/>
              </w:rPr>
            </w:pPr>
            <w:bookmarkStart w:name="10L" w:id="435"/>
            <w:bookmarkEnd w:id="435"/>
            <w:r>
              <w:rPr/>
            </w:r>
            <w:r>
              <w:rPr>
                <w:rFonts w:ascii="Times New Roman"/>
                <w:sz w:val="21"/>
              </w:rPr>
              <w:t>10L</w:t>
            </w:r>
          </w:p>
        </w:tc>
        <w:tc>
          <w:tcPr>
            <w:tcW w:w="882" w:type="dxa"/>
          </w:tcPr>
          <w:p>
            <w:pPr>
              <w:pStyle w:val="TableParagraph"/>
              <w:spacing w:line="236" w:lineRule="exact" w:before="16"/>
              <w:ind w:left="119" w:right="107"/>
              <w:rPr>
                <w:rFonts w:ascii="Times New Roman"/>
                <w:sz w:val="21"/>
              </w:rPr>
            </w:pPr>
            <w:bookmarkStart w:name="10L" w:id="436"/>
            <w:bookmarkEnd w:id="436"/>
            <w:r>
              <w:rPr/>
            </w:r>
            <w:r>
              <w:rPr>
                <w:rFonts w:ascii="Times New Roman"/>
                <w:sz w:val="21"/>
              </w:rPr>
              <w:t>10L</w:t>
            </w:r>
          </w:p>
        </w:tc>
        <w:tc>
          <w:tcPr>
            <w:tcW w:w="888" w:type="dxa"/>
          </w:tcPr>
          <w:p>
            <w:pPr>
              <w:pStyle w:val="TableParagraph"/>
              <w:spacing w:line="236" w:lineRule="exact" w:before="16"/>
              <w:ind w:left="121" w:right="113"/>
              <w:rPr>
                <w:rFonts w:ascii="Times New Roman"/>
                <w:sz w:val="21"/>
              </w:rPr>
            </w:pPr>
            <w:bookmarkStart w:name="10L" w:id="437"/>
            <w:bookmarkEnd w:id="437"/>
            <w:r>
              <w:rPr/>
            </w:r>
            <w:r>
              <w:rPr>
                <w:rFonts w:ascii="Times New Roman"/>
                <w:sz w:val="21"/>
              </w:rPr>
              <w:t>10L</w:t>
            </w:r>
          </w:p>
        </w:tc>
      </w:tr>
      <w:tr>
        <w:trPr>
          <w:trHeight w:val="272" w:hRule="atLeast"/>
        </w:trPr>
        <w:tc>
          <w:tcPr>
            <w:tcW w:w="1400" w:type="dxa"/>
          </w:tcPr>
          <w:p>
            <w:pPr>
              <w:pStyle w:val="TableParagraph"/>
              <w:spacing w:line="251" w:lineRule="exact" w:before="1"/>
              <w:ind w:left="183"/>
              <w:jc w:val="left"/>
              <w:rPr>
                <w:sz w:val="21"/>
              </w:rPr>
            </w:pPr>
            <w:r>
              <w:rPr>
                <w:sz w:val="21"/>
              </w:rPr>
              <w:t>砷（</w:t>
            </w:r>
            <w:r>
              <w:rPr>
                <w:rFonts w:ascii="Times New Roman" w:hAnsi="Times New Roman" w:eastAsia="Times New Roman"/>
                <w:sz w:val="21"/>
              </w:rPr>
              <w:t>μg/L</w:t>
            </w:r>
            <w:r>
              <w:rPr>
                <w:sz w:val="21"/>
              </w:rPr>
              <w:t>）</w:t>
            </w:r>
          </w:p>
        </w:tc>
        <w:tc>
          <w:tcPr>
            <w:tcW w:w="882" w:type="dxa"/>
          </w:tcPr>
          <w:p>
            <w:pPr>
              <w:pStyle w:val="TableParagraph"/>
              <w:spacing w:line="235" w:lineRule="exact" w:before="17"/>
              <w:ind w:left="119" w:right="109"/>
              <w:rPr>
                <w:rFonts w:ascii="Times New Roman"/>
                <w:sz w:val="21"/>
              </w:rPr>
            </w:pPr>
            <w:bookmarkStart w:name="0.3L" w:id="438"/>
            <w:bookmarkEnd w:id="438"/>
            <w:r>
              <w:rPr/>
            </w:r>
            <w:r>
              <w:rPr>
                <w:rFonts w:ascii="Times New Roman"/>
                <w:sz w:val="21"/>
              </w:rPr>
              <w:t>0.3L</w:t>
            </w:r>
          </w:p>
        </w:tc>
        <w:tc>
          <w:tcPr>
            <w:tcW w:w="882" w:type="dxa"/>
          </w:tcPr>
          <w:p>
            <w:pPr>
              <w:pStyle w:val="TableParagraph"/>
              <w:spacing w:line="235" w:lineRule="exact" w:before="17"/>
              <w:ind w:left="119" w:right="107"/>
              <w:rPr>
                <w:rFonts w:ascii="Times New Roman"/>
                <w:sz w:val="21"/>
              </w:rPr>
            </w:pPr>
            <w:bookmarkStart w:name="0.3L" w:id="439"/>
            <w:bookmarkEnd w:id="439"/>
            <w:r>
              <w:rPr/>
            </w:r>
            <w:r>
              <w:rPr>
                <w:rFonts w:ascii="Times New Roman"/>
                <w:sz w:val="21"/>
              </w:rPr>
              <w:t>0.3L</w:t>
            </w:r>
          </w:p>
        </w:tc>
        <w:tc>
          <w:tcPr>
            <w:tcW w:w="882" w:type="dxa"/>
          </w:tcPr>
          <w:p>
            <w:pPr>
              <w:pStyle w:val="TableParagraph"/>
              <w:spacing w:line="235" w:lineRule="exact" w:before="17"/>
              <w:ind w:left="119" w:right="109"/>
              <w:rPr>
                <w:rFonts w:ascii="Times New Roman"/>
                <w:sz w:val="21"/>
              </w:rPr>
            </w:pPr>
            <w:bookmarkStart w:name="0.3L" w:id="440"/>
            <w:bookmarkEnd w:id="440"/>
            <w:r>
              <w:rPr/>
            </w:r>
            <w:r>
              <w:rPr>
                <w:rFonts w:ascii="Times New Roman"/>
                <w:sz w:val="21"/>
              </w:rPr>
              <w:t>0.3L</w:t>
            </w:r>
          </w:p>
        </w:tc>
        <w:tc>
          <w:tcPr>
            <w:tcW w:w="882" w:type="dxa"/>
          </w:tcPr>
          <w:p>
            <w:pPr>
              <w:pStyle w:val="TableParagraph"/>
              <w:spacing w:line="235" w:lineRule="exact" w:before="17"/>
              <w:ind w:left="119" w:right="107"/>
              <w:rPr>
                <w:rFonts w:ascii="Times New Roman"/>
                <w:sz w:val="21"/>
              </w:rPr>
            </w:pPr>
            <w:bookmarkStart w:name="0.3L" w:id="441"/>
            <w:bookmarkEnd w:id="441"/>
            <w:r>
              <w:rPr/>
            </w:r>
            <w:r>
              <w:rPr>
                <w:rFonts w:ascii="Times New Roman"/>
                <w:sz w:val="21"/>
              </w:rPr>
              <w:t>0.3L</w:t>
            </w:r>
          </w:p>
        </w:tc>
        <w:tc>
          <w:tcPr>
            <w:tcW w:w="882" w:type="dxa"/>
          </w:tcPr>
          <w:p>
            <w:pPr>
              <w:pStyle w:val="TableParagraph"/>
              <w:spacing w:line="235" w:lineRule="exact" w:before="17"/>
              <w:ind w:left="119" w:right="109"/>
              <w:rPr>
                <w:rFonts w:ascii="Times New Roman"/>
                <w:sz w:val="21"/>
              </w:rPr>
            </w:pPr>
            <w:bookmarkStart w:name="0.3L" w:id="442"/>
            <w:bookmarkEnd w:id="442"/>
            <w:r>
              <w:rPr/>
            </w:r>
            <w:r>
              <w:rPr>
                <w:rFonts w:ascii="Times New Roman"/>
                <w:sz w:val="21"/>
              </w:rPr>
              <w:t>0.3L</w:t>
            </w:r>
          </w:p>
        </w:tc>
        <w:tc>
          <w:tcPr>
            <w:tcW w:w="882" w:type="dxa"/>
          </w:tcPr>
          <w:p>
            <w:pPr>
              <w:pStyle w:val="TableParagraph"/>
              <w:spacing w:line="235" w:lineRule="exact" w:before="17"/>
              <w:ind w:left="119" w:right="107"/>
              <w:rPr>
                <w:rFonts w:ascii="Times New Roman"/>
                <w:sz w:val="21"/>
              </w:rPr>
            </w:pPr>
            <w:bookmarkStart w:name="0.3L" w:id="443"/>
            <w:bookmarkEnd w:id="443"/>
            <w:r>
              <w:rPr/>
            </w:r>
            <w:r>
              <w:rPr>
                <w:rFonts w:ascii="Times New Roman"/>
                <w:sz w:val="21"/>
              </w:rPr>
              <w:t>0.3L</w:t>
            </w:r>
          </w:p>
        </w:tc>
        <w:tc>
          <w:tcPr>
            <w:tcW w:w="882" w:type="dxa"/>
          </w:tcPr>
          <w:p>
            <w:pPr>
              <w:pStyle w:val="TableParagraph"/>
              <w:spacing w:line="235" w:lineRule="exact" w:before="17"/>
              <w:ind w:left="119" w:right="109"/>
              <w:rPr>
                <w:rFonts w:ascii="Times New Roman"/>
                <w:sz w:val="21"/>
              </w:rPr>
            </w:pPr>
            <w:bookmarkStart w:name="0.3L" w:id="444"/>
            <w:bookmarkEnd w:id="444"/>
            <w:r>
              <w:rPr/>
            </w:r>
            <w:r>
              <w:rPr>
                <w:rFonts w:ascii="Times New Roman"/>
                <w:sz w:val="21"/>
              </w:rPr>
              <w:t>0.3L</w:t>
            </w:r>
          </w:p>
        </w:tc>
        <w:tc>
          <w:tcPr>
            <w:tcW w:w="882" w:type="dxa"/>
          </w:tcPr>
          <w:p>
            <w:pPr>
              <w:pStyle w:val="TableParagraph"/>
              <w:spacing w:line="235" w:lineRule="exact" w:before="17"/>
              <w:ind w:left="119" w:right="107"/>
              <w:rPr>
                <w:rFonts w:ascii="Times New Roman"/>
                <w:sz w:val="21"/>
              </w:rPr>
            </w:pPr>
            <w:bookmarkStart w:name="0.3L" w:id="445"/>
            <w:bookmarkEnd w:id="445"/>
            <w:r>
              <w:rPr/>
            </w:r>
            <w:r>
              <w:rPr>
                <w:rFonts w:ascii="Times New Roman"/>
                <w:sz w:val="21"/>
              </w:rPr>
              <w:t>0.3L</w:t>
            </w:r>
          </w:p>
        </w:tc>
        <w:tc>
          <w:tcPr>
            <w:tcW w:w="888" w:type="dxa"/>
          </w:tcPr>
          <w:p>
            <w:pPr>
              <w:pStyle w:val="TableParagraph"/>
              <w:spacing w:line="235" w:lineRule="exact" w:before="17"/>
              <w:ind w:left="121" w:right="113"/>
              <w:rPr>
                <w:rFonts w:ascii="Times New Roman"/>
                <w:sz w:val="21"/>
              </w:rPr>
            </w:pPr>
            <w:bookmarkStart w:name="0.3L" w:id="446"/>
            <w:bookmarkEnd w:id="446"/>
            <w:r>
              <w:rPr/>
            </w:r>
            <w:r>
              <w:rPr>
                <w:rFonts w:ascii="Times New Roman"/>
                <w:sz w:val="21"/>
              </w:rPr>
              <w:t>0.3L</w:t>
            </w:r>
          </w:p>
        </w:tc>
      </w:tr>
      <w:tr>
        <w:trPr>
          <w:trHeight w:val="272" w:hRule="atLeast"/>
        </w:trPr>
        <w:tc>
          <w:tcPr>
            <w:tcW w:w="1400" w:type="dxa"/>
          </w:tcPr>
          <w:p>
            <w:pPr>
              <w:pStyle w:val="TableParagraph"/>
              <w:spacing w:line="251" w:lineRule="exact" w:before="2"/>
              <w:ind w:left="157"/>
              <w:jc w:val="left"/>
              <w:rPr>
                <w:sz w:val="21"/>
              </w:rPr>
            </w:pPr>
            <w:r>
              <w:rPr>
                <w:sz w:val="21"/>
              </w:rPr>
              <w:t>锌（</w:t>
            </w:r>
            <w:r>
              <w:rPr>
                <w:rFonts w:ascii="Times New Roman" w:eastAsia="Times New Roman"/>
                <w:sz w:val="21"/>
              </w:rPr>
              <w:t>mg/L</w:t>
            </w:r>
            <w:r>
              <w:rPr>
                <w:sz w:val="21"/>
              </w:rPr>
              <w:t>）</w:t>
            </w:r>
          </w:p>
        </w:tc>
        <w:tc>
          <w:tcPr>
            <w:tcW w:w="882" w:type="dxa"/>
          </w:tcPr>
          <w:p>
            <w:pPr>
              <w:pStyle w:val="TableParagraph"/>
              <w:spacing w:line="234" w:lineRule="exact" w:before="18"/>
              <w:ind w:left="119" w:right="109"/>
              <w:rPr>
                <w:rFonts w:ascii="Times New Roman"/>
                <w:sz w:val="21"/>
              </w:rPr>
            </w:pPr>
            <w:bookmarkStart w:name="0.05L" w:id="447"/>
            <w:bookmarkEnd w:id="447"/>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48"/>
            <w:bookmarkEnd w:id="448"/>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49"/>
            <w:bookmarkEnd w:id="449"/>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50"/>
            <w:bookmarkEnd w:id="450"/>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51"/>
            <w:bookmarkEnd w:id="451"/>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52"/>
            <w:bookmarkEnd w:id="452"/>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53"/>
            <w:bookmarkEnd w:id="453"/>
            <w:r>
              <w:rPr/>
            </w:r>
            <w:r>
              <w:rPr>
                <w:rFonts w:ascii="Times New Roman"/>
                <w:sz w:val="21"/>
              </w:rPr>
              <w:t>0.05L</w:t>
            </w:r>
          </w:p>
        </w:tc>
        <w:tc>
          <w:tcPr>
            <w:tcW w:w="882" w:type="dxa"/>
          </w:tcPr>
          <w:p>
            <w:pPr>
              <w:pStyle w:val="TableParagraph"/>
              <w:spacing w:line="234" w:lineRule="exact" w:before="18"/>
              <w:ind w:left="119" w:right="109"/>
              <w:rPr>
                <w:rFonts w:ascii="Times New Roman"/>
                <w:sz w:val="21"/>
              </w:rPr>
            </w:pPr>
            <w:bookmarkStart w:name="0.05L" w:id="454"/>
            <w:bookmarkEnd w:id="454"/>
            <w:r>
              <w:rPr/>
            </w:r>
            <w:r>
              <w:rPr>
                <w:rFonts w:ascii="Times New Roman"/>
                <w:sz w:val="21"/>
              </w:rPr>
              <w:t>0.05L</w:t>
            </w:r>
          </w:p>
        </w:tc>
        <w:tc>
          <w:tcPr>
            <w:tcW w:w="888" w:type="dxa"/>
          </w:tcPr>
          <w:p>
            <w:pPr>
              <w:pStyle w:val="TableParagraph"/>
              <w:spacing w:line="234" w:lineRule="exact" w:before="18"/>
              <w:ind w:left="121" w:right="113"/>
              <w:rPr>
                <w:rFonts w:ascii="Times New Roman"/>
                <w:sz w:val="21"/>
              </w:rPr>
            </w:pPr>
            <w:bookmarkStart w:name="0.05L" w:id="455"/>
            <w:bookmarkEnd w:id="455"/>
            <w:r>
              <w:rPr/>
            </w:r>
            <w:r>
              <w:rPr>
                <w:rFonts w:ascii="Times New Roman"/>
                <w:sz w:val="21"/>
              </w:rPr>
              <w:t>0.05L</w:t>
            </w:r>
          </w:p>
        </w:tc>
      </w:tr>
      <w:tr>
        <w:trPr>
          <w:trHeight w:val="544" w:hRule="atLeast"/>
        </w:trPr>
        <w:tc>
          <w:tcPr>
            <w:tcW w:w="1400" w:type="dxa"/>
          </w:tcPr>
          <w:p>
            <w:pPr>
              <w:pStyle w:val="TableParagraph"/>
              <w:ind w:left="242" w:right="233"/>
              <w:rPr>
                <w:sz w:val="21"/>
              </w:rPr>
            </w:pPr>
            <w:r>
              <w:rPr>
                <w:sz w:val="21"/>
              </w:rPr>
              <w:t>六价铬</w:t>
            </w:r>
          </w:p>
          <w:p>
            <w:pPr>
              <w:pStyle w:val="TableParagraph"/>
              <w:spacing w:line="253" w:lineRule="exact" w:before="2"/>
              <w:ind w:left="242" w:right="233"/>
              <w:rPr>
                <w:sz w:val="21"/>
              </w:rPr>
            </w:pPr>
            <w:r>
              <w:rPr>
                <w:sz w:val="21"/>
              </w:rPr>
              <w:t>（</w:t>
            </w:r>
            <w:r>
              <w:rPr>
                <w:rFonts w:ascii="Times New Roman" w:eastAsia="Times New Roman"/>
                <w:sz w:val="21"/>
              </w:rPr>
              <w:t>mg/L</w:t>
            </w:r>
            <w:r>
              <w:rPr>
                <w:sz w:val="21"/>
              </w:rPr>
              <w:t>）</w:t>
            </w:r>
          </w:p>
        </w:tc>
        <w:tc>
          <w:tcPr>
            <w:tcW w:w="882" w:type="dxa"/>
          </w:tcPr>
          <w:p>
            <w:pPr>
              <w:pStyle w:val="TableParagraph"/>
              <w:spacing w:before="153"/>
              <w:ind w:left="117" w:right="110"/>
              <w:rPr>
                <w:rFonts w:ascii="Times New Roman"/>
                <w:sz w:val="21"/>
              </w:rPr>
            </w:pPr>
            <w:bookmarkStart w:name="0.004L" w:id="456"/>
            <w:bookmarkEnd w:id="456"/>
            <w:r>
              <w:rPr/>
            </w:r>
            <w:r>
              <w:rPr>
                <w:rFonts w:ascii="Times New Roman"/>
                <w:sz w:val="21"/>
              </w:rPr>
              <w:t>0.004L</w:t>
            </w:r>
          </w:p>
        </w:tc>
        <w:tc>
          <w:tcPr>
            <w:tcW w:w="882" w:type="dxa"/>
          </w:tcPr>
          <w:p>
            <w:pPr>
              <w:pStyle w:val="TableParagraph"/>
              <w:spacing w:before="153"/>
              <w:ind w:left="119" w:right="109"/>
              <w:rPr>
                <w:rFonts w:ascii="Times New Roman"/>
                <w:sz w:val="21"/>
              </w:rPr>
            </w:pPr>
            <w:bookmarkStart w:name="0.004L" w:id="457"/>
            <w:bookmarkEnd w:id="457"/>
            <w:r>
              <w:rPr/>
            </w:r>
            <w:r>
              <w:rPr>
                <w:rFonts w:ascii="Times New Roman"/>
                <w:sz w:val="21"/>
              </w:rPr>
              <w:t>0.004L</w:t>
            </w:r>
          </w:p>
        </w:tc>
        <w:tc>
          <w:tcPr>
            <w:tcW w:w="882" w:type="dxa"/>
          </w:tcPr>
          <w:p>
            <w:pPr>
              <w:pStyle w:val="TableParagraph"/>
              <w:spacing w:before="153"/>
              <w:ind w:left="117" w:right="110"/>
              <w:rPr>
                <w:rFonts w:ascii="Times New Roman"/>
                <w:sz w:val="21"/>
              </w:rPr>
            </w:pPr>
            <w:bookmarkStart w:name="0.004L" w:id="458"/>
            <w:bookmarkEnd w:id="458"/>
            <w:r>
              <w:rPr/>
            </w:r>
            <w:r>
              <w:rPr>
                <w:rFonts w:ascii="Times New Roman"/>
                <w:sz w:val="21"/>
              </w:rPr>
              <w:t>0.004L</w:t>
            </w:r>
          </w:p>
        </w:tc>
        <w:tc>
          <w:tcPr>
            <w:tcW w:w="882" w:type="dxa"/>
          </w:tcPr>
          <w:p>
            <w:pPr>
              <w:pStyle w:val="TableParagraph"/>
              <w:spacing w:before="153"/>
              <w:ind w:left="119" w:right="109"/>
              <w:rPr>
                <w:rFonts w:ascii="Times New Roman"/>
                <w:sz w:val="21"/>
              </w:rPr>
            </w:pPr>
            <w:bookmarkStart w:name="0.004L" w:id="459"/>
            <w:bookmarkEnd w:id="459"/>
            <w:r>
              <w:rPr/>
            </w:r>
            <w:r>
              <w:rPr>
                <w:rFonts w:ascii="Times New Roman"/>
                <w:sz w:val="21"/>
              </w:rPr>
              <w:t>0.004L</w:t>
            </w:r>
          </w:p>
        </w:tc>
        <w:tc>
          <w:tcPr>
            <w:tcW w:w="882" w:type="dxa"/>
          </w:tcPr>
          <w:p>
            <w:pPr>
              <w:pStyle w:val="TableParagraph"/>
              <w:spacing w:before="153"/>
              <w:ind w:left="117" w:right="110"/>
              <w:rPr>
                <w:rFonts w:ascii="Times New Roman"/>
                <w:sz w:val="21"/>
              </w:rPr>
            </w:pPr>
            <w:bookmarkStart w:name="0.004L" w:id="460"/>
            <w:bookmarkEnd w:id="460"/>
            <w:r>
              <w:rPr/>
            </w:r>
            <w:r>
              <w:rPr>
                <w:rFonts w:ascii="Times New Roman"/>
                <w:sz w:val="21"/>
              </w:rPr>
              <w:t>0.004L</w:t>
            </w:r>
          </w:p>
        </w:tc>
        <w:tc>
          <w:tcPr>
            <w:tcW w:w="882" w:type="dxa"/>
          </w:tcPr>
          <w:p>
            <w:pPr>
              <w:pStyle w:val="TableParagraph"/>
              <w:spacing w:before="153"/>
              <w:ind w:left="119" w:right="109"/>
              <w:rPr>
                <w:rFonts w:ascii="Times New Roman"/>
                <w:sz w:val="21"/>
              </w:rPr>
            </w:pPr>
            <w:bookmarkStart w:name="0.004L" w:id="461"/>
            <w:bookmarkEnd w:id="461"/>
            <w:r>
              <w:rPr/>
            </w:r>
            <w:r>
              <w:rPr>
                <w:rFonts w:ascii="Times New Roman"/>
                <w:sz w:val="21"/>
              </w:rPr>
              <w:t>0.004L</w:t>
            </w:r>
          </w:p>
        </w:tc>
        <w:tc>
          <w:tcPr>
            <w:tcW w:w="882" w:type="dxa"/>
          </w:tcPr>
          <w:p>
            <w:pPr>
              <w:pStyle w:val="TableParagraph"/>
              <w:spacing w:before="153"/>
              <w:ind w:left="117" w:right="110"/>
              <w:rPr>
                <w:rFonts w:ascii="Times New Roman"/>
                <w:sz w:val="21"/>
              </w:rPr>
            </w:pPr>
            <w:bookmarkStart w:name="0.004L" w:id="462"/>
            <w:bookmarkEnd w:id="462"/>
            <w:r>
              <w:rPr/>
            </w:r>
            <w:r>
              <w:rPr>
                <w:rFonts w:ascii="Times New Roman"/>
                <w:sz w:val="21"/>
              </w:rPr>
              <w:t>0.004L</w:t>
            </w:r>
          </w:p>
        </w:tc>
        <w:tc>
          <w:tcPr>
            <w:tcW w:w="882" w:type="dxa"/>
          </w:tcPr>
          <w:p>
            <w:pPr>
              <w:pStyle w:val="TableParagraph"/>
              <w:spacing w:before="153"/>
              <w:ind w:left="119" w:right="109"/>
              <w:rPr>
                <w:rFonts w:ascii="Times New Roman"/>
                <w:sz w:val="21"/>
              </w:rPr>
            </w:pPr>
            <w:bookmarkStart w:name="0.004L" w:id="463"/>
            <w:bookmarkEnd w:id="463"/>
            <w:r>
              <w:rPr/>
            </w:r>
            <w:r>
              <w:rPr>
                <w:rFonts w:ascii="Times New Roman"/>
                <w:sz w:val="21"/>
              </w:rPr>
              <w:t>0.004L</w:t>
            </w:r>
          </w:p>
        </w:tc>
        <w:tc>
          <w:tcPr>
            <w:tcW w:w="888" w:type="dxa"/>
          </w:tcPr>
          <w:p>
            <w:pPr>
              <w:pStyle w:val="TableParagraph"/>
              <w:spacing w:before="153"/>
              <w:ind w:left="124" w:right="113"/>
              <w:rPr>
                <w:rFonts w:ascii="Times New Roman"/>
                <w:sz w:val="21"/>
              </w:rPr>
            </w:pPr>
            <w:bookmarkStart w:name="0.004L" w:id="464"/>
            <w:bookmarkEnd w:id="464"/>
            <w:r>
              <w:rPr/>
            </w:r>
            <w:r>
              <w:rPr>
                <w:rFonts w:ascii="Times New Roman"/>
                <w:sz w:val="21"/>
              </w:rPr>
              <w:t>0.004L</w:t>
            </w:r>
          </w:p>
        </w:tc>
      </w:tr>
      <w:tr>
        <w:trPr>
          <w:trHeight w:val="545" w:hRule="atLeast"/>
        </w:trPr>
        <w:tc>
          <w:tcPr>
            <w:tcW w:w="1400" w:type="dxa"/>
          </w:tcPr>
          <w:p>
            <w:pPr>
              <w:pStyle w:val="TableParagraph"/>
              <w:ind w:left="242" w:right="233"/>
              <w:rPr>
                <w:sz w:val="21"/>
              </w:rPr>
            </w:pPr>
            <w:r>
              <w:rPr>
                <w:sz w:val="21"/>
              </w:rPr>
              <w:t>氟化物</w:t>
            </w:r>
          </w:p>
          <w:p>
            <w:pPr>
              <w:pStyle w:val="TableParagraph"/>
              <w:spacing w:line="251" w:lineRule="exact" w:before="5"/>
              <w:ind w:left="242" w:right="233"/>
              <w:rPr>
                <w:sz w:val="21"/>
              </w:rPr>
            </w:pPr>
            <w:r>
              <w:rPr>
                <w:sz w:val="21"/>
              </w:rPr>
              <w:t>（</w:t>
            </w:r>
            <w:r>
              <w:rPr>
                <w:rFonts w:ascii="Times New Roman" w:eastAsia="Times New Roman"/>
                <w:sz w:val="21"/>
              </w:rPr>
              <w:t>mg/L</w:t>
            </w:r>
            <w:r>
              <w:rPr>
                <w:sz w:val="21"/>
              </w:rPr>
              <w:t>）</w:t>
            </w:r>
          </w:p>
        </w:tc>
        <w:tc>
          <w:tcPr>
            <w:tcW w:w="882" w:type="dxa"/>
          </w:tcPr>
          <w:p>
            <w:pPr>
              <w:pStyle w:val="TableParagraph"/>
              <w:spacing w:before="153"/>
              <w:ind w:left="119" w:right="109"/>
              <w:rPr>
                <w:rFonts w:ascii="Times New Roman"/>
                <w:sz w:val="21"/>
              </w:rPr>
            </w:pPr>
            <w:bookmarkStart w:name="0.23" w:id="465"/>
            <w:bookmarkEnd w:id="465"/>
            <w:r>
              <w:rPr/>
            </w:r>
            <w:r>
              <w:rPr>
                <w:rFonts w:ascii="Times New Roman"/>
                <w:sz w:val="21"/>
              </w:rPr>
              <w:t>0.23</w:t>
            </w:r>
          </w:p>
        </w:tc>
        <w:tc>
          <w:tcPr>
            <w:tcW w:w="882" w:type="dxa"/>
          </w:tcPr>
          <w:p>
            <w:pPr>
              <w:pStyle w:val="TableParagraph"/>
              <w:spacing w:before="153"/>
              <w:ind w:left="118" w:right="110"/>
              <w:rPr>
                <w:rFonts w:ascii="Times New Roman"/>
                <w:sz w:val="21"/>
              </w:rPr>
            </w:pPr>
            <w:bookmarkStart w:name="0.26" w:id="466"/>
            <w:bookmarkEnd w:id="466"/>
            <w:r>
              <w:rPr/>
            </w:r>
            <w:r>
              <w:rPr>
                <w:rFonts w:ascii="Times New Roman"/>
                <w:sz w:val="21"/>
              </w:rPr>
              <w:t>0.26</w:t>
            </w:r>
          </w:p>
        </w:tc>
        <w:tc>
          <w:tcPr>
            <w:tcW w:w="882" w:type="dxa"/>
          </w:tcPr>
          <w:p>
            <w:pPr>
              <w:pStyle w:val="TableParagraph"/>
              <w:spacing w:before="153"/>
              <w:ind w:left="119" w:right="109"/>
              <w:rPr>
                <w:rFonts w:ascii="Times New Roman"/>
                <w:sz w:val="21"/>
              </w:rPr>
            </w:pPr>
            <w:bookmarkStart w:name="0.22" w:id="467"/>
            <w:bookmarkEnd w:id="467"/>
            <w:r>
              <w:rPr/>
            </w:r>
            <w:r>
              <w:rPr>
                <w:rFonts w:ascii="Times New Roman"/>
                <w:sz w:val="21"/>
              </w:rPr>
              <w:t>0.22</w:t>
            </w:r>
          </w:p>
        </w:tc>
        <w:tc>
          <w:tcPr>
            <w:tcW w:w="882" w:type="dxa"/>
          </w:tcPr>
          <w:p>
            <w:pPr>
              <w:pStyle w:val="TableParagraph"/>
              <w:spacing w:before="153"/>
              <w:ind w:left="118" w:right="110"/>
              <w:rPr>
                <w:rFonts w:ascii="Times New Roman"/>
                <w:sz w:val="21"/>
              </w:rPr>
            </w:pPr>
            <w:bookmarkStart w:name="0.21" w:id="468"/>
            <w:bookmarkEnd w:id="468"/>
            <w:r>
              <w:rPr/>
            </w:r>
            <w:r>
              <w:rPr>
                <w:rFonts w:ascii="Times New Roman"/>
                <w:sz w:val="21"/>
              </w:rPr>
              <w:t>0.21</w:t>
            </w:r>
          </w:p>
        </w:tc>
        <w:tc>
          <w:tcPr>
            <w:tcW w:w="882" w:type="dxa"/>
          </w:tcPr>
          <w:p>
            <w:pPr>
              <w:pStyle w:val="TableParagraph"/>
              <w:spacing w:before="153"/>
              <w:ind w:left="119" w:right="109"/>
              <w:rPr>
                <w:rFonts w:ascii="Times New Roman"/>
                <w:sz w:val="21"/>
              </w:rPr>
            </w:pPr>
            <w:bookmarkStart w:name="0.28" w:id="469"/>
            <w:bookmarkEnd w:id="469"/>
            <w:r>
              <w:rPr/>
            </w:r>
            <w:r>
              <w:rPr>
                <w:rFonts w:ascii="Times New Roman"/>
                <w:sz w:val="21"/>
              </w:rPr>
              <w:t>0.28</w:t>
            </w:r>
          </w:p>
        </w:tc>
        <w:tc>
          <w:tcPr>
            <w:tcW w:w="882" w:type="dxa"/>
          </w:tcPr>
          <w:p>
            <w:pPr>
              <w:pStyle w:val="TableParagraph"/>
              <w:spacing w:before="153"/>
              <w:ind w:left="118" w:right="110"/>
              <w:rPr>
                <w:rFonts w:ascii="Times New Roman"/>
                <w:sz w:val="21"/>
              </w:rPr>
            </w:pPr>
            <w:bookmarkStart w:name="0.26" w:id="470"/>
            <w:bookmarkEnd w:id="470"/>
            <w:r>
              <w:rPr/>
            </w:r>
            <w:r>
              <w:rPr>
                <w:rFonts w:ascii="Times New Roman"/>
                <w:sz w:val="21"/>
              </w:rPr>
              <w:t>0.26</w:t>
            </w:r>
          </w:p>
        </w:tc>
        <w:tc>
          <w:tcPr>
            <w:tcW w:w="882" w:type="dxa"/>
          </w:tcPr>
          <w:p>
            <w:pPr>
              <w:pStyle w:val="TableParagraph"/>
              <w:spacing w:before="153"/>
              <w:ind w:left="119" w:right="109"/>
              <w:rPr>
                <w:rFonts w:ascii="Times New Roman"/>
                <w:sz w:val="21"/>
              </w:rPr>
            </w:pPr>
            <w:bookmarkStart w:name="0.28" w:id="471"/>
            <w:bookmarkEnd w:id="471"/>
            <w:r>
              <w:rPr/>
            </w:r>
            <w:r>
              <w:rPr>
                <w:rFonts w:ascii="Times New Roman"/>
                <w:sz w:val="21"/>
              </w:rPr>
              <w:t>0.28</w:t>
            </w:r>
          </w:p>
        </w:tc>
        <w:tc>
          <w:tcPr>
            <w:tcW w:w="882" w:type="dxa"/>
          </w:tcPr>
          <w:p>
            <w:pPr>
              <w:pStyle w:val="TableParagraph"/>
              <w:spacing w:before="153"/>
              <w:ind w:left="118" w:right="110"/>
              <w:rPr>
                <w:rFonts w:ascii="Times New Roman"/>
                <w:sz w:val="21"/>
              </w:rPr>
            </w:pPr>
            <w:bookmarkStart w:name="0.23" w:id="472"/>
            <w:bookmarkEnd w:id="472"/>
            <w:r>
              <w:rPr/>
            </w:r>
            <w:r>
              <w:rPr>
                <w:rFonts w:ascii="Times New Roman"/>
                <w:sz w:val="21"/>
              </w:rPr>
              <w:t>0.23</w:t>
            </w:r>
          </w:p>
        </w:tc>
        <w:tc>
          <w:tcPr>
            <w:tcW w:w="888" w:type="dxa"/>
          </w:tcPr>
          <w:p>
            <w:pPr>
              <w:pStyle w:val="TableParagraph"/>
              <w:spacing w:before="153"/>
              <w:ind w:left="122" w:right="113"/>
              <w:rPr>
                <w:rFonts w:ascii="Times New Roman"/>
                <w:sz w:val="21"/>
              </w:rPr>
            </w:pPr>
            <w:bookmarkStart w:name="0.30" w:id="473"/>
            <w:bookmarkEnd w:id="473"/>
            <w:r>
              <w:rPr/>
            </w:r>
            <w:r>
              <w:rPr>
                <w:rFonts w:ascii="Times New Roman"/>
                <w:sz w:val="21"/>
              </w:rPr>
              <w:t>0.30</w:t>
            </w:r>
          </w:p>
        </w:tc>
      </w:tr>
      <w:tr>
        <w:trPr>
          <w:trHeight w:val="545" w:hRule="atLeast"/>
        </w:trPr>
        <w:tc>
          <w:tcPr>
            <w:tcW w:w="1400" w:type="dxa"/>
          </w:tcPr>
          <w:p>
            <w:pPr>
              <w:pStyle w:val="TableParagraph"/>
              <w:spacing w:before="2"/>
              <w:ind w:left="242" w:right="233"/>
              <w:rPr>
                <w:sz w:val="21"/>
              </w:rPr>
            </w:pPr>
            <w:r>
              <w:rPr>
                <w:sz w:val="21"/>
              </w:rPr>
              <w:t>溶解氧</w:t>
            </w:r>
          </w:p>
          <w:p>
            <w:pPr>
              <w:pStyle w:val="TableParagraph"/>
              <w:spacing w:line="252" w:lineRule="exact" w:before="2"/>
              <w:ind w:left="242" w:right="233"/>
              <w:rPr>
                <w:sz w:val="21"/>
              </w:rPr>
            </w:pPr>
            <w:r>
              <w:rPr>
                <w:sz w:val="21"/>
              </w:rPr>
              <w:t>（</w:t>
            </w:r>
            <w:r>
              <w:rPr>
                <w:rFonts w:ascii="Times New Roman" w:eastAsia="Times New Roman"/>
                <w:sz w:val="21"/>
              </w:rPr>
              <w:t>mg/L</w:t>
            </w:r>
            <w:r>
              <w:rPr>
                <w:sz w:val="21"/>
              </w:rPr>
              <w:t>）</w:t>
            </w:r>
          </w:p>
        </w:tc>
        <w:tc>
          <w:tcPr>
            <w:tcW w:w="882" w:type="dxa"/>
          </w:tcPr>
          <w:p>
            <w:pPr>
              <w:pStyle w:val="TableParagraph"/>
              <w:spacing w:before="153"/>
              <w:ind w:left="119" w:right="109"/>
              <w:rPr>
                <w:rFonts w:ascii="Times New Roman"/>
                <w:sz w:val="21"/>
              </w:rPr>
            </w:pPr>
            <w:bookmarkStart w:name="7.33" w:id="474"/>
            <w:bookmarkEnd w:id="474"/>
            <w:r>
              <w:rPr/>
            </w:r>
            <w:r>
              <w:rPr>
                <w:rFonts w:ascii="Times New Roman"/>
                <w:sz w:val="21"/>
              </w:rPr>
              <w:t>7.33</w:t>
            </w:r>
          </w:p>
        </w:tc>
        <w:tc>
          <w:tcPr>
            <w:tcW w:w="882" w:type="dxa"/>
          </w:tcPr>
          <w:p>
            <w:pPr>
              <w:pStyle w:val="TableParagraph"/>
              <w:spacing w:before="153"/>
              <w:ind w:left="118" w:right="110"/>
              <w:rPr>
                <w:rFonts w:ascii="Times New Roman"/>
                <w:sz w:val="21"/>
              </w:rPr>
            </w:pPr>
            <w:bookmarkStart w:name="7.48" w:id="475"/>
            <w:bookmarkEnd w:id="475"/>
            <w:r>
              <w:rPr/>
            </w:r>
            <w:r>
              <w:rPr>
                <w:rFonts w:ascii="Times New Roman"/>
                <w:sz w:val="21"/>
              </w:rPr>
              <w:t>7.48</w:t>
            </w:r>
          </w:p>
        </w:tc>
        <w:tc>
          <w:tcPr>
            <w:tcW w:w="882" w:type="dxa"/>
          </w:tcPr>
          <w:p>
            <w:pPr>
              <w:pStyle w:val="TableParagraph"/>
              <w:spacing w:before="153"/>
              <w:ind w:left="119" w:right="109"/>
              <w:rPr>
                <w:rFonts w:ascii="Times New Roman"/>
                <w:sz w:val="21"/>
              </w:rPr>
            </w:pPr>
            <w:bookmarkStart w:name="7.52" w:id="476"/>
            <w:bookmarkEnd w:id="476"/>
            <w:r>
              <w:rPr/>
            </w:r>
            <w:r>
              <w:rPr>
                <w:rFonts w:ascii="Times New Roman"/>
                <w:sz w:val="21"/>
              </w:rPr>
              <w:t>7.52</w:t>
            </w:r>
          </w:p>
        </w:tc>
        <w:tc>
          <w:tcPr>
            <w:tcW w:w="882" w:type="dxa"/>
          </w:tcPr>
          <w:p>
            <w:pPr>
              <w:pStyle w:val="TableParagraph"/>
              <w:spacing w:before="153"/>
              <w:ind w:left="119" w:right="106"/>
              <w:rPr>
                <w:rFonts w:ascii="Times New Roman"/>
                <w:sz w:val="21"/>
              </w:rPr>
            </w:pPr>
            <w:bookmarkStart w:name="7.11" w:id="477"/>
            <w:bookmarkEnd w:id="477"/>
            <w:r>
              <w:rPr/>
            </w:r>
            <w:r>
              <w:rPr>
                <w:rFonts w:ascii="Times New Roman"/>
                <w:sz w:val="21"/>
              </w:rPr>
              <w:t>7.11</w:t>
            </w:r>
          </w:p>
        </w:tc>
        <w:tc>
          <w:tcPr>
            <w:tcW w:w="882" w:type="dxa"/>
          </w:tcPr>
          <w:p>
            <w:pPr>
              <w:pStyle w:val="TableParagraph"/>
              <w:spacing w:before="153"/>
              <w:ind w:left="119" w:right="109"/>
              <w:rPr>
                <w:rFonts w:ascii="Times New Roman"/>
                <w:sz w:val="21"/>
              </w:rPr>
            </w:pPr>
            <w:bookmarkStart w:name="7.21" w:id="478"/>
            <w:bookmarkEnd w:id="478"/>
            <w:r>
              <w:rPr/>
            </w:r>
            <w:r>
              <w:rPr>
                <w:rFonts w:ascii="Times New Roman"/>
                <w:sz w:val="21"/>
              </w:rPr>
              <w:t>7.21</w:t>
            </w:r>
          </w:p>
        </w:tc>
        <w:tc>
          <w:tcPr>
            <w:tcW w:w="882" w:type="dxa"/>
          </w:tcPr>
          <w:p>
            <w:pPr>
              <w:pStyle w:val="TableParagraph"/>
              <w:spacing w:before="153"/>
              <w:ind w:left="118" w:right="110"/>
              <w:rPr>
                <w:rFonts w:ascii="Times New Roman"/>
                <w:sz w:val="21"/>
              </w:rPr>
            </w:pPr>
            <w:bookmarkStart w:name="7.34" w:id="479"/>
            <w:bookmarkEnd w:id="479"/>
            <w:r>
              <w:rPr/>
            </w:r>
            <w:r>
              <w:rPr>
                <w:rFonts w:ascii="Times New Roman"/>
                <w:sz w:val="21"/>
              </w:rPr>
              <w:t>7.34</w:t>
            </w:r>
          </w:p>
        </w:tc>
        <w:tc>
          <w:tcPr>
            <w:tcW w:w="882" w:type="dxa"/>
          </w:tcPr>
          <w:p>
            <w:pPr>
              <w:pStyle w:val="TableParagraph"/>
              <w:spacing w:before="153"/>
              <w:ind w:left="119" w:right="109"/>
              <w:rPr>
                <w:rFonts w:ascii="Times New Roman"/>
                <w:sz w:val="21"/>
              </w:rPr>
            </w:pPr>
            <w:bookmarkStart w:name="7.44" w:id="480"/>
            <w:bookmarkEnd w:id="480"/>
            <w:r>
              <w:rPr/>
            </w:r>
            <w:r>
              <w:rPr>
                <w:rFonts w:ascii="Times New Roman"/>
                <w:sz w:val="21"/>
              </w:rPr>
              <w:t>7.44</w:t>
            </w:r>
          </w:p>
        </w:tc>
        <w:tc>
          <w:tcPr>
            <w:tcW w:w="882" w:type="dxa"/>
          </w:tcPr>
          <w:p>
            <w:pPr>
              <w:pStyle w:val="TableParagraph"/>
              <w:spacing w:before="153"/>
              <w:ind w:left="118" w:right="110"/>
              <w:rPr>
                <w:rFonts w:ascii="Times New Roman"/>
                <w:sz w:val="21"/>
              </w:rPr>
            </w:pPr>
            <w:bookmarkStart w:name="7.82" w:id="481"/>
            <w:bookmarkEnd w:id="481"/>
            <w:r>
              <w:rPr/>
            </w:r>
            <w:r>
              <w:rPr>
                <w:rFonts w:ascii="Times New Roman"/>
                <w:sz w:val="21"/>
              </w:rPr>
              <w:t>7.82</w:t>
            </w:r>
          </w:p>
        </w:tc>
        <w:tc>
          <w:tcPr>
            <w:tcW w:w="888" w:type="dxa"/>
          </w:tcPr>
          <w:p>
            <w:pPr>
              <w:pStyle w:val="TableParagraph"/>
              <w:spacing w:before="153"/>
              <w:ind w:left="122" w:right="113"/>
              <w:rPr>
                <w:rFonts w:ascii="Times New Roman"/>
                <w:sz w:val="21"/>
              </w:rPr>
            </w:pPr>
            <w:bookmarkStart w:name="7.69" w:id="482"/>
            <w:bookmarkEnd w:id="482"/>
            <w:r>
              <w:rPr/>
            </w:r>
            <w:r>
              <w:rPr>
                <w:rFonts w:ascii="Times New Roman"/>
                <w:sz w:val="21"/>
              </w:rPr>
              <w:t>7.69</w:t>
            </w:r>
          </w:p>
        </w:tc>
      </w:tr>
      <w:tr>
        <w:trPr>
          <w:trHeight w:val="272" w:hRule="atLeast"/>
        </w:trPr>
        <w:tc>
          <w:tcPr>
            <w:tcW w:w="1400" w:type="dxa"/>
          </w:tcPr>
          <w:p>
            <w:pPr>
              <w:pStyle w:val="TableParagraph"/>
              <w:spacing w:line="252" w:lineRule="exact"/>
              <w:ind w:left="109" w:right="-15"/>
              <w:jc w:val="left"/>
              <w:rPr>
                <w:sz w:val="21"/>
              </w:rPr>
            </w:pPr>
            <w:r>
              <w:rPr>
                <w:rFonts w:ascii="Times New Roman" w:eastAsia="Times New Roman"/>
                <w:spacing w:val="-1"/>
                <w:w w:val="99"/>
                <w:position w:val="2"/>
                <w:sz w:val="21"/>
              </w:rPr>
              <w:t>B</w:t>
            </w:r>
            <w:r>
              <w:rPr>
                <w:rFonts w:ascii="Times New Roman" w:eastAsia="Times New Roman"/>
                <w:w w:val="99"/>
                <w:position w:val="2"/>
                <w:sz w:val="21"/>
              </w:rPr>
              <w:t>O</w:t>
            </w:r>
            <w:r>
              <w:rPr>
                <w:rFonts w:ascii="Times New Roman" w:eastAsia="Times New Roman"/>
                <w:spacing w:val="-29"/>
                <w:w w:val="99"/>
                <w:position w:val="2"/>
                <w:sz w:val="21"/>
              </w:rPr>
              <w:t>D</w:t>
            </w:r>
            <w:r>
              <w:rPr>
                <w:spacing w:val="-181"/>
                <w:w w:val="99"/>
                <w:position w:val="2"/>
                <w:sz w:val="21"/>
              </w:rPr>
              <w:t>（</w:t>
            </w:r>
            <w:r>
              <w:rPr>
                <w:rFonts w:ascii="Times New Roman" w:eastAsia="Times New Roman"/>
                <w:w w:val="105"/>
                <w:sz w:val="13"/>
              </w:rPr>
              <w:t>5</w:t>
            </w:r>
            <w:r>
              <w:rPr>
                <w:rFonts w:ascii="Times New Roman" w:eastAsia="Times New Roman"/>
                <w:sz w:val="13"/>
              </w:rPr>
              <w:t>   </w:t>
            </w:r>
            <w:r>
              <w:rPr>
                <w:rFonts w:ascii="Times New Roman" w:eastAsia="Times New Roman"/>
                <w:spacing w:val="-17"/>
                <w:sz w:val="13"/>
              </w:rPr>
              <w:t> </w:t>
            </w:r>
            <w:r>
              <w:rPr>
                <w:rFonts w:ascii="Times New Roman" w:eastAsia="Times New Roman"/>
                <w:spacing w:val="-2"/>
                <w:w w:val="99"/>
                <w:position w:val="2"/>
                <w:sz w:val="21"/>
              </w:rPr>
              <w:t>mg</w:t>
            </w:r>
            <w:r>
              <w:rPr>
                <w:rFonts w:ascii="Times New Roman" w:eastAsia="Times New Roman"/>
                <w:spacing w:val="1"/>
                <w:w w:val="99"/>
                <w:position w:val="2"/>
                <w:sz w:val="21"/>
              </w:rPr>
              <w:t>/L</w:t>
            </w:r>
            <w:r>
              <w:rPr>
                <w:w w:val="99"/>
                <w:position w:val="2"/>
                <w:sz w:val="21"/>
              </w:rPr>
              <w:t>）</w:t>
            </w:r>
          </w:p>
        </w:tc>
        <w:tc>
          <w:tcPr>
            <w:tcW w:w="882" w:type="dxa"/>
          </w:tcPr>
          <w:p>
            <w:pPr>
              <w:pStyle w:val="TableParagraph"/>
              <w:spacing w:line="234" w:lineRule="exact" w:before="18"/>
              <w:ind w:left="119" w:right="109"/>
              <w:rPr>
                <w:rFonts w:ascii="Times New Roman"/>
                <w:sz w:val="21"/>
              </w:rPr>
            </w:pPr>
            <w:bookmarkStart w:name="8.65" w:id="483"/>
            <w:bookmarkEnd w:id="483"/>
            <w:r>
              <w:rPr/>
            </w:r>
            <w:r>
              <w:rPr>
                <w:rFonts w:ascii="Times New Roman"/>
                <w:sz w:val="21"/>
              </w:rPr>
              <w:t>8.65</w:t>
            </w:r>
          </w:p>
        </w:tc>
        <w:tc>
          <w:tcPr>
            <w:tcW w:w="882" w:type="dxa"/>
          </w:tcPr>
          <w:p>
            <w:pPr>
              <w:pStyle w:val="TableParagraph"/>
              <w:spacing w:line="234" w:lineRule="exact" w:before="18"/>
              <w:ind w:left="118" w:right="110"/>
              <w:rPr>
                <w:rFonts w:ascii="Times New Roman"/>
                <w:sz w:val="21"/>
              </w:rPr>
            </w:pPr>
            <w:bookmarkStart w:name="8.78" w:id="484"/>
            <w:bookmarkEnd w:id="484"/>
            <w:r>
              <w:rPr/>
            </w:r>
            <w:r>
              <w:rPr>
                <w:rFonts w:ascii="Times New Roman"/>
                <w:sz w:val="21"/>
              </w:rPr>
              <w:t>8.78</w:t>
            </w:r>
          </w:p>
        </w:tc>
        <w:tc>
          <w:tcPr>
            <w:tcW w:w="882" w:type="dxa"/>
          </w:tcPr>
          <w:p>
            <w:pPr>
              <w:pStyle w:val="TableParagraph"/>
              <w:spacing w:line="234" w:lineRule="exact" w:before="18"/>
              <w:ind w:left="119" w:right="109"/>
              <w:rPr>
                <w:rFonts w:ascii="Times New Roman"/>
                <w:sz w:val="21"/>
              </w:rPr>
            </w:pPr>
            <w:bookmarkStart w:name="9.23" w:id="485"/>
            <w:bookmarkEnd w:id="485"/>
            <w:r>
              <w:rPr/>
            </w:r>
            <w:r>
              <w:rPr>
                <w:rFonts w:ascii="Times New Roman"/>
                <w:sz w:val="21"/>
              </w:rPr>
              <w:t>9.23</w:t>
            </w:r>
          </w:p>
        </w:tc>
        <w:tc>
          <w:tcPr>
            <w:tcW w:w="882" w:type="dxa"/>
          </w:tcPr>
          <w:p>
            <w:pPr>
              <w:pStyle w:val="TableParagraph"/>
              <w:spacing w:line="234" w:lineRule="exact" w:before="18"/>
              <w:ind w:left="118" w:right="110"/>
              <w:rPr>
                <w:rFonts w:ascii="Times New Roman"/>
                <w:sz w:val="21"/>
              </w:rPr>
            </w:pPr>
            <w:bookmarkStart w:name="9.49" w:id="486"/>
            <w:bookmarkEnd w:id="486"/>
            <w:r>
              <w:rPr/>
            </w:r>
            <w:r>
              <w:rPr>
                <w:rFonts w:ascii="Times New Roman"/>
                <w:sz w:val="21"/>
              </w:rPr>
              <w:t>9.49</w:t>
            </w:r>
          </w:p>
        </w:tc>
        <w:tc>
          <w:tcPr>
            <w:tcW w:w="882" w:type="dxa"/>
          </w:tcPr>
          <w:p>
            <w:pPr>
              <w:pStyle w:val="TableParagraph"/>
              <w:spacing w:line="234" w:lineRule="exact" w:before="18"/>
              <w:ind w:left="119" w:right="109"/>
              <w:rPr>
                <w:rFonts w:ascii="Times New Roman"/>
                <w:sz w:val="21"/>
              </w:rPr>
            </w:pPr>
            <w:bookmarkStart w:name="9.11" w:id="487"/>
            <w:bookmarkEnd w:id="487"/>
            <w:r>
              <w:rPr/>
            </w:r>
            <w:r>
              <w:rPr>
                <w:rFonts w:ascii="Times New Roman"/>
                <w:sz w:val="21"/>
              </w:rPr>
              <w:t>9.11</w:t>
            </w:r>
          </w:p>
        </w:tc>
        <w:tc>
          <w:tcPr>
            <w:tcW w:w="882" w:type="dxa"/>
          </w:tcPr>
          <w:p>
            <w:pPr>
              <w:pStyle w:val="TableParagraph"/>
              <w:spacing w:line="234" w:lineRule="exact" w:before="18"/>
              <w:ind w:left="118" w:right="110"/>
              <w:rPr>
                <w:rFonts w:ascii="Times New Roman"/>
                <w:sz w:val="21"/>
              </w:rPr>
            </w:pPr>
            <w:bookmarkStart w:name="8.23" w:id="488"/>
            <w:bookmarkEnd w:id="488"/>
            <w:r>
              <w:rPr/>
            </w:r>
            <w:r>
              <w:rPr>
                <w:rFonts w:ascii="Times New Roman"/>
                <w:sz w:val="21"/>
              </w:rPr>
              <w:t>8.23</w:t>
            </w:r>
          </w:p>
        </w:tc>
        <w:tc>
          <w:tcPr>
            <w:tcW w:w="882" w:type="dxa"/>
          </w:tcPr>
          <w:p>
            <w:pPr>
              <w:pStyle w:val="TableParagraph"/>
              <w:spacing w:line="234" w:lineRule="exact" w:before="18"/>
              <w:ind w:left="119" w:right="109"/>
              <w:rPr>
                <w:rFonts w:ascii="Times New Roman"/>
                <w:sz w:val="21"/>
              </w:rPr>
            </w:pPr>
            <w:bookmarkStart w:name="9.15" w:id="489"/>
            <w:bookmarkEnd w:id="489"/>
            <w:r>
              <w:rPr/>
            </w:r>
            <w:r>
              <w:rPr>
                <w:rFonts w:ascii="Times New Roman"/>
                <w:sz w:val="21"/>
              </w:rPr>
              <w:t>9.15</w:t>
            </w:r>
          </w:p>
        </w:tc>
        <w:tc>
          <w:tcPr>
            <w:tcW w:w="882" w:type="dxa"/>
          </w:tcPr>
          <w:p>
            <w:pPr>
              <w:pStyle w:val="TableParagraph"/>
              <w:spacing w:line="234" w:lineRule="exact" w:before="18"/>
              <w:ind w:left="118" w:right="110"/>
              <w:rPr>
                <w:rFonts w:ascii="Times New Roman"/>
                <w:sz w:val="21"/>
              </w:rPr>
            </w:pPr>
            <w:bookmarkStart w:name="8.56" w:id="490"/>
            <w:bookmarkEnd w:id="490"/>
            <w:r>
              <w:rPr/>
            </w:r>
            <w:r>
              <w:rPr>
                <w:rFonts w:ascii="Times New Roman"/>
                <w:sz w:val="21"/>
              </w:rPr>
              <w:t>8.56</w:t>
            </w:r>
          </w:p>
        </w:tc>
        <w:tc>
          <w:tcPr>
            <w:tcW w:w="888" w:type="dxa"/>
          </w:tcPr>
          <w:p>
            <w:pPr>
              <w:pStyle w:val="TableParagraph"/>
              <w:spacing w:line="234" w:lineRule="exact" w:before="18"/>
              <w:ind w:left="122" w:right="113"/>
              <w:rPr>
                <w:rFonts w:ascii="Times New Roman"/>
                <w:sz w:val="21"/>
              </w:rPr>
            </w:pPr>
            <w:bookmarkStart w:name="8.31" w:id="491"/>
            <w:bookmarkEnd w:id="491"/>
            <w:r>
              <w:rPr/>
            </w:r>
            <w:r>
              <w:rPr>
                <w:rFonts w:ascii="Times New Roman"/>
                <w:sz w:val="21"/>
              </w:rPr>
              <w:t>8.31</w:t>
            </w:r>
          </w:p>
        </w:tc>
      </w:tr>
      <w:tr>
        <w:trPr>
          <w:trHeight w:val="272" w:hRule="atLeast"/>
        </w:trPr>
        <w:tc>
          <w:tcPr>
            <w:tcW w:w="1400" w:type="dxa"/>
          </w:tcPr>
          <w:p>
            <w:pPr>
              <w:pStyle w:val="TableParagraph"/>
              <w:spacing w:line="252" w:lineRule="exact"/>
              <w:ind w:left="106" w:right="-15"/>
              <w:jc w:val="left"/>
              <w:rPr>
                <w:sz w:val="21"/>
              </w:rPr>
            </w:pPr>
            <w:r>
              <w:rPr>
                <w:spacing w:val="-2"/>
                <w:sz w:val="21"/>
              </w:rPr>
              <w:t>氨氮</w:t>
            </w:r>
            <w:r>
              <w:rPr>
                <w:sz w:val="21"/>
              </w:rPr>
              <w:t>（</w:t>
            </w:r>
            <w:r>
              <w:rPr>
                <w:rFonts w:ascii="Times New Roman" w:eastAsia="Times New Roman"/>
                <w:sz w:val="21"/>
              </w:rPr>
              <w:t>mg/L</w:t>
            </w:r>
            <w:r>
              <w:rPr>
                <w:sz w:val="21"/>
              </w:rPr>
              <w:t>）</w:t>
            </w:r>
          </w:p>
        </w:tc>
        <w:tc>
          <w:tcPr>
            <w:tcW w:w="882" w:type="dxa"/>
          </w:tcPr>
          <w:p>
            <w:pPr>
              <w:pStyle w:val="TableParagraph"/>
              <w:spacing w:line="233" w:lineRule="exact" w:before="19"/>
              <w:ind w:left="119" w:right="109"/>
              <w:rPr>
                <w:rFonts w:ascii="Times New Roman"/>
                <w:sz w:val="21"/>
              </w:rPr>
            </w:pPr>
            <w:bookmarkStart w:name="0.179" w:id="492"/>
            <w:bookmarkEnd w:id="492"/>
            <w:r>
              <w:rPr/>
            </w:r>
            <w:r>
              <w:rPr>
                <w:rFonts w:ascii="Times New Roman"/>
                <w:sz w:val="21"/>
              </w:rPr>
              <w:t>0.179</w:t>
            </w:r>
          </w:p>
        </w:tc>
        <w:tc>
          <w:tcPr>
            <w:tcW w:w="882" w:type="dxa"/>
          </w:tcPr>
          <w:p>
            <w:pPr>
              <w:pStyle w:val="TableParagraph"/>
              <w:spacing w:line="233" w:lineRule="exact" w:before="19"/>
              <w:ind w:left="119" w:right="109"/>
              <w:rPr>
                <w:rFonts w:ascii="Times New Roman"/>
                <w:sz w:val="21"/>
              </w:rPr>
            </w:pPr>
            <w:bookmarkStart w:name="0.164" w:id="493"/>
            <w:bookmarkEnd w:id="493"/>
            <w:r>
              <w:rPr/>
            </w:r>
            <w:r>
              <w:rPr>
                <w:rFonts w:ascii="Times New Roman"/>
                <w:sz w:val="21"/>
              </w:rPr>
              <w:t>0.164</w:t>
            </w:r>
          </w:p>
        </w:tc>
        <w:tc>
          <w:tcPr>
            <w:tcW w:w="882" w:type="dxa"/>
          </w:tcPr>
          <w:p>
            <w:pPr>
              <w:pStyle w:val="TableParagraph"/>
              <w:spacing w:line="233" w:lineRule="exact" w:before="19"/>
              <w:ind w:left="119" w:right="109"/>
              <w:rPr>
                <w:rFonts w:ascii="Times New Roman"/>
                <w:sz w:val="21"/>
              </w:rPr>
            </w:pPr>
            <w:bookmarkStart w:name="0.146" w:id="494"/>
            <w:bookmarkEnd w:id="494"/>
            <w:r>
              <w:rPr/>
            </w:r>
            <w:r>
              <w:rPr>
                <w:rFonts w:ascii="Times New Roman"/>
                <w:sz w:val="21"/>
              </w:rPr>
              <w:t>0.146</w:t>
            </w:r>
          </w:p>
        </w:tc>
        <w:tc>
          <w:tcPr>
            <w:tcW w:w="882" w:type="dxa"/>
          </w:tcPr>
          <w:p>
            <w:pPr>
              <w:pStyle w:val="TableParagraph"/>
              <w:spacing w:line="233" w:lineRule="exact" w:before="19"/>
              <w:ind w:left="119" w:right="109"/>
              <w:rPr>
                <w:rFonts w:ascii="Times New Roman"/>
                <w:sz w:val="21"/>
              </w:rPr>
            </w:pPr>
            <w:bookmarkStart w:name="0.158" w:id="495"/>
            <w:bookmarkEnd w:id="495"/>
            <w:r>
              <w:rPr/>
            </w:r>
            <w:r>
              <w:rPr>
                <w:rFonts w:ascii="Times New Roman"/>
                <w:sz w:val="21"/>
              </w:rPr>
              <w:t>0.158</w:t>
            </w:r>
          </w:p>
        </w:tc>
        <w:tc>
          <w:tcPr>
            <w:tcW w:w="882" w:type="dxa"/>
          </w:tcPr>
          <w:p>
            <w:pPr>
              <w:pStyle w:val="TableParagraph"/>
              <w:spacing w:line="233" w:lineRule="exact" w:before="19"/>
              <w:ind w:left="119" w:right="109"/>
              <w:rPr>
                <w:rFonts w:ascii="Times New Roman"/>
                <w:sz w:val="21"/>
              </w:rPr>
            </w:pPr>
            <w:bookmarkStart w:name="0.164" w:id="496"/>
            <w:bookmarkEnd w:id="496"/>
            <w:r>
              <w:rPr/>
            </w:r>
            <w:r>
              <w:rPr>
                <w:rFonts w:ascii="Times New Roman"/>
                <w:sz w:val="21"/>
              </w:rPr>
              <w:t>0.164</w:t>
            </w:r>
          </w:p>
        </w:tc>
        <w:tc>
          <w:tcPr>
            <w:tcW w:w="882" w:type="dxa"/>
          </w:tcPr>
          <w:p>
            <w:pPr>
              <w:pStyle w:val="TableParagraph"/>
              <w:spacing w:line="233" w:lineRule="exact" w:before="19"/>
              <w:ind w:left="119" w:right="109"/>
              <w:rPr>
                <w:rFonts w:ascii="Times New Roman"/>
                <w:sz w:val="21"/>
              </w:rPr>
            </w:pPr>
            <w:bookmarkStart w:name="0.146" w:id="497"/>
            <w:bookmarkEnd w:id="497"/>
            <w:r>
              <w:rPr/>
            </w:r>
            <w:r>
              <w:rPr>
                <w:rFonts w:ascii="Times New Roman"/>
                <w:sz w:val="21"/>
              </w:rPr>
              <w:t>0.146</w:t>
            </w:r>
          </w:p>
        </w:tc>
        <w:tc>
          <w:tcPr>
            <w:tcW w:w="882" w:type="dxa"/>
          </w:tcPr>
          <w:p>
            <w:pPr>
              <w:pStyle w:val="TableParagraph"/>
              <w:spacing w:line="233" w:lineRule="exact" w:before="19"/>
              <w:ind w:left="119" w:right="109"/>
              <w:rPr>
                <w:rFonts w:ascii="Times New Roman"/>
                <w:sz w:val="21"/>
              </w:rPr>
            </w:pPr>
            <w:bookmarkStart w:name="0.176" w:id="498"/>
            <w:bookmarkEnd w:id="498"/>
            <w:r>
              <w:rPr/>
            </w:r>
            <w:r>
              <w:rPr>
                <w:rFonts w:ascii="Times New Roman"/>
                <w:sz w:val="21"/>
              </w:rPr>
              <w:t>0.176</w:t>
            </w:r>
          </w:p>
        </w:tc>
        <w:tc>
          <w:tcPr>
            <w:tcW w:w="882" w:type="dxa"/>
          </w:tcPr>
          <w:p>
            <w:pPr>
              <w:pStyle w:val="TableParagraph"/>
              <w:spacing w:line="233" w:lineRule="exact" w:before="19"/>
              <w:ind w:left="119" w:right="109"/>
              <w:rPr>
                <w:rFonts w:ascii="Times New Roman"/>
                <w:sz w:val="21"/>
              </w:rPr>
            </w:pPr>
            <w:bookmarkStart w:name="0.185" w:id="499"/>
            <w:bookmarkEnd w:id="499"/>
            <w:r>
              <w:rPr/>
            </w:r>
            <w:r>
              <w:rPr>
                <w:rFonts w:ascii="Times New Roman"/>
                <w:sz w:val="21"/>
              </w:rPr>
              <w:t>0.185</w:t>
            </w:r>
          </w:p>
        </w:tc>
        <w:tc>
          <w:tcPr>
            <w:tcW w:w="888" w:type="dxa"/>
          </w:tcPr>
          <w:p>
            <w:pPr>
              <w:pStyle w:val="TableParagraph"/>
              <w:spacing w:line="233" w:lineRule="exact" w:before="19"/>
              <w:ind w:left="122" w:right="113"/>
              <w:rPr>
                <w:rFonts w:ascii="Times New Roman"/>
                <w:sz w:val="21"/>
              </w:rPr>
            </w:pPr>
            <w:bookmarkStart w:name="0.194" w:id="500"/>
            <w:bookmarkEnd w:id="500"/>
            <w:r>
              <w:rPr/>
            </w:r>
            <w:r>
              <w:rPr>
                <w:rFonts w:ascii="Times New Roman"/>
                <w:sz w:val="21"/>
              </w:rPr>
              <w:t>0.194</w:t>
            </w:r>
          </w:p>
        </w:tc>
      </w:tr>
    </w:tbl>
    <w:p>
      <w:pPr>
        <w:pStyle w:val="BodyText"/>
        <w:spacing w:line="362" w:lineRule="auto" w:before="7"/>
        <w:ind w:left="375" w:right="757" w:firstLine="480"/>
        <w:jc w:val="both"/>
      </w:pPr>
      <w:r>
        <w:rPr>
          <w:spacing w:val="-6"/>
        </w:rPr>
        <w:t>根据《环境影响评价技术导则 地表水环境》</w:t>
      </w:r>
      <w:r>
        <w:rPr>
          <w:spacing w:val="-3"/>
        </w:rPr>
        <w:t>（</w:t>
      </w:r>
      <w:r>
        <w:rPr>
          <w:rFonts w:ascii="Times New Roman" w:eastAsia="Times New Roman"/>
          <w:spacing w:val="-3"/>
        </w:rPr>
        <w:t>HJ2.3-2018</w:t>
      </w:r>
      <w:r>
        <w:rPr>
          <w:spacing w:val="-3"/>
        </w:rPr>
        <w:t>）</w:t>
      </w:r>
      <w:r>
        <w:rPr>
          <w:spacing w:val="-9"/>
        </w:rPr>
        <w:t>，评价等级为三级 </w:t>
      </w:r>
      <w:r>
        <w:rPr>
          <w:rFonts w:ascii="Times New Roman" w:eastAsia="Times New Roman"/>
        </w:rPr>
        <w:t>B </w:t>
      </w:r>
      <w:r>
        <w:rPr>
          <w:spacing w:val="-13"/>
        </w:rPr>
        <w:t>的</w:t>
      </w:r>
      <w:r>
        <w:rPr/>
        <w:t>项目对地表水环境的影响仅需进行简要分析。</w:t>
      </w:r>
    </w:p>
    <w:p>
      <w:pPr>
        <w:pStyle w:val="Heading2"/>
        <w:numPr>
          <w:ilvl w:val="1"/>
          <w:numId w:val="56"/>
        </w:numPr>
        <w:tabs>
          <w:tab w:pos="902" w:val="left" w:leader="none"/>
        </w:tabs>
        <w:spacing w:line="240" w:lineRule="auto" w:before="5" w:after="0"/>
        <w:ind w:left="901" w:right="0" w:hanging="527"/>
        <w:jc w:val="left"/>
      </w:pPr>
      <w:bookmarkStart w:name="7.1 建设期地表水环境影响分析与防治措施" w:id="501"/>
      <w:bookmarkEnd w:id="501"/>
      <w:r>
        <w:rPr>
          <w:b w:val="0"/>
        </w:rPr>
      </w:r>
      <w:bookmarkStart w:name="_bookmark36" w:id="502"/>
      <w:bookmarkEnd w:id="502"/>
      <w:r>
        <w:rPr>
          <w:b w:val="0"/>
        </w:rPr>
      </w:r>
      <w:bookmarkStart w:name="_bookmark36" w:id="503"/>
      <w:bookmarkEnd w:id="503"/>
      <w:r>
        <w:rPr/>
        <w:t>建设期地表水环境影响分析与防治措施</w:t>
      </w:r>
    </w:p>
    <w:p>
      <w:pPr>
        <w:pStyle w:val="BodyText"/>
        <w:spacing w:line="360" w:lineRule="auto" w:before="198"/>
        <w:ind w:left="375" w:right="667" w:firstLine="480"/>
        <w:jc w:val="both"/>
      </w:pPr>
      <w:r>
        <w:rPr>
          <w:spacing w:val="-3"/>
        </w:rPr>
        <w:t>由于矿井的建设周期较长，施工人数较多，必然要排放一定量的生活污水，生活污</w:t>
      </w:r>
      <w:r>
        <w:rPr>
          <w:spacing w:val="-10"/>
          <w:position w:val="2"/>
        </w:rPr>
        <w:t>水中主要污染物是 </w:t>
      </w:r>
      <w:r>
        <w:rPr>
          <w:rFonts w:ascii="Times New Roman" w:eastAsia="Times New Roman"/>
          <w:position w:val="2"/>
        </w:rPr>
        <w:t>COD</w:t>
      </w:r>
      <w:r>
        <w:rPr>
          <w:spacing w:val="-46"/>
          <w:position w:val="2"/>
        </w:rPr>
        <w:t>、</w:t>
      </w:r>
      <w:r>
        <w:rPr>
          <w:rFonts w:ascii="Times New Roman" w:eastAsia="Times New Roman"/>
          <w:position w:val="2"/>
        </w:rPr>
        <w:t>BOD</w:t>
      </w:r>
      <w:r>
        <w:rPr>
          <w:rFonts w:ascii="Times New Roman" w:eastAsia="Times New Roman"/>
          <w:position w:val="2"/>
          <w:vertAlign w:val="subscript"/>
        </w:rPr>
        <w:t>5</w:t>
      </w:r>
      <w:r>
        <w:rPr>
          <w:spacing w:val="-46"/>
          <w:position w:val="2"/>
          <w:vertAlign w:val="baseline"/>
        </w:rPr>
        <w:t>、</w:t>
      </w:r>
      <w:r>
        <w:rPr>
          <w:rFonts w:ascii="Times New Roman" w:eastAsia="Times New Roman"/>
          <w:position w:val="2"/>
          <w:vertAlign w:val="baseline"/>
        </w:rPr>
        <w:t>SS </w:t>
      </w:r>
      <w:r>
        <w:rPr>
          <w:spacing w:val="-11"/>
          <w:position w:val="2"/>
          <w:vertAlign w:val="baseline"/>
        </w:rPr>
        <w:t>和氨氮，要求使用防渗旱厕处理后堆肥，不得外排。</w:t>
      </w:r>
    </w:p>
    <w:p>
      <w:pPr>
        <w:pStyle w:val="BodyText"/>
        <w:spacing w:line="364" w:lineRule="auto" w:before="7"/>
        <w:ind w:left="375" w:right="787" w:firstLine="480"/>
        <w:jc w:val="both"/>
      </w:pPr>
      <w:r>
        <w:rPr>
          <w:spacing w:val="-2"/>
        </w:rPr>
        <w:t>矿井井下施工过程中也将产生一定量的矿井水。矿井井下施工主要是掘进巷道及其</w:t>
      </w:r>
      <w:r>
        <w:rPr>
          <w:spacing w:val="-5"/>
        </w:rPr>
        <w:t>支护，一般不会形成破碎带和裂隙带，建井前期井筒建设期间矿井涌水主要是井壁淋水</w:t>
      </w:r>
      <w:r>
        <w:rPr/>
        <w:t>和井下施工用水，水量较小，只有到了后期出煤阶段才会产生较多井下涌水。</w:t>
      </w:r>
    </w:p>
    <w:p>
      <w:pPr>
        <w:pStyle w:val="BodyText"/>
        <w:spacing w:line="364" w:lineRule="auto"/>
        <w:ind w:left="375" w:right="787" w:firstLine="480"/>
        <w:jc w:val="both"/>
      </w:pPr>
      <w:r>
        <w:rPr>
          <w:spacing w:val="-3"/>
        </w:rPr>
        <w:t>建设期间由于矿区的污水处理系统尚未健全，难以集中处理并排放，这些污水如果不做处理直接排入地面水系安邦河，对安邦河水质会有一定的影响。所以建议对矿井工</w:t>
      </w:r>
      <w:r>
        <w:rPr>
          <w:spacing w:val="3"/>
        </w:rPr>
        <w:t>业场地施工过程中产生的污废水要按地方施工现场的环境保护要求进行集中管理和处</w:t>
      </w:r>
      <w:r>
        <w:rPr>
          <w:spacing w:val="-5"/>
        </w:rPr>
        <w:t>理，避免任意排放。对生活污水应设旱厕进行处理。对于矿井井下施工用水应设沉淀设</w:t>
      </w:r>
      <w:r>
        <w:rPr/>
        <w:t>施集中统一处理，达标后施工回用不外排，对地面水水质不会有明显影响。</w:t>
      </w:r>
    </w:p>
    <w:p>
      <w:pPr>
        <w:pStyle w:val="Heading2"/>
        <w:numPr>
          <w:ilvl w:val="1"/>
          <w:numId w:val="56"/>
        </w:numPr>
        <w:tabs>
          <w:tab w:pos="902" w:val="left" w:leader="none"/>
        </w:tabs>
        <w:spacing w:line="383" w:lineRule="exact" w:before="0" w:after="0"/>
        <w:ind w:left="901" w:right="0" w:hanging="527"/>
        <w:jc w:val="left"/>
      </w:pPr>
      <w:bookmarkStart w:name="7.2 水资源利用及水染防治措施可行性分析" w:id="504"/>
      <w:bookmarkEnd w:id="504"/>
      <w:r>
        <w:rPr>
          <w:b w:val="0"/>
        </w:rPr>
      </w:r>
      <w:bookmarkStart w:name="_bookmark37" w:id="505"/>
      <w:bookmarkEnd w:id="505"/>
      <w:r>
        <w:rPr>
          <w:b w:val="0"/>
        </w:rPr>
      </w:r>
      <w:bookmarkStart w:name="_bookmark37" w:id="506"/>
      <w:bookmarkEnd w:id="506"/>
      <w:r>
        <w:rPr/>
        <w:t>水资源利用及水染防治措施可行性分析</w:t>
      </w:r>
    </w:p>
    <w:p>
      <w:pPr>
        <w:pStyle w:val="BodyText"/>
        <w:spacing w:line="362" w:lineRule="auto" w:before="198"/>
        <w:ind w:left="375" w:right="787" w:firstLine="480"/>
        <w:jc w:val="both"/>
      </w:pPr>
      <w:r>
        <w:rPr>
          <w:spacing w:val="-5"/>
        </w:rPr>
        <w:t>根据《环境影响评价技术导则 地表水环境》</w:t>
      </w:r>
      <w:r>
        <w:rPr>
          <w:spacing w:val="-3"/>
        </w:rPr>
        <w:t>（</w:t>
      </w:r>
      <w:r>
        <w:rPr>
          <w:rFonts w:ascii="Times New Roman" w:eastAsia="Times New Roman"/>
          <w:spacing w:val="-3"/>
        </w:rPr>
        <w:t>HJ2.3-2018</w:t>
      </w:r>
      <w:r>
        <w:rPr>
          <w:spacing w:val="-3"/>
        </w:rPr>
        <w:t>），</w:t>
      </w:r>
      <w:r>
        <w:rPr>
          <w:spacing w:val="-2"/>
        </w:rPr>
        <w:t>地表水环境影响评价</w:t>
      </w:r>
      <w:r>
        <w:rPr>
          <w:spacing w:val="-12"/>
        </w:rPr>
        <w:t>等级三级 </w:t>
      </w:r>
      <w:r>
        <w:rPr>
          <w:rFonts w:ascii="Times New Roman" w:eastAsia="Times New Roman"/>
        </w:rPr>
        <w:t>B </w:t>
      </w:r>
      <w:r>
        <w:rPr>
          <w:spacing w:val="-6"/>
        </w:rPr>
        <w:t>的主要评价内容为：水污染控制和水环境影响减缓措施有效性评价，不进行</w:t>
      </w:r>
      <w:r>
        <w:rPr/>
        <w:t>水环境影响预测。</w:t>
      </w:r>
    </w:p>
    <w:p>
      <w:pPr>
        <w:pStyle w:val="Heading3"/>
        <w:numPr>
          <w:ilvl w:val="2"/>
          <w:numId w:val="56"/>
        </w:numPr>
        <w:tabs>
          <w:tab w:pos="1077" w:val="left" w:leader="none"/>
        </w:tabs>
        <w:spacing w:line="240" w:lineRule="auto" w:before="7" w:after="0"/>
        <w:ind w:left="1076" w:right="0" w:hanging="702"/>
        <w:jc w:val="left"/>
      </w:pPr>
      <w:bookmarkStart w:name="7.2.1 生活污水处理和利用方案" w:id="507"/>
      <w:bookmarkEnd w:id="507"/>
      <w:r>
        <w:rPr>
          <w:b w:val="0"/>
        </w:rPr>
      </w:r>
      <w:bookmarkStart w:name="7.2.1 生活污水处理和利用方案" w:id="508"/>
      <w:bookmarkEnd w:id="508"/>
      <w:r>
        <w:rPr/>
        <w:t>生活污水处理和利用方案</w:t>
      </w:r>
    </w:p>
    <w:p>
      <w:pPr>
        <w:pStyle w:val="BodyText"/>
        <w:spacing w:before="186"/>
        <w:ind w:left="856"/>
      </w:pPr>
      <w:r>
        <w:rPr/>
        <w:t>矿井生活污水处理站处理能力为 </w:t>
      </w:r>
      <w:r>
        <w:rPr>
          <w:rFonts w:ascii="Times New Roman" w:eastAsia="Times New Roman"/>
        </w:rPr>
        <w:t>120m</w:t>
      </w:r>
      <w:r>
        <w:rPr>
          <w:rFonts w:ascii="Times New Roman" w:eastAsia="Times New Roman"/>
          <w:position w:val="8"/>
          <w:sz w:val="15"/>
        </w:rPr>
        <w:t>3</w:t>
      </w:r>
      <w:r>
        <w:rPr>
          <w:rFonts w:ascii="Times New Roman" w:eastAsia="Times New Roman"/>
        </w:rPr>
        <w:t>/d</w:t>
      </w:r>
      <w:r>
        <w:rPr/>
        <w:t>，处理工艺采用：二级生物法</w:t>
      </w:r>
      <w:r>
        <w:rPr>
          <w:rFonts w:ascii="Times New Roman" w:eastAsia="Times New Roman"/>
        </w:rPr>
        <w:t>+</w:t>
      </w:r>
      <w:r>
        <w:rPr/>
        <w:t>超滤。</w:t>
      </w:r>
    </w:p>
    <w:p>
      <w:pPr>
        <w:pStyle w:val="BodyText"/>
        <w:spacing w:line="362" w:lineRule="auto" w:before="160"/>
        <w:ind w:left="375" w:right="760" w:firstLine="480"/>
      </w:pPr>
      <w:r>
        <w:rPr/>
        <w:t>二级生物处理方法，即通过微生物的代谢作用进行物质转化的过程，将污水中的各种复杂的有机物氧化降解为简单的物质。超滤是一种加压膜分离技术，即在一定的压力</w:t>
      </w:r>
    </w:p>
    <w:p>
      <w:pPr>
        <w:spacing w:after="0" w:line="362" w:lineRule="auto"/>
        <w:sectPr>
          <w:footerReference w:type="default" r:id="rId54"/>
          <w:pgSz w:w="11910" w:h="16840"/>
          <w:pgMar w:footer="1169" w:header="0" w:top="1580" w:bottom="1360" w:left="1040" w:right="600"/>
          <w:pgNumType w:start="120"/>
        </w:sectPr>
      </w:pPr>
    </w:p>
    <w:p>
      <w:pPr>
        <w:pStyle w:val="BodyText"/>
        <w:spacing w:line="364" w:lineRule="auto" w:before="46"/>
        <w:ind w:left="375" w:right="758"/>
        <w:jc w:val="both"/>
      </w:pPr>
      <w:r>
        <w:rPr>
          <w:spacing w:val="-1"/>
        </w:rPr>
        <w:t>下，使小分子溶质和溶剂穿过一定孔径的特制的薄膜，而使大分子溶质不能透过，留在膜的一边，从而使大分子物质得到了部分的纯化。超滤原理也是一种膜分离过程原理， </w:t>
      </w:r>
      <w:r>
        <w:rPr/>
        <w:t>超滤利用一种压力活性膜，在外界推动力</w:t>
      </w:r>
      <w:r>
        <w:rPr>
          <w:rFonts w:ascii="Times New Roman" w:hAnsi="Times New Roman" w:eastAsia="Times New Roman"/>
        </w:rPr>
        <w:t>(</w:t>
      </w:r>
      <w:r>
        <w:rPr/>
        <w:t>压力</w:t>
      </w:r>
      <w:r>
        <w:rPr>
          <w:rFonts w:ascii="Times New Roman" w:hAnsi="Times New Roman" w:eastAsia="Times New Roman"/>
        </w:rPr>
        <w:t>)</w:t>
      </w:r>
      <w:r>
        <w:rPr/>
        <w:t>作用下截留水中胶体、颗粒和分子量相</w:t>
      </w:r>
      <w:r>
        <w:rPr>
          <w:spacing w:val="-1"/>
        </w:rPr>
        <w:t>对较高的物质，而水和小的溶质颗粒透过膜的分离过程。通过膜表面的微孔筛选可截留</w:t>
      </w:r>
      <w:r>
        <w:rPr>
          <w:spacing w:val="-12"/>
        </w:rPr>
        <w:t>分子量为 </w:t>
      </w:r>
      <w:r>
        <w:rPr>
          <w:rFonts w:ascii="Times New Roman" w:hAnsi="Times New Roman" w:eastAsia="Times New Roman"/>
        </w:rPr>
        <w:t>3</w:t>
      </w:r>
      <w:r>
        <w:rPr/>
        <w:t>×</w:t>
      </w:r>
      <w:r>
        <w:rPr>
          <w:rFonts w:ascii="Times New Roman" w:hAnsi="Times New Roman" w:eastAsia="Times New Roman"/>
        </w:rPr>
        <w:t>10000—1</w:t>
      </w:r>
      <w:r>
        <w:rPr/>
        <w:t>×</w:t>
      </w:r>
      <w:r>
        <w:rPr>
          <w:rFonts w:ascii="Times New Roman" w:hAnsi="Times New Roman" w:eastAsia="Times New Roman"/>
        </w:rPr>
        <w:t>10000 </w:t>
      </w:r>
      <w:r>
        <w:rPr>
          <w:spacing w:val="-13"/>
        </w:rPr>
        <w:t>的物质。当被处理水借助于外界压力的作用以一定的流速</w:t>
      </w:r>
    </w:p>
    <w:p>
      <w:pPr>
        <w:pStyle w:val="BodyText"/>
        <w:spacing w:line="364" w:lineRule="auto"/>
        <w:ind w:left="375" w:right="758"/>
        <w:jc w:val="both"/>
      </w:pPr>
      <w:r>
        <w:rPr>
          <w:spacing w:val="-10"/>
        </w:rPr>
        <w:t>通过膜表面时，水分子和分子量小于 </w:t>
      </w:r>
      <w:r>
        <w:rPr>
          <w:rFonts w:ascii="Times New Roman" w:hAnsi="Times New Roman" w:eastAsia="Times New Roman"/>
        </w:rPr>
        <w:t>300—500 </w:t>
      </w:r>
      <w:r>
        <w:rPr>
          <w:spacing w:val="-10"/>
        </w:rPr>
        <w:t>的溶质透过膜，而大于膜孔的微粒、大分</w:t>
      </w:r>
      <w:r>
        <w:rPr>
          <w:spacing w:val="-1"/>
        </w:rPr>
        <w:t>子等由于筛分作用被截留，从而使水得到净化。也就是说，当水通过超滤膜后，可将水</w:t>
      </w:r>
      <w:r>
        <w:rPr/>
        <w:t>中含有的大部分胶体硅除去，同时可去除大量的有机物等。</w:t>
      </w:r>
    </w:p>
    <w:p>
      <w:pPr>
        <w:spacing w:line="267" w:lineRule="exact" w:before="0"/>
        <w:ind w:left="3508" w:right="0" w:firstLine="0"/>
        <w:jc w:val="both"/>
        <w:rPr>
          <w:b/>
          <w:sz w:val="21"/>
        </w:rPr>
      </w:pPr>
      <w:r>
        <w:rPr>
          <w:b/>
          <w:sz w:val="21"/>
        </w:rPr>
        <w:t>表 </w:t>
      </w:r>
      <w:r>
        <w:rPr>
          <w:rFonts w:ascii="Times New Roman" w:eastAsia="Times New Roman"/>
          <w:b/>
          <w:sz w:val="21"/>
        </w:rPr>
        <w:t>7-2-1 </w:t>
      </w:r>
      <w:r>
        <w:rPr>
          <w:b/>
          <w:sz w:val="21"/>
        </w:rPr>
        <w:t>生活污水处理效果预测</w:t>
      </w:r>
    </w:p>
    <w:tbl>
      <w:tblPr>
        <w:tblW w:w="0" w:type="auto"/>
        <w:jc w:val="left"/>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8"/>
        <w:gridCol w:w="1024"/>
        <w:gridCol w:w="2234"/>
        <w:gridCol w:w="2268"/>
        <w:gridCol w:w="2392"/>
      </w:tblGrid>
      <w:tr>
        <w:trPr>
          <w:trHeight w:val="545" w:hRule="atLeast"/>
        </w:trPr>
        <w:tc>
          <w:tcPr>
            <w:tcW w:w="1278" w:type="dxa"/>
          </w:tcPr>
          <w:p>
            <w:pPr>
              <w:pStyle w:val="TableParagraph"/>
              <w:spacing w:before="2"/>
              <w:ind w:left="107"/>
              <w:jc w:val="left"/>
              <w:rPr>
                <w:sz w:val="21"/>
              </w:rPr>
            </w:pPr>
            <w:r>
              <w:rPr>
                <w:w w:val="95"/>
                <w:sz w:val="21"/>
              </w:rPr>
              <w:t>处理规模</w:t>
            </w:r>
          </w:p>
          <w:p>
            <w:pPr>
              <w:pStyle w:val="TableParagraph"/>
              <w:spacing w:line="252" w:lineRule="exact" w:before="2"/>
              <w:ind w:left="107"/>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24" w:type="dxa"/>
          </w:tcPr>
          <w:p>
            <w:pPr>
              <w:pStyle w:val="TableParagraph"/>
              <w:spacing w:before="136"/>
              <w:ind w:left="108"/>
              <w:jc w:val="left"/>
              <w:rPr>
                <w:sz w:val="21"/>
              </w:rPr>
            </w:pPr>
            <w:r>
              <w:rPr>
                <w:sz w:val="21"/>
              </w:rPr>
              <w:t>指标</w:t>
            </w:r>
          </w:p>
        </w:tc>
        <w:tc>
          <w:tcPr>
            <w:tcW w:w="2234" w:type="dxa"/>
          </w:tcPr>
          <w:p>
            <w:pPr>
              <w:pStyle w:val="TableParagraph"/>
              <w:spacing w:before="136"/>
              <w:ind w:left="106" w:right="-15"/>
              <w:jc w:val="left"/>
              <w:rPr>
                <w:sz w:val="21"/>
              </w:rPr>
            </w:pPr>
            <w:r>
              <w:rPr>
                <w:spacing w:val="-2"/>
                <w:w w:val="95"/>
                <w:sz w:val="21"/>
              </w:rPr>
              <w:t>设计进水浓度</w:t>
            </w:r>
            <w:r>
              <w:rPr>
                <w:w w:val="95"/>
                <w:sz w:val="21"/>
              </w:rPr>
              <w:t>（</w:t>
            </w:r>
            <w:r>
              <w:rPr>
                <w:rFonts w:ascii="Times New Roman" w:eastAsia="Times New Roman"/>
                <w:w w:val="95"/>
                <w:sz w:val="21"/>
              </w:rPr>
              <w:t>mg/L</w:t>
            </w:r>
            <w:r>
              <w:rPr>
                <w:w w:val="95"/>
                <w:sz w:val="21"/>
              </w:rPr>
              <w:t>）</w:t>
            </w:r>
          </w:p>
        </w:tc>
        <w:tc>
          <w:tcPr>
            <w:tcW w:w="2268" w:type="dxa"/>
          </w:tcPr>
          <w:p>
            <w:pPr>
              <w:pStyle w:val="TableParagraph"/>
              <w:spacing w:before="136"/>
              <w:ind w:left="107"/>
              <w:jc w:val="left"/>
              <w:rPr>
                <w:sz w:val="21"/>
              </w:rPr>
            </w:pPr>
            <w:r>
              <w:rPr>
                <w:sz w:val="21"/>
              </w:rPr>
              <w:t>去除率（</w:t>
            </w:r>
            <w:r>
              <w:rPr>
                <w:rFonts w:ascii="Times New Roman" w:eastAsia="Times New Roman"/>
                <w:sz w:val="21"/>
              </w:rPr>
              <w:t>%</w:t>
            </w:r>
            <w:r>
              <w:rPr>
                <w:sz w:val="21"/>
              </w:rPr>
              <w:t>）</w:t>
            </w:r>
          </w:p>
        </w:tc>
        <w:tc>
          <w:tcPr>
            <w:tcW w:w="2392" w:type="dxa"/>
          </w:tcPr>
          <w:p>
            <w:pPr>
              <w:pStyle w:val="TableParagraph"/>
              <w:spacing w:before="136"/>
              <w:ind w:left="107"/>
              <w:jc w:val="left"/>
              <w:rPr>
                <w:sz w:val="21"/>
              </w:rPr>
            </w:pPr>
            <w:r>
              <w:rPr>
                <w:sz w:val="21"/>
              </w:rPr>
              <w:t>设计出水浓度（</w:t>
            </w:r>
            <w:r>
              <w:rPr>
                <w:rFonts w:ascii="Times New Roman" w:eastAsia="Times New Roman"/>
                <w:sz w:val="21"/>
              </w:rPr>
              <w:t>mg/L</w:t>
            </w:r>
            <w:r>
              <w:rPr>
                <w:sz w:val="21"/>
              </w:rPr>
              <w:t>）</w:t>
            </w:r>
          </w:p>
        </w:tc>
      </w:tr>
      <w:tr>
        <w:trPr>
          <w:trHeight w:val="272" w:hRule="atLeast"/>
        </w:trPr>
        <w:tc>
          <w:tcPr>
            <w:tcW w:w="1278" w:type="dxa"/>
            <w:vMerge w:val="restart"/>
          </w:tcPr>
          <w:p>
            <w:pPr>
              <w:pStyle w:val="TableParagraph"/>
              <w:jc w:val="left"/>
              <w:rPr>
                <w:b/>
                <w:sz w:val="22"/>
              </w:rPr>
            </w:pPr>
          </w:p>
          <w:p>
            <w:pPr>
              <w:pStyle w:val="TableParagraph"/>
              <w:spacing w:before="155"/>
              <w:ind w:left="107"/>
              <w:jc w:val="left"/>
              <w:rPr>
                <w:rFonts w:ascii="Times New Roman"/>
                <w:sz w:val="21"/>
              </w:rPr>
            </w:pPr>
            <w:r>
              <w:rPr>
                <w:rFonts w:ascii="Times New Roman"/>
                <w:sz w:val="21"/>
              </w:rPr>
              <w:t>120</w:t>
            </w:r>
          </w:p>
        </w:tc>
        <w:tc>
          <w:tcPr>
            <w:tcW w:w="1024" w:type="dxa"/>
          </w:tcPr>
          <w:p>
            <w:pPr>
              <w:pStyle w:val="TableParagraph"/>
              <w:spacing w:line="237" w:lineRule="exact" w:before="15"/>
              <w:ind w:left="108"/>
              <w:jc w:val="left"/>
              <w:rPr>
                <w:rFonts w:ascii="Times New Roman"/>
                <w:sz w:val="21"/>
              </w:rPr>
            </w:pPr>
            <w:r>
              <w:rPr>
                <w:rFonts w:ascii="Times New Roman"/>
                <w:sz w:val="21"/>
              </w:rPr>
              <w:t>COD</w:t>
            </w:r>
          </w:p>
        </w:tc>
        <w:tc>
          <w:tcPr>
            <w:tcW w:w="2234" w:type="dxa"/>
          </w:tcPr>
          <w:p>
            <w:pPr>
              <w:pStyle w:val="TableParagraph"/>
              <w:spacing w:line="237" w:lineRule="exact" w:before="15"/>
              <w:ind w:left="106"/>
              <w:jc w:val="left"/>
              <w:rPr>
                <w:rFonts w:ascii="Times New Roman"/>
                <w:sz w:val="21"/>
              </w:rPr>
            </w:pPr>
            <w:r>
              <w:rPr>
                <w:rFonts w:ascii="Times New Roman"/>
                <w:sz w:val="21"/>
              </w:rPr>
              <w:t>300</w:t>
            </w:r>
          </w:p>
        </w:tc>
        <w:tc>
          <w:tcPr>
            <w:tcW w:w="2268" w:type="dxa"/>
          </w:tcPr>
          <w:p>
            <w:pPr>
              <w:pStyle w:val="TableParagraph"/>
              <w:spacing w:line="237" w:lineRule="exact" w:before="15"/>
              <w:ind w:left="107"/>
              <w:jc w:val="left"/>
              <w:rPr>
                <w:rFonts w:ascii="Times New Roman"/>
                <w:sz w:val="21"/>
              </w:rPr>
            </w:pPr>
            <w:r>
              <w:rPr>
                <w:rFonts w:ascii="Times New Roman"/>
                <w:sz w:val="21"/>
              </w:rPr>
              <w:t>90</w:t>
            </w:r>
          </w:p>
        </w:tc>
        <w:tc>
          <w:tcPr>
            <w:tcW w:w="2392" w:type="dxa"/>
          </w:tcPr>
          <w:p>
            <w:pPr>
              <w:pStyle w:val="TableParagraph"/>
              <w:spacing w:line="251" w:lineRule="exact" w:before="1"/>
              <w:ind w:left="107"/>
              <w:jc w:val="left"/>
              <w:rPr>
                <w:rFonts w:ascii="Times New Roman" w:hAnsi="Times New Roman"/>
                <w:sz w:val="21"/>
              </w:rPr>
            </w:pPr>
            <w:r>
              <w:rPr>
                <w:sz w:val="21"/>
              </w:rPr>
              <w:t>≤</w:t>
            </w:r>
            <w:r>
              <w:rPr>
                <w:rFonts w:ascii="Times New Roman" w:hAnsi="Times New Roman"/>
                <w:sz w:val="21"/>
              </w:rPr>
              <w:t>30</w:t>
            </w:r>
          </w:p>
        </w:tc>
      </w:tr>
      <w:tr>
        <w:trPr>
          <w:trHeight w:val="272" w:hRule="atLeast"/>
        </w:trPr>
        <w:tc>
          <w:tcPr>
            <w:tcW w:w="1278" w:type="dxa"/>
            <w:vMerge/>
            <w:tcBorders>
              <w:top w:val="nil"/>
            </w:tcBorders>
          </w:tcPr>
          <w:p>
            <w:pPr>
              <w:rPr>
                <w:sz w:val="2"/>
                <w:szCs w:val="2"/>
              </w:rPr>
            </w:pPr>
          </w:p>
        </w:tc>
        <w:tc>
          <w:tcPr>
            <w:tcW w:w="1024" w:type="dxa"/>
          </w:tcPr>
          <w:p>
            <w:pPr>
              <w:pStyle w:val="TableParagraph"/>
              <w:spacing w:line="240" w:lineRule="exact" w:before="13"/>
              <w:ind w:left="108"/>
              <w:jc w:val="left"/>
              <w:rPr>
                <w:rFonts w:ascii="Times New Roman"/>
                <w:sz w:val="21"/>
              </w:rPr>
            </w:pPr>
            <w:r>
              <w:rPr>
                <w:rFonts w:ascii="Times New Roman"/>
                <w:position w:val="2"/>
                <w:sz w:val="21"/>
              </w:rPr>
              <w:t>BOD</w:t>
            </w:r>
            <w:r>
              <w:rPr>
                <w:rFonts w:ascii="Times New Roman"/>
                <w:position w:val="2"/>
                <w:sz w:val="21"/>
                <w:vertAlign w:val="subscript"/>
              </w:rPr>
              <w:t>5</w:t>
            </w:r>
          </w:p>
        </w:tc>
        <w:tc>
          <w:tcPr>
            <w:tcW w:w="2234" w:type="dxa"/>
          </w:tcPr>
          <w:p>
            <w:pPr>
              <w:pStyle w:val="TableParagraph"/>
              <w:spacing w:line="239" w:lineRule="exact" w:before="14"/>
              <w:ind w:left="106"/>
              <w:jc w:val="left"/>
              <w:rPr>
                <w:rFonts w:ascii="Times New Roman"/>
                <w:sz w:val="21"/>
              </w:rPr>
            </w:pPr>
            <w:r>
              <w:rPr>
                <w:rFonts w:ascii="Times New Roman"/>
                <w:sz w:val="21"/>
              </w:rPr>
              <w:t>200</w:t>
            </w:r>
          </w:p>
        </w:tc>
        <w:tc>
          <w:tcPr>
            <w:tcW w:w="2268" w:type="dxa"/>
          </w:tcPr>
          <w:p>
            <w:pPr>
              <w:pStyle w:val="TableParagraph"/>
              <w:spacing w:line="239" w:lineRule="exact" w:before="14"/>
              <w:ind w:left="107"/>
              <w:jc w:val="left"/>
              <w:rPr>
                <w:rFonts w:ascii="Times New Roman"/>
                <w:sz w:val="21"/>
              </w:rPr>
            </w:pPr>
            <w:r>
              <w:rPr>
                <w:rFonts w:ascii="Times New Roman"/>
                <w:sz w:val="21"/>
              </w:rPr>
              <w:t>95</w:t>
            </w:r>
          </w:p>
        </w:tc>
        <w:tc>
          <w:tcPr>
            <w:tcW w:w="2392" w:type="dxa"/>
          </w:tcPr>
          <w:p>
            <w:pPr>
              <w:pStyle w:val="TableParagraph"/>
              <w:spacing w:line="253" w:lineRule="exact"/>
              <w:ind w:left="107"/>
              <w:jc w:val="left"/>
              <w:rPr>
                <w:rFonts w:ascii="Times New Roman" w:hAnsi="Times New Roman"/>
                <w:sz w:val="21"/>
              </w:rPr>
            </w:pPr>
            <w:r>
              <w:rPr>
                <w:sz w:val="21"/>
              </w:rPr>
              <w:t>≤</w:t>
            </w:r>
            <w:r>
              <w:rPr>
                <w:rFonts w:ascii="Times New Roman" w:hAnsi="Times New Roman"/>
                <w:sz w:val="21"/>
              </w:rPr>
              <w:t>10</w:t>
            </w:r>
          </w:p>
        </w:tc>
      </w:tr>
      <w:tr>
        <w:trPr>
          <w:trHeight w:val="272" w:hRule="atLeast"/>
        </w:trPr>
        <w:tc>
          <w:tcPr>
            <w:tcW w:w="1278" w:type="dxa"/>
            <w:vMerge/>
            <w:tcBorders>
              <w:top w:val="nil"/>
            </w:tcBorders>
          </w:tcPr>
          <w:p>
            <w:pPr>
              <w:rPr>
                <w:sz w:val="2"/>
                <w:szCs w:val="2"/>
              </w:rPr>
            </w:pPr>
          </w:p>
        </w:tc>
        <w:tc>
          <w:tcPr>
            <w:tcW w:w="1024" w:type="dxa"/>
          </w:tcPr>
          <w:p>
            <w:pPr>
              <w:pStyle w:val="TableParagraph"/>
              <w:spacing w:line="238" w:lineRule="exact" w:before="14"/>
              <w:ind w:left="108"/>
              <w:jc w:val="left"/>
              <w:rPr>
                <w:rFonts w:ascii="Times New Roman"/>
                <w:sz w:val="21"/>
              </w:rPr>
            </w:pPr>
            <w:r>
              <w:rPr>
                <w:rFonts w:ascii="Times New Roman"/>
                <w:sz w:val="21"/>
              </w:rPr>
              <w:t>SS</w:t>
            </w:r>
          </w:p>
        </w:tc>
        <w:tc>
          <w:tcPr>
            <w:tcW w:w="2234" w:type="dxa"/>
          </w:tcPr>
          <w:p>
            <w:pPr>
              <w:pStyle w:val="TableParagraph"/>
              <w:spacing w:line="238" w:lineRule="exact" w:before="14"/>
              <w:ind w:left="106"/>
              <w:jc w:val="left"/>
              <w:rPr>
                <w:rFonts w:ascii="Times New Roman"/>
                <w:sz w:val="21"/>
              </w:rPr>
            </w:pPr>
            <w:r>
              <w:rPr>
                <w:rFonts w:ascii="Times New Roman"/>
                <w:sz w:val="21"/>
              </w:rPr>
              <w:t>200</w:t>
            </w:r>
          </w:p>
        </w:tc>
        <w:tc>
          <w:tcPr>
            <w:tcW w:w="2268" w:type="dxa"/>
          </w:tcPr>
          <w:p>
            <w:pPr>
              <w:pStyle w:val="TableParagraph"/>
              <w:spacing w:line="238" w:lineRule="exact" w:before="14"/>
              <w:ind w:left="107"/>
              <w:jc w:val="left"/>
              <w:rPr>
                <w:rFonts w:ascii="Times New Roman"/>
                <w:sz w:val="21"/>
              </w:rPr>
            </w:pPr>
            <w:r>
              <w:rPr>
                <w:rFonts w:ascii="Times New Roman"/>
                <w:sz w:val="21"/>
              </w:rPr>
              <w:t>95</w:t>
            </w:r>
          </w:p>
        </w:tc>
        <w:tc>
          <w:tcPr>
            <w:tcW w:w="2392" w:type="dxa"/>
          </w:tcPr>
          <w:p>
            <w:pPr>
              <w:pStyle w:val="TableParagraph"/>
              <w:spacing w:line="252" w:lineRule="exact"/>
              <w:ind w:left="107"/>
              <w:jc w:val="left"/>
              <w:rPr>
                <w:rFonts w:ascii="Times New Roman" w:hAnsi="Times New Roman"/>
                <w:sz w:val="21"/>
              </w:rPr>
            </w:pPr>
            <w:r>
              <w:rPr>
                <w:sz w:val="21"/>
              </w:rPr>
              <w:t>≤</w:t>
            </w:r>
            <w:r>
              <w:rPr>
                <w:rFonts w:ascii="Times New Roman" w:hAnsi="Times New Roman"/>
                <w:sz w:val="21"/>
              </w:rPr>
              <w:t>10</w:t>
            </w:r>
          </w:p>
        </w:tc>
      </w:tr>
      <w:tr>
        <w:trPr>
          <w:trHeight w:val="271" w:hRule="atLeast"/>
        </w:trPr>
        <w:tc>
          <w:tcPr>
            <w:tcW w:w="1278" w:type="dxa"/>
            <w:vMerge/>
            <w:tcBorders>
              <w:top w:val="nil"/>
            </w:tcBorders>
          </w:tcPr>
          <w:p>
            <w:pPr>
              <w:rPr>
                <w:sz w:val="2"/>
                <w:szCs w:val="2"/>
              </w:rPr>
            </w:pPr>
          </w:p>
        </w:tc>
        <w:tc>
          <w:tcPr>
            <w:tcW w:w="1024" w:type="dxa"/>
          </w:tcPr>
          <w:p>
            <w:pPr>
              <w:pStyle w:val="TableParagraph"/>
              <w:spacing w:line="251" w:lineRule="exact" w:before="1"/>
              <w:ind w:left="108"/>
              <w:jc w:val="left"/>
              <w:rPr>
                <w:sz w:val="21"/>
              </w:rPr>
            </w:pPr>
            <w:r>
              <w:rPr>
                <w:sz w:val="21"/>
              </w:rPr>
              <w:t>氨氮</w:t>
            </w:r>
          </w:p>
        </w:tc>
        <w:tc>
          <w:tcPr>
            <w:tcW w:w="2234" w:type="dxa"/>
          </w:tcPr>
          <w:p>
            <w:pPr>
              <w:pStyle w:val="TableParagraph"/>
              <w:spacing w:line="237" w:lineRule="exact" w:before="15"/>
              <w:ind w:left="106"/>
              <w:jc w:val="left"/>
              <w:rPr>
                <w:rFonts w:ascii="Times New Roman"/>
                <w:sz w:val="21"/>
              </w:rPr>
            </w:pPr>
            <w:r>
              <w:rPr>
                <w:rFonts w:ascii="Times New Roman"/>
                <w:sz w:val="21"/>
              </w:rPr>
              <w:t>25</w:t>
            </w:r>
          </w:p>
        </w:tc>
        <w:tc>
          <w:tcPr>
            <w:tcW w:w="2268" w:type="dxa"/>
          </w:tcPr>
          <w:p>
            <w:pPr>
              <w:pStyle w:val="TableParagraph"/>
              <w:spacing w:line="237" w:lineRule="exact" w:before="15"/>
              <w:ind w:left="107"/>
              <w:jc w:val="left"/>
              <w:rPr>
                <w:rFonts w:ascii="Times New Roman"/>
                <w:sz w:val="21"/>
              </w:rPr>
            </w:pPr>
            <w:r>
              <w:rPr>
                <w:rFonts w:ascii="Times New Roman"/>
                <w:sz w:val="21"/>
              </w:rPr>
              <w:t>80</w:t>
            </w:r>
          </w:p>
        </w:tc>
        <w:tc>
          <w:tcPr>
            <w:tcW w:w="2392" w:type="dxa"/>
          </w:tcPr>
          <w:p>
            <w:pPr>
              <w:pStyle w:val="TableParagraph"/>
              <w:spacing w:line="251" w:lineRule="exact" w:before="1"/>
              <w:ind w:left="107"/>
              <w:jc w:val="left"/>
              <w:rPr>
                <w:rFonts w:ascii="Times New Roman" w:hAnsi="Times New Roman"/>
                <w:sz w:val="21"/>
              </w:rPr>
            </w:pPr>
            <w:r>
              <w:rPr>
                <w:sz w:val="21"/>
              </w:rPr>
              <w:t>≤</w:t>
            </w:r>
            <w:r>
              <w:rPr>
                <w:rFonts w:ascii="Times New Roman" w:hAnsi="Times New Roman"/>
                <w:sz w:val="21"/>
              </w:rPr>
              <w:t>5</w:t>
            </w:r>
          </w:p>
        </w:tc>
      </w:tr>
    </w:tbl>
    <w:p>
      <w:pPr>
        <w:pStyle w:val="BodyText"/>
        <w:spacing w:line="364" w:lineRule="auto"/>
        <w:ind w:left="375" w:right="685" w:firstLine="480"/>
      </w:pPr>
      <w:r>
        <w:rPr/>
        <w:t>生活污水采用二级生物法</w:t>
      </w:r>
      <w:r>
        <w:rPr>
          <w:rFonts w:ascii="Times New Roman" w:eastAsia="Times New Roman"/>
        </w:rPr>
        <w:t>+</w:t>
      </w:r>
      <w:r>
        <w:rPr/>
        <w:t>超滤工艺处理后，出水水质能满足《城市污水再生利用城市杂用水水质》（</w:t>
      </w:r>
      <w:r>
        <w:rPr>
          <w:rFonts w:ascii="Times New Roman" w:eastAsia="Times New Roman"/>
        </w:rPr>
        <w:t>GB/T 18920-2002</w:t>
      </w:r>
      <w:r>
        <w:rPr/>
        <w:t>）要求，可回用于井下生产用水和产尘环节洒水。</w:t>
      </w:r>
    </w:p>
    <w:p>
      <w:pPr>
        <w:pStyle w:val="Heading3"/>
        <w:numPr>
          <w:ilvl w:val="2"/>
          <w:numId w:val="56"/>
        </w:numPr>
        <w:tabs>
          <w:tab w:pos="1077" w:val="left" w:leader="none"/>
        </w:tabs>
        <w:spacing w:line="240" w:lineRule="auto" w:before="2" w:after="0"/>
        <w:ind w:left="1076" w:right="0" w:hanging="702"/>
        <w:jc w:val="left"/>
      </w:pPr>
      <w:bookmarkStart w:name="7.2.2 矿井水处理和利用方案" w:id="509"/>
      <w:bookmarkEnd w:id="509"/>
      <w:r>
        <w:rPr>
          <w:b w:val="0"/>
        </w:rPr>
      </w:r>
      <w:bookmarkStart w:name="7.2.2 矿井水处理和利用方案" w:id="510"/>
      <w:bookmarkEnd w:id="510"/>
      <w:r>
        <w:rPr/>
        <w:t>矿井水处理和利用方案</w:t>
      </w:r>
    </w:p>
    <w:p>
      <w:pPr>
        <w:pStyle w:val="BodyText"/>
        <w:spacing w:line="364" w:lineRule="auto" w:before="183"/>
        <w:ind w:left="375" w:right="628" w:firstLine="480"/>
      </w:pPr>
      <w:r>
        <w:rPr>
          <w:spacing w:val="-6"/>
        </w:rPr>
        <w:t>矿井水主要污染物为 </w:t>
      </w:r>
      <w:r>
        <w:rPr>
          <w:rFonts w:ascii="Times New Roman" w:hAnsi="Times New Roman" w:eastAsia="Times New Roman"/>
        </w:rPr>
        <w:t>COD</w:t>
      </w:r>
      <w:r>
        <w:rPr>
          <w:spacing w:val="-75"/>
        </w:rPr>
        <w:t>、</w:t>
      </w:r>
      <w:r>
        <w:rPr>
          <w:rFonts w:ascii="Times New Roman" w:hAnsi="Times New Roman" w:eastAsia="Times New Roman"/>
        </w:rPr>
        <w:t>SS </w:t>
      </w:r>
      <w:r>
        <w:rPr>
          <w:spacing w:val="-14"/>
        </w:rPr>
        <w:t>和石油类，浓度分别为 </w:t>
      </w:r>
      <w:r>
        <w:rPr>
          <w:rFonts w:ascii="Times New Roman" w:hAnsi="Times New Roman" w:eastAsia="Times New Roman"/>
        </w:rPr>
        <w:t>150mg/L</w:t>
      </w:r>
      <w:r>
        <w:rPr>
          <w:spacing w:val="-75"/>
        </w:rPr>
        <w:t>、</w:t>
      </w:r>
      <w:r>
        <w:rPr>
          <w:rFonts w:ascii="Times New Roman" w:hAnsi="Times New Roman" w:eastAsia="Times New Roman"/>
        </w:rPr>
        <w:t>300mg/L </w:t>
      </w:r>
      <w:r>
        <w:rPr>
          <w:spacing w:val="-30"/>
        </w:rPr>
        <w:t>和 </w:t>
      </w:r>
      <w:r>
        <w:rPr>
          <w:rFonts w:ascii="Times New Roman" w:hAnsi="Times New Roman" w:eastAsia="Times New Roman"/>
        </w:rPr>
        <w:t>2mg/L</w:t>
      </w:r>
      <w:r>
        <w:rPr/>
        <w:t>。</w:t>
      </w:r>
      <w:r>
        <w:rPr>
          <w:spacing w:val="-2"/>
        </w:rPr>
        <w:t>改扩建后矿井涌水约为 </w:t>
      </w:r>
      <w:r>
        <w:rPr>
          <w:rFonts w:ascii="Times New Roman" w:hAnsi="Times New Roman" w:eastAsia="Times New Roman"/>
        </w:rPr>
        <w:t>480m</w:t>
      </w:r>
      <w:r>
        <w:rPr>
          <w:rFonts w:ascii="Times New Roman" w:hAnsi="Times New Roman" w:eastAsia="Times New Roman"/>
          <w:position w:val="8"/>
          <w:sz w:val="15"/>
        </w:rPr>
        <w:t>3</w:t>
      </w:r>
      <w:r>
        <w:rPr>
          <w:rFonts w:ascii="Times New Roman" w:hAnsi="Times New Roman" w:eastAsia="Times New Roman"/>
        </w:rPr>
        <w:t>/d</w:t>
      </w:r>
      <w:r>
        <w:rPr/>
        <w:t>。因此环评提出在工业广场新建一座处理能力 </w:t>
      </w:r>
      <w:r>
        <w:rPr>
          <w:rFonts w:ascii="Times New Roman" w:hAnsi="Times New Roman" w:eastAsia="Times New Roman"/>
        </w:rPr>
        <w:t>720m</w:t>
      </w:r>
      <w:r>
        <w:rPr>
          <w:rFonts w:ascii="Times New Roman" w:hAnsi="Times New Roman" w:eastAsia="Times New Roman"/>
          <w:position w:val="8"/>
          <w:sz w:val="15"/>
        </w:rPr>
        <w:t>3</w:t>
      </w:r>
      <w:r>
        <w:rPr>
          <w:rFonts w:ascii="Times New Roman" w:hAnsi="Times New Roman" w:eastAsia="Times New Roman"/>
        </w:rPr>
        <w:t>/d </w:t>
      </w:r>
      <w:r>
        <w:rPr/>
        <w:t>的矿井水处理站，处理工艺采用</w:t>
      </w:r>
      <w:r>
        <w:rPr>
          <w:rFonts w:ascii="Times New Roman" w:hAnsi="Times New Roman" w:eastAsia="Times New Roman"/>
        </w:rPr>
        <w:t>“</w:t>
      </w:r>
      <w:r>
        <w:rPr/>
        <w:t>调节</w:t>
      </w:r>
      <w:r>
        <w:rPr>
          <w:rFonts w:ascii="Times New Roman" w:hAnsi="Times New Roman" w:eastAsia="Times New Roman"/>
        </w:rPr>
        <w:t>+</w:t>
      </w:r>
      <w:r>
        <w:rPr/>
        <w:t>混凝</w:t>
      </w:r>
      <w:r>
        <w:rPr>
          <w:rFonts w:ascii="Times New Roman" w:hAnsi="Times New Roman" w:eastAsia="Times New Roman"/>
        </w:rPr>
        <w:t>+</w:t>
      </w:r>
      <w:r>
        <w:rPr/>
        <w:t>沉淀</w:t>
      </w:r>
      <w:r>
        <w:rPr>
          <w:rFonts w:ascii="Times New Roman" w:hAnsi="Times New Roman" w:eastAsia="Times New Roman"/>
        </w:rPr>
        <w:t>+</w:t>
      </w:r>
      <w:r>
        <w:rPr/>
        <w:t>过滤</w:t>
      </w:r>
      <w:r>
        <w:rPr>
          <w:rFonts w:ascii="Times New Roman" w:hAnsi="Times New Roman" w:eastAsia="Times New Roman"/>
        </w:rPr>
        <w:t>+</w:t>
      </w:r>
      <w:r>
        <w:rPr/>
        <w:t>消毒</w:t>
      </w:r>
      <w:r>
        <w:rPr>
          <w:rFonts w:ascii="Times New Roman" w:hAnsi="Times New Roman" w:eastAsia="Times New Roman"/>
        </w:rPr>
        <w:t>”</w:t>
      </w:r>
      <w:r>
        <w:rPr/>
        <w:t>。</w:t>
      </w:r>
    </w:p>
    <w:p>
      <w:pPr>
        <w:pStyle w:val="BodyText"/>
        <w:spacing w:line="364" w:lineRule="auto"/>
        <w:ind w:left="375" w:right="638" w:firstLine="480"/>
      </w:pPr>
      <w:r>
        <w:rPr/>
        <w:t>矿井水经处理后主要用于生产和生活。生产用水对水质要求不高，一般矿井水经简</w:t>
      </w:r>
      <w:r>
        <w:rPr>
          <w:spacing w:val="-8"/>
        </w:rPr>
        <w:t>单净化处理即可满足要求。矿井水作为生产用水时，可用于井下灌浆、消防、采掘机械、</w:t>
      </w:r>
      <w:r>
        <w:rPr/>
        <w:t>煤层注水、液压支柱冷却水、防尘用水、矿区绿化、道路洒水、锅炉补充水等。矿井水作为生活用水时，主要用于洗浴、清洁、洗衣等。</w:t>
      </w:r>
    </w:p>
    <w:p>
      <w:pPr>
        <w:pStyle w:val="BodyText"/>
        <w:spacing w:line="364" w:lineRule="auto"/>
        <w:ind w:left="375" w:right="755" w:firstLine="480"/>
        <w:jc w:val="both"/>
      </w:pPr>
      <w:r>
        <w:rPr/>
        <w:t>矿井水处理工艺普遍采用</w:t>
      </w:r>
      <w:r>
        <w:rPr>
          <w:rFonts w:ascii="Times New Roman" w:hAnsi="Times New Roman" w:eastAsia="Times New Roman"/>
        </w:rPr>
        <w:t>“</w:t>
      </w:r>
      <w:r>
        <w:rPr/>
        <w:t>调节</w:t>
      </w:r>
      <w:r>
        <w:rPr>
          <w:rFonts w:ascii="Times New Roman" w:hAnsi="Times New Roman" w:eastAsia="Times New Roman"/>
        </w:rPr>
        <w:t>+</w:t>
      </w:r>
      <w:r>
        <w:rPr/>
        <w:t>混凝</w:t>
      </w:r>
      <w:r>
        <w:rPr>
          <w:rFonts w:ascii="Times New Roman" w:hAnsi="Times New Roman" w:eastAsia="Times New Roman"/>
        </w:rPr>
        <w:t>+</w:t>
      </w:r>
      <w:r>
        <w:rPr/>
        <w:t>沉淀</w:t>
      </w:r>
      <w:r>
        <w:rPr>
          <w:rFonts w:ascii="Times New Roman" w:hAnsi="Times New Roman" w:eastAsia="Times New Roman"/>
        </w:rPr>
        <w:t>+</w:t>
      </w:r>
      <w:r>
        <w:rPr/>
        <w:t>过滤</w:t>
      </w:r>
      <w:r>
        <w:rPr>
          <w:rFonts w:ascii="Times New Roman" w:hAnsi="Times New Roman" w:eastAsia="Times New Roman"/>
        </w:rPr>
        <w:t>+</w:t>
      </w:r>
      <w:r>
        <w:rPr/>
        <w:t>消毒</w:t>
      </w:r>
      <w:r>
        <w:rPr>
          <w:rFonts w:ascii="Times New Roman" w:hAnsi="Times New Roman" w:eastAsia="Times New Roman"/>
        </w:rPr>
        <w:t>”</w:t>
      </w:r>
      <w:r>
        <w:rPr/>
        <w:t>。</w:t>
      </w:r>
      <w:r>
        <w:rPr>
          <w:rFonts w:ascii="Times New Roman" w:hAnsi="Times New Roman" w:eastAsia="Times New Roman"/>
        </w:rPr>
        <w:t>“</w:t>
      </w:r>
      <w:r>
        <w:rPr/>
        <w:t>调节</w:t>
      </w:r>
      <w:r>
        <w:rPr>
          <w:rFonts w:ascii="Times New Roman" w:hAnsi="Times New Roman" w:eastAsia="Times New Roman"/>
        </w:rPr>
        <w:t>+</w:t>
      </w:r>
      <w:r>
        <w:rPr/>
        <w:t>混凝</w:t>
      </w:r>
      <w:r>
        <w:rPr>
          <w:rFonts w:ascii="Times New Roman" w:hAnsi="Times New Roman" w:eastAsia="Times New Roman"/>
        </w:rPr>
        <w:t>+</w:t>
      </w:r>
      <w:r>
        <w:rPr/>
        <w:t>沉淀</w:t>
      </w:r>
      <w:r>
        <w:rPr>
          <w:rFonts w:ascii="Times New Roman" w:hAnsi="Times New Roman" w:eastAsia="Times New Roman"/>
        </w:rPr>
        <w:t>+</w:t>
      </w:r>
      <w:r>
        <w:rPr/>
        <w:t>过滤</w:t>
      </w:r>
      <w:r>
        <w:rPr>
          <w:rFonts w:ascii="Times New Roman" w:hAnsi="Times New Roman" w:eastAsia="Times New Roman"/>
        </w:rPr>
        <w:t>+ </w:t>
      </w:r>
      <w:r>
        <w:rPr/>
        <w:t>消毒</w:t>
      </w:r>
      <w:r>
        <w:rPr>
          <w:rFonts w:ascii="Times New Roman" w:hAnsi="Times New Roman" w:eastAsia="Times New Roman"/>
        </w:rPr>
        <w:t>”</w:t>
      </w:r>
      <w:r>
        <w:rPr>
          <w:spacing w:val="-7"/>
        </w:rPr>
        <w:t>是一种成熟的矿井水处理工艺，可有效地去除水中的悬浮物质。煤矿矿井水主要污</w:t>
      </w:r>
      <w:r>
        <w:rPr>
          <w:spacing w:val="-19"/>
        </w:rPr>
        <w:t>染物 </w:t>
      </w:r>
      <w:r>
        <w:rPr>
          <w:rFonts w:ascii="Times New Roman" w:hAnsi="Times New Roman" w:eastAsia="Times New Roman"/>
        </w:rPr>
        <w:t>COD </w:t>
      </w:r>
      <w:r>
        <w:rPr>
          <w:spacing w:val="-12"/>
        </w:rPr>
        <w:t>是伴随着 </w:t>
      </w:r>
      <w:r>
        <w:rPr>
          <w:rFonts w:ascii="Times New Roman" w:hAnsi="Times New Roman" w:eastAsia="Times New Roman"/>
        </w:rPr>
        <w:t>SS </w:t>
      </w:r>
      <w:r>
        <w:rPr>
          <w:spacing w:val="-4"/>
        </w:rPr>
        <w:t>产生的，只要能有效地去除矿井水中的 </w:t>
      </w:r>
      <w:r>
        <w:rPr>
          <w:rFonts w:ascii="Times New Roman" w:hAnsi="Times New Roman" w:eastAsia="Times New Roman"/>
        </w:rPr>
        <w:t>SS</w:t>
      </w:r>
      <w:r>
        <w:rPr/>
        <w:t>，</w:t>
      </w:r>
      <w:r>
        <w:rPr>
          <w:rFonts w:ascii="Times New Roman" w:hAnsi="Times New Roman" w:eastAsia="Times New Roman"/>
        </w:rPr>
        <w:t>COD </w:t>
      </w:r>
      <w:r>
        <w:rPr/>
        <w:t>也一并能够被</w:t>
      </w:r>
      <w:r>
        <w:rPr>
          <w:spacing w:val="-4"/>
        </w:rPr>
        <w:t>去除。矿井水处理效果预测情况表见表 </w:t>
      </w:r>
      <w:r>
        <w:rPr>
          <w:rFonts w:ascii="Times New Roman" w:hAnsi="Times New Roman" w:eastAsia="Times New Roman"/>
        </w:rPr>
        <w:t>7.2-2</w:t>
      </w:r>
      <w:r>
        <w:rPr/>
        <w:t>。</w:t>
      </w:r>
    </w:p>
    <w:p>
      <w:pPr>
        <w:pStyle w:val="BodyText"/>
        <w:spacing w:line="305" w:lineRule="exact"/>
        <w:ind w:left="856"/>
      </w:pPr>
      <w:r>
        <w:rPr/>
        <w:t>综上：矿井水采用</w:t>
      </w:r>
      <w:r>
        <w:rPr>
          <w:rFonts w:ascii="Times New Roman" w:hAnsi="Times New Roman" w:eastAsia="Times New Roman"/>
        </w:rPr>
        <w:t>“</w:t>
      </w:r>
      <w:r>
        <w:rPr/>
        <w:t>调节</w:t>
      </w:r>
      <w:r>
        <w:rPr>
          <w:rFonts w:ascii="Times New Roman" w:hAnsi="Times New Roman" w:eastAsia="Times New Roman"/>
        </w:rPr>
        <w:t>+</w:t>
      </w:r>
      <w:r>
        <w:rPr/>
        <w:t>混凝</w:t>
      </w:r>
      <w:r>
        <w:rPr>
          <w:rFonts w:ascii="Times New Roman" w:hAnsi="Times New Roman" w:eastAsia="Times New Roman"/>
        </w:rPr>
        <w:t>+</w:t>
      </w:r>
      <w:r>
        <w:rPr/>
        <w:t>沉淀</w:t>
      </w:r>
      <w:r>
        <w:rPr>
          <w:rFonts w:ascii="Times New Roman" w:hAnsi="Times New Roman" w:eastAsia="Times New Roman"/>
        </w:rPr>
        <w:t>+</w:t>
      </w:r>
      <w:r>
        <w:rPr/>
        <w:t>过滤</w:t>
      </w:r>
      <w:r>
        <w:rPr>
          <w:rFonts w:ascii="Times New Roman" w:hAnsi="Times New Roman" w:eastAsia="Times New Roman"/>
        </w:rPr>
        <w:t>+</w:t>
      </w:r>
      <w:r>
        <w:rPr/>
        <w:t>消毒</w:t>
      </w:r>
      <w:r>
        <w:rPr>
          <w:rFonts w:ascii="Times New Roman" w:hAnsi="Times New Roman" w:eastAsia="Times New Roman"/>
        </w:rPr>
        <w:t>”</w:t>
      </w:r>
      <w:r>
        <w:rPr/>
        <w:t>处理工艺处理后，出水水质可满足</w:t>
      </w:r>
    </w:p>
    <w:p>
      <w:pPr>
        <w:pStyle w:val="BodyText"/>
        <w:spacing w:line="362" w:lineRule="auto" w:before="157"/>
        <w:ind w:left="375" w:right="758"/>
      </w:pPr>
      <w:r>
        <w:rPr/>
        <w:t>《煤矿井下消防、洒水设计规范》（</w:t>
      </w:r>
      <w:r>
        <w:rPr>
          <w:rFonts w:ascii="Times New Roman" w:eastAsia="Times New Roman"/>
        </w:rPr>
        <w:t>GB50383-2016</w:t>
      </w:r>
      <w:r>
        <w:rPr/>
        <w:t>）和《城市污水再生利用 城市杂用水水质》（</w:t>
      </w:r>
      <w:r>
        <w:rPr>
          <w:rFonts w:ascii="Times New Roman" w:eastAsia="Times New Roman"/>
        </w:rPr>
        <w:t>GB/T 18920-2002</w:t>
      </w:r>
      <w:r>
        <w:rPr/>
        <w:t>）要求，可回用于井下生产、产尘环节洒水和洗浴用水。</w:t>
      </w:r>
    </w:p>
    <w:p>
      <w:pPr>
        <w:spacing w:after="0" w:line="362" w:lineRule="auto"/>
        <w:sectPr>
          <w:pgSz w:w="11910" w:h="16840"/>
          <w:pgMar w:header="0" w:footer="1169" w:top="1540" w:bottom="1360" w:left="1040" w:right="600"/>
        </w:sectPr>
      </w:pPr>
    </w:p>
    <w:p>
      <w:pPr>
        <w:pStyle w:val="Heading4"/>
        <w:tabs>
          <w:tab w:pos="1041" w:val="left" w:leader="none"/>
        </w:tabs>
        <w:spacing w:before="66"/>
        <w:ind w:right="375"/>
        <w:jc w:val="center"/>
      </w:pPr>
      <w:r>
        <w:rPr/>
        <w:t>表</w:t>
      </w:r>
      <w:r>
        <w:rPr>
          <w:spacing w:val="-62"/>
        </w:rPr>
        <w:t> </w:t>
      </w:r>
      <w:r>
        <w:rPr>
          <w:rFonts w:ascii="Times New Roman" w:eastAsia="Times New Roman"/>
        </w:rPr>
        <w:t>7.2-2</w:t>
        <w:tab/>
      </w:r>
      <w:r>
        <w:rPr/>
        <w:t>矿井水处理效果预测</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56"/>
        <w:gridCol w:w="1089"/>
        <w:gridCol w:w="1017"/>
        <w:gridCol w:w="996"/>
        <w:gridCol w:w="1007"/>
        <w:gridCol w:w="1089"/>
        <w:gridCol w:w="931"/>
        <w:gridCol w:w="980"/>
      </w:tblGrid>
      <w:tr>
        <w:trPr>
          <w:trHeight w:val="387" w:hRule="atLeast"/>
        </w:trPr>
        <w:tc>
          <w:tcPr>
            <w:tcW w:w="1385" w:type="dxa"/>
            <w:vMerge w:val="restart"/>
          </w:tcPr>
          <w:p>
            <w:pPr>
              <w:pStyle w:val="TableParagraph"/>
              <w:spacing w:before="11"/>
              <w:jc w:val="left"/>
              <w:rPr>
                <w:b/>
                <w:sz w:val="24"/>
              </w:rPr>
            </w:pPr>
          </w:p>
          <w:p>
            <w:pPr>
              <w:pStyle w:val="TableParagraph"/>
              <w:ind w:left="459" w:right="456"/>
              <w:rPr>
                <w:sz w:val="21"/>
              </w:rPr>
            </w:pPr>
            <w:r>
              <w:rPr>
                <w:sz w:val="21"/>
              </w:rPr>
              <w:t>项目</w:t>
            </w:r>
          </w:p>
        </w:tc>
        <w:tc>
          <w:tcPr>
            <w:tcW w:w="1156" w:type="dxa"/>
            <w:vMerge w:val="restart"/>
          </w:tcPr>
          <w:p>
            <w:pPr>
              <w:pStyle w:val="TableParagraph"/>
              <w:spacing w:before="4"/>
              <w:jc w:val="left"/>
              <w:rPr>
                <w:b/>
                <w:sz w:val="15"/>
              </w:rPr>
            </w:pPr>
          </w:p>
          <w:p>
            <w:pPr>
              <w:pStyle w:val="TableParagraph"/>
              <w:ind w:left="261"/>
              <w:jc w:val="left"/>
              <w:rPr>
                <w:sz w:val="21"/>
              </w:rPr>
            </w:pPr>
            <w:r>
              <w:rPr>
                <w:sz w:val="21"/>
              </w:rPr>
              <w:t>产生量</w:t>
            </w:r>
          </w:p>
          <w:p>
            <w:pPr>
              <w:pStyle w:val="TableParagraph"/>
              <w:spacing w:before="1"/>
              <w:ind w:left="312"/>
              <w:jc w:val="left"/>
              <w:rPr>
                <w:rFonts w:ascii="Times New Roman"/>
                <w:sz w:val="21"/>
              </w:rPr>
            </w:pPr>
            <w:r>
              <w:rPr>
                <w:rFonts w:ascii="Times New Roman"/>
                <w:sz w:val="21"/>
              </w:rPr>
              <w:t>(m</w:t>
            </w:r>
            <w:r>
              <w:rPr>
                <w:rFonts w:ascii="Times New Roman"/>
                <w:position w:val="7"/>
                <w:sz w:val="13"/>
              </w:rPr>
              <w:t>3</w:t>
            </w:r>
            <w:r>
              <w:rPr>
                <w:rFonts w:ascii="Times New Roman"/>
                <w:sz w:val="21"/>
              </w:rPr>
              <w:t>/d)</w:t>
            </w:r>
          </w:p>
        </w:tc>
        <w:tc>
          <w:tcPr>
            <w:tcW w:w="1089" w:type="dxa"/>
            <w:vMerge w:val="restart"/>
          </w:tcPr>
          <w:p>
            <w:pPr>
              <w:pStyle w:val="TableParagraph"/>
              <w:spacing w:before="4"/>
              <w:jc w:val="left"/>
              <w:rPr>
                <w:b/>
                <w:sz w:val="15"/>
              </w:rPr>
            </w:pPr>
          </w:p>
          <w:p>
            <w:pPr>
              <w:pStyle w:val="TableParagraph"/>
              <w:ind w:left="229"/>
              <w:jc w:val="left"/>
              <w:rPr>
                <w:sz w:val="21"/>
              </w:rPr>
            </w:pPr>
            <w:r>
              <w:rPr>
                <w:sz w:val="21"/>
              </w:rPr>
              <w:t>外排量</w:t>
            </w:r>
          </w:p>
          <w:p>
            <w:pPr>
              <w:pStyle w:val="TableParagraph"/>
              <w:spacing w:before="1"/>
              <w:ind w:left="277"/>
              <w:jc w:val="left"/>
              <w:rPr>
                <w:rFonts w:ascii="Times New Roman"/>
                <w:sz w:val="21"/>
              </w:rPr>
            </w:pPr>
            <w:r>
              <w:rPr>
                <w:rFonts w:ascii="Times New Roman"/>
                <w:sz w:val="21"/>
              </w:rPr>
              <w:t>(m</w:t>
            </w:r>
            <w:r>
              <w:rPr>
                <w:rFonts w:ascii="Times New Roman"/>
                <w:position w:val="7"/>
                <w:sz w:val="13"/>
              </w:rPr>
              <w:t>3</w:t>
            </w:r>
            <w:r>
              <w:rPr>
                <w:rFonts w:ascii="Times New Roman"/>
                <w:sz w:val="21"/>
              </w:rPr>
              <w:t>/d)</w:t>
            </w:r>
          </w:p>
        </w:tc>
        <w:tc>
          <w:tcPr>
            <w:tcW w:w="2013" w:type="dxa"/>
            <w:gridSpan w:val="2"/>
          </w:tcPr>
          <w:p>
            <w:pPr>
              <w:pStyle w:val="TableParagraph"/>
              <w:spacing w:before="71"/>
              <w:ind w:left="594"/>
              <w:jc w:val="left"/>
              <w:rPr>
                <w:rFonts w:ascii="Times New Roman"/>
                <w:sz w:val="21"/>
              </w:rPr>
            </w:pPr>
            <w:r>
              <w:rPr>
                <w:rFonts w:ascii="Times New Roman"/>
                <w:sz w:val="21"/>
              </w:rPr>
              <w:t>SS(mg/L)</w:t>
            </w:r>
          </w:p>
        </w:tc>
        <w:tc>
          <w:tcPr>
            <w:tcW w:w="2096" w:type="dxa"/>
            <w:gridSpan w:val="2"/>
          </w:tcPr>
          <w:p>
            <w:pPr>
              <w:pStyle w:val="TableParagraph"/>
              <w:spacing w:before="71"/>
              <w:ind w:left="530"/>
              <w:jc w:val="left"/>
              <w:rPr>
                <w:rFonts w:ascii="Times New Roman"/>
                <w:sz w:val="21"/>
              </w:rPr>
            </w:pPr>
            <w:r>
              <w:rPr>
                <w:rFonts w:ascii="Times New Roman"/>
                <w:sz w:val="21"/>
              </w:rPr>
              <w:t>COD(mg/L)</w:t>
            </w:r>
          </w:p>
        </w:tc>
        <w:tc>
          <w:tcPr>
            <w:tcW w:w="1911" w:type="dxa"/>
            <w:gridSpan w:val="2"/>
          </w:tcPr>
          <w:p>
            <w:pPr>
              <w:pStyle w:val="TableParagraph"/>
              <w:spacing w:before="57"/>
              <w:ind w:left="344"/>
              <w:jc w:val="left"/>
              <w:rPr>
                <w:rFonts w:ascii="Times New Roman" w:eastAsia="Times New Roman"/>
                <w:sz w:val="21"/>
              </w:rPr>
            </w:pPr>
            <w:r>
              <w:rPr>
                <w:sz w:val="21"/>
              </w:rPr>
              <w:t>石油类</w:t>
            </w:r>
            <w:r>
              <w:rPr>
                <w:rFonts w:ascii="Times New Roman" w:eastAsia="Times New Roman"/>
                <w:sz w:val="21"/>
              </w:rPr>
              <w:t>(mg/L)</w:t>
            </w:r>
          </w:p>
        </w:tc>
      </w:tr>
      <w:tr>
        <w:trPr>
          <w:trHeight w:val="510" w:hRule="atLeast"/>
        </w:trPr>
        <w:tc>
          <w:tcPr>
            <w:tcW w:w="1385" w:type="dxa"/>
            <w:vMerge/>
            <w:tcBorders>
              <w:top w:val="nil"/>
            </w:tcBorders>
          </w:tcPr>
          <w:p>
            <w:pPr>
              <w:rPr>
                <w:sz w:val="2"/>
                <w:szCs w:val="2"/>
              </w:rPr>
            </w:pPr>
          </w:p>
        </w:tc>
        <w:tc>
          <w:tcPr>
            <w:tcW w:w="1156" w:type="dxa"/>
            <w:vMerge/>
            <w:tcBorders>
              <w:top w:val="nil"/>
            </w:tcBorders>
          </w:tcPr>
          <w:p>
            <w:pPr>
              <w:rPr>
                <w:sz w:val="2"/>
                <w:szCs w:val="2"/>
              </w:rPr>
            </w:pPr>
          </w:p>
        </w:tc>
        <w:tc>
          <w:tcPr>
            <w:tcW w:w="1089" w:type="dxa"/>
            <w:vMerge/>
            <w:tcBorders>
              <w:top w:val="nil"/>
            </w:tcBorders>
          </w:tcPr>
          <w:p>
            <w:pPr>
              <w:rPr>
                <w:sz w:val="2"/>
                <w:szCs w:val="2"/>
              </w:rPr>
            </w:pPr>
          </w:p>
        </w:tc>
        <w:tc>
          <w:tcPr>
            <w:tcW w:w="1017" w:type="dxa"/>
          </w:tcPr>
          <w:p>
            <w:pPr>
              <w:pStyle w:val="TableParagraph"/>
              <w:spacing w:before="118"/>
              <w:ind w:left="173" w:right="164"/>
              <w:rPr>
                <w:sz w:val="21"/>
              </w:rPr>
            </w:pPr>
            <w:r>
              <w:rPr>
                <w:sz w:val="21"/>
              </w:rPr>
              <w:t>处理前</w:t>
            </w:r>
          </w:p>
        </w:tc>
        <w:tc>
          <w:tcPr>
            <w:tcW w:w="996" w:type="dxa"/>
          </w:tcPr>
          <w:p>
            <w:pPr>
              <w:pStyle w:val="TableParagraph"/>
              <w:spacing w:before="118"/>
              <w:ind w:left="161" w:right="154"/>
              <w:rPr>
                <w:sz w:val="21"/>
              </w:rPr>
            </w:pPr>
            <w:r>
              <w:rPr>
                <w:sz w:val="21"/>
              </w:rPr>
              <w:t>处理后</w:t>
            </w:r>
          </w:p>
        </w:tc>
        <w:tc>
          <w:tcPr>
            <w:tcW w:w="1007" w:type="dxa"/>
          </w:tcPr>
          <w:p>
            <w:pPr>
              <w:pStyle w:val="TableParagraph"/>
              <w:spacing w:before="118"/>
              <w:ind w:left="78" w:right="72"/>
              <w:rPr>
                <w:sz w:val="21"/>
              </w:rPr>
            </w:pPr>
            <w:r>
              <w:rPr>
                <w:sz w:val="21"/>
              </w:rPr>
              <w:t>处理前</w:t>
            </w:r>
          </w:p>
        </w:tc>
        <w:tc>
          <w:tcPr>
            <w:tcW w:w="1089" w:type="dxa"/>
          </w:tcPr>
          <w:p>
            <w:pPr>
              <w:pStyle w:val="TableParagraph"/>
              <w:spacing w:before="118"/>
              <w:ind w:left="208" w:right="201"/>
              <w:rPr>
                <w:sz w:val="21"/>
              </w:rPr>
            </w:pPr>
            <w:r>
              <w:rPr>
                <w:sz w:val="21"/>
              </w:rPr>
              <w:t>处理后</w:t>
            </w:r>
          </w:p>
        </w:tc>
        <w:tc>
          <w:tcPr>
            <w:tcW w:w="931" w:type="dxa"/>
          </w:tcPr>
          <w:p>
            <w:pPr>
              <w:pStyle w:val="TableParagraph"/>
              <w:spacing w:before="118"/>
              <w:ind w:left="129" w:right="121"/>
              <w:rPr>
                <w:sz w:val="21"/>
              </w:rPr>
            </w:pPr>
            <w:r>
              <w:rPr>
                <w:sz w:val="21"/>
              </w:rPr>
              <w:t>处理前</w:t>
            </w:r>
          </w:p>
        </w:tc>
        <w:tc>
          <w:tcPr>
            <w:tcW w:w="980" w:type="dxa"/>
          </w:tcPr>
          <w:p>
            <w:pPr>
              <w:pStyle w:val="TableParagraph"/>
              <w:spacing w:before="118"/>
              <w:ind w:left="154" w:right="146"/>
              <w:rPr>
                <w:sz w:val="21"/>
              </w:rPr>
            </w:pPr>
            <w:r>
              <w:rPr>
                <w:sz w:val="21"/>
              </w:rPr>
              <w:t>处理后</w:t>
            </w:r>
          </w:p>
        </w:tc>
      </w:tr>
      <w:tr>
        <w:trPr>
          <w:trHeight w:val="511" w:hRule="atLeast"/>
        </w:trPr>
        <w:tc>
          <w:tcPr>
            <w:tcW w:w="1385" w:type="dxa"/>
          </w:tcPr>
          <w:p>
            <w:pPr>
              <w:pStyle w:val="TableParagraph"/>
              <w:spacing w:before="118"/>
              <w:ind w:left="377"/>
              <w:jc w:val="left"/>
              <w:rPr>
                <w:sz w:val="21"/>
              </w:rPr>
            </w:pPr>
            <w:r>
              <w:rPr>
                <w:sz w:val="21"/>
              </w:rPr>
              <w:t>矿井水</w:t>
            </w:r>
          </w:p>
        </w:tc>
        <w:tc>
          <w:tcPr>
            <w:tcW w:w="1156" w:type="dxa"/>
          </w:tcPr>
          <w:p>
            <w:pPr>
              <w:pStyle w:val="TableParagraph"/>
              <w:spacing w:before="132"/>
              <w:ind w:left="242" w:right="232"/>
              <w:rPr>
                <w:rFonts w:ascii="Times New Roman"/>
                <w:sz w:val="21"/>
              </w:rPr>
            </w:pPr>
            <w:r>
              <w:rPr>
                <w:rFonts w:ascii="Times New Roman"/>
                <w:sz w:val="21"/>
              </w:rPr>
              <w:t>480</w:t>
            </w:r>
          </w:p>
        </w:tc>
        <w:tc>
          <w:tcPr>
            <w:tcW w:w="1089" w:type="dxa"/>
          </w:tcPr>
          <w:p>
            <w:pPr>
              <w:pStyle w:val="TableParagraph"/>
              <w:spacing w:before="132"/>
              <w:ind w:left="7"/>
              <w:rPr>
                <w:rFonts w:ascii="Times New Roman"/>
                <w:sz w:val="21"/>
              </w:rPr>
            </w:pPr>
            <w:r>
              <w:rPr>
                <w:rFonts w:ascii="Times New Roman"/>
                <w:w w:val="99"/>
                <w:sz w:val="21"/>
              </w:rPr>
              <w:t>0</w:t>
            </w:r>
          </w:p>
        </w:tc>
        <w:tc>
          <w:tcPr>
            <w:tcW w:w="1017" w:type="dxa"/>
          </w:tcPr>
          <w:p>
            <w:pPr>
              <w:pStyle w:val="TableParagraph"/>
              <w:spacing w:before="132"/>
              <w:ind w:left="172" w:right="164"/>
              <w:rPr>
                <w:rFonts w:ascii="Times New Roman"/>
                <w:sz w:val="21"/>
              </w:rPr>
            </w:pPr>
            <w:r>
              <w:rPr>
                <w:rFonts w:ascii="Times New Roman"/>
                <w:sz w:val="21"/>
              </w:rPr>
              <w:t>300</w:t>
            </w:r>
          </w:p>
        </w:tc>
        <w:tc>
          <w:tcPr>
            <w:tcW w:w="996" w:type="dxa"/>
          </w:tcPr>
          <w:p>
            <w:pPr>
              <w:pStyle w:val="TableParagraph"/>
              <w:spacing w:before="132"/>
              <w:ind w:left="161" w:right="153"/>
              <w:rPr>
                <w:rFonts w:ascii="Times New Roman"/>
                <w:sz w:val="21"/>
              </w:rPr>
            </w:pPr>
            <w:r>
              <w:rPr>
                <w:rFonts w:ascii="Times New Roman"/>
                <w:sz w:val="21"/>
              </w:rPr>
              <w:t>30</w:t>
            </w:r>
          </w:p>
        </w:tc>
        <w:tc>
          <w:tcPr>
            <w:tcW w:w="1007" w:type="dxa"/>
          </w:tcPr>
          <w:p>
            <w:pPr>
              <w:pStyle w:val="TableParagraph"/>
              <w:spacing w:before="132"/>
              <w:ind w:left="81" w:right="72"/>
              <w:rPr>
                <w:rFonts w:ascii="Times New Roman"/>
                <w:sz w:val="21"/>
              </w:rPr>
            </w:pPr>
            <w:r>
              <w:rPr>
                <w:rFonts w:ascii="Times New Roman"/>
                <w:sz w:val="21"/>
              </w:rPr>
              <w:t>150</w:t>
            </w:r>
          </w:p>
        </w:tc>
        <w:tc>
          <w:tcPr>
            <w:tcW w:w="1089" w:type="dxa"/>
          </w:tcPr>
          <w:p>
            <w:pPr>
              <w:pStyle w:val="TableParagraph"/>
              <w:spacing w:before="132"/>
              <w:ind w:left="207" w:right="201"/>
              <w:rPr>
                <w:rFonts w:ascii="Times New Roman"/>
                <w:sz w:val="21"/>
              </w:rPr>
            </w:pPr>
            <w:r>
              <w:rPr>
                <w:rFonts w:ascii="Times New Roman"/>
                <w:sz w:val="21"/>
              </w:rPr>
              <w:t>15</w:t>
            </w:r>
          </w:p>
        </w:tc>
        <w:tc>
          <w:tcPr>
            <w:tcW w:w="931" w:type="dxa"/>
          </w:tcPr>
          <w:p>
            <w:pPr>
              <w:pStyle w:val="TableParagraph"/>
              <w:spacing w:before="132"/>
              <w:ind w:left="128" w:right="121"/>
              <w:rPr>
                <w:rFonts w:ascii="Times New Roman"/>
                <w:sz w:val="21"/>
              </w:rPr>
            </w:pPr>
            <w:r>
              <w:rPr>
                <w:rFonts w:ascii="Times New Roman"/>
                <w:sz w:val="21"/>
              </w:rPr>
              <w:t>2.0</w:t>
            </w:r>
          </w:p>
        </w:tc>
        <w:tc>
          <w:tcPr>
            <w:tcW w:w="980" w:type="dxa"/>
          </w:tcPr>
          <w:p>
            <w:pPr>
              <w:pStyle w:val="TableParagraph"/>
              <w:spacing w:before="132"/>
              <w:ind w:left="154" w:right="145"/>
              <w:rPr>
                <w:rFonts w:ascii="Times New Roman"/>
                <w:sz w:val="21"/>
              </w:rPr>
            </w:pPr>
            <w:r>
              <w:rPr>
                <w:rFonts w:ascii="Times New Roman"/>
                <w:sz w:val="21"/>
              </w:rPr>
              <w:t>0.02</w:t>
            </w:r>
          </w:p>
        </w:tc>
      </w:tr>
    </w:tbl>
    <w:p>
      <w:pPr>
        <w:pStyle w:val="BodyText"/>
        <w:spacing w:line="364" w:lineRule="auto" w:before="2"/>
        <w:ind w:left="375" w:right="638" w:firstLine="480"/>
      </w:pPr>
      <w:r>
        <w:rPr>
          <w:spacing w:val="-10"/>
        </w:rPr>
        <w:t>综上所述，本项目生活污水、矿井涌水经处理后，出水水质可满足《煤矿井下消防、</w:t>
      </w:r>
      <w:r>
        <w:rPr>
          <w:spacing w:val="7"/>
        </w:rPr>
        <w:t>洒水设计规范》</w:t>
      </w:r>
      <w:r>
        <w:rPr/>
        <w:t>（</w:t>
      </w:r>
      <w:r>
        <w:rPr>
          <w:rFonts w:ascii="Times New Roman" w:eastAsia="Times New Roman"/>
        </w:rPr>
        <w:t>GB50383-2016</w:t>
      </w:r>
      <w:r>
        <w:rPr/>
        <w:t>）</w:t>
      </w:r>
      <w:r>
        <w:rPr>
          <w:spacing w:val="7"/>
        </w:rPr>
        <w:t>和《城市污水再生利用 城市杂用水水质》</w:t>
      </w:r>
      <w:r>
        <w:rPr/>
        <w:t>（</w:t>
      </w:r>
      <w:r>
        <w:rPr>
          <w:rFonts w:ascii="Times New Roman" w:eastAsia="Times New Roman"/>
        </w:rPr>
        <w:t>GB/T 18920-2002</w:t>
      </w:r>
      <w:r>
        <w:rPr/>
        <w:t>）要求，回用于生产、产尘环节洒水和非饮用生活用水是可行的。</w:t>
      </w:r>
    </w:p>
    <w:p>
      <w:pPr>
        <w:spacing w:after="0" w:line="364" w:lineRule="auto"/>
        <w:sectPr>
          <w:pgSz w:w="11910" w:h="16840"/>
          <w:pgMar w:header="0" w:footer="1169" w:top="1520" w:bottom="1360" w:left="1040" w:right="600"/>
        </w:sectPr>
      </w:pPr>
    </w:p>
    <w:p>
      <w:pPr>
        <w:pStyle w:val="BodyText"/>
        <w:rPr>
          <w:sz w:val="20"/>
        </w:rPr>
      </w:pPr>
    </w:p>
    <w:p>
      <w:pPr>
        <w:pStyle w:val="BodyText"/>
        <w:rPr>
          <w:sz w:val="20"/>
        </w:rPr>
      </w:pPr>
    </w:p>
    <w:p>
      <w:pPr>
        <w:pStyle w:val="BodyText"/>
        <w:spacing w:before="9"/>
        <w:rPr>
          <w:sz w:val="17"/>
        </w:rPr>
      </w:pPr>
    </w:p>
    <w:p>
      <w:pPr>
        <w:pStyle w:val="Heading1"/>
        <w:numPr>
          <w:ilvl w:val="1"/>
          <w:numId w:val="49"/>
        </w:numPr>
        <w:tabs>
          <w:tab w:pos="3633" w:val="left" w:leader="none"/>
        </w:tabs>
        <w:spacing w:line="240" w:lineRule="auto" w:before="61" w:after="0"/>
        <w:ind w:left="3632" w:right="380" w:hanging="3633"/>
        <w:jc w:val="left"/>
      </w:pPr>
      <w:bookmarkStart w:name="8.大气环境影响分析" w:id="511"/>
      <w:bookmarkEnd w:id="511"/>
      <w:r>
        <w:rPr>
          <w:b w:val="0"/>
        </w:rPr>
      </w:r>
      <w:bookmarkStart w:name="_bookmark38" w:id="512"/>
      <w:bookmarkEnd w:id="512"/>
      <w:r>
        <w:rPr>
          <w:b w:val="0"/>
        </w:rPr>
      </w:r>
      <w:bookmarkStart w:name="_bookmark38" w:id="513"/>
      <w:bookmarkEnd w:id="513"/>
      <w:r>
        <w:rPr/>
        <w:t>大气环境影响分析</w:t>
      </w:r>
    </w:p>
    <w:p>
      <w:pPr>
        <w:pStyle w:val="Heading2"/>
        <w:numPr>
          <w:ilvl w:val="1"/>
          <w:numId w:val="57"/>
        </w:numPr>
        <w:tabs>
          <w:tab w:pos="828" w:val="left" w:leader="none"/>
        </w:tabs>
        <w:spacing w:line="240" w:lineRule="auto" w:before="240" w:after="0"/>
        <w:ind w:left="827" w:right="0" w:hanging="453"/>
        <w:jc w:val="both"/>
        <w:rPr>
          <w:rFonts w:ascii="Times New Roman" w:eastAsia="Times New Roman"/>
        </w:rPr>
      </w:pPr>
      <w:bookmarkStart w:name="8.1评价工作等级及范围" w:id="514"/>
      <w:bookmarkEnd w:id="514"/>
      <w:r>
        <w:rPr>
          <w:b w:val="0"/>
        </w:rPr>
      </w:r>
      <w:bookmarkStart w:name="_bookmark39" w:id="515"/>
      <w:bookmarkEnd w:id="515"/>
      <w:r>
        <w:rPr>
          <w:b w:val="0"/>
        </w:rPr>
      </w:r>
      <w:bookmarkStart w:name="_bookmark39" w:id="516"/>
      <w:bookmarkEnd w:id="516"/>
      <w:r>
        <w:rPr/>
        <w:t>评价工作等级及范围</w:t>
      </w:r>
    </w:p>
    <w:p>
      <w:pPr>
        <w:pStyle w:val="BodyText"/>
        <w:spacing w:line="364" w:lineRule="auto" w:before="198"/>
        <w:ind w:left="375" w:right="638" w:firstLine="480"/>
      </w:pPr>
      <w:r>
        <w:rPr>
          <w:spacing w:val="-5"/>
        </w:rPr>
        <w:t>依据《环境影响评价技术导则 大气环境》</w:t>
      </w:r>
      <w:r>
        <w:rPr>
          <w:rFonts w:ascii="Times New Roman" w:hAnsi="Times New Roman" w:eastAsia="Times New Roman"/>
        </w:rPr>
        <w:t>(HJ2.2-2018)</w:t>
      </w:r>
      <w:r>
        <w:rPr>
          <w:spacing w:val="-9"/>
        </w:rPr>
        <w:t>中“</w:t>
      </w:r>
      <w:r>
        <w:rPr>
          <w:rFonts w:ascii="Times New Roman" w:hAnsi="Times New Roman" w:eastAsia="Times New Roman"/>
        </w:rPr>
        <w:t>5.3 </w:t>
      </w:r>
      <w:r>
        <w:rPr>
          <w:spacing w:val="-5"/>
        </w:rPr>
        <w:t>评价等级判定”，选</w:t>
      </w:r>
      <w:r>
        <w:rPr>
          <w:spacing w:val="-3"/>
        </w:rPr>
        <w:t>择正常排放的主要污染物及排放参数，采用附录 </w:t>
      </w:r>
      <w:r>
        <w:rPr>
          <w:rFonts w:ascii="Times New Roman" w:hAnsi="Times New Roman" w:eastAsia="Times New Roman"/>
        </w:rPr>
        <w:t>A </w:t>
      </w:r>
      <w:r>
        <w:rPr>
          <w:spacing w:val="-8"/>
        </w:rPr>
        <w:t>推荐模型中的 </w:t>
      </w:r>
      <w:r>
        <w:rPr>
          <w:rFonts w:ascii="Times New Roman" w:hAnsi="Times New Roman" w:eastAsia="Times New Roman"/>
        </w:rPr>
        <w:t>AERSCREEN </w:t>
      </w:r>
      <w:r>
        <w:rPr>
          <w:spacing w:val="1"/>
        </w:rPr>
        <w:t>模式分</w:t>
      </w:r>
      <w:r>
        <w:rPr>
          <w:spacing w:val="-13"/>
        </w:rPr>
        <w:t>别计算项目污染源的最大环境影响，然后按评价工作分级判据进行分级。详见 </w:t>
      </w:r>
      <w:r>
        <w:rPr>
          <w:rFonts w:ascii="Times New Roman" w:hAnsi="Times New Roman" w:eastAsia="Times New Roman"/>
        </w:rPr>
        <w:t>2.4.1 </w:t>
      </w:r>
      <w:r>
        <w:rPr>
          <w:spacing w:val="-5"/>
        </w:rPr>
        <w:t>章节。</w:t>
      </w:r>
      <w:bookmarkStart w:name="跟据《环境影响评价技术导则 大气环境》(HJ2.2-2018)，二级评价大气环境" w:id="517"/>
      <w:bookmarkEnd w:id="517"/>
      <w:r>
        <w:rPr>
          <w:spacing w:val="-5"/>
        </w:rPr>
      </w:r>
      <w:r>
        <w:rPr>
          <w:spacing w:val="-1"/>
        </w:rPr>
        <w:t>跟据《环境影响评价技术导则 大气环境》</w:t>
      </w:r>
      <w:r>
        <w:rPr>
          <w:rFonts w:ascii="Times New Roman" w:hAnsi="Times New Roman" w:eastAsia="Times New Roman"/>
        </w:rPr>
        <w:t>(HJ2.2-2018)</w:t>
      </w:r>
      <w:r>
        <w:rPr/>
        <w:t>，二级评价大气环境影响评价范</w:t>
      </w:r>
      <w:r>
        <w:rPr>
          <w:spacing w:val="-4"/>
        </w:rPr>
        <w:t>围：以项目厂址为中心区域，边长 </w:t>
      </w:r>
      <w:r>
        <w:rPr>
          <w:rFonts w:ascii="Times New Roman" w:hAnsi="Times New Roman" w:eastAsia="Times New Roman"/>
        </w:rPr>
        <w:t>5km </w:t>
      </w:r>
      <w:r>
        <w:rPr/>
        <w:t>的矩形区域。</w:t>
      </w:r>
    </w:p>
    <w:p>
      <w:pPr>
        <w:pStyle w:val="Heading2"/>
        <w:numPr>
          <w:ilvl w:val="1"/>
          <w:numId w:val="57"/>
        </w:numPr>
        <w:tabs>
          <w:tab w:pos="828" w:val="left" w:leader="none"/>
        </w:tabs>
        <w:spacing w:line="383" w:lineRule="exact" w:before="0" w:after="0"/>
        <w:ind w:left="827" w:right="0" w:hanging="453"/>
        <w:jc w:val="both"/>
        <w:rPr>
          <w:rFonts w:ascii="Times New Roman" w:eastAsia="Times New Roman"/>
        </w:rPr>
      </w:pPr>
      <w:bookmarkStart w:name="8.2环境空气质量现状评价" w:id="518"/>
      <w:bookmarkEnd w:id="518"/>
      <w:r>
        <w:rPr>
          <w:b w:val="0"/>
        </w:rPr>
      </w:r>
      <w:bookmarkStart w:name="_bookmark40" w:id="519"/>
      <w:bookmarkEnd w:id="519"/>
      <w:r>
        <w:rPr>
          <w:b w:val="0"/>
        </w:rPr>
      </w:r>
      <w:bookmarkStart w:name="_bookmark40" w:id="520"/>
      <w:bookmarkEnd w:id="520"/>
      <w:r>
        <w:rPr/>
        <w:t>环境空气质量现状评价</w:t>
      </w:r>
    </w:p>
    <w:p>
      <w:pPr>
        <w:pStyle w:val="BodyText"/>
        <w:spacing w:line="364" w:lineRule="auto" w:before="199"/>
        <w:ind w:left="375" w:right="758" w:firstLine="480"/>
        <w:jc w:val="both"/>
      </w:pPr>
      <w:r>
        <w:rPr>
          <w:spacing w:val="-2"/>
        </w:rPr>
        <w:t>环境空气质量常规污染物现状数据来源于双鸭山市人民政府网公示的《</w:t>
      </w:r>
      <w:r>
        <w:rPr>
          <w:rFonts w:ascii="Times New Roman" w:eastAsia="Times New Roman"/>
        </w:rPr>
        <w:t>2019 </w:t>
      </w:r>
      <w:r>
        <w:rPr>
          <w:spacing w:val="-6"/>
        </w:rPr>
        <w:t>年双鸭</w:t>
      </w:r>
      <w:r>
        <w:rPr>
          <w:spacing w:val="-1"/>
        </w:rPr>
        <w:t>山市环境空气质量状况》，环境空气质量特征污染物委托黑龙江康和检测有限公司提供</w:t>
      </w:r>
      <w:r>
        <w:rPr/>
        <w:t>的现状监测数据。</w:t>
      </w:r>
    </w:p>
    <w:p>
      <w:pPr>
        <w:pStyle w:val="BodyText"/>
        <w:spacing w:line="364" w:lineRule="auto"/>
        <w:ind w:left="375" w:right="757" w:firstLine="480"/>
        <w:jc w:val="both"/>
      </w:pPr>
      <w:r>
        <w:rPr>
          <w:spacing w:val="-5"/>
        </w:rPr>
        <w:t>根据《环境影响评价技术导则 大气环境》</w:t>
      </w:r>
      <w:r>
        <w:rPr/>
        <w:t>（</w:t>
      </w:r>
      <w:r>
        <w:rPr>
          <w:rFonts w:ascii="Times New Roman" w:eastAsia="Times New Roman"/>
        </w:rPr>
        <w:t>HJ2.2-2018</w:t>
      </w:r>
      <w:r>
        <w:rPr/>
        <w:t>）</w:t>
      </w:r>
      <w:r>
        <w:rPr>
          <w:spacing w:val="-2"/>
        </w:rPr>
        <w:t>中环境空气二级评价等级</w:t>
      </w:r>
      <w:r>
        <w:rPr>
          <w:spacing w:val="-1"/>
        </w:rPr>
        <w:t>要求和本项目生产规模、建设性质，结合本项目厂址周围地形特点、排污特征和评价范</w:t>
      </w:r>
      <w:r>
        <w:rPr/>
        <w:t>围内环境空气保护目标分布的情况对环境空气质量现状进行调查，并进行了补充监测。</w:t>
      </w:r>
    </w:p>
    <w:p>
      <w:pPr>
        <w:pStyle w:val="Heading3"/>
        <w:numPr>
          <w:ilvl w:val="2"/>
          <w:numId w:val="57"/>
        </w:numPr>
        <w:tabs>
          <w:tab w:pos="1008" w:val="left" w:leader="none"/>
        </w:tabs>
        <w:spacing w:line="240" w:lineRule="auto" w:before="0" w:after="0"/>
        <w:ind w:left="1007" w:right="0" w:hanging="633"/>
        <w:jc w:val="both"/>
      </w:pPr>
      <w:bookmarkStart w:name="8.2.1区域环境空气质量现状调查" w:id="521"/>
      <w:bookmarkEnd w:id="521"/>
      <w:r>
        <w:rPr>
          <w:b w:val="0"/>
        </w:rPr>
      </w:r>
      <w:bookmarkStart w:name="8.2.1区域环境空气质量现状调查" w:id="522"/>
      <w:bookmarkEnd w:id="522"/>
      <w:r>
        <w:rPr/>
        <w:t>区域环境空气质量现状调查</w:t>
      </w:r>
    </w:p>
    <w:p>
      <w:pPr>
        <w:pStyle w:val="BodyText"/>
        <w:spacing w:line="362" w:lineRule="auto" w:before="183"/>
        <w:ind w:left="375" w:right="751" w:firstLine="480"/>
        <w:jc w:val="both"/>
      </w:pPr>
      <w:r>
        <w:rPr>
          <w:spacing w:val="-2"/>
        </w:rPr>
        <w:t>根据双鸭山市人民政府网公示的《</w:t>
      </w:r>
      <w:r>
        <w:rPr>
          <w:rFonts w:ascii="Times New Roman" w:hAnsi="Times New Roman" w:eastAsia="Times New Roman"/>
        </w:rPr>
        <w:t>2019 </w:t>
      </w:r>
      <w:r>
        <w:rPr>
          <w:spacing w:val="-3"/>
        </w:rPr>
        <w:t>年双鸭山市环境空气质量状况》所示，</w:t>
      </w:r>
      <w:r>
        <w:rPr>
          <w:rFonts w:ascii="Times New Roman" w:hAnsi="Times New Roman" w:eastAsia="Times New Roman"/>
          <w:spacing w:val="-4"/>
        </w:rPr>
        <w:t>2019 </w:t>
      </w:r>
      <w:r>
        <w:rPr>
          <w:spacing w:val="-1"/>
          <w:position w:val="2"/>
        </w:rPr>
        <w:t>年双鸭山市环境空气质量现状为：</w:t>
      </w:r>
      <w:r>
        <w:rPr>
          <w:rFonts w:ascii="Times New Roman" w:hAnsi="Times New Roman" w:eastAsia="Times New Roman"/>
          <w:spacing w:val="-7"/>
          <w:position w:val="2"/>
        </w:rPr>
        <w:t>PM</w:t>
      </w:r>
      <w:r>
        <w:rPr>
          <w:rFonts w:ascii="Times New Roman" w:hAnsi="Times New Roman" w:eastAsia="Times New Roman"/>
          <w:spacing w:val="-7"/>
          <w:position w:val="2"/>
          <w:vertAlign w:val="subscript"/>
        </w:rPr>
        <w:t>2.5</w:t>
      </w:r>
      <w:r>
        <w:rPr>
          <w:rFonts w:ascii="Times New Roman" w:hAnsi="Times New Roman" w:eastAsia="Times New Roman"/>
          <w:spacing w:val="-7"/>
          <w:position w:val="2"/>
          <w:vertAlign w:val="baseline"/>
        </w:rPr>
        <w:t> </w:t>
      </w:r>
      <w:r>
        <w:rPr>
          <w:spacing w:val="-6"/>
          <w:position w:val="2"/>
          <w:vertAlign w:val="baseline"/>
        </w:rPr>
        <w:t>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3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w:t>
      </w:r>
      <w:r>
        <w:rPr>
          <w:spacing w:val="-4"/>
          <w:position w:val="2"/>
          <w:vertAlign w:val="baseline"/>
        </w:rPr>
        <w:t>全年平均浓度</w:t>
      </w:r>
      <w:r>
        <w:rPr>
          <w:spacing w:val="-17"/>
          <w:position w:val="2"/>
          <w:vertAlign w:val="baseline"/>
        </w:rPr>
        <w:t>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w:t>
      </w:r>
      <w:r>
        <w:rPr>
          <w:spacing w:val="-6"/>
          <w:position w:val="2"/>
          <w:vertAlign w:val="baseline"/>
        </w:rPr>
        <w:t>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w:t>
      </w:r>
      <w:r>
        <w:rPr>
          <w:spacing w:val="-6"/>
          <w:position w:val="2"/>
          <w:vertAlign w:val="baseline"/>
        </w:rPr>
        <w:t>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CO </w:t>
      </w:r>
      <w:r>
        <w:rPr>
          <w:spacing w:val="-14"/>
          <w:position w:val="2"/>
          <w:vertAlign w:val="baseline"/>
        </w:rPr>
        <w:t>全</w:t>
      </w:r>
      <w:r>
        <w:rPr>
          <w:spacing w:val="-8"/>
          <w:position w:val="2"/>
          <w:vertAlign w:val="baseline"/>
        </w:rPr>
        <w:t>年平均浓度值为 </w:t>
      </w:r>
      <w:r>
        <w:rPr>
          <w:rFonts w:ascii="Times New Roman" w:hAnsi="Times New Roman" w:eastAsia="Times New Roman"/>
          <w:position w:val="2"/>
          <w:vertAlign w:val="baseline"/>
        </w:rPr>
        <w:t>0.7mg/m</w:t>
      </w:r>
      <w:r>
        <w:rPr>
          <w:rFonts w:ascii="Times New Roman" w:hAnsi="Times New Roman" w:eastAsia="Times New Roman"/>
          <w:position w:val="2"/>
          <w:vertAlign w:val="superscript"/>
        </w:rPr>
        <w:t>3</w:t>
      </w:r>
      <w:r>
        <w:rPr>
          <w:spacing w:val="-9"/>
          <w:position w:val="2"/>
          <w:vertAlign w:val="baseline"/>
        </w:rPr>
        <w:t>，平均浓度第 </w:t>
      </w:r>
      <w:r>
        <w:rPr>
          <w:rFonts w:ascii="Times New Roman" w:hAnsi="Times New Roman" w:eastAsia="Times New Roman"/>
          <w:position w:val="2"/>
          <w:vertAlign w:val="baseline"/>
        </w:rPr>
        <w:t>95 </w:t>
      </w:r>
      <w:r>
        <w:rPr>
          <w:spacing w:val="-10"/>
          <w:position w:val="2"/>
          <w:vertAlign w:val="baseline"/>
        </w:rPr>
        <w:t>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8h </w:t>
      </w:r>
      <w:r>
        <w:rPr>
          <w:spacing w:val="-3"/>
          <w:position w:val="2"/>
          <w:vertAlign w:val="baseline"/>
        </w:rPr>
        <w:t>全年平均浓度值</w:t>
      </w:r>
      <w:r>
        <w:rPr>
          <w:spacing w:val="-29"/>
          <w:vertAlign w:val="baseline"/>
        </w:rPr>
        <w:t>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8"/>
          <w:vertAlign w:val="baseline"/>
        </w:rPr>
        <w:t>、平均浓度第 </w:t>
      </w:r>
      <w:r>
        <w:rPr>
          <w:rFonts w:ascii="Times New Roman" w:hAnsi="Times New Roman" w:eastAsia="Times New Roman"/>
          <w:vertAlign w:val="baseline"/>
        </w:rPr>
        <w:t>90 </w:t>
      </w:r>
      <w:r>
        <w:rPr>
          <w:spacing w:val="-10"/>
          <w:vertAlign w:val="baseline"/>
        </w:rPr>
        <w:t>百分位数为 </w:t>
      </w:r>
      <w:r>
        <w:rPr>
          <w:rFonts w:ascii="Times New Roman" w:hAnsi="Times New Roman" w:eastAsia="Times New Roman"/>
          <w:vertAlign w:val="baseline"/>
        </w:rPr>
        <w:t>102</w:t>
      </w:r>
      <w:r>
        <w:rPr>
          <w:vertAlign w:val="baseline"/>
        </w:rPr>
        <w:t>μ</w:t>
      </w:r>
      <w:r>
        <w:rPr>
          <w:rFonts w:ascii="Times New Roman" w:hAnsi="Times New Roman" w:eastAsia="Times New Roman"/>
          <w:vertAlign w:val="baseline"/>
        </w:rPr>
        <w:t>g/m3</w:t>
      </w:r>
      <w:r>
        <w:rPr>
          <w:vertAlign w:val="baseline"/>
        </w:rPr>
        <w:t>，总体评价达标，本项目区域空气质量现状评价见下表。</w:t>
      </w:r>
    </w:p>
    <w:p>
      <w:pPr>
        <w:spacing w:before="0" w:after="3"/>
        <w:ind w:left="86" w:right="41" w:firstLine="0"/>
        <w:jc w:val="center"/>
        <w:rPr>
          <w:b/>
          <w:sz w:val="21"/>
        </w:rPr>
      </w:pPr>
      <w:r>
        <w:rPr>
          <w:b/>
          <w:sz w:val="21"/>
        </w:rPr>
        <w:t>表 </w:t>
      </w:r>
      <w:r>
        <w:rPr>
          <w:rFonts w:ascii="Times New Roman" w:eastAsia="Times New Roman"/>
          <w:b/>
          <w:sz w:val="21"/>
        </w:rPr>
        <w:t>8.2-1  </w:t>
      </w:r>
      <w:r>
        <w:rPr>
          <w:b/>
          <w:sz w:val="21"/>
        </w:rPr>
        <w:t>区域空气质量现状评价表</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8"/>
        <w:gridCol w:w="3015"/>
        <w:gridCol w:w="1399"/>
        <w:gridCol w:w="1621"/>
        <w:gridCol w:w="991"/>
        <w:gridCol w:w="861"/>
      </w:tblGrid>
      <w:tr>
        <w:trPr>
          <w:trHeight w:val="545" w:hRule="atLeast"/>
        </w:trPr>
        <w:tc>
          <w:tcPr>
            <w:tcW w:w="968" w:type="dxa"/>
          </w:tcPr>
          <w:p>
            <w:pPr>
              <w:pStyle w:val="TableParagraph"/>
              <w:spacing w:before="136"/>
              <w:ind w:left="148" w:right="139"/>
              <w:rPr>
                <w:sz w:val="21"/>
              </w:rPr>
            </w:pPr>
            <w:r>
              <w:rPr>
                <w:sz w:val="21"/>
              </w:rPr>
              <w:t>污染物</w:t>
            </w:r>
          </w:p>
        </w:tc>
        <w:tc>
          <w:tcPr>
            <w:tcW w:w="3015" w:type="dxa"/>
          </w:tcPr>
          <w:p>
            <w:pPr>
              <w:pStyle w:val="TableParagraph"/>
              <w:spacing w:before="136"/>
              <w:ind w:left="37" w:right="30"/>
              <w:rPr>
                <w:sz w:val="21"/>
              </w:rPr>
            </w:pPr>
            <w:r>
              <w:rPr>
                <w:sz w:val="21"/>
              </w:rPr>
              <w:t>年评价指标</w:t>
            </w:r>
          </w:p>
        </w:tc>
        <w:tc>
          <w:tcPr>
            <w:tcW w:w="1399" w:type="dxa"/>
          </w:tcPr>
          <w:p>
            <w:pPr>
              <w:pStyle w:val="TableParagraph"/>
              <w:spacing w:line="268" w:lineRule="exact"/>
              <w:ind w:left="249"/>
              <w:jc w:val="left"/>
              <w:rPr>
                <w:rFonts w:ascii="Times New Roman" w:eastAsia="Times New Roman"/>
                <w:sz w:val="21"/>
              </w:rPr>
            </w:pPr>
            <w:r>
              <w:rPr>
                <w:w w:val="95"/>
                <w:sz w:val="21"/>
              </w:rPr>
              <w:t>现状浓度</w:t>
            </w:r>
            <w:r>
              <w:rPr>
                <w:rFonts w:ascii="Times New Roman" w:eastAsia="Times New Roman"/>
                <w:w w:val="95"/>
                <w:sz w:val="21"/>
              </w:rPr>
              <w:t>/</w:t>
            </w:r>
          </w:p>
          <w:p>
            <w:pPr>
              <w:pStyle w:val="TableParagraph"/>
              <w:spacing w:line="252" w:lineRule="exact" w:before="4"/>
              <w:ind w:left="23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621" w:type="dxa"/>
          </w:tcPr>
          <w:p>
            <w:pPr>
              <w:pStyle w:val="TableParagraph"/>
              <w:spacing w:line="268" w:lineRule="exact"/>
              <w:ind w:left="326" w:right="317"/>
              <w:rPr>
                <w:rFonts w:ascii="Times New Roman" w:eastAsia="Times New Roman"/>
                <w:sz w:val="21"/>
              </w:rPr>
            </w:pPr>
            <w:r>
              <w:rPr>
                <w:sz w:val="21"/>
              </w:rPr>
              <w:t>标准值</w:t>
            </w:r>
            <w:r>
              <w:rPr>
                <w:rFonts w:ascii="Times New Roman" w:eastAsia="Times New Roman"/>
                <w:sz w:val="21"/>
              </w:rPr>
              <w:t>/</w:t>
            </w:r>
          </w:p>
          <w:p>
            <w:pPr>
              <w:pStyle w:val="TableParagraph"/>
              <w:spacing w:line="252" w:lineRule="exact" w:before="4"/>
              <w:ind w:left="326" w:right="320"/>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991" w:type="dxa"/>
          </w:tcPr>
          <w:p>
            <w:pPr>
              <w:pStyle w:val="TableParagraph"/>
              <w:spacing w:before="16"/>
              <w:ind w:left="158" w:right="153"/>
              <w:rPr>
                <w:sz w:val="21"/>
              </w:rPr>
            </w:pPr>
            <w:r>
              <w:rPr>
                <w:sz w:val="21"/>
              </w:rPr>
              <w:t>占标率</w:t>
            </w:r>
          </w:p>
          <w:p>
            <w:pPr>
              <w:pStyle w:val="TableParagraph"/>
              <w:spacing w:line="238" w:lineRule="exact" w:before="1"/>
              <w:ind w:left="158" w:right="151"/>
              <w:rPr>
                <w:rFonts w:ascii="Times New Roman"/>
                <w:sz w:val="21"/>
              </w:rPr>
            </w:pPr>
            <w:r>
              <w:rPr>
                <w:rFonts w:ascii="Times New Roman"/>
                <w:sz w:val="21"/>
              </w:rPr>
              <w:t>/%</w:t>
            </w:r>
          </w:p>
        </w:tc>
        <w:tc>
          <w:tcPr>
            <w:tcW w:w="861" w:type="dxa"/>
          </w:tcPr>
          <w:p>
            <w:pPr>
              <w:pStyle w:val="TableParagraph"/>
              <w:spacing w:line="268" w:lineRule="exact"/>
              <w:ind w:left="93" w:right="87"/>
              <w:rPr>
                <w:sz w:val="21"/>
              </w:rPr>
            </w:pPr>
            <w:r>
              <w:rPr>
                <w:sz w:val="21"/>
              </w:rPr>
              <w:t>达标情</w:t>
            </w:r>
          </w:p>
          <w:p>
            <w:pPr>
              <w:pStyle w:val="TableParagraph"/>
              <w:spacing w:line="252" w:lineRule="exact" w:before="4"/>
              <w:ind w:left="9"/>
              <w:rPr>
                <w:sz w:val="21"/>
              </w:rPr>
            </w:pPr>
            <w:r>
              <w:rPr>
                <w:w w:val="99"/>
                <w:sz w:val="21"/>
              </w:rPr>
              <w:t>况</w:t>
            </w:r>
          </w:p>
        </w:tc>
      </w:tr>
      <w:tr>
        <w:trPr>
          <w:trHeight w:val="272" w:hRule="atLeast"/>
        </w:trPr>
        <w:tc>
          <w:tcPr>
            <w:tcW w:w="968" w:type="dxa"/>
          </w:tcPr>
          <w:p>
            <w:pPr>
              <w:pStyle w:val="TableParagraph"/>
              <w:spacing w:line="240" w:lineRule="exact" w:before="11"/>
              <w:ind w:left="148" w:right="138"/>
              <w:rPr>
                <w:rFonts w:ascii="Times New Roman"/>
                <w:sz w:val="21"/>
              </w:rPr>
            </w:pPr>
            <w:r>
              <w:rPr>
                <w:rFonts w:ascii="Times New Roman"/>
                <w:position w:val="2"/>
                <w:sz w:val="21"/>
              </w:rPr>
              <w:t>SO</w:t>
            </w:r>
            <w:r>
              <w:rPr>
                <w:rFonts w:ascii="Times New Roman"/>
                <w:position w:val="2"/>
                <w:sz w:val="21"/>
                <w:vertAlign w:val="subscript"/>
              </w:rPr>
              <w:t>2</w:t>
            </w:r>
          </w:p>
        </w:tc>
        <w:tc>
          <w:tcPr>
            <w:tcW w:w="3015" w:type="dxa"/>
          </w:tcPr>
          <w:p>
            <w:pPr>
              <w:pStyle w:val="TableParagraph"/>
              <w:spacing w:line="251" w:lineRule="exact" w:before="1"/>
              <w:ind w:left="37" w:right="32"/>
              <w:rPr>
                <w:sz w:val="21"/>
              </w:rPr>
            </w:pPr>
            <w:r>
              <w:rPr>
                <w:sz w:val="21"/>
              </w:rPr>
              <w:t>年平均质量浓度</w:t>
            </w:r>
          </w:p>
        </w:tc>
        <w:tc>
          <w:tcPr>
            <w:tcW w:w="1399" w:type="dxa"/>
          </w:tcPr>
          <w:p>
            <w:pPr>
              <w:pStyle w:val="TableParagraph"/>
              <w:spacing w:line="237" w:lineRule="exact" w:before="15"/>
              <w:ind w:left="11"/>
              <w:rPr>
                <w:rFonts w:ascii="Times New Roman"/>
                <w:sz w:val="21"/>
              </w:rPr>
            </w:pPr>
            <w:r>
              <w:rPr>
                <w:rFonts w:ascii="Times New Roman"/>
                <w:w w:val="99"/>
                <w:sz w:val="21"/>
              </w:rPr>
              <w:t>8</w:t>
            </w:r>
          </w:p>
        </w:tc>
        <w:tc>
          <w:tcPr>
            <w:tcW w:w="1621" w:type="dxa"/>
          </w:tcPr>
          <w:p>
            <w:pPr>
              <w:pStyle w:val="TableParagraph"/>
              <w:spacing w:line="237" w:lineRule="exact" w:before="15"/>
              <w:ind w:left="326" w:right="316"/>
              <w:rPr>
                <w:rFonts w:ascii="Times New Roman"/>
                <w:sz w:val="21"/>
              </w:rPr>
            </w:pPr>
            <w:r>
              <w:rPr>
                <w:rFonts w:ascii="Times New Roman"/>
                <w:sz w:val="21"/>
              </w:rPr>
              <w:t>60</w:t>
            </w:r>
          </w:p>
        </w:tc>
        <w:tc>
          <w:tcPr>
            <w:tcW w:w="991" w:type="dxa"/>
          </w:tcPr>
          <w:p>
            <w:pPr>
              <w:pStyle w:val="TableParagraph"/>
              <w:spacing w:line="237" w:lineRule="exact" w:before="15"/>
              <w:ind w:left="158" w:right="149"/>
              <w:rPr>
                <w:rFonts w:ascii="Times New Roman"/>
                <w:sz w:val="21"/>
              </w:rPr>
            </w:pPr>
            <w:r>
              <w:rPr>
                <w:rFonts w:ascii="Times New Roman"/>
                <w:sz w:val="21"/>
              </w:rPr>
              <w:t>13.33</w:t>
            </w:r>
          </w:p>
        </w:tc>
        <w:tc>
          <w:tcPr>
            <w:tcW w:w="861" w:type="dxa"/>
          </w:tcPr>
          <w:p>
            <w:pPr>
              <w:pStyle w:val="TableParagraph"/>
              <w:spacing w:line="251" w:lineRule="exact" w:before="1"/>
              <w:ind w:left="93" w:right="87"/>
              <w:rPr>
                <w:sz w:val="21"/>
              </w:rPr>
            </w:pPr>
            <w:r>
              <w:rPr>
                <w:sz w:val="21"/>
              </w:rPr>
              <w:t>达标</w:t>
            </w:r>
          </w:p>
        </w:tc>
      </w:tr>
      <w:tr>
        <w:trPr>
          <w:trHeight w:val="272" w:hRule="atLeast"/>
        </w:trPr>
        <w:tc>
          <w:tcPr>
            <w:tcW w:w="968" w:type="dxa"/>
          </w:tcPr>
          <w:p>
            <w:pPr>
              <w:pStyle w:val="TableParagraph"/>
              <w:spacing w:line="241" w:lineRule="exact" w:before="10"/>
              <w:ind w:left="148" w:right="138"/>
              <w:rPr>
                <w:rFonts w:ascii="Times New Roman"/>
                <w:sz w:val="21"/>
              </w:rPr>
            </w:pPr>
            <w:r>
              <w:rPr>
                <w:rFonts w:ascii="Times New Roman"/>
                <w:position w:val="2"/>
                <w:sz w:val="21"/>
              </w:rPr>
              <w:t>NO</w:t>
            </w:r>
            <w:r>
              <w:rPr>
                <w:rFonts w:ascii="Times New Roman"/>
                <w:position w:val="2"/>
                <w:sz w:val="21"/>
                <w:vertAlign w:val="subscript"/>
              </w:rPr>
              <w:t>2</w:t>
            </w:r>
          </w:p>
        </w:tc>
        <w:tc>
          <w:tcPr>
            <w:tcW w:w="3015" w:type="dxa"/>
          </w:tcPr>
          <w:p>
            <w:pPr>
              <w:pStyle w:val="TableParagraph"/>
              <w:spacing w:line="252" w:lineRule="exact"/>
              <w:ind w:left="37" w:right="32"/>
              <w:rPr>
                <w:sz w:val="21"/>
              </w:rPr>
            </w:pPr>
            <w:r>
              <w:rPr>
                <w:sz w:val="21"/>
              </w:rPr>
              <w:t>年平均质量浓度</w:t>
            </w:r>
          </w:p>
        </w:tc>
        <w:tc>
          <w:tcPr>
            <w:tcW w:w="1399" w:type="dxa"/>
          </w:tcPr>
          <w:p>
            <w:pPr>
              <w:pStyle w:val="TableParagraph"/>
              <w:spacing w:line="238" w:lineRule="exact" w:before="13"/>
              <w:ind w:left="466" w:right="460"/>
              <w:rPr>
                <w:rFonts w:ascii="Times New Roman"/>
                <w:sz w:val="21"/>
              </w:rPr>
            </w:pPr>
            <w:r>
              <w:rPr>
                <w:rFonts w:ascii="Times New Roman"/>
                <w:sz w:val="21"/>
              </w:rPr>
              <w:t>15</w:t>
            </w:r>
          </w:p>
        </w:tc>
        <w:tc>
          <w:tcPr>
            <w:tcW w:w="1621" w:type="dxa"/>
          </w:tcPr>
          <w:p>
            <w:pPr>
              <w:pStyle w:val="TableParagraph"/>
              <w:spacing w:line="238" w:lineRule="exact" w:before="13"/>
              <w:ind w:left="326" w:right="316"/>
              <w:rPr>
                <w:rFonts w:ascii="Times New Roman"/>
                <w:sz w:val="21"/>
              </w:rPr>
            </w:pPr>
            <w:r>
              <w:rPr>
                <w:rFonts w:ascii="Times New Roman"/>
                <w:sz w:val="21"/>
              </w:rPr>
              <w:t>40</w:t>
            </w:r>
          </w:p>
        </w:tc>
        <w:tc>
          <w:tcPr>
            <w:tcW w:w="991" w:type="dxa"/>
          </w:tcPr>
          <w:p>
            <w:pPr>
              <w:pStyle w:val="TableParagraph"/>
              <w:spacing w:line="238" w:lineRule="exact" w:before="13"/>
              <w:ind w:left="158" w:right="149"/>
              <w:rPr>
                <w:rFonts w:ascii="Times New Roman"/>
                <w:sz w:val="21"/>
              </w:rPr>
            </w:pPr>
            <w:r>
              <w:rPr>
                <w:rFonts w:ascii="Times New Roman"/>
                <w:sz w:val="21"/>
              </w:rPr>
              <w:t>37.5</w:t>
            </w:r>
          </w:p>
        </w:tc>
        <w:tc>
          <w:tcPr>
            <w:tcW w:w="861" w:type="dxa"/>
          </w:tcPr>
          <w:p>
            <w:pPr>
              <w:pStyle w:val="TableParagraph"/>
              <w:spacing w:line="252" w:lineRule="exact"/>
              <w:ind w:left="93" w:right="87"/>
              <w:rPr>
                <w:sz w:val="21"/>
              </w:rPr>
            </w:pPr>
            <w:r>
              <w:rPr>
                <w:sz w:val="21"/>
              </w:rPr>
              <w:t>达标</w:t>
            </w:r>
          </w:p>
        </w:tc>
      </w:tr>
      <w:tr>
        <w:trPr>
          <w:trHeight w:val="272" w:hRule="atLeast"/>
        </w:trPr>
        <w:tc>
          <w:tcPr>
            <w:tcW w:w="968" w:type="dxa"/>
          </w:tcPr>
          <w:p>
            <w:pPr>
              <w:pStyle w:val="TableParagraph"/>
              <w:spacing w:line="241" w:lineRule="exact" w:before="11"/>
              <w:ind w:left="148" w:right="136"/>
              <w:rPr>
                <w:rFonts w:ascii="Times New Roman"/>
                <w:sz w:val="21"/>
              </w:rPr>
            </w:pPr>
            <w:r>
              <w:rPr>
                <w:rFonts w:ascii="Times New Roman"/>
                <w:position w:val="2"/>
                <w:sz w:val="21"/>
              </w:rPr>
              <w:t>PM</w:t>
            </w:r>
            <w:r>
              <w:rPr>
                <w:rFonts w:ascii="Times New Roman"/>
                <w:position w:val="2"/>
                <w:sz w:val="21"/>
                <w:vertAlign w:val="subscript"/>
              </w:rPr>
              <w:t>10</w:t>
            </w:r>
          </w:p>
        </w:tc>
        <w:tc>
          <w:tcPr>
            <w:tcW w:w="3015" w:type="dxa"/>
          </w:tcPr>
          <w:p>
            <w:pPr>
              <w:pStyle w:val="TableParagraph"/>
              <w:spacing w:line="252" w:lineRule="exact" w:before="1"/>
              <w:ind w:left="37" w:right="32"/>
              <w:rPr>
                <w:sz w:val="21"/>
              </w:rPr>
            </w:pPr>
            <w:r>
              <w:rPr>
                <w:sz w:val="21"/>
              </w:rPr>
              <w:t>年平均质量浓度</w:t>
            </w:r>
          </w:p>
        </w:tc>
        <w:tc>
          <w:tcPr>
            <w:tcW w:w="1399" w:type="dxa"/>
          </w:tcPr>
          <w:p>
            <w:pPr>
              <w:pStyle w:val="TableParagraph"/>
              <w:spacing w:line="238" w:lineRule="exact" w:before="15"/>
              <w:ind w:left="466" w:right="460"/>
              <w:rPr>
                <w:rFonts w:ascii="Times New Roman"/>
                <w:sz w:val="21"/>
              </w:rPr>
            </w:pPr>
            <w:r>
              <w:rPr>
                <w:rFonts w:ascii="Times New Roman"/>
                <w:sz w:val="21"/>
              </w:rPr>
              <w:t>50</w:t>
            </w:r>
          </w:p>
        </w:tc>
        <w:tc>
          <w:tcPr>
            <w:tcW w:w="1621" w:type="dxa"/>
          </w:tcPr>
          <w:p>
            <w:pPr>
              <w:pStyle w:val="TableParagraph"/>
              <w:spacing w:line="238" w:lineRule="exact" w:before="15"/>
              <w:ind w:left="326" w:right="316"/>
              <w:rPr>
                <w:rFonts w:ascii="Times New Roman"/>
                <w:sz w:val="21"/>
              </w:rPr>
            </w:pPr>
            <w:r>
              <w:rPr>
                <w:rFonts w:ascii="Times New Roman"/>
                <w:sz w:val="21"/>
              </w:rPr>
              <w:t>70</w:t>
            </w:r>
          </w:p>
        </w:tc>
        <w:tc>
          <w:tcPr>
            <w:tcW w:w="991" w:type="dxa"/>
          </w:tcPr>
          <w:p>
            <w:pPr>
              <w:pStyle w:val="TableParagraph"/>
              <w:spacing w:line="238" w:lineRule="exact" w:before="15"/>
              <w:ind w:left="158" w:right="149"/>
              <w:rPr>
                <w:rFonts w:ascii="Times New Roman"/>
                <w:sz w:val="21"/>
              </w:rPr>
            </w:pPr>
            <w:r>
              <w:rPr>
                <w:rFonts w:ascii="Times New Roman"/>
                <w:sz w:val="21"/>
              </w:rPr>
              <w:t>71.43</w:t>
            </w:r>
          </w:p>
        </w:tc>
        <w:tc>
          <w:tcPr>
            <w:tcW w:w="861" w:type="dxa"/>
          </w:tcPr>
          <w:p>
            <w:pPr>
              <w:pStyle w:val="TableParagraph"/>
              <w:spacing w:line="252" w:lineRule="exact" w:before="1"/>
              <w:ind w:left="93" w:right="87"/>
              <w:rPr>
                <w:sz w:val="21"/>
              </w:rPr>
            </w:pPr>
            <w:r>
              <w:rPr>
                <w:sz w:val="21"/>
              </w:rPr>
              <w:t>达标</w:t>
            </w:r>
          </w:p>
        </w:tc>
      </w:tr>
      <w:tr>
        <w:trPr>
          <w:trHeight w:val="272" w:hRule="atLeast"/>
        </w:trPr>
        <w:tc>
          <w:tcPr>
            <w:tcW w:w="968" w:type="dxa"/>
          </w:tcPr>
          <w:p>
            <w:pPr>
              <w:pStyle w:val="TableParagraph"/>
              <w:spacing w:line="240" w:lineRule="exact" w:before="12"/>
              <w:ind w:left="148" w:right="136"/>
              <w:rPr>
                <w:rFonts w:ascii="Times New Roman"/>
                <w:sz w:val="13"/>
              </w:rPr>
            </w:pPr>
            <w:r>
              <w:rPr>
                <w:rFonts w:ascii="Times New Roman"/>
                <w:w w:val="105"/>
                <w:position w:val="2"/>
                <w:sz w:val="21"/>
              </w:rPr>
              <w:t>PM</w:t>
            </w:r>
            <w:r>
              <w:rPr>
                <w:rFonts w:ascii="Times New Roman"/>
                <w:w w:val="105"/>
                <w:sz w:val="13"/>
              </w:rPr>
              <w:t>2.5</w:t>
            </w:r>
          </w:p>
        </w:tc>
        <w:tc>
          <w:tcPr>
            <w:tcW w:w="3015" w:type="dxa"/>
          </w:tcPr>
          <w:p>
            <w:pPr>
              <w:pStyle w:val="TableParagraph"/>
              <w:spacing w:line="251" w:lineRule="exact" w:before="1"/>
              <w:ind w:left="37" w:right="32"/>
              <w:rPr>
                <w:sz w:val="21"/>
              </w:rPr>
            </w:pPr>
            <w:r>
              <w:rPr>
                <w:sz w:val="21"/>
              </w:rPr>
              <w:t>年平均质量浓度</w:t>
            </w:r>
          </w:p>
        </w:tc>
        <w:tc>
          <w:tcPr>
            <w:tcW w:w="1399" w:type="dxa"/>
          </w:tcPr>
          <w:p>
            <w:pPr>
              <w:pStyle w:val="TableParagraph"/>
              <w:spacing w:line="237" w:lineRule="exact" w:before="15"/>
              <w:ind w:left="466" w:right="460"/>
              <w:rPr>
                <w:rFonts w:ascii="Times New Roman"/>
                <w:sz w:val="21"/>
              </w:rPr>
            </w:pPr>
            <w:r>
              <w:rPr>
                <w:rFonts w:ascii="Times New Roman"/>
                <w:sz w:val="21"/>
              </w:rPr>
              <w:t>29</w:t>
            </w:r>
          </w:p>
        </w:tc>
        <w:tc>
          <w:tcPr>
            <w:tcW w:w="1621" w:type="dxa"/>
          </w:tcPr>
          <w:p>
            <w:pPr>
              <w:pStyle w:val="TableParagraph"/>
              <w:spacing w:line="237" w:lineRule="exact" w:before="15"/>
              <w:ind w:left="326" w:right="316"/>
              <w:rPr>
                <w:rFonts w:ascii="Times New Roman"/>
                <w:sz w:val="21"/>
              </w:rPr>
            </w:pPr>
            <w:r>
              <w:rPr>
                <w:rFonts w:ascii="Times New Roman"/>
                <w:sz w:val="21"/>
              </w:rPr>
              <w:t>35</w:t>
            </w:r>
          </w:p>
        </w:tc>
        <w:tc>
          <w:tcPr>
            <w:tcW w:w="991" w:type="dxa"/>
          </w:tcPr>
          <w:p>
            <w:pPr>
              <w:pStyle w:val="TableParagraph"/>
              <w:spacing w:line="237" w:lineRule="exact" w:before="15"/>
              <w:ind w:left="158" w:right="149"/>
              <w:rPr>
                <w:rFonts w:ascii="Times New Roman"/>
                <w:sz w:val="21"/>
              </w:rPr>
            </w:pPr>
            <w:r>
              <w:rPr>
                <w:rFonts w:ascii="Times New Roman"/>
                <w:sz w:val="21"/>
              </w:rPr>
              <w:t>82.86</w:t>
            </w:r>
          </w:p>
        </w:tc>
        <w:tc>
          <w:tcPr>
            <w:tcW w:w="861" w:type="dxa"/>
          </w:tcPr>
          <w:p>
            <w:pPr>
              <w:pStyle w:val="TableParagraph"/>
              <w:spacing w:line="251" w:lineRule="exact" w:before="1"/>
              <w:ind w:left="93" w:right="87"/>
              <w:rPr>
                <w:sz w:val="21"/>
              </w:rPr>
            </w:pPr>
            <w:r>
              <w:rPr>
                <w:sz w:val="21"/>
              </w:rPr>
              <w:t>达标</w:t>
            </w:r>
          </w:p>
        </w:tc>
      </w:tr>
      <w:tr>
        <w:trPr>
          <w:trHeight w:val="270" w:hRule="atLeast"/>
        </w:trPr>
        <w:tc>
          <w:tcPr>
            <w:tcW w:w="968" w:type="dxa"/>
          </w:tcPr>
          <w:p>
            <w:pPr>
              <w:pStyle w:val="TableParagraph"/>
              <w:spacing w:line="236" w:lineRule="exact" w:before="14"/>
              <w:ind w:left="145" w:right="139"/>
              <w:rPr>
                <w:rFonts w:ascii="Times New Roman"/>
                <w:sz w:val="21"/>
              </w:rPr>
            </w:pPr>
            <w:r>
              <w:rPr>
                <w:rFonts w:ascii="Times New Roman"/>
                <w:sz w:val="21"/>
              </w:rPr>
              <w:t>CO</w:t>
            </w:r>
          </w:p>
        </w:tc>
        <w:tc>
          <w:tcPr>
            <w:tcW w:w="3015" w:type="dxa"/>
          </w:tcPr>
          <w:p>
            <w:pPr>
              <w:pStyle w:val="TableParagraph"/>
              <w:spacing w:line="250" w:lineRule="exact"/>
              <w:ind w:left="37" w:right="30"/>
              <w:rPr>
                <w:sz w:val="21"/>
              </w:rPr>
            </w:pPr>
            <w:r>
              <w:rPr>
                <w:rFonts w:ascii="Times New Roman" w:eastAsia="Times New Roman"/>
                <w:sz w:val="21"/>
              </w:rPr>
              <w:t>24 </w:t>
            </w:r>
            <w:r>
              <w:rPr>
                <w:sz w:val="21"/>
              </w:rPr>
              <w:t>小时平均第 </w:t>
            </w:r>
            <w:r>
              <w:rPr>
                <w:rFonts w:ascii="Times New Roman" w:eastAsia="Times New Roman"/>
                <w:sz w:val="21"/>
              </w:rPr>
              <w:t>95 </w:t>
            </w:r>
            <w:r>
              <w:rPr>
                <w:sz w:val="21"/>
              </w:rPr>
              <w:t>百分位数</w:t>
            </w:r>
          </w:p>
        </w:tc>
        <w:tc>
          <w:tcPr>
            <w:tcW w:w="1399" w:type="dxa"/>
          </w:tcPr>
          <w:p>
            <w:pPr>
              <w:pStyle w:val="TableParagraph"/>
              <w:spacing w:line="236" w:lineRule="exact" w:before="14"/>
              <w:ind w:left="468" w:right="460"/>
              <w:rPr>
                <w:rFonts w:ascii="Times New Roman"/>
                <w:sz w:val="21"/>
              </w:rPr>
            </w:pPr>
            <w:r>
              <w:rPr>
                <w:rFonts w:ascii="Times New Roman"/>
                <w:sz w:val="21"/>
              </w:rPr>
              <w:t>1400</w:t>
            </w:r>
          </w:p>
        </w:tc>
        <w:tc>
          <w:tcPr>
            <w:tcW w:w="1621" w:type="dxa"/>
          </w:tcPr>
          <w:p>
            <w:pPr>
              <w:pStyle w:val="TableParagraph"/>
              <w:spacing w:line="236" w:lineRule="exact" w:before="14"/>
              <w:ind w:left="326" w:right="316"/>
              <w:rPr>
                <w:rFonts w:ascii="Times New Roman"/>
                <w:sz w:val="21"/>
              </w:rPr>
            </w:pPr>
            <w:r>
              <w:rPr>
                <w:rFonts w:ascii="Times New Roman"/>
                <w:sz w:val="21"/>
              </w:rPr>
              <w:t>4000</w:t>
            </w:r>
          </w:p>
        </w:tc>
        <w:tc>
          <w:tcPr>
            <w:tcW w:w="991" w:type="dxa"/>
          </w:tcPr>
          <w:p>
            <w:pPr>
              <w:pStyle w:val="TableParagraph"/>
              <w:spacing w:line="236" w:lineRule="exact" w:before="14"/>
              <w:ind w:left="158" w:right="149"/>
              <w:rPr>
                <w:rFonts w:ascii="Times New Roman"/>
                <w:sz w:val="21"/>
              </w:rPr>
            </w:pPr>
            <w:r>
              <w:rPr>
                <w:rFonts w:ascii="Times New Roman"/>
                <w:sz w:val="21"/>
              </w:rPr>
              <w:t>35</w:t>
            </w:r>
          </w:p>
        </w:tc>
        <w:tc>
          <w:tcPr>
            <w:tcW w:w="861" w:type="dxa"/>
          </w:tcPr>
          <w:p>
            <w:pPr>
              <w:pStyle w:val="TableParagraph"/>
              <w:spacing w:line="250" w:lineRule="exact"/>
              <w:ind w:left="93" w:right="87"/>
              <w:rPr>
                <w:sz w:val="21"/>
              </w:rPr>
            </w:pPr>
            <w:r>
              <w:rPr>
                <w:sz w:val="21"/>
              </w:rPr>
              <w:t>达标</w:t>
            </w:r>
          </w:p>
        </w:tc>
      </w:tr>
    </w:tbl>
    <w:p>
      <w:pPr>
        <w:spacing w:after="0" w:line="250" w:lineRule="exact"/>
        <w:rPr>
          <w:sz w:val="21"/>
        </w:rPr>
        <w:sectPr>
          <w:pgSz w:w="11910" w:h="16840"/>
          <w:pgMar w:header="0" w:footer="1169" w:top="1580" w:bottom="1360" w:left="1040" w:right="600"/>
        </w:sect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8"/>
        <w:gridCol w:w="3015"/>
        <w:gridCol w:w="1399"/>
        <w:gridCol w:w="1621"/>
        <w:gridCol w:w="991"/>
        <w:gridCol w:w="861"/>
      </w:tblGrid>
      <w:tr>
        <w:trPr>
          <w:trHeight w:val="545" w:hRule="atLeast"/>
        </w:trPr>
        <w:tc>
          <w:tcPr>
            <w:tcW w:w="968" w:type="dxa"/>
          </w:tcPr>
          <w:p>
            <w:pPr>
              <w:pStyle w:val="TableParagraph"/>
              <w:spacing w:before="148"/>
              <w:ind w:left="147" w:right="139"/>
              <w:rPr>
                <w:rFonts w:ascii="Times New Roman"/>
                <w:sz w:val="21"/>
              </w:rPr>
            </w:pPr>
            <w:r>
              <w:rPr>
                <w:rFonts w:ascii="Times New Roman"/>
                <w:position w:val="2"/>
                <w:sz w:val="21"/>
              </w:rPr>
              <w:t>O</w:t>
            </w:r>
            <w:r>
              <w:rPr>
                <w:rFonts w:ascii="Times New Roman"/>
                <w:position w:val="2"/>
                <w:sz w:val="21"/>
                <w:vertAlign w:val="subscript"/>
              </w:rPr>
              <w:t>3</w:t>
            </w:r>
          </w:p>
        </w:tc>
        <w:tc>
          <w:tcPr>
            <w:tcW w:w="3015" w:type="dxa"/>
          </w:tcPr>
          <w:p>
            <w:pPr>
              <w:pStyle w:val="TableParagraph"/>
              <w:ind w:left="37" w:right="40"/>
              <w:rPr>
                <w:rFonts w:ascii="Times New Roman" w:eastAsia="Times New Roman"/>
                <w:sz w:val="21"/>
              </w:rPr>
            </w:pPr>
            <w:r>
              <w:rPr>
                <w:sz w:val="21"/>
              </w:rPr>
              <w:t>最大 </w:t>
            </w:r>
            <w:r>
              <w:rPr>
                <w:rFonts w:ascii="Times New Roman" w:eastAsia="Times New Roman"/>
                <w:sz w:val="21"/>
              </w:rPr>
              <w:t>8 </w:t>
            </w:r>
            <w:r>
              <w:rPr>
                <w:sz w:val="21"/>
              </w:rPr>
              <w:t>小时滑动平均值的第 </w:t>
            </w:r>
            <w:r>
              <w:rPr>
                <w:rFonts w:ascii="Times New Roman" w:eastAsia="Times New Roman"/>
                <w:sz w:val="21"/>
              </w:rPr>
              <w:t>90</w:t>
            </w:r>
          </w:p>
          <w:p>
            <w:pPr>
              <w:pStyle w:val="TableParagraph"/>
              <w:spacing w:line="253" w:lineRule="exact" w:before="3"/>
              <w:ind w:left="37" w:right="30"/>
              <w:rPr>
                <w:sz w:val="21"/>
              </w:rPr>
            </w:pPr>
            <w:r>
              <w:rPr>
                <w:sz w:val="21"/>
              </w:rPr>
              <w:t>百分位数</w:t>
            </w:r>
          </w:p>
        </w:tc>
        <w:tc>
          <w:tcPr>
            <w:tcW w:w="1399" w:type="dxa"/>
          </w:tcPr>
          <w:p>
            <w:pPr>
              <w:pStyle w:val="TableParagraph"/>
              <w:spacing w:before="151"/>
              <w:ind w:left="468" w:right="457"/>
              <w:rPr>
                <w:rFonts w:ascii="Times New Roman"/>
                <w:sz w:val="21"/>
              </w:rPr>
            </w:pPr>
            <w:r>
              <w:rPr>
                <w:rFonts w:ascii="Times New Roman"/>
                <w:sz w:val="21"/>
              </w:rPr>
              <w:t>102</w:t>
            </w:r>
          </w:p>
        </w:tc>
        <w:tc>
          <w:tcPr>
            <w:tcW w:w="1621" w:type="dxa"/>
          </w:tcPr>
          <w:p>
            <w:pPr>
              <w:pStyle w:val="TableParagraph"/>
              <w:spacing w:before="151"/>
              <w:ind w:left="326" w:right="316"/>
              <w:rPr>
                <w:rFonts w:ascii="Times New Roman"/>
                <w:sz w:val="21"/>
              </w:rPr>
            </w:pPr>
            <w:r>
              <w:rPr>
                <w:rFonts w:ascii="Times New Roman"/>
                <w:sz w:val="21"/>
              </w:rPr>
              <w:t>160</w:t>
            </w:r>
          </w:p>
        </w:tc>
        <w:tc>
          <w:tcPr>
            <w:tcW w:w="991" w:type="dxa"/>
          </w:tcPr>
          <w:p>
            <w:pPr>
              <w:pStyle w:val="TableParagraph"/>
              <w:spacing w:before="151"/>
              <w:ind w:left="258"/>
              <w:jc w:val="left"/>
              <w:rPr>
                <w:rFonts w:ascii="Times New Roman"/>
                <w:sz w:val="21"/>
              </w:rPr>
            </w:pPr>
            <w:r>
              <w:rPr>
                <w:rFonts w:ascii="Times New Roman"/>
                <w:sz w:val="21"/>
              </w:rPr>
              <w:t>63.75</w:t>
            </w:r>
          </w:p>
        </w:tc>
        <w:tc>
          <w:tcPr>
            <w:tcW w:w="861" w:type="dxa"/>
          </w:tcPr>
          <w:p>
            <w:pPr>
              <w:pStyle w:val="TableParagraph"/>
              <w:spacing w:before="135"/>
              <w:ind w:left="219"/>
              <w:jc w:val="left"/>
              <w:rPr>
                <w:sz w:val="21"/>
              </w:rPr>
            </w:pPr>
            <w:r>
              <w:rPr>
                <w:sz w:val="21"/>
              </w:rPr>
              <w:t>达标</w:t>
            </w:r>
          </w:p>
        </w:tc>
      </w:tr>
    </w:tbl>
    <w:p>
      <w:pPr>
        <w:pStyle w:val="BodyText"/>
        <w:spacing w:line="364" w:lineRule="auto" w:before="5"/>
        <w:ind w:left="375" w:right="758" w:firstLine="480"/>
        <w:jc w:val="both"/>
      </w:pPr>
      <w:r>
        <w:rPr>
          <w:spacing w:val="-6"/>
        </w:rPr>
        <w:t>根据《</w:t>
      </w:r>
      <w:r>
        <w:rPr>
          <w:rFonts w:ascii="Times New Roman" w:eastAsia="Times New Roman"/>
        </w:rPr>
        <w:t>2019 </w:t>
      </w:r>
      <w:r>
        <w:rPr>
          <w:spacing w:val="-4"/>
        </w:rPr>
        <w:t>年双鸭山市环境空气质量状况》中相关数据，双鸭山市区域基本污染物</w:t>
      </w:r>
      <w:r>
        <w:rPr/>
        <w:t>均符合《环境空气质量标准》（</w:t>
      </w:r>
      <w:r>
        <w:rPr>
          <w:rFonts w:ascii="Times New Roman" w:eastAsia="Times New Roman"/>
        </w:rPr>
        <w:t>GB3095-2012</w:t>
      </w:r>
      <w:r>
        <w:rPr/>
        <w:t>）中二级标准要求，区域属于环境空气质量达标区。</w:t>
      </w:r>
    </w:p>
    <w:p>
      <w:pPr>
        <w:pStyle w:val="Heading3"/>
        <w:numPr>
          <w:ilvl w:val="2"/>
          <w:numId w:val="57"/>
        </w:numPr>
        <w:tabs>
          <w:tab w:pos="1008" w:val="left" w:leader="none"/>
        </w:tabs>
        <w:spacing w:line="240" w:lineRule="auto" w:before="1" w:after="0"/>
        <w:ind w:left="1007" w:right="0" w:hanging="633"/>
        <w:jc w:val="left"/>
      </w:pPr>
      <w:bookmarkStart w:name="8.2.2环境空气质量现状补充监测" w:id="523"/>
      <w:bookmarkEnd w:id="523"/>
      <w:r>
        <w:rPr>
          <w:b w:val="0"/>
        </w:rPr>
      </w:r>
      <w:bookmarkStart w:name="8.2.2环境空气质量现状补充监测" w:id="524"/>
      <w:bookmarkEnd w:id="524"/>
      <w:r>
        <w:rPr/>
        <w:t>环境空气质量现状补充监测</w:t>
      </w:r>
    </w:p>
    <w:p>
      <w:pPr>
        <w:pStyle w:val="BodyText"/>
        <w:spacing w:before="185"/>
        <w:ind w:left="856"/>
      </w:pPr>
      <w:r>
        <w:rPr>
          <w:rFonts w:ascii="Times New Roman" w:eastAsia="Times New Roman"/>
        </w:rPr>
        <w:t>1</w:t>
      </w:r>
      <w:r>
        <w:rPr/>
        <w:t>、监测范围</w:t>
      </w:r>
    </w:p>
    <w:p>
      <w:pPr>
        <w:pStyle w:val="BodyText"/>
        <w:spacing w:before="158"/>
        <w:ind w:left="856"/>
      </w:pPr>
      <w:r>
        <w:rPr/>
        <w:t>根据本项目地理位置及评价范围，即以工业广场场区为中心边长 </w:t>
      </w:r>
      <w:r>
        <w:rPr>
          <w:rFonts w:ascii="Times New Roman" w:eastAsia="Times New Roman"/>
        </w:rPr>
        <w:t>5km </w:t>
      </w:r>
      <w:r>
        <w:rPr/>
        <w:t>的矩形区域。</w:t>
      </w:r>
    </w:p>
    <w:p>
      <w:pPr>
        <w:pStyle w:val="BodyText"/>
        <w:spacing w:before="158"/>
        <w:ind w:left="856"/>
      </w:pPr>
      <w:r>
        <w:rPr>
          <w:rFonts w:ascii="Times New Roman" w:eastAsia="Times New Roman"/>
        </w:rPr>
        <w:t>2</w:t>
      </w:r>
      <w:r>
        <w:rPr/>
        <w:t>、监测点位及监测因子</w:t>
      </w:r>
    </w:p>
    <w:p>
      <w:pPr>
        <w:pStyle w:val="BodyText"/>
        <w:spacing w:line="364" w:lineRule="auto" w:before="160"/>
        <w:ind w:left="375" w:right="757" w:firstLine="480"/>
        <w:jc w:val="both"/>
      </w:pPr>
      <w:r>
        <w:rPr>
          <w:spacing w:val="-5"/>
        </w:rPr>
        <w:t>根据《环境影响评价技术导则 大气环境》</w:t>
      </w:r>
      <w:r>
        <w:rPr/>
        <w:t>（</w:t>
      </w:r>
      <w:r>
        <w:rPr>
          <w:rFonts w:ascii="Times New Roman" w:eastAsia="Times New Roman"/>
        </w:rPr>
        <w:t>HJ2.2-2018</w:t>
      </w:r>
      <w:r>
        <w:rPr/>
        <w:t>）</w:t>
      </w:r>
      <w:r>
        <w:rPr>
          <w:spacing w:val="-2"/>
        </w:rPr>
        <w:t>要求及本项目大气环境影</w:t>
      </w:r>
      <w:r>
        <w:rPr>
          <w:spacing w:val="-1"/>
        </w:rPr>
        <w:t>响评价等级，结合厂址结合本项目厂址周围地形特点、排污特征和评价范围内有环境空</w:t>
      </w:r>
      <w:r>
        <w:rPr>
          <w:spacing w:val="-3"/>
        </w:rPr>
        <w:t>气保护目标东兴村分布的情况，本次评价共布设 </w:t>
      </w:r>
      <w:r>
        <w:rPr>
          <w:rFonts w:ascii="Times New Roman" w:eastAsia="Times New Roman"/>
        </w:rPr>
        <w:t>2 </w:t>
      </w:r>
      <w:r>
        <w:rPr>
          <w:spacing w:val="-1"/>
        </w:rPr>
        <w:t>个环境空气监测点，其他污染物补充</w:t>
      </w:r>
      <w:r>
        <w:rPr>
          <w:spacing w:val="-4"/>
        </w:rPr>
        <w:t>监测点位基本信息表及监测因子见表 </w:t>
      </w:r>
      <w:r>
        <w:rPr>
          <w:rFonts w:ascii="Times New Roman" w:eastAsia="Times New Roman"/>
        </w:rPr>
        <w:t>8.2-1</w:t>
      </w:r>
      <w:r>
        <w:rPr/>
        <w:t>。</w:t>
      </w:r>
    </w:p>
    <w:p>
      <w:pPr>
        <w:pStyle w:val="Heading4"/>
        <w:spacing w:line="305" w:lineRule="exact"/>
        <w:ind w:left="2500"/>
        <w:jc w:val="both"/>
      </w:pPr>
      <w:r>
        <w:rPr/>
        <w:t>表 </w:t>
      </w:r>
      <w:r>
        <w:rPr>
          <w:rFonts w:ascii="Times New Roman" w:eastAsia="Times New Roman"/>
        </w:rPr>
        <w:t>8.2-1 </w:t>
      </w:r>
      <w:r>
        <w:rPr/>
        <w:t>其他污染物补充监测点位基本信息表</w:t>
      </w:r>
    </w:p>
    <w:p>
      <w:pPr>
        <w:pStyle w:val="BodyText"/>
        <w:spacing w:before="5"/>
        <w:rPr>
          <w:b/>
          <w:sz w:val="12"/>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
        <w:gridCol w:w="2400"/>
        <w:gridCol w:w="1554"/>
        <w:gridCol w:w="1554"/>
        <w:gridCol w:w="1555"/>
        <w:gridCol w:w="1553"/>
      </w:tblGrid>
      <w:tr>
        <w:trPr>
          <w:trHeight w:val="545" w:hRule="atLeast"/>
        </w:trPr>
        <w:tc>
          <w:tcPr>
            <w:tcW w:w="728" w:type="dxa"/>
          </w:tcPr>
          <w:p>
            <w:pPr>
              <w:pStyle w:val="TableParagraph"/>
              <w:spacing w:before="135"/>
              <w:ind w:left="133" w:right="124"/>
              <w:rPr>
                <w:sz w:val="21"/>
              </w:rPr>
            </w:pPr>
            <w:r>
              <w:rPr>
                <w:sz w:val="21"/>
              </w:rPr>
              <w:t>编号</w:t>
            </w:r>
          </w:p>
        </w:tc>
        <w:tc>
          <w:tcPr>
            <w:tcW w:w="2400" w:type="dxa"/>
          </w:tcPr>
          <w:p>
            <w:pPr>
              <w:pStyle w:val="TableParagraph"/>
              <w:spacing w:before="135"/>
              <w:ind w:left="548" w:right="540"/>
              <w:rPr>
                <w:sz w:val="21"/>
              </w:rPr>
            </w:pPr>
            <w:r>
              <w:rPr>
                <w:sz w:val="21"/>
              </w:rPr>
              <w:t>监测点位</w:t>
            </w:r>
          </w:p>
        </w:tc>
        <w:tc>
          <w:tcPr>
            <w:tcW w:w="1554" w:type="dxa"/>
          </w:tcPr>
          <w:p>
            <w:pPr>
              <w:pStyle w:val="TableParagraph"/>
              <w:spacing w:before="135"/>
              <w:ind w:left="355"/>
              <w:jc w:val="left"/>
              <w:rPr>
                <w:sz w:val="21"/>
              </w:rPr>
            </w:pPr>
            <w:r>
              <w:rPr>
                <w:sz w:val="21"/>
              </w:rPr>
              <w:t>监测因子</w:t>
            </w:r>
          </w:p>
        </w:tc>
        <w:tc>
          <w:tcPr>
            <w:tcW w:w="1554" w:type="dxa"/>
          </w:tcPr>
          <w:p>
            <w:pPr>
              <w:pStyle w:val="TableParagraph"/>
              <w:spacing w:before="135"/>
              <w:ind w:left="356"/>
              <w:jc w:val="left"/>
              <w:rPr>
                <w:sz w:val="21"/>
              </w:rPr>
            </w:pPr>
            <w:r>
              <w:rPr>
                <w:sz w:val="21"/>
              </w:rPr>
              <w:t>检测时段</w:t>
            </w:r>
          </w:p>
        </w:tc>
        <w:tc>
          <w:tcPr>
            <w:tcW w:w="1555" w:type="dxa"/>
          </w:tcPr>
          <w:p>
            <w:pPr>
              <w:pStyle w:val="TableParagraph"/>
              <w:spacing w:before="135"/>
              <w:ind w:left="125" w:right="119"/>
              <w:rPr>
                <w:sz w:val="21"/>
              </w:rPr>
            </w:pPr>
            <w:r>
              <w:rPr>
                <w:sz w:val="21"/>
              </w:rPr>
              <w:t>相对厂址方位</w:t>
            </w:r>
          </w:p>
        </w:tc>
        <w:tc>
          <w:tcPr>
            <w:tcW w:w="1553" w:type="dxa"/>
          </w:tcPr>
          <w:p>
            <w:pPr>
              <w:pStyle w:val="TableParagraph"/>
              <w:ind w:left="217" w:right="235"/>
              <w:rPr>
                <w:sz w:val="21"/>
              </w:rPr>
            </w:pPr>
            <w:r>
              <w:rPr>
                <w:sz w:val="21"/>
              </w:rPr>
              <w:t>相对厂界距</w:t>
            </w:r>
          </w:p>
          <w:p>
            <w:pPr>
              <w:pStyle w:val="TableParagraph"/>
              <w:spacing w:line="251" w:lineRule="exact" w:before="5"/>
              <w:ind w:left="217" w:right="221"/>
              <w:rPr>
                <w:rFonts w:ascii="Times New Roman" w:eastAsia="Times New Roman"/>
                <w:sz w:val="21"/>
              </w:rPr>
            </w:pPr>
            <w:r>
              <w:rPr>
                <w:sz w:val="21"/>
              </w:rPr>
              <w:t>离 </w:t>
            </w:r>
            <w:r>
              <w:rPr>
                <w:rFonts w:ascii="Times New Roman" w:eastAsia="Times New Roman"/>
                <w:sz w:val="21"/>
              </w:rPr>
              <w:t>m</w:t>
            </w:r>
          </w:p>
        </w:tc>
      </w:tr>
      <w:tr>
        <w:trPr>
          <w:trHeight w:val="397" w:hRule="atLeast"/>
        </w:trPr>
        <w:tc>
          <w:tcPr>
            <w:tcW w:w="728" w:type="dxa"/>
          </w:tcPr>
          <w:p>
            <w:pPr>
              <w:pStyle w:val="TableParagraph"/>
              <w:spacing w:before="76"/>
              <w:ind w:left="132" w:right="124"/>
              <w:rPr>
                <w:rFonts w:ascii="Times New Roman"/>
                <w:sz w:val="21"/>
              </w:rPr>
            </w:pPr>
            <w:r>
              <w:rPr>
                <w:rFonts w:ascii="Times New Roman"/>
                <w:sz w:val="21"/>
              </w:rPr>
              <w:t>1#</w:t>
            </w:r>
          </w:p>
        </w:tc>
        <w:tc>
          <w:tcPr>
            <w:tcW w:w="2400" w:type="dxa"/>
          </w:tcPr>
          <w:p>
            <w:pPr>
              <w:pStyle w:val="TableParagraph"/>
              <w:spacing w:before="62"/>
              <w:ind w:left="548" w:right="542"/>
              <w:rPr>
                <w:sz w:val="21"/>
              </w:rPr>
            </w:pPr>
            <w:r>
              <w:rPr>
                <w:sz w:val="21"/>
              </w:rPr>
              <w:t>工业广场厂址</w:t>
            </w:r>
          </w:p>
        </w:tc>
        <w:tc>
          <w:tcPr>
            <w:tcW w:w="1554" w:type="dxa"/>
            <w:vMerge w:val="restart"/>
          </w:tcPr>
          <w:p>
            <w:pPr>
              <w:pStyle w:val="TableParagraph"/>
              <w:spacing w:before="11"/>
              <w:jc w:val="left"/>
              <w:rPr>
                <w:b/>
                <w:sz w:val="21"/>
              </w:rPr>
            </w:pPr>
          </w:p>
          <w:p>
            <w:pPr>
              <w:pStyle w:val="TableParagraph"/>
              <w:ind w:left="167" w:right="159"/>
              <w:rPr>
                <w:rFonts w:ascii="Times New Roman"/>
                <w:sz w:val="21"/>
              </w:rPr>
            </w:pPr>
            <w:r>
              <w:rPr>
                <w:rFonts w:ascii="Times New Roman"/>
                <w:sz w:val="21"/>
              </w:rPr>
              <w:t>TSP</w:t>
            </w:r>
          </w:p>
        </w:tc>
        <w:tc>
          <w:tcPr>
            <w:tcW w:w="1554" w:type="dxa"/>
            <w:vMerge w:val="restart"/>
          </w:tcPr>
          <w:p>
            <w:pPr>
              <w:pStyle w:val="TableParagraph"/>
              <w:spacing w:before="144"/>
              <w:ind w:left="167" w:right="181"/>
              <w:rPr>
                <w:sz w:val="21"/>
              </w:rPr>
            </w:pPr>
            <w:r>
              <w:rPr>
                <w:rFonts w:ascii="Times New Roman" w:eastAsia="Times New Roman"/>
                <w:sz w:val="21"/>
              </w:rPr>
              <w:t>2020.06.12</w:t>
            </w:r>
            <w:r>
              <w:rPr>
                <w:sz w:val="21"/>
              </w:rPr>
              <w:t>～</w:t>
            </w:r>
          </w:p>
          <w:p>
            <w:pPr>
              <w:pStyle w:val="TableParagraph"/>
              <w:spacing w:before="4"/>
              <w:ind w:left="167" w:right="173"/>
              <w:rPr>
                <w:rFonts w:ascii="Times New Roman"/>
                <w:sz w:val="21"/>
              </w:rPr>
            </w:pPr>
            <w:r>
              <w:rPr>
                <w:rFonts w:ascii="Times New Roman"/>
                <w:sz w:val="21"/>
              </w:rPr>
              <w:t>2020.06.18</w:t>
            </w:r>
          </w:p>
        </w:tc>
        <w:tc>
          <w:tcPr>
            <w:tcW w:w="1555" w:type="dxa"/>
          </w:tcPr>
          <w:p>
            <w:pPr>
              <w:pStyle w:val="TableParagraph"/>
              <w:spacing w:before="62"/>
              <w:ind w:left="101" w:right="119"/>
              <w:rPr>
                <w:sz w:val="21"/>
              </w:rPr>
            </w:pPr>
            <w:r>
              <w:rPr>
                <w:sz w:val="21"/>
              </w:rPr>
              <w:t>厂区内</w:t>
            </w:r>
          </w:p>
        </w:tc>
        <w:tc>
          <w:tcPr>
            <w:tcW w:w="1553" w:type="dxa"/>
          </w:tcPr>
          <w:p>
            <w:pPr>
              <w:pStyle w:val="TableParagraph"/>
              <w:spacing w:before="76"/>
              <w:ind w:right="1"/>
              <w:rPr>
                <w:rFonts w:ascii="Times New Roman"/>
                <w:sz w:val="21"/>
              </w:rPr>
            </w:pPr>
            <w:r>
              <w:rPr>
                <w:rFonts w:ascii="Times New Roman"/>
                <w:w w:val="99"/>
                <w:sz w:val="21"/>
              </w:rPr>
              <w:t>-</w:t>
            </w:r>
          </w:p>
        </w:tc>
      </w:tr>
      <w:tr>
        <w:trPr>
          <w:trHeight w:val="397" w:hRule="atLeast"/>
        </w:trPr>
        <w:tc>
          <w:tcPr>
            <w:tcW w:w="728" w:type="dxa"/>
          </w:tcPr>
          <w:p>
            <w:pPr>
              <w:pStyle w:val="TableParagraph"/>
              <w:spacing w:before="75"/>
              <w:ind w:left="132" w:right="124"/>
              <w:rPr>
                <w:rFonts w:ascii="Times New Roman"/>
                <w:sz w:val="21"/>
              </w:rPr>
            </w:pPr>
            <w:r>
              <w:rPr>
                <w:rFonts w:ascii="Times New Roman"/>
                <w:sz w:val="21"/>
              </w:rPr>
              <w:t>2#</w:t>
            </w:r>
          </w:p>
        </w:tc>
        <w:tc>
          <w:tcPr>
            <w:tcW w:w="2400" w:type="dxa"/>
          </w:tcPr>
          <w:p>
            <w:pPr>
              <w:pStyle w:val="TableParagraph"/>
              <w:spacing w:before="61"/>
              <w:ind w:left="548" w:right="541"/>
              <w:rPr>
                <w:rFonts w:ascii="Times New Roman" w:eastAsia="Times New Roman"/>
                <w:sz w:val="21"/>
              </w:rPr>
            </w:pPr>
            <w:r>
              <w:rPr>
                <w:sz w:val="21"/>
              </w:rPr>
              <w:t>下风向 </w:t>
            </w:r>
            <w:r>
              <w:rPr>
                <w:rFonts w:ascii="Times New Roman" w:eastAsia="Times New Roman"/>
                <w:sz w:val="21"/>
              </w:rPr>
              <w:t>500m</w:t>
            </w:r>
          </w:p>
        </w:tc>
        <w:tc>
          <w:tcPr>
            <w:tcW w:w="1554" w:type="dxa"/>
            <w:vMerge/>
            <w:tcBorders>
              <w:top w:val="nil"/>
            </w:tcBorders>
          </w:tcPr>
          <w:p>
            <w:pPr>
              <w:rPr>
                <w:sz w:val="2"/>
                <w:szCs w:val="2"/>
              </w:rPr>
            </w:pPr>
          </w:p>
        </w:tc>
        <w:tc>
          <w:tcPr>
            <w:tcW w:w="1554" w:type="dxa"/>
            <w:vMerge/>
            <w:tcBorders>
              <w:top w:val="nil"/>
            </w:tcBorders>
          </w:tcPr>
          <w:p>
            <w:pPr>
              <w:rPr>
                <w:sz w:val="2"/>
                <w:szCs w:val="2"/>
              </w:rPr>
            </w:pPr>
          </w:p>
        </w:tc>
        <w:tc>
          <w:tcPr>
            <w:tcW w:w="1555" w:type="dxa"/>
          </w:tcPr>
          <w:p>
            <w:pPr>
              <w:pStyle w:val="TableParagraph"/>
              <w:spacing w:before="75"/>
              <w:ind w:left="114" w:right="119"/>
              <w:rPr>
                <w:rFonts w:ascii="Times New Roman"/>
                <w:sz w:val="21"/>
              </w:rPr>
            </w:pPr>
            <w:r>
              <w:rPr>
                <w:rFonts w:ascii="Times New Roman"/>
                <w:sz w:val="21"/>
              </w:rPr>
              <w:t>SW</w:t>
            </w:r>
          </w:p>
        </w:tc>
        <w:tc>
          <w:tcPr>
            <w:tcW w:w="1553" w:type="dxa"/>
          </w:tcPr>
          <w:p>
            <w:pPr>
              <w:pStyle w:val="TableParagraph"/>
              <w:spacing w:before="75"/>
              <w:ind w:left="217" w:right="223"/>
              <w:rPr>
                <w:rFonts w:ascii="Times New Roman"/>
                <w:sz w:val="21"/>
              </w:rPr>
            </w:pPr>
            <w:r>
              <w:rPr>
                <w:rFonts w:ascii="Times New Roman"/>
                <w:sz w:val="21"/>
              </w:rPr>
              <w:t>500m</w:t>
            </w:r>
          </w:p>
        </w:tc>
      </w:tr>
    </w:tbl>
    <w:p>
      <w:pPr>
        <w:pStyle w:val="BodyText"/>
        <w:spacing w:before="1"/>
        <w:ind w:left="856"/>
      </w:pPr>
      <w:r>
        <w:rPr>
          <w:rFonts w:ascii="Times New Roman" w:eastAsia="Times New Roman"/>
        </w:rPr>
        <w:t>3</w:t>
      </w:r>
      <w:r>
        <w:rPr/>
        <w:t>、监测采样时间、频率</w:t>
      </w:r>
    </w:p>
    <w:p>
      <w:pPr>
        <w:pStyle w:val="BodyText"/>
        <w:spacing w:line="362" w:lineRule="auto" w:before="160"/>
        <w:ind w:left="856" w:right="4541"/>
      </w:pPr>
      <w:r>
        <w:rPr/>
        <w:t>监测时间：</w:t>
      </w:r>
      <w:r>
        <w:rPr>
          <w:rFonts w:ascii="Times New Roman" w:eastAsia="Times New Roman"/>
        </w:rPr>
        <w:t>2020.06.12</w:t>
      </w:r>
      <w:r>
        <w:rPr/>
        <w:t>～</w:t>
      </w:r>
      <w:r>
        <w:rPr>
          <w:rFonts w:ascii="Times New Roman" w:eastAsia="Times New Roman"/>
        </w:rPr>
        <w:t>2020.06.18</w:t>
      </w:r>
      <w:r>
        <w:rPr/>
        <w:t>，连续 </w:t>
      </w:r>
      <w:r>
        <w:rPr>
          <w:rFonts w:ascii="Times New Roman" w:eastAsia="Times New Roman"/>
        </w:rPr>
        <w:t>7 </w:t>
      </w:r>
      <w:r>
        <w:rPr/>
        <w:t>天频率：</w:t>
      </w:r>
      <w:r>
        <w:rPr>
          <w:rFonts w:ascii="Times New Roman" w:eastAsia="Times New Roman"/>
        </w:rPr>
        <w:t>TSP </w:t>
      </w:r>
      <w:r>
        <w:rPr/>
        <w:t>采样为每天 </w:t>
      </w:r>
      <w:r>
        <w:rPr>
          <w:rFonts w:ascii="Times New Roman" w:eastAsia="Times New Roman"/>
        </w:rPr>
        <w:t>24h</w:t>
      </w:r>
      <w:r>
        <w:rPr/>
        <w:t>。</w:t>
      </w:r>
    </w:p>
    <w:p>
      <w:pPr>
        <w:pStyle w:val="BodyText"/>
        <w:spacing w:before="5"/>
        <w:ind w:left="856"/>
      </w:pPr>
      <w:r>
        <w:rPr>
          <w:rFonts w:ascii="Times New Roman" w:eastAsia="Times New Roman"/>
        </w:rPr>
        <w:t>4</w:t>
      </w:r>
      <w:r>
        <w:rPr/>
        <w:t>、监测分析方法</w:t>
      </w:r>
    </w:p>
    <w:p>
      <w:pPr>
        <w:spacing w:line="364" w:lineRule="auto" w:before="158"/>
        <w:ind w:left="2680" w:right="2608" w:hanging="1824"/>
        <w:jc w:val="left"/>
        <w:rPr>
          <w:b/>
          <w:sz w:val="24"/>
        </w:rPr>
      </w:pPr>
      <w:r>
        <w:rPr>
          <w:spacing w:val="-3"/>
          <w:sz w:val="24"/>
        </w:rPr>
        <w:t>监测分析方法及使用仪器采样及监测分析方法，具体见表 </w:t>
      </w:r>
      <w:r>
        <w:rPr>
          <w:rFonts w:ascii="Times New Roman" w:eastAsia="Times New Roman"/>
          <w:sz w:val="24"/>
        </w:rPr>
        <w:t>8.2-2</w:t>
      </w:r>
      <w:r>
        <w:rPr>
          <w:spacing w:val="-17"/>
          <w:sz w:val="24"/>
        </w:rPr>
        <w:t>。</w:t>
      </w:r>
      <w:r>
        <w:rPr>
          <w:b/>
          <w:spacing w:val="-31"/>
          <w:sz w:val="24"/>
        </w:rPr>
        <w:t>表 </w:t>
      </w:r>
      <w:r>
        <w:rPr>
          <w:rFonts w:ascii="Times New Roman" w:eastAsia="Times New Roman"/>
          <w:b/>
          <w:sz w:val="24"/>
        </w:rPr>
        <w:t>8.2-2</w:t>
      </w:r>
      <w:r>
        <w:rPr>
          <w:rFonts w:ascii="Times New Roman" w:eastAsia="Times New Roman"/>
          <w:b/>
          <w:spacing w:val="59"/>
          <w:sz w:val="24"/>
        </w:rPr>
        <w:t> </w:t>
      </w:r>
      <w:r>
        <w:rPr>
          <w:b/>
          <w:sz w:val="24"/>
        </w:rPr>
        <w:t>监测分析方法及最低检出限一览表</w:t>
      </w:r>
    </w:p>
    <w:tbl>
      <w:tblPr>
        <w:tblW w:w="0" w:type="auto"/>
        <w:jc w:val="left"/>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2358"/>
        <w:gridCol w:w="3765"/>
      </w:tblGrid>
      <w:tr>
        <w:trPr>
          <w:trHeight w:val="283" w:hRule="atLeast"/>
        </w:trPr>
        <w:tc>
          <w:tcPr>
            <w:tcW w:w="3061" w:type="dxa"/>
          </w:tcPr>
          <w:p>
            <w:pPr>
              <w:pStyle w:val="TableParagraph"/>
              <w:spacing w:line="258" w:lineRule="exact" w:before="6"/>
              <w:ind w:left="1299" w:right="1292"/>
              <w:rPr>
                <w:sz w:val="21"/>
              </w:rPr>
            </w:pPr>
            <w:r>
              <w:rPr>
                <w:sz w:val="21"/>
              </w:rPr>
              <w:t>类别</w:t>
            </w:r>
          </w:p>
        </w:tc>
        <w:tc>
          <w:tcPr>
            <w:tcW w:w="2358" w:type="dxa"/>
          </w:tcPr>
          <w:p>
            <w:pPr>
              <w:pStyle w:val="TableParagraph"/>
              <w:spacing w:line="258" w:lineRule="exact" w:before="6"/>
              <w:ind w:left="947" w:right="940"/>
              <w:rPr>
                <w:sz w:val="21"/>
              </w:rPr>
            </w:pPr>
            <w:r>
              <w:rPr>
                <w:sz w:val="21"/>
              </w:rPr>
              <w:t>项目</w:t>
            </w:r>
          </w:p>
        </w:tc>
        <w:tc>
          <w:tcPr>
            <w:tcW w:w="3765" w:type="dxa"/>
          </w:tcPr>
          <w:p>
            <w:pPr>
              <w:pStyle w:val="TableParagraph"/>
              <w:spacing w:line="258" w:lineRule="exact" w:before="6"/>
              <w:ind w:left="76" w:right="69"/>
              <w:rPr>
                <w:sz w:val="21"/>
              </w:rPr>
            </w:pPr>
            <w:r>
              <w:rPr>
                <w:sz w:val="21"/>
              </w:rPr>
              <w:t>方法名称</w:t>
            </w:r>
          </w:p>
        </w:tc>
      </w:tr>
      <w:tr>
        <w:trPr>
          <w:trHeight w:val="747" w:hRule="atLeast"/>
        </w:trPr>
        <w:tc>
          <w:tcPr>
            <w:tcW w:w="3061" w:type="dxa"/>
          </w:tcPr>
          <w:p>
            <w:pPr>
              <w:pStyle w:val="TableParagraph"/>
              <w:spacing w:line="244" w:lineRule="auto" w:before="101"/>
              <w:ind w:left="1320" w:right="1310"/>
              <w:rPr>
                <w:sz w:val="21"/>
              </w:rPr>
            </w:pPr>
            <w:r>
              <w:rPr>
                <w:sz w:val="21"/>
              </w:rPr>
              <w:t>环境空气</w:t>
            </w:r>
          </w:p>
        </w:tc>
        <w:tc>
          <w:tcPr>
            <w:tcW w:w="2358" w:type="dxa"/>
          </w:tcPr>
          <w:p>
            <w:pPr>
              <w:pStyle w:val="TableParagraph"/>
              <w:spacing w:before="8"/>
              <w:jc w:val="left"/>
              <w:rPr>
                <w:b/>
                <w:sz w:val="19"/>
              </w:rPr>
            </w:pPr>
          </w:p>
          <w:p>
            <w:pPr>
              <w:pStyle w:val="TableParagraph"/>
              <w:ind w:left="947" w:right="939"/>
              <w:rPr>
                <w:rFonts w:ascii="Times New Roman"/>
                <w:sz w:val="21"/>
              </w:rPr>
            </w:pPr>
            <w:r>
              <w:rPr>
                <w:rFonts w:ascii="Times New Roman"/>
                <w:sz w:val="21"/>
              </w:rPr>
              <w:t>TSP</w:t>
            </w:r>
          </w:p>
        </w:tc>
        <w:tc>
          <w:tcPr>
            <w:tcW w:w="3765" w:type="dxa"/>
          </w:tcPr>
          <w:p>
            <w:pPr>
              <w:pStyle w:val="TableParagraph"/>
              <w:spacing w:before="101"/>
              <w:ind w:left="76" w:right="69"/>
              <w:rPr>
                <w:sz w:val="21"/>
              </w:rPr>
            </w:pPr>
            <w:r>
              <w:rPr>
                <w:sz w:val="21"/>
              </w:rPr>
              <w:t>环境空气 总悬浮颗粒物的测定 重量法</w:t>
            </w:r>
          </w:p>
          <w:p>
            <w:pPr>
              <w:pStyle w:val="TableParagraph"/>
              <w:spacing w:before="4"/>
              <w:ind w:left="76" w:right="65"/>
              <w:rPr>
                <w:sz w:val="21"/>
              </w:rPr>
            </w:pPr>
            <w:r>
              <w:rPr>
                <w:rFonts w:ascii="Times New Roman" w:eastAsia="Times New Roman"/>
                <w:sz w:val="21"/>
              </w:rPr>
              <w:t>GB/T 15432-1995 </w:t>
            </w:r>
            <w:r>
              <w:rPr>
                <w:sz w:val="21"/>
              </w:rPr>
              <w:t>及修改单</w:t>
            </w:r>
          </w:p>
        </w:tc>
      </w:tr>
    </w:tbl>
    <w:p>
      <w:pPr>
        <w:pStyle w:val="BodyText"/>
        <w:spacing w:before="2"/>
        <w:ind w:left="856"/>
      </w:pPr>
      <w:r>
        <w:rPr>
          <w:rFonts w:ascii="Times New Roman" w:eastAsia="Times New Roman"/>
        </w:rPr>
        <w:t>5</w:t>
      </w:r>
      <w:r>
        <w:rPr/>
        <w:t>、环境空气监测结果</w:t>
      </w:r>
    </w:p>
    <w:p>
      <w:pPr>
        <w:pStyle w:val="BodyText"/>
        <w:spacing w:before="158"/>
        <w:ind w:left="856"/>
      </w:pPr>
      <w:r>
        <w:rPr/>
        <w:t>环境空气监测结果见表 </w:t>
      </w:r>
      <w:r>
        <w:rPr>
          <w:rFonts w:ascii="Times New Roman" w:eastAsia="Times New Roman"/>
        </w:rPr>
        <w:t>8.2-3</w:t>
      </w:r>
      <w:r>
        <w:rPr/>
        <w:t>。</w:t>
      </w:r>
    </w:p>
    <w:p>
      <w:pPr>
        <w:pStyle w:val="Heading4"/>
        <w:tabs>
          <w:tab w:pos="3983" w:val="left" w:leader="none"/>
          <w:tab w:pos="7110" w:val="left" w:leader="none"/>
        </w:tabs>
        <w:spacing w:before="160"/>
        <w:ind w:left="2944"/>
        <w:rPr>
          <w:rFonts w:ascii="Times New Roman" w:eastAsia="Times New Roman"/>
          <w:sz w:val="11"/>
        </w:rPr>
      </w:pPr>
      <w:r>
        <w:rPr>
          <w:w w:val="99"/>
        </w:rPr>
        <w:t>表</w:t>
      </w:r>
      <w:r>
        <w:rPr>
          <w:spacing w:val="-61"/>
        </w:rPr>
        <w:t> </w:t>
      </w:r>
      <w:r>
        <w:rPr>
          <w:rFonts w:ascii="Times New Roman" w:eastAsia="Times New Roman"/>
        </w:rPr>
        <w:t>8.2</w:t>
      </w:r>
      <w:r>
        <w:rPr>
          <w:rFonts w:ascii="Times New Roman" w:eastAsia="Times New Roman"/>
          <w:spacing w:val="-1"/>
        </w:rPr>
        <w:t>-</w:t>
      </w:r>
      <w:r>
        <w:rPr>
          <w:rFonts w:ascii="Times New Roman" w:eastAsia="Times New Roman"/>
        </w:rPr>
        <w:t>3</w:t>
        <w:tab/>
      </w:r>
      <w:r>
        <w:rPr>
          <w:w w:val="99"/>
        </w:rPr>
        <w:t>环</w:t>
      </w:r>
      <w:r>
        <w:rPr>
          <w:spacing w:val="2"/>
          <w:w w:val="99"/>
        </w:rPr>
        <w:t>境</w:t>
      </w:r>
      <w:r>
        <w:rPr>
          <w:w w:val="99"/>
        </w:rPr>
        <w:t>空</w:t>
      </w:r>
      <w:r>
        <w:rPr>
          <w:spacing w:val="2"/>
          <w:w w:val="99"/>
        </w:rPr>
        <w:t>气</w:t>
      </w:r>
      <w:r>
        <w:rPr>
          <w:w w:val="99"/>
        </w:rPr>
        <w:t>监测</w:t>
      </w:r>
      <w:r>
        <w:rPr>
          <w:spacing w:val="2"/>
          <w:w w:val="99"/>
        </w:rPr>
        <w:t>结</w:t>
      </w:r>
      <w:r>
        <w:rPr>
          <w:w w:val="99"/>
        </w:rPr>
        <w:t>果</w:t>
      </w:r>
      <w:r>
        <w:rPr/>
        <w:tab/>
      </w:r>
      <w:r>
        <w:rPr>
          <w:w w:val="66"/>
          <w:vertAlign w:val="subscript"/>
        </w:rPr>
        <w:t>单</w:t>
      </w:r>
      <w:r>
        <w:rPr>
          <w:spacing w:val="2"/>
          <w:w w:val="66"/>
          <w:vertAlign w:val="subscript"/>
        </w:rPr>
        <w:t>位</w:t>
      </w:r>
      <w:r>
        <w:rPr>
          <w:w w:val="66"/>
          <w:vertAlign w:val="subscript"/>
        </w:rPr>
        <w:t>：</w:t>
      </w:r>
      <w:r>
        <w:rPr>
          <w:rFonts w:ascii="Times New Roman" w:eastAsia="Times New Roman"/>
          <w:spacing w:val="-4"/>
          <w:sz w:val="18"/>
          <w:vertAlign w:val="baseline"/>
        </w:rPr>
        <w:t>m</w:t>
      </w:r>
      <w:r>
        <w:rPr>
          <w:rFonts w:ascii="Times New Roman" w:eastAsia="Times New Roman"/>
          <w:spacing w:val="1"/>
          <w:sz w:val="18"/>
          <w:vertAlign w:val="baseline"/>
        </w:rPr>
        <w:t>g</w:t>
      </w:r>
      <w:r>
        <w:rPr>
          <w:rFonts w:ascii="Times New Roman" w:eastAsia="Times New Roman"/>
          <w:sz w:val="18"/>
          <w:vertAlign w:val="baseline"/>
        </w:rPr>
        <w:t>/</w:t>
      </w:r>
      <w:r>
        <w:rPr>
          <w:rFonts w:ascii="Times New Roman" w:eastAsia="Times New Roman"/>
          <w:spacing w:val="1"/>
          <w:sz w:val="18"/>
          <w:vertAlign w:val="baseline"/>
        </w:rPr>
        <w:t>m</w:t>
      </w:r>
      <w:r>
        <w:rPr>
          <w:rFonts w:ascii="Times New Roman" w:eastAsia="Times New Roman"/>
          <w:w w:val="104"/>
          <w:position w:val="6"/>
          <w:sz w:val="11"/>
          <w:vertAlign w:val="baseline"/>
        </w:rPr>
        <w:t>3</w:t>
      </w:r>
    </w:p>
    <w:p>
      <w:pPr>
        <w:pStyle w:val="BodyText"/>
        <w:spacing w:before="8"/>
        <w:rPr>
          <w:rFonts w:ascii="Times New Roman"/>
          <w:b/>
          <w:sz w:val="13"/>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4"/>
        <w:gridCol w:w="2315"/>
        <w:gridCol w:w="1509"/>
        <w:gridCol w:w="1725"/>
        <w:gridCol w:w="1671"/>
      </w:tblGrid>
      <w:tr>
        <w:trPr>
          <w:trHeight w:val="271" w:hRule="atLeast"/>
        </w:trPr>
        <w:tc>
          <w:tcPr>
            <w:tcW w:w="2124" w:type="dxa"/>
          </w:tcPr>
          <w:p>
            <w:pPr>
              <w:pStyle w:val="TableParagraph"/>
              <w:spacing w:line="252" w:lineRule="exact"/>
              <w:ind w:left="515" w:right="503"/>
              <w:rPr>
                <w:b/>
                <w:sz w:val="21"/>
              </w:rPr>
            </w:pPr>
            <w:r>
              <w:rPr>
                <w:b/>
                <w:sz w:val="21"/>
              </w:rPr>
              <w:t>采样地点</w:t>
            </w:r>
          </w:p>
        </w:tc>
        <w:tc>
          <w:tcPr>
            <w:tcW w:w="2315" w:type="dxa"/>
          </w:tcPr>
          <w:p>
            <w:pPr>
              <w:pStyle w:val="TableParagraph"/>
              <w:spacing w:line="252" w:lineRule="exact"/>
              <w:ind w:left="217" w:right="209"/>
              <w:rPr>
                <w:b/>
                <w:sz w:val="21"/>
              </w:rPr>
            </w:pPr>
            <w:r>
              <w:rPr>
                <w:b/>
                <w:sz w:val="21"/>
              </w:rPr>
              <w:t>采样日期</w:t>
            </w:r>
          </w:p>
        </w:tc>
        <w:tc>
          <w:tcPr>
            <w:tcW w:w="1509" w:type="dxa"/>
          </w:tcPr>
          <w:p>
            <w:pPr>
              <w:pStyle w:val="TableParagraph"/>
              <w:spacing w:line="252" w:lineRule="exact"/>
              <w:ind w:left="312" w:right="302"/>
              <w:rPr>
                <w:b/>
                <w:sz w:val="21"/>
              </w:rPr>
            </w:pPr>
            <w:r>
              <w:rPr>
                <w:b/>
                <w:sz w:val="21"/>
              </w:rPr>
              <w:t>检测项目</w:t>
            </w:r>
          </w:p>
        </w:tc>
        <w:tc>
          <w:tcPr>
            <w:tcW w:w="1725" w:type="dxa"/>
          </w:tcPr>
          <w:p>
            <w:pPr>
              <w:pStyle w:val="TableParagraph"/>
              <w:spacing w:line="252" w:lineRule="exact"/>
              <w:ind w:left="547"/>
              <w:jc w:val="left"/>
              <w:rPr>
                <w:b/>
                <w:sz w:val="21"/>
              </w:rPr>
            </w:pPr>
            <w:r>
              <w:rPr>
                <w:b/>
                <w:sz w:val="21"/>
              </w:rPr>
              <w:t>监测时间</w:t>
            </w:r>
          </w:p>
        </w:tc>
        <w:tc>
          <w:tcPr>
            <w:tcW w:w="1671" w:type="dxa"/>
          </w:tcPr>
          <w:p>
            <w:pPr>
              <w:pStyle w:val="TableParagraph"/>
              <w:spacing w:line="252" w:lineRule="exact"/>
              <w:ind w:left="519"/>
              <w:jc w:val="left"/>
              <w:rPr>
                <w:b/>
                <w:sz w:val="21"/>
              </w:rPr>
            </w:pPr>
            <w:r>
              <w:rPr>
                <w:b/>
                <w:sz w:val="21"/>
              </w:rPr>
              <w:t>检测结果</w:t>
            </w:r>
          </w:p>
        </w:tc>
      </w:tr>
      <w:tr>
        <w:trPr>
          <w:trHeight w:val="271" w:hRule="atLeast"/>
        </w:trPr>
        <w:tc>
          <w:tcPr>
            <w:tcW w:w="2124" w:type="dxa"/>
          </w:tcPr>
          <w:p>
            <w:pPr>
              <w:pStyle w:val="TableParagraph"/>
              <w:spacing w:line="250" w:lineRule="exact"/>
              <w:ind w:left="515" w:right="508"/>
              <w:rPr>
                <w:sz w:val="21"/>
              </w:rPr>
            </w:pPr>
            <w:r>
              <w:rPr>
                <w:rFonts w:ascii="Times New Roman" w:eastAsia="Times New Roman"/>
                <w:sz w:val="21"/>
              </w:rPr>
              <w:t>1#</w:t>
            </w:r>
            <w:r>
              <w:rPr>
                <w:sz w:val="21"/>
              </w:rPr>
              <w:t>工业广场</w:t>
            </w:r>
          </w:p>
        </w:tc>
        <w:tc>
          <w:tcPr>
            <w:tcW w:w="2315" w:type="dxa"/>
          </w:tcPr>
          <w:p>
            <w:pPr>
              <w:pStyle w:val="TableParagraph"/>
              <w:spacing w:line="250"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12 </w:t>
            </w:r>
            <w:r>
              <w:rPr>
                <w:sz w:val="21"/>
              </w:rPr>
              <w:t>日</w:t>
            </w:r>
          </w:p>
        </w:tc>
        <w:tc>
          <w:tcPr>
            <w:tcW w:w="1509" w:type="dxa"/>
          </w:tcPr>
          <w:p>
            <w:pPr>
              <w:pStyle w:val="TableParagraph"/>
              <w:spacing w:line="236" w:lineRule="exact" w:before="14"/>
              <w:ind w:left="310" w:right="302"/>
              <w:rPr>
                <w:rFonts w:ascii="Times New Roman"/>
                <w:sz w:val="21"/>
              </w:rPr>
            </w:pPr>
            <w:r>
              <w:rPr>
                <w:rFonts w:ascii="Times New Roman"/>
                <w:sz w:val="21"/>
              </w:rPr>
              <w:t>TSP</w:t>
            </w:r>
          </w:p>
        </w:tc>
        <w:tc>
          <w:tcPr>
            <w:tcW w:w="1725" w:type="dxa"/>
          </w:tcPr>
          <w:p>
            <w:pPr>
              <w:pStyle w:val="TableParagraph"/>
              <w:spacing w:line="236" w:lineRule="exact" w:before="14"/>
              <w:ind w:left="683" w:right="676"/>
              <w:rPr>
                <w:rFonts w:ascii="Times New Roman"/>
                <w:sz w:val="21"/>
              </w:rPr>
            </w:pPr>
            <w:r>
              <w:rPr>
                <w:rFonts w:ascii="Times New Roman"/>
                <w:sz w:val="21"/>
              </w:rPr>
              <w:t>24h</w:t>
            </w:r>
          </w:p>
        </w:tc>
        <w:tc>
          <w:tcPr>
            <w:tcW w:w="1671" w:type="dxa"/>
          </w:tcPr>
          <w:p>
            <w:pPr>
              <w:pStyle w:val="TableParagraph"/>
              <w:spacing w:line="236" w:lineRule="exact" w:before="14"/>
              <w:ind w:left="579" w:right="569"/>
              <w:rPr>
                <w:rFonts w:ascii="Times New Roman"/>
                <w:sz w:val="21"/>
              </w:rPr>
            </w:pPr>
            <w:r>
              <w:rPr>
                <w:rFonts w:ascii="Times New Roman"/>
                <w:sz w:val="21"/>
              </w:rPr>
              <w:t>0.134</w:t>
            </w:r>
          </w:p>
        </w:tc>
      </w:tr>
    </w:tbl>
    <w:p>
      <w:pPr>
        <w:spacing w:after="0" w:line="236" w:lineRule="exact"/>
        <w:rPr>
          <w:rFonts w:ascii="Times New Roman"/>
          <w:sz w:val="21"/>
        </w:rPr>
        <w:sectPr>
          <w:pgSz w:w="11910" w:h="16840"/>
          <w:pgMar w:header="0" w:footer="1169" w:top="1580" w:bottom="1360" w:left="1040" w:right="600"/>
        </w:sect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4"/>
        <w:gridCol w:w="2315"/>
        <w:gridCol w:w="1509"/>
        <w:gridCol w:w="1725"/>
        <w:gridCol w:w="1671"/>
      </w:tblGrid>
      <w:tr>
        <w:trPr>
          <w:trHeight w:val="271" w:hRule="atLeast"/>
        </w:trPr>
        <w:tc>
          <w:tcPr>
            <w:tcW w:w="2124" w:type="dxa"/>
            <w:vMerge w:val="restart"/>
          </w:tcPr>
          <w:p>
            <w:pPr>
              <w:pStyle w:val="TableParagraph"/>
              <w:jc w:val="left"/>
              <w:rPr>
                <w:rFonts w:ascii="Times New Roman"/>
                <w:sz w:val="22"/>
              </w:rPr>
            </w:pPr>
          </w:p>
        </w:tc>
        <w:tc>
          <w:tcPr>
            <w:tcW w:w="2315" w:type="dxa"/>
          </w:tcPr>
          <w:p>
            <w:pPr>
              <w:pStyle w:val="TableParagraph"/>
              <w:spacing w:line="251"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13 </w:t>
            </w:r>
            <w:r>
              <w:rPr>
                <w:sz w:val="21"/>
              </w:rPr>
              <w:t>日</w:t>
            </w:r>
          </w:p>
        </w:tc>
        <w:tc>
          <w:tcPr>
            <w:tcW w:w="1509" w:type="dxa"/>
          </w:tcPr>
          <w:p>
            <w:pPr>
              <w:pStyle w:val="TableParagraph"/>
              <w:spacing w:line="237" w:lineRule="exact" w:before="14"/>
              <w:ind w:left="310" w:right="302"/>
              <w:rPr>
                <w:rFonts w:ascii="Times New Roman"/>
                <w:sz w:val="21"/>
              </w:rPr>
            </w:pPr>
            <w:r>
              <w:rPr>
                <w:rFonts w:ascii="Times New Roman"/>
                <w:sz w:val="21"/>
              </w:rPr>
              <w:t>TSP</w:t>
            </w:r>
          </w:p>
        </w:tc>
        <w:tc>
          <w:tcPr>
            <w:tcW w:w="1725" w:type="dxa"/>
          </w:tcPr>
          <w:p>
            <w:pPr>
              <w:pStyle w:val="TableParagraph"/>
              <w:spacing w:line="237" w:lineRule="exact" w:before="14"/>
              <w:ind w:left="683" w:right="676"/>
              <w:rPr>
                <w:rFonts w:ascii="Times New Roman"/>
                <w:sz w:val="21"/>
              </w:rPr>
            </w:pPr>
            <w:r>
              <w:rPr>
                <w:rFonts w:ascii="Times New Roman"/>
                <w:sz w:val="21"/>
              </w:rPr>
              <w:t>24h</w:t>
            </w:r>
          </w:p>
        </w:tc>
        <w:tc>
          <w:tcPr>
            <w:tcW w:w="1671" w:type="dxa"/>
          </w:tcPr>
          <w:p>
            <w:pPr>
              <w:pStyle w:val="TableParagraph"/>
              <w:spacing w:line="237" w:lineRule="exact" w:before="14"/>
              <w:ind w:right="586"/>
              <w:jc w:val="right"/>
              <w:rPr>
                <w:rFonts w:ascii="Times New Roman"/>
                <w:sz w:val="21"/>
              </w:rPr>
            </w:pPr>
            <w:r>
              <w:rPr>
                <w:rFonts w:ascii="Times New Roman"/>
                <w:sz w:val="21"/>
              </w:rPr>
              <w:t>0.133</w:t>
            </w:r>
          </w:p>
        </w:tc>
      </w:tr>
      <w:tr>
        <w:trPr>
          <w:trHeight w:val="273" w:hRule="atLeast"/>
        </w:trPr>
        <w:tc>
          <w:tcPr>
            <w:tcW w:w="2124" w:type="dxa"/>
            <w:vMerge/>
            <w:tcBorders>
              <w:top w:val="nil"/>
            </w:tcBorders>
          </w:tcPr>
          <w:p>
            <w:pPr>
              <w:rPr>
                <w:sz w:val="2"/>
                <w:szCs w:val="2"/>
              </w:rPr>
            </w:pPr>
          </w:p>
        </w:tc>
        <w:tc>
          <w:tcPr>
            <w:tcW w:w="2315" w:type="dxa"/>
          </w:tcPr>
          <w:p>
            <w:pPr>
              <w:pStyle w:val="TableParagraph"/>
              <w:spacing w:line="251" w:lineRule="exact" w:before="2"/>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14 </w:t>
            </w:r>
            <w:r>
              <w:rPr>
                <w:sz w:val="21"/>
              </w:rPr>
              <w:t>日</w:t>
            </w:r>
          </w:p>
        </w:tc>
        <w:tc>
          <w:tcPr>
            <w:tcW w:w="1509" w:type="dxa"/>
          </w:tcPr>
          <w:p>
            <w:pPr>
              <w:pStyle w:val="TableParagraph"/>
              <w:spacing w:line="237" w:lineRule="exact" w:before="16"/>
              <w:ind w:left="310" w:right="302"/>
              <w:rPr>
                <w:rFonts w:ascii="Times New Roman"/>
                <w:sz w:val="21"/>
              </w:rPr>
            </w:pPr>
            <w:r>
              <w:rPr>
                <w:rFonts w:ascii="Times New Roman"/>
                <w:sz w:val="21"/>
              </w:rPr>
              <w:t>TSP</w:t>
            </w:r>
          </w:p>
        </w:tc>
        <w:tc>
          <w:tcPr>
            <w:tcW w:w="1725" w:type="dxa"/>
          </w:tcPr>
          <w:p>
            <w:pPr>
              <w:pStyle w:val="TableParagraph"/>
              <w:spacing w:line="237" w:lineRule="exact" w:before="16"/>
              <w:ind w:left="683" w:right="676"/>
              <w:rPr>
                <w:rFonts w:ascii="Times New Roman"/>
                <w:sz w:val="21"/>
              </w:rPr>
            </w:pPr>
            <w:r>
              <w:rPr>
                <w:rFonts w:ascii="Times New Roman"/>
                <w:sz w:val="21"/>
              </w:rPr>
              <w:t>24h</w:t>
            </w:r>
          </w:p>
        </w:tc>
        <w:tc>
          <w:tcPr>
            <w:tcW w:w="1671" w:type="dxa"/>
          </w:tcPr>
          <w:p>
            <w:pPr>
              <w:pStyle w:val="TableParagraph"/>
              <w:spacing w:line="237" w:lineRule="exact" w:before="16"/>
              <w:ind w:right="586"/>
              <w:jc w:val="right"/>
              <w:rPr>
                <w:rFonts w:ascii="Times New Roman"/>
                <w:sz w:val="21"/>
              </w:rPr>
            </w:pPr>
            <w:r>
              <w:rPr>
                <w:rFonts w:ascii="Times New Roman"/>
                <w:sz w:val="21"/>
              </w:rPr>
              <w:t>0.102</w:t>
            </w:r>
          </w:p>
        </w:tc>
      </w:tr>
      <w:tr>
        <w:trPr>
          <w:trHeight w:val="271" w:hRule="atLeast"/>
        </w:trPr>
        <w:tc>
          <w:tcPr>
            <w:tcW w:w="2124" w:type="dxa"/>
            <w:vMerge/>
            <w:tcBorders>
              <w:top w:val="nil"/>
            </w:tcBorders>
          </w:tcPr>
          <w:p>
            <w:pPr>
              <w:rPr>
                <w:sz w:val="2"/>
                <w:szCs w:val="2"/>
              </w:rPr>
            </w:pPr>
          </w:p>
        </w:tc>
        <w:tc>
          <w:tcPr>
            <w:tcW w:w="2315" w:type="dxa"/>
          </w:tcPr>
          <w:p>
            <w:pPr>
              <w:pStyle w:val="TableParagraph"/>
              <w:spacing w:line="252"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15 </w:t>
            </w:r>
            <w:r>
              <w:rPr>
                <w:sz w:val="21"/>
              </w:rPr>
              <w:t>日</w:t>
            </w:r>
          </w:p>
        </w:tc>
        <w:tc>
          <w:tcPr>
            <w:tcW w:w="1509" w:type="dxa"/>
          </w:tcPr>
          <w:p>
            <w:pPr>
              <w:pStyle w:val="TableParagraph"/>
              <w:spacing w:line="238" w:lineRule="exact" w:before="13"/>
              <w:ind w:left="310" w:right="302"/>
              <w:rPr>
                <w:rFonts w:ascii="Times New Roman"/>
                <w:sz w:val="21"/>
              </w:rPr>
            </w:pPr>
            <w:r>
              <w:rPr>
                <w:rFonts w:ascii="Times New Roman"/>
                <w:sz w:val="21"/>
              </w:rPr>
              <w:t>TSP</w:t>
            </w:r>
          </w:p>
        </w:tc>
        <w:tc>
          <w:tcPr>
            <w:tcW w:w="1725" w:type="dxa"/>
          </w:tcPr>
          <w:p>
            <w:pPr>
              <w:pStyle w:val="TableParagraph"/>
              <w:spacing w:line="238" w:lineRule="exact" w:before="13"/>
              <w:ind w:left="683" w:right="676"/>
              <w:rPr>
                <w:rFonts w:ascii="Times New Roman"/>
                <w:sz w:val="21"/>
              </w:rPr>
            </w:pPr>
            <w:r>
              <w:rPr>
                <w:rFonts w:ascii="Times New Roman"/>
                <w:sz w:val="21"/>
              </w:rPr>
              <w:t>24h</w:t>
            </w:r>
          </w:p>
        </w:tc>
        <w:tc>
          <w:tcPr>
            <w:tcW w:w="1671" w:type="dxa"/>
          </w:tcPr>
          <w:p>
            <w:pPr>
              <w:pStyle w:val="TableParagraph"/>
              <w:spacing w:line="238" w:lineRule="exact" w:before="13"/>
              <w:ind w:right="586"/>
              <w:jc w:val="right"/>
              <w:rPr>
                <w:rFonts w:ascii="Times New Roman"/>
                <w:sz w:val="21"/>
              </w:rPr>
            </w:pPr>
            <w:r>
              <w:rPr>
                <w:rFonts w:ascii="Times New Roman"/>
                <w:sz w:val="21"/>
              </w:rPr>
              <w:t>0.127</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1" w:lineRule="exact" w:before="1"/>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16 </w:t>
            </w:r>
            <w:r>
              <w:rPr>
                <w:sz w:val="21"/>
              </w:rPr>
              <w:t>日</w:t>
            </w:r>
          </w:p>
        </w:tc>
        <w:tc>
          <w:tcPr>
            <w:tcW w:w="1509" w:type="dxa"/>
          </w:tcPr>
          <w:p>
            <w:pPr>
              <w:pStyle w:val="TableParagraph"/>
              <w:spacing w:line="237" w:lineRule="exact" w:before="15"/>
              <w:ind w:left="310" w:right="302"/>
              <w:rPr>
                <w:rFonts w:ascii="Times New Roman"/>
                <w:sz w:val="21"/>
              </w:rPr>
            </w:pPr>
            <w:r>
              <w:rPr>
                <w:rFonts w:ascii="Times New Roman"/>
                <w:sz w:val="21"/>
              </w:rPr>
              <w:t>TSP</w:t>
            </w:r>
          </w:p>
        </w:tc>
        <w:tc>
          <w:tcPr>
            <w:tcW w:w="1725" w:type="dxa"/>
          </w:tcPr>
          <w:p>
            <w:pPr>
              <w:pStyle w:val="TableParagraph"/>
              <w:spacing w:line="237" w:lineRule="exact" w:before="15"/>
              <w:ind w:left="683" w:right="676"/>
              <w:rPr>
                <w:rFonts w:ascii="Times New Roman"/>
                <w:sz w:val="21"/>
              </w:rPr>
            </w:pPr>
            <w:r>
              <w:rPr>
                <w:rFonts w:ascii="Times New Roman"/>
                <w:sz w:val="21"/>
              </w:rPr>
              <w:t>24h</w:t>
            </w:r>
          </w:p>
        </w:tc>
        <w:tc>
          <w:tcPr>
            <w:tcW w:w="1671" w:type="dxa"/>
          </w:tcPr>
          <w:p>
            <w:pPr>
              <w:pStyle w:val="TableParagraph"/>
              <w:spacing w:line="237" w:lineRule="exact" w:before="15"/>
              <w:ind w:right="586"/>
              <w:jc w:val="right"/>
              <w:rPr>
                <w:rFonts w:ascii="Times New Roman"/>
                <w:sz w:val="21"/>
              </w:rPr>
            </w:pPr>
            <w:r>
              <w:rPr>
                <w:rFonts w:ascii="Times New Roman"/>
                <w:sz w:val="21"/>
              </w:rPr>
              <w:t>0.120</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1" w:lineRule="exact" w:before="2"/>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17 </w:t>
            </w:r>
            <w:r>
              <w:rPr>
                <w:sz w:val="21"/>
              </w:rPr>
              <w:t>日</w:t>
            </w:r>
          </w:p>
        </w:tc>
        <w:tc>
          <w:tcPr>
            <w:tcW w:w="1509" w:type="dxa"/>
          </w:tcPr>
          <w:p>
            <w:pPr>
              <w:pStyle w:val="TableParagraph"/>
              <w:spacing w:line="237" w:lineRule="exact" w:before="16"/>
              <w:ind w:left="310" w:right="302"/>
              <w:rPr>
                <w:rFonts w:ascii="Times New Roman"/>
                <w:sz w:val="21"/>
              </w:rPr>
            </w:pPr>
            <w:r>
              <w:rPr>
                <w:rFonts w:ascii="Times New Roman"/>
                <w:sz w:val="21"/>
              </w:rPr>
              <w:t>TSP</w:t>
            </w:r>
          </w:p>
        </w:tc>
        <w:tc>
          <w:tcPr>
            <w:tcW w:w="1725" w:type="dxa"/>
          </w:tcPr>
          <w:p>
            <w:pPr>
              <w:pStyle w:val="TableParagraph"/>
              <w:spacing w:line="237" w:lineRule="exact" w:before="16"/>
              <w:ind w:left="683" w:right="676"/>
              <w:rPr>
                <w:rFonts w:ascii="Times New Roman"/>
                <w:sz w:val="21"/>
              </w:rPr>
            </w:pPr>
            <w:r>
              <w:rPr>
                <w:rFonts w:ascii="Times New Roman"/>
                <w:sz w:val="21"/>
              </w:rPr>
              <w:t>24h</w:t>
            </w:r>
          </w:p>
        </w:tc>
        <w:tc>
          <w:tcPr>
            <w:tcW w:w="1671" w:type="dxa"/>
          </w:tcPr>
          <w:p>
            <w:pPr>
              <w:pStyle w:val="TableParagraph"/>
              <w:spacing w:line="237" w:lineRule="exact" w:before="16"/>
              <w:ind w:right="586"/>
              <w:jc w:val="right"/>
              <w:rPr>
                <w:rFonts w:ascii="Times New Roman"/>
                <w:sz w:val="21"/>
              </w:rPr>
            </w:pPr>
            <w:r>
              <w:rPr>
                <w:rFonts w:ascii="Times New Roman"/>
                <w:sz w:val="21"/>
              </w:rPr>
              <w:t>0.092</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2"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18 </w:t>
            </w:r>
            <w:r>
              <w:rPr>
                <w:sz w:val="21"/>
              </w:rPr>
              <w:t>日</w:t>
            </w:r>
          </w:p>
        </w:tc>
        <w:tc>
          <w:tcPr>
            <w:tcW w:w="1509" w:type="dxa"/>
          </w:tcPr>
          <w:p>
            <w:pPr>
              <w:pStyle w:val="TableParagraph"/>
              <w:spacing w:line="238" w:lineRule="exact" w:before="14"/>
              <w:ind w:left="310" w:right="302"/>
              <w:rPr>
                <w:rFonts w:ascii="Times New Roman"/>
                <w:sz w:val="21"/>
              </w:rPr>
            </w:pPr>
            <w:r>
              <w:rPr>
                <w:rFonts w:ascii="Times New Roman"/>
                <w:sz w:val="21"/>
              </w:rPr>
              <w:t>TSP</w:t>
            </w:r>
          </w:p>
        </w:tc>
        <w:tc>
          <w:tcPr>
            <w:tcW w:w="1725" w:type="dxa"/>
          </w:tcPr>
          <w:p>
            <w:pPr>
              <w:pStyle w:val="TableParagraph"/>
              <w:spacing w:line="238" w:lineRule="exact" w:before="14"/>
              <w:ind w:left="683" w:right="676"/>
              <w:rPr>
                <w:rFonts w:ascii="Times New Roman"/>
                <w:sz w:val="21"/>
              </w:rPr>
            </w:pPr>
            <w:r>
              <w:rPr>
                <w:rFonts w:ascii="Times New Roman"/>
                <w:sz w:val="21"/>
              </w:rPr>
              <w:t>24h</w:t>
            </w:r>
          </w:p>
        </w:tc>
        <w:tc>
          <w:tcPr>
            <w:tcW w:w="1671" w:type="dxa"/>
          </w:tcPr>
          <w:p>
            <w:pPr>
              <w:pStyle w:val="TableParagraph"/>
              <w:spacing w:line="238" w:lineRule="exact" w:before="14"/>
              <w:ind w:right="586"/>
              <w:jc w:val="right"/>
              <w:rPr>
                <w:rFonts w:ascii="Times New Roman"/>
                <w:sz w:val="21"/>
              </w:rPr>
            </w:pPr>
            <w:r>
              <w:rPr>
                <w:rFonts w:ascii="Times New Roman"/>
                <w:sz w:val="21"/>
              </w:rPr>
              <w:t>0.138</w:t>
            </w:r>
          </w:p>
        </w:tc>
      </w:tr>
      <w:tr>
        <w:trPr>
          <w:trHeight w:val="272" w:hRule="atLeast"/>
        </w:trPr>
        <w:tc>
          <w:tcPr>
            <w:tcW w:w="2124" w:type="dxa"/>
            <w:vMerge w:val="restart"/>
          </w:tcPr>
          <w:p>
            <w:pPr>
              <w:pStyle w:val="TableParagraph"/>
              <w:jc w:val="left"/>
              <w:rPr>
                <w:rFonts w:ascii="Times New Roman"/>
                <w:b/>
                <w:sz w:val="22"/>
              </w:rPr>
            </w:pPr>
          </w:p>
          <w:p>
            <w:pPr>
              <w:pStyle w:val="TableParagraph"/>
              <w:jc w:val="left"/>
              <w:rPr>
                <w:rFonts w:ascii="Times New Roman"/>
                <w:b/>
                <w:sz w:val="22"/>
              </w:rPr>
            </w:pPr>
          </w:p>
          <w:p>
            <w:pPr>
              <w:pStyle w:val="TableParagraph"/>
              <w:spacing w:before="6"/>
              <w:jc w:val="left"/>
              <w:rPr>
                <w:rFonts w:ascii="Times New Roman"/>
                <w:b/>
                <w:sz w:val="29"/>
              </w:rPr>
            </w:pPr>
          </w:p>
          <w:p>
            <w:pPr>
              <w:pStyle w:val="TableParagraph"/>
              <w:ind w:left="375"/>
              <w:jc w:val="left"/>
              <w:rPr>
                <w:rFonts w:ascii="Times New Roman" w:eastAsia="Times New Roman"/>
                <w:sz w:val="21"/>
              </w:rPr>
            </w:pPr>
            <w:r>
              <w:rPr>
                <w:rFonts w:ascii="Times New Roman" w:eastAsia="Times New Roman"/>
                <w:sz w:val="21"/>
              </w:rPr>
              <w:t>2#</w:t>
            </w:r>
            <w:r>
              <w:rPr>
                <w:sz w:val="21"/>
              </w:rPr>
              <w:t>下风向 </w:t>
            </w:r>
            <w:r>
              <w:rPr>
                <w:rFonts w:ascii="Times New Roman" w:eastAsia="Times New Roman"/>
                <w:sz w:val="21"/>
              </w:rPr>
              <w:t>500m</w:t>
            </w:r>
          </w:p>
        </w:tc>
        <w:tc>
          <w:tcPr>
            <w:tcW w:w="2315" w:type="dxa"/>
          </w:tcPr>
          <w:p>
            <w:pPr>
              <w:pStyle w:val="TableParagraph"/>
              <w:spacing w:line="251" w:lineRule="exact" w:before="1"/>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12 </w:t>
            </w:r>
            <w:r>
              <w:rPr>
                <w:sz w:val="21"/>
              </w:rPr>
              <w:t>日</w:t>
            </w:r>
          </w:p>
        </w:tc>
        <w:tc>
          <w:tcPr>
            <w:tcW w:w="1509" w:type="dxa"/>
          </w:tcPr>
          <w:p>
            <w:pPr>
              <w:pStyle w:val="TableParagraph"/>
              <w:spacing w:line="237" w:lineRule="exact" w:before="15"/>
              <w:ind w:left="310" w:right="302"/>
              <w:rPr>
                <w:rFonts w:ascii="Times New Roman"/>
                <w:sz w:val="21"/>
              </w:rPr>
            </w:pPr>
            <w:r>
              <w:rPr>
                <w:rFonts w:ascii="Times New Roman"/>
                <w:sz w:val="21"/>
              </w:rPr>
              <w:t>TSP</w:t>
            </w:r>
          </w:p>
        </w:tc>
        <w:tc>
          <w:tcPr>
            <w:tcW w:w="1725" w:type="dxa"/>
          </w:tcPr>
          <w:p>
            <w:pPr>
              <w:pStyle w:val="TableParagraph"/>
              <w:spacing w:line="237" w:lineRule="exact" w:before="15"/>
              <w:ind w:left="683" w:right="676"/>
              <w:rPr>
                <w:rFonts w:ascii="Times New Roman"/>
                <w:sz w:val="21"/>
              </w:rPr>
            </w:pPr>
            <w:r>
              <w:rPr>
                <w:rFonts w:ascii="Times New Roman"/>
                <w:sz w:val="21"/>
              </w:rPr>
              <w:t>24h</w:t>
            </w:r>
          </w:p>
        </w:tc>
        <w:tc>
          <w:tcPr>
            <w:tcW w:w="1671" w:type="dxa"/>
          </w:tcPr>
          <w:p>
            <w:pPr>
              <w:pStyle w:val="TableParagraph"/>
              <w:spacing w:line="237" w:lineRule="exact" w:before="15"/>
              <w:ind w:right="588"/>
              <w:jc w:val="right"/>
              <w:rPr>
                <w:rFonts w:ascii="Times New Roman"/>
                <w:sz w:val="21"/>
              </w:rPr>
            </w:pPr>
            <w:r>
              <w:rPr>
                <w:rFonts w:ascii="Times New Roman"/>
                <w:w w:val="95"/>
                <w:sz w:val="21"/>
              </w:rPr>
              <w:t>0.150</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3"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13 </w:t>
            </w:r>
            <w:r>
              <w:rPr>
                <w:sz w:val="21"/>
              </w:rPr>
              <w:t>日</w:t>
            </w:r>
          </w:p>
        </w:tc>
        <w:tc>
          <w:tcPr>
            <w:tcW w:w="1509" w:type="dxa"/>
          </w:tcPr>
          <w:p>
            <w:pPr>
              <w:pStyle w:val="TableParagraph"/>
              <w:spacing w:line="239" w:lineRule="exact" w:before="14"/>
              <w:ind w:left="310" w:right="302"/>
              <w:rPr>
                <w:rFonts w:ascii="Times New Roman"/>
                <w:sz w:val="21"/>
              </w:rPr>
            </w:pPr>
            <w:r>
              <w:rPr>
                <w:rFonts w:ascii="Times New Roman"/>
                <w:sz w:val="21"/>
              </w:rPr>
              <w:t>TSP</w:t>
            </w:r>
          </w:p>
        </w:tc>
        <w:tc>
          <w:tcPr>
            <w:tcW w:w="1725" w:type="dxa"/>
          </w:tcPr>
          <w:p>
            <w:pPr>
              <w:pStyle w:val="TableParagraph"/>
              <w:spacing w:line="239" w:lineRule="exact" w:before="14"/>
              <w:ind w:left="683" w:right="676"/>
              <w:rPr>
                <w:rFonts w:ascii="Times New Roman"/>
                <w:sz w:val="21"/>
              </w:rPr>
            </w:pPr>
            <w:r>
              <w:rPr>
                <w:rFonts w:ascii="Times New Roman"/>
                <w:sz w:val="21"/>
              </w:rPr>
              <w:t>24h</w:t>
            </w:r>
          </w:p>
        </w:tc>
        <w:tc>
          <w:tcPr>
            <w:tcW w:w="1671" w:type="dxa"/>
          </w:tcPr>
          <w:p>
            <w:pPr>
              <w:pStyle w:val="TableParagraph"/>
              <w:spacing w:line="239" w:lineRule="exact" w:before="14"/>
              <w:ind w:right="588"/>
              <w:jc w:val="right"/>
              <w:rPr>
                <w:rFonts w:ascii="Times New Roman"/>
                <w:sz w:val="21"/>
              </w:rPr>
            </w:pPr>
            <w:r>
              <w:rPr>
                <w:rFonts w:ascii="Times New Roman"/>
                <w:w w:val="95"/>
                <w:sz w:val="21"/>
              </w:rPr>
              <w:t>0.160</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2"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14 </w:t>
            </w:r>
            <w:r>
              <w:rPr>
                <w:sz w:val="21"/>
              </w:rPr>
              <w:t>日</w:t>
            </w:r>
          </w:p>
        </w:tc>
        <w:tc>
          <w:tcPr>
            <w:tcW w:w="1509" w:type="dxa"/>
          </w:tcPr>
          <w:p>
            <w:pPr>
              <w:pStyle w:val="TableParagraph"/>
              <w:spacing w:line="238" w:lineRule="exact" w:before="14"/>
              <w:ind w:left="310" w:right="302"/>
              <w:rPr>
                <w:rFonts w:ascii="Times New Roman"/>
                <w:sz w:val="21"/>
              </w:rPr>
            </w:pPr>
            <w:r>
              <w:rPr>
                <w:rFonts w:ascii="Times New Roman"/>
                <w:sz w:val="21"/>
              </w:rPr>
              <w:t>TSP</w:t>
            </w:r>
          </w:p>
        </w:tc>
        <w:tc>
          <w:tcPr>
            <w:tcW w:w="1725" w:type="dxa"/>
          </w:tcPr>
          <w:p>
            <w:pPr>
              <w:pStyle w:val="TableParagraph"/>
              <w:spacing w:line="238" w:lineRule="exact" w:before="14"/>
              <w:ind w:left="683" w:right="676"/>
              <w:rPr>
                <w:rFonts w:ascii="Times New Roman"/>
                <w:sz w:val="21"/>
              </w:rPr>
            </w:pPr>
            <w:r>
              <w:rPr>
                <w:rFonts w:ascii="Times New Roman"/>
                <w:sz w:val="21"/>
              </w:rPr>
              <w:t>24h</w:t>
            </w:r>
          </w:p>
        </w:tc>
        <w:tc>
          <w:tcPr>
            <w:tcW w:w="1671" w:type="dxa"/>
          </w:tcPr>
          <w:p>
            <w:pPr>
              <w:pStyle w:val="TableParagraph"/>
              <w:spacing w:line="238" w:lineRule="exact" w:before="14"/>
              <w:ind w:right="586"/>
              <w:jc w:val="right"/>
              <w:rPr>
                <w:rFonts w:ascii="Times New Roman"/>
                <w:sz w:val="21"/>
              </w:rPr>
            </w:pPr>
            <w:r>
              <w:rPr>
                <w:rFonts w:ascii="Times New Roman"/>
                <w:sz w:val="21"/>
              </w:rPr>
              <w:t>0.130</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1" w:lineRule="exact" w:before="1"/>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15 </w:t>
            </w:r>
            <w:r>
              <w:rPr>
                <w:sz w:val="21"/>
              </w:rPr>
              <w:t>日</w:t>
            </w:r>
          </w:p>
        </w:tc>
        <w:tc>
          <w:tcPr>
            <w:tcW w:w="1509" w:type="dxa"/>
          </w:tcPr>
          <w:p>
            <w:pPr>
              <w:pStyle w:val="TableParagraph"/>
              <w:spacing w:line="237" w:lineRule="exact" w:before="15"/>
              <w:ind w:left="310" w:right="302"/>
              <w:rPr>
                <w:rFonts w:ascii="Times New Roman"/>
                <w:sz w:val="21"/>
              </w:rPr>
            </w:pPr>
            <w:r>
              <w:rPr>
                <w:rFonts w:ascii="Times New Roman"/>
                <w:sz w:val="21"/>
              </w:rPr>
              <w:t>TSP</w:t>
            </w:r>
          </w:p>
        </w:tc>
        <w:tc>
          <w:tcPr>
            <w:tcW w:w="1725" w:type="dxa"/>
          </w:tcPr>
          <w:p>
            <w:pPr>
              <w:pStyle w:val="TableParagraph"/>
              <w:spacing w:line="237" w:lineRule="exact" w:before="15"/>
              <w:ind w:left="683" w:right="676"/>
              <w:rPr>
                <w:rFonts w:ascii="Times New Roman"/>
                <w:sz w:val="21"/>
              </w:rPr>
            </w:pPr>
            <w:r>
              <w:rPr>
                <w:rFonts w:ascii="Times New Roman"/>
                <w:sz w:val="21"/>
              </w:rPr>
              <w:t>24h</w:t>
            </w:r>
          </w:p>
        </w:tc>
        <w:tc>
          <w:tcPr>
            <w:tcW w:w="1671" w:type="dxa"/>
          </w:tcPr>
          <w:p>
            <w:pPr>
              <w:pStyle w:val="TableParagraph"/>
              <w:spacing w:line="237" w:lineRule="exact" w:before="15"/>
              <w:ind w:right="586"/>
              <w:jc w:val="right"/>
              <w:rPr>
                <w:rFonts w:ascii="Times New Roman"/>
                <w:sz w:val="21"/>
              </w:rPr>
            </w:pPr>
            <w:r>
              <w:rPr>
                <w:rFonts w:ascii="Times New Roman"/>
                <w:sz w:val="21"/>
              </w:rPr>
              <w:t>0.120</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3"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16 </w:t>
            </w:r>
            <w:r>
              <w:rPr>
                <w:sz w:val="21"/>
              </w:rPr>
              <w:t>日</w:t>
            </w:r>
          </w:p>
        </w:tc>
        <w:tc>
          <w:tcPr>
            <w:tcW w:w="1509" w:type="dxa"/>
          </w:tcPr>
          <w:p>
            <w:pPr>
              <w:pStyle w:val="TableParagraph"/>
              <w:spacing w:line="239" w:lineRule="exact" w:before="14"/>
              <w:ind w:left="310" w:right="302"/>
              <w:rPr>
                <w:rFonts w:ascii="Times New Roman"/>
                <w:sz w:val="21"/>
              </w:rPr>
            </w:pPr>
            <w:r>
              <w:rPr>
                <w:rFonts w:ascii="Times New Roman"/>
                <w:sz w:val="21"/>
              </w:rPr>
              <w:t>TSP</w:t>
            </w:r>
          </w:p>
        </w:tc>
        <w:tc>
          <w:tcPr>
            <w:tcW w:w="1725" w:type="dxa"/>
          </w:tcPr>
          <w:p>
            <w:pPr>
              <w:pStyle w:val="TableParagraph"/>
              <w:spacing w:line="239" w:lineRule="exact" w:before="14"/>
              <w:ind w:left="683" w:right="676"/>
              <w:rPr>
                <w:rFonts w:ascii="Times New Roman"/>
                <w:sz w:val="21"/>
              </w:rPr>
            </w:pPr>
            <w:r>
              <w:rPr>
                <w:rFonts w:ascii="Times New Roman"/>
                <w:sz w:val="21"/>
              </w:rPr>
              <w:t>24h</w:t>
            </w:r>
          </w:p>
        </w:tc>
        <w:tc>
          <w:tcPr>
            <w:tcW w:w="1671" w:type="dxa"/>
          </w:tcPr>
          <w:p>
            <w:pPr>
              <w:pStyle w:val="TableParagraph"/>
              <w:spacing w:line="239" w:lineRule="exact" w:before="14"/>
              <w:ind w:right="586"/>
              <w:jc w:val="right"/>
              <w:rPr>
                <w:rFonts w:ascii="Times New Roman"/>
                <w:sz w:val="21"/>
              </w:rPr>
            </w:pPr>
            <w:r>
              <w:rPr>
                <w:rFonts w:ascii="Times New Roman"/>
                <w:sz w:val="21"/>
              </w:rPr>
              <w:t>0.132</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2" w:lineRule="exact"/>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17 </w:t>
            </w:r>
            <w:r>
              <w:rPr>
                <w:sz w:val="21"/>
              </w:rPr>
              <w:t>日</w:t>
            </w:r>
          </w:p>
        </w:tc>
        <w:tc>
          <w:tcPr>
            <w:tcW w:w="1509" w:type="dxa"/>
          </w:tcPr>
          <w:p>
            <w:pPr>
              <w:pStyle w:val="TableParagraph"/>
              <w:spacing w:line="238" w:lineRule="exact" w:before="14"/>
              <w:ind w:left="310" w:right="302"/>
              <w:rPr>
                <w:rFonts w:ascii="Times New Roman"/>
                <w:sz w:val="21"/>
              </w:rPr>
            </w:pPr>
            <w:r>
              <w:rPr>
                <w:rFonts w:ascii="Times New Roman"/>
                <w:sz w:val="21"/>
              </w:rPr>
              <w:t>TSP</w:t>
            </w:r>
          </w:p>
        </w:tc>
        <w:tc>
          <w:tcPr>
            <w:tcW w:w="1725" w:type="dxa"/>
          </w:tcPr>
          <w:p>
            <w:pPr>
              <w:pStyle w:val="TableParagraph"/>
              <w:spacing w:line="238" w:lineRule="exact" w:before="14"/>
              <w:ind w:left="683" w:right="676"/>
              <w:rPr>
                <w:rFonts w:ascii="Times New Roman"/>
                <w:sz w:val="21"/>
              </w:rPr>
            </w:pPr>
            <w:r>
              <w:rPr>
                <w:rFonts w:ascii="Times New Roman"/>
                <w:sz w:val="21"/>
              </w:rPr>
              <w:t>24h</w:t>
            </w:r>
          </w:p>
        </w:tc>
        <w:tc>
          <w:tcPr>
            <w:tcW w:w="1671" w:type="dxa"/>
          </w:tcPr>
          <w:p>
            <w:pPr>
              <w:pStyle w:val="TableParagraph"/>
              <w:spacing w:line="238" w:lineRule="exact" w:before="14"/>
              <w:ind w:right="586"/>
              <w:jc w:val="right"/>
              <w:rPr>
                <w:rFonts w:ascii="Times New Roman"/>
                <w:sz w:val="21"/>
              </w:rPr>
            </w:pPr>
            <w:r>
              <w:rPr>
                <w:rFonts w:ascii="Times New Roman"/>
                <w:sz w:val="21"/>
              </w:rPr>
              <w:t>0.149</w:t>
            </w:r>
          </w:p>
        </w:tc>
      </w:tr>
      <w:tr>
        <w:trPr>
          <w:trHeight w:val="272" w:hRule="atLeast"/>
        </w:trPr>
        <w:tc>
          <w:tcPr>
            <w:tcW w:w="2124" w:type="dxa"/>
            <w:vMerge/>
            <w:tcBorders>
              <w:top w:val="nil"/>
            </w:tcBorders>
          </w:tcPr>
          <w:p>
            <w:pPr>
              <w:rPr>
                <w:sz w:val="2"/>
                <w:szCs w:val="2"/>
              </w:rPr>
            </w:pPr>
          </w:p>
        </w:tc>
        <w:tc>
          <w:tcPr>
            <w:tcW w:w="2315" w:type="dxa"/>
          </w:tcPr>
          <w:p>
            <w:pPr>
              <w:pStyle w:val="TableParagraph"/>
              <w:spacing w:line="250" w:lineRule="exact" w:before="1"/>
              <w:ind w:left="217" w:right="209"/>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18 </w:t>
            </w:r>
            <w:r>
              <w:rPr>
                <w:sz w:val="21"/>
              </w:rPr>
              <w:t>日</w:t>
            </w:r>
          </w:p>
        </w:tc>
        <w:tc>
          <w:tcPr>
            <w:tcW w:w="1509" w:type="dxa"/>
          </w:tcPr>
          <w:p>
            <w:pPr>
              <w:pStyle w:val="TableParagraph"/>
              <w:spacing w:line="236" w:lineRule="exact" w:before="15"/>
              <w:ind w:left="310" w:right="302"/>
              <w:rPr>
                <w:rFonts w:ascii="Times New Roman"/>
                <w:sz w:val="21"/>
              </w:rPr>
            </w:pPr>
            <w:r>
              <w:rPr>
                <w:rFonts w:ascii="Times New Roman"/>
                <w:sz w:val="21"/>
              </w:rPr>
              <w:t>TSP</w:t>
            </w:r>
          </w:p>
        </w:tc>
        <w:tc>
          <w:tcPr>
            <w:tcW w:w="1725" w:type="dxa"/>
          </w:tcPr>
          <w:p>
            <w:pPr>
              <w:pStyle w:val="TableParagraph"/>
              <w:spacing w:line="236" w:lineRule="exact" w:before="15"/>
              <w:ind w:left="683" w:right="676"/>
              <w:rPr>
                <w:rFonts w:ascii="Times New Roman"/>
                <w:sz w:val="21"/>
              </w:rPr>
            </w:pPr>
            <w:r>
              <w:rPr>
                <w:rFonts w:ascii="Times New Roman"/>
                <w:sz w:val="21"/>
              </w:rPr>
              <w:t>24h</w:t>
            </w:r>
          </w:p>
        </w:tc>
        <w:tc>
          <w:tcPr>
            <w:tcW w:w="1671" w:type="dxa"/>
          </w:tcPr>
          <w:p>
            <w:pPr>
              <w:pStyle w:val="TableParagraph"/>
              <w:spacing w:line="236" w:lineRule="exact" w:before="15"/>
              <w:ind w:right="586"/>
              <w:jc w:val="right"/>
              <w:rPr>
                <w:rFonts w:ascii="Times New Roman"/>
                <w:sz w:val="21"/>
              </w:rPr>
            </w:pPr>
            <w:r>
              <w:rPr>
                <w:rFonts w:ascii="Times New Roman"/>
                <w:sz w:val="21"/>
              </w:rPr>
              <w:t>0.176</w:t>
            </w:r>
          </w:p>
        </w:tc>
      </w:tr>
    </w:tbl>
    <w:p>
      <w:pPr>
        <w:pStyle w:val="ListParagraph"/>
        <w:numPr>
          <w:ilvl w:val="2"/>
          <w:numId w:val="57"/>
        </w:numPr>
        <w:tabs>
          <w:tab w:pos="1008" w:val="left" w:leader="none"/>
        </w:tabs>
        <w:spacing w:line="240" w:lineRule="auto" w:before="6" w:after="0"/>
        <w:ind w:left="1007" w:right="0" w:hanging="633"/>
        <w:jc w:val="left"/>
        <w:rPr>
          <w:b/>
          <w:sz w:val="28"/>
        </w:rPr>
      </w:pPr>
      <w:bookmarkStart w:name="8.2.3环境空气质量现状评价" w:id="525"/>
      <w:bookmarkEnd w:id="525"/>
      <w:r>
        <w:rPr/>
      </w:r>
      <w:bookmarkStart w:name="8.2.3环境空气质量现状评价" w:id="526"/>
      <w:bookmarkEnd w:id="526"/>
      <w:r>
        <w:rPr>
          <w:b/>
          <w:sz w:val="28"/>
        </w:rPr>
        <w:t>环境空气质量现状评价</w:t>
      </w:r>
    </w:p>
    <w:p>
      <w:pPr>
        <w:pStyle w:val="BodyText"/>
        <w:spacing w:before="186"/>
        <w:ind w:left="856"/>
      </w:pPr>
      <w:r>
        <w:rPr>
          <w:rFonts w:ascii="Times New Roman" w:eastAsia="Times New Roman"/>
        </w:rPr>
        <w:t>1</w:t>
      </w:r>
      <w:r>
        <w:rPr/>
        <w:t>、评价参数</w:t>
      </w:r>
    </w:p>
    <w:p>
      <w:pPr>
        <w:pStyle w:val="BodyText"/>
        <w:spacing w:before="160"/>
        <w:ind w:left="856"/>
      </w:pPr>
      <w:r>
        <w:rPr/>
        <w:t>评价参数同监测参数</w:t>
      </w:r>
    </w:p>
    <w:p>
      <w:pPr>
        <w:pStyle w:val="BodyText"/>
        <w:spacing w:before="158"/>
        <w:ind w:left="856"/>
      </w:pPr>
      <w:r>
        <w:rPr>
          <w:rFonts w:ascii="Times New Roman" w:eastAsia="Times New Roman"/>
        </w:rPr>
        <w:t>2</w:t>
      </w:r>
      <w:r>
        <w:rPr/>
        <w:t>、评价标准</w:t>
      </w:r>
    </w:p>
    <w:p>
      <w:pPr>
        <w:pStyle w:val="BodyText"/>
        <w:spacing w:before="161"/>
        <w:ind w:left="856"/>
      </w:pPr>
      <w:r>
        <w:rPr>
          <w:rFonts w:ascii="Times New Roman" w:eastAsia="Times New Roman"/>
        </w:rPr>
        <w:t>TSP </w:t>
      </w:r>
      <w:r>
        <w:rPr/>
        <w:t>执行《环境空气质量标准》（</w:t>
      </w:r>
      <w:r>
        <w:rPr>
          <w:rFonts w:ascii="Times New Roman" w:eastAsia="Times New Roman"/>
        </w:rPr>
        <w:t>GB3095-2012</w:t>
      </w:r>
      <w:r>
        <w:rPr/>
        <w:t>）表 </w:t>
      </w:r>
      <w:r>
        <w:rPr>
          <w:rFonts w:ascii="Times New Roman" w:eastAsia="Times New Roman"/>
        </w:rPr>
        <w:t>2 </w:t>
      </w:r>
      <w:r>
        <w:rPr/>
        <w:t>二级标准限值要求。</w:t>
      </w:r>
    </w:p>
    <w:p>
      <w:pPr>
        <w:pStyle w:val="BodyText"/>
        <w:spacing w:before="158"/>
        <w:ind w:left="856"/>
      </w:pPr>
      <w:r>
        <w:rPr>
          <w:rFonts w:ascii="Times New Roman" w:eastAsia="Times New Roman"/>
        </w:rPr>
        <w:t>3</w:t>
      </w:r>
      <w:r>
        <w:rPr/>
        <w:t>、评价方法</w:t>
      </w:r>
    </w:p>
    <w:p>
      <w:pPr>
        <w:pStyle w:val="BodyText"/>
        <w:spacing w:before="160"/>
        <w:ind w:left="856"/>
      </w:pPr>
      <w:r>
        <w:rPr/>
        <w:t>采用占标率的方法进行评价。占标率</w:t>
      </w:r>
      <w:r>
        <w:rPr>
          <w:rFonts w:ascii="Times New Roman" w:eastAsia="Times New Roman"/>
        </w:rPr>
        <w:t>&gt;100%</w:t>
      </w:r>
      <w:r>
        <w:rPr/>
        <w:t>，表明该参数超过了规定的标准。</w:t>
      </w:r>
    </w:p>
    <w:p>
      <w:pPr>
        <w:pStyle w:val="BodyText"/>
        <w:spacing w:before="3"/>
        <w:rPr>
          <w:sz w:val="15"/>
        </w:rPr>
      </w:pPr>
    </w:p>
    <w:p>
      <w:pPr>
        <w:spacing w:after="0"/>
        <w:rPr>
          <w:sz w:val="15"/>
        </w:rPr>
        <w:sectPr>
          <w:pgSz w:w="11910" w:h="16840"/>
          <w:pgMar w:header="0" w:footer="1169" w:top="1580" w:bottom="1360" w:left="1040" w:right="600"/>
        </w:sectPr>
      </w:pPr>
    </w:p>
    <w:p>
      <w:pPr>
        <w:spacing w:line="127" w:lineRule="auto" w:before="124"/>
        <w:ind w:left="0" w:right="73" w:firstLine="0"/>
        <w:jc w:val="right"/>
        <w:rPr>
          <w:rFonts w:ascii="Times New Roman" w:hAnsi="Times New Roman"/>
          <w:i/>
          <w:sz w:val="23"/>
        </w:rPr>
      </w:pPr>
      <w:r>
        <w:rPr/>
        <w:pict>
          <v:line style="position:absolute;mso-position-horizontal-relative:page;mso-position-vertical-relative:paragraph;z-index:-285893632" from="283.82901pt,13.623265pt" to="299.404010pt,13.623265pt" stroked="true" strokeweight=".583pt" strokecolor="#000000">
            <v:stroke dashstyle="solid"/>
            <w10:wrap type="none"/>
          </v:line>
        </w:pict>
      </w:r>
      <w:r>
        <w:rPr/>
        <w:pict>
          <v:shape style="position:absolute;margin-left:286.001007pt;margin-top:-1.16136pt;width:9.65pt;height:14.75pt;mso-position-horizontal-relative:page;mso-position-vertical-relative:paragraph;z-index:-285892608" type="#_x0000_t202" filled="false" stroked="false">
            <v:textbox inset="0,0,0,0">
              <w:txbxContent>
                <w:p>
                  <w:pPr>
                    <w:spacing w:line="293" w:lineRule="exact" w:before="0"/>
                    <w:ind w:left="0" w:right="0" w:firstLine="0"/>
                    <w:jc w:val="left"/>
                    <w:rPr>
                      <w:rFonts w:ascii="Times New Roman"/>
                      <w:i/>
                      <w:sz w:val="13"/>
                    </w:rPr>
                  </w:pPr>
                  <w:r>
                    <w:rPr>
                      <w:rFonts w:ascii="Times New Roman"/>
                      <w:i/>
                      <w:sz w:val="23"/>
                    </w:rPr>
                    <w:t>C</w:t>
                  </w:r>
                  <w:r>
                    <w:rPr>
                      <w:rFonts w:ascii="Times New Roman"/>
                      <w:i/>
                      <w:position w:val="-5"/>
                      <w:sz w:val="13"/>
                    </w:rPr>
                    <w:t>i</w:t>
                  </w:r>
                </w:p>
              </w:txbxContent>
            </v:textbox>
            <w10:wrap type="none"/>
          </v:shape>
        </w:pict>
      </w:r>
      <w:r>
        <w:rPr>
          <w:rFonts w:ascii="Times New Roman" w:hAnsi="Times New Roman"/>
          <w:i/>
          <w:sz w:val="23"/>
        </w:rPr>
        <w:t>P</w:t>
      </w:r>
      <w:r>
        <w:rPr>
          <w:rFonts w:ascii="Times New Roman" w:hAnsi="Times New Roman"/>
          <w:i/>
          <w:position w:val="-5"/>
          <w:sz w:val="13"/>
        </w:rPr>
        <w:t>i </w:t>
      </w:r>
      <w:r>
        <w:rPr>
          <w:rFonts w:ascii="Symbol" w:hAnsi="Symbol"/>
          <w:sz w:val="23"/>
        </w:rPr>
        <w:t></w:t>
      </w:r>
      <w:r>
        <w:rPr>
          <w:rFonts w:ascii="Times New Roman" w:hAnsi="Times New Roman"/>
          <w:sz w:val="23"/>
        </w:rPr>
        <w:t> </w:t>
      </w:r>
      <w:r>
        <w:rPr>
          <w:rFonts w:ascii="Times New Roman" w:hAnsi="Times New Roman"/>
          <w:i/>
          <w:position w:val="-17"/>
          <w:sz w:val="23"/>
        </w:rPr>
        <w:t>C</w:t>
      </w:r>
    </w:p>
    <w:p>
      <w:pPr>
        <w:spacing w:before="100"/>
        <w:ind w:left="68" w:right="0" w:firstLine="0"/>
        <w:jc w:val="left"/>
        <w:rPr>
          <w:rFonts w:ascii="Times New Roman" w:hAnsi="Times New Roman"/>
          <w:sz w:val="23"/>
        </w:rPr>
      </w:pPr>
      <w:r>
        <w:rP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580" w:bottom="280" w:left="1040" w:right="600"/>
          <w:cols w:num="2" w:equalWidth="0">
            <w:col w:w="4873" w:space="40"/>
            <w:col w:w="5357"/>
          </w:cols>
        </w:sectPr>
      </w:pPr>
    </w:p>
    <w:p>
      <w:pPr>
        <w:spacing w:line="147" w:lineRule="exact" w:before="0"/>
        <w:ind w:left="0" w:right="553" w:firstLine="0"/>
        <w:jc w:val="center"/>
        <w:rPr>
          <w:rFonts w:ascii="Times New Roman"/>
          <w:i/>
          <w:sz w:val="13"/>
        </w:rPr>
      </w:pPr>
      <w:r>
        <w:rPr>
          <w:rFonts w:ascii="Times New Roman"/>
          <w:i/>
          <w:sz w:val="13"/>
        </w:rPr>
        <w:t>oi</w:t>
      </w:r>
    </w:p>
    <w:p>
      <w:pPr>
        <w:pStyle w:val="BodyText"/>
        <w:spacing w:before="7"/>
        <w:rPr>
          <w:rFonts w:ascii="Times New Roman"/>
          <w:i/>
          <w:sz w:val="13"/>
        </w:rPr>
      </w:pPr>
    </w:p>
    <w:p>
      <w:pPr>
        <w:pStyle w:val="BodyText"/>
        <w:spacing w:before="1"/>
        <w:ind w:left="856"/>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BodyText"/>
        <w:spacing w:before="156"/>
        <w:ind w:left="1576"/>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BodyText"/>
        <w:spacing w:before="153"/>
        <w:ind w:left="1576"/>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BodyText"/>
        <w:spacing w:before="160"/>
        <w:ind w:left="856"/>
      </w:pPr>
      <w:r>
        <w:rPr>
          <w:rFonts w:ascii="Times New Roman" w:eastAsia="Times New Roman"/>
        </w:rPr>
        <w:t>4</w:t>
      </w:r>
      <w:r>
        <w:rPr/>
        <w:t>、现状评价结论</w:t>
      </w:r>
    </w:p>
    <w:p>
      <w:pPr>
        <w:pStyle w:val="ListParagraph"/>
        <w:numPr>
          <w:ilvl w:val="3"/>
          <w:numId w:val="57"/>
        </w:numPr>
        <w:tabs>
          <w:tab w:pos="1457" w:val="left" w:leader="none"/>
        </w:tabs>
        <w:spacing w:line="240" w:lineRule="auto" w:before="158" w:after="0"/>
        <w:ind w:left="1457" w:right="0" w:hanging="601"/>
        <w:jc w:val="left"/>
        <w:rPr>
          <w:sz w:val="24"/>
        </w:rPr>
      </w:pPr>
      <w:r>
        <w:rPr>
          <w:sz w:val="24"/>
        </w:rPr>
        <w:t>评价结果</w:t>
      </w:r>
    </w:p>
    <w:p>
      <w:pPr>
        <w:pStyle w:val="BodyText"/>
        <w:spacing w:before="158"/>
        <w:ind w:left="856"/>
      </w:pPr>
      <w:r>
        <w:rPr/>
        <w:t>根据上述评价方法和评价标准计算得出的评价结果见表 </w:t>
      </w:r>
      <w:r>
        <w:rPr>
          <w:rFonts w:ascii="Times New Roman" w:eastAsia="Times New Roman"/>
        </w:rPr>
        <w:t>8.2-4</w:t>
      </w:r>
      <w:r>
        <w:rPr/>
        <w:t>。</w:t>
      </w:r>
    </w:p>
    <w:p>
      <w:pPr>
        <w:pStyle w:val="Heading4"/>
        <w:spacing w:before="160"/>
        <w:ind w:right="372"/>
        <w:jc w:val="center"/>
      </w:pPr>
      <w:r>
        <w:rPr/>
        <w:t>表 </w:t>
      </w:r>
      <w:r>
        <w:rPr>
          <w:rFonts w:ascii="Times New Roman" w:eastAsia="Times New Roman"/>
        </w:rPr>
        <w:t>8.2-4  </w:t>
      </w:r>
      <w:r>
        <w:rPr/>
        <w:t>其他污染物环境质量现状表</w:t>
      </w:r>
    </w:p>
    <w:p>
      <w:pPr>
        <w:pStyle w:val="BodyText"/>
        <w:spacing w:before="5"/>
        <w:rPr>
          <w:b/>
          <w:sz w:val="12"/>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1297"/>
        <w:gridCol w:w="842"/>
        <w:gridCol w:w="1217"/>
        <w:gridCol w:w="1581"/>
        <w:gridCol w:w="1389"/>
        <w:gridCol w:w="1070"/>
        <w:gridCol w:w="1069"/>
      </w:tblGrid>
      <w:tr>
        <w:trPr>
          <w:trHeight w:val="664" w:hRule="atLeast"/>
        </w:trPr>
        <w:tc>
          <w:tcPr>
            <w:tcW w:w="749" w:type="dxa"/>
          </w:tcPr>
          <w:p>
            <w:pPr>
              <w:pStyle w:val="TableParagraph"/>
              <w:spacing w:line="242" w:lineRule="auto" w:before="67"/>
              <w:ind w:left="268" w:right="48" w:hanging="209"/>
              <w:jc w:val="left"/>
              <w:rPr>
                <w:sz w:val="21"/>
              </w:rPr>
            </w:pPr>
            <w:r>
              <w:rPr>
                <w:sz w:val="21"/>
              </w:rPr>
              <w:t>监测点位</w:t>
            </w:r>
          </w:p>
        </w:tc>
        <w:tc>
          <w:tcPr>
            <w:tcW w:w="1297" w:type="dxa"/>
          </w:tcPr>
          <w:p>
            <w:pPr>
              <w:pStyle w:val="TableParagraph"/>
              <w:spacing w:before="10"/>
              <w:jc w:val="left"/>
              <w:rPr>
                <w:b/>
                <w:sz w:val="15"/>
              </w:rPr>
            </w:pPr>
          </w:p>
          <w:p>
            <w:pPr>
              <w:pStyle w:val="TableParagraph"/>
              <w:ind w:left="312" w:right="305"/>
              <w:rPr>
                <w:sz w:val="21"/>
              </w:rPr>
            </w:pPr>
            <w:r>
              <w:rPr>
                <w:sz w:val="21"/>
              </w:rPr>
              <w:t>污染物</w:t>
            </w:r>
          </w:p>
        </w:tc>
        <w:tc>
          <w:tcPr>
            <w:tcW w:w="842" w:type="dxa"/>
          </w:tcPr>
          <w:p>
            <w:pPr>
              <w:pStyle w:val="TableParagraph"/>
              <w:spacing w:line="242" w:lineRule="auto" w:before="67"/>
              <w:ind w:left="314" w:right="94" w:hanging="209"/>
              <w:jc w:val="left"/>
              <w:rPr>
                <w:sz w:val="21"/>
              </w:rPr>
            </w:pPr>
            <w:r>
              <w:rPr>
                <w:sz w:val="21"/>
              </w:rPr>
              <w:t>平均时间</w:t>
            </w:r>
          </w:p>
        </w:tc>
        <w:tc>
          <w:tcPr>
            <w:tcW w:w="1217" w:type="dxa"/>
          </w:tcPr>
          <w:p>
            <w:pPr>
              <w:pStyle w:val="TableParagraph"/>
              <w:spacing w:before="67"/>
              <w:ind w:left="159"/>
              <w:jc w:val="left"/>
              <w:rPr>
                <w:rFonts w:ascii="Times New Roman" w:eastAsia="Times New Roman"/>
                <w:sz w:val="21"/>
              </w:rPr>
            </w:pPr>
            <w:r>
              <w:rPr>
                <w:w w:val="95"/>
                <w:sz w:val="21"/>
              </w:rPr>
              <w:t>评价标准</w:t>
            </w:r>
            <w:r>
              <w:rPr>
                <w:rFonts w:ascii="Times New Roman" w:eastAsia="Times New Roman"/>
                <w:w w:val="95"/>
                <w:sz w:val="21"/>
              </w:rPr>
              <w:t>/</w:t>
            </w:r>
          </w:p>
          <w:p>
            <w:pPr>
              <w:pStyle w:val="TableParagraph"/>
              <w:spacing w:before="3"/>
              <w:ind w:left="118"/>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81" w:type="dxa"/>
          </w:tcPr>
          <w:p>
            <w:pPr>
              <w:pStyle w:val="TableParagraph"/>
              <w:spacing w:before="67"/>
              <w:ind w:left="109" w:right="102"/>
              <w:rPr>
                <w:rFonts w:ascii="Times New Roman" w:eastAsia="Times New Roman"/>
                <w:sz w:val="21"/>
              </w:rPr>
            </w:pPr>
            <w:r>
              <w:rPr>
                <w:sz w:val="21"/>
              </w:rPr>
              <w:t>监测浓度范围</w:t>
            </w:r>
            <w:r>
              <w:rPr>
                <w:rFonts w:ascii="Times New Roman" w:eastAsia="Times New Roman"/>
                <w:sz w:val="21"/>
              </w:rPr>
              <w:t>/</w:t>
            </w:r>
          </w:p>
          <w:p>
            <w:pPr>
              <w:pStyle w:val="TableParagraph"/>
              <w:spacing w:before="3"/>
              <w:ind w:left="109"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89" w:type="dxa"/>
          </w:tcPr>
          <w:p>
            <w:pPr>
              <w:pStyle w:val="TableParagraph"/>
              <w:spacing w:line="242" w:lineRule="auto" w:before="67"/>
              <w:ind w:left="471" w:right="55" w:hanging="408"/>
              <w:jc w:val="left"/>
              <w:rPr>
                <w:rFonts w:ascii="Times New Roman" w:eastAsia="Times New Roman"/>
                <w:sz w:val="21"/>
              </w:rPr>
            </w:pPr>
            <w:r>
              <w:rPr>
                <w:sz w:val="21"/>
              </w:rPr>
              <w:t>最大浓度占标率</w:t>
            </w:r>
            <w:r>
              <w:rPr>
                <w:rFonts w:ascii="Times New Roman" w:eastAsia="Times New Roman"/>
                <w:sz w:val="21"/>
              </w:rPr>
              <w:t>/%</w:t>
            </w:r>
          </w:p>
        </w:tc>
        <w:tc>
          <w:tcPr>
            <w:tcW w:w="1070" w:type="dxa"/>
          </w:tcPr>
          <w:p>
            <w:pPr>
              <w:pStyle w:val="TableParagraph"/>
              <w:spacing w:before="10"/>
              <w:jc w:val="left"/>
              <w:rPr>
                <w:b/>
                <w:sz w:val="15"/>
              </w:rPr>
            </w:pPr>
          </w:p>
          <w:p>
            <w:pPr>
              <w:pStyle w:val="TableParagraph"/>
              <w:ind w:left="82" w:right="74"/>
              <w:rPr>
                <w:rFonts w:ascii="Times New Roman" w:eastAsia="Times New Roman"/>
                <w:sz w:val="21"/>
              </w:rPr>
            </w:pPr>
            <w:r>
              <w:rPr>
                <w:sz w:val="21"/>
              </w:rPr>
              <w:t>超标率</w:t>
            </w:r>
            <w:r>
              <w:rPr>
                <w:rFonts w:ascii="Times New Roman" w:eastAsia="Times New Roman"/>
                <w:sz w:val="21"/>
              </w:rPr>
              <w:t>/%</w:t>
            </w:r>
          </w:p>
        </w:tc>
        <w:tc>
          <w:tcPr>
            <w:tcW w:w="1069" w:type="dxa"/>
          </w:tcPr>
          <w:p>
            <w:pPr>
              <w:pStyle w:val="TableParagraph"/>
              <w:spacing w:before="10"/>
              <w:jc w:val="left"/>
              <w:rPr>
                <w:b/>
                <w:sz w:val="15"/>
              </w:rPr>
            </w:pPr>
          </w:p>
          <w:p>
            <w:pPr>
              <w:pStyle w:val="TableParagraph"/>
              <w:ind w:left="91" w:right="87"/>
              <w:rPr>
                <w:sz w:val="21"/>
              </w:rPr>
            </w:pPr>
            <w:r>
              <w:rPr>
                <w:sz w:val="21"/>
              </w:rPr>
              <w:t>达标情况</w:t>
            </w:r>
          </w:p>
        </w:tc>
      </w:tr>
      <w:tr>
        <w:trPr>
          <w:trHeight w:val="286" w:hRule="atLeast"/>
        </w:trPr>
        <w:tc>
          <w:tcPr>
            <w:tcW w:w="749" w:type="dxa"/>
          </w:tcPr>
          <w:p>
            <w:pPr>
              <w:pStyle w:val="TableParagraph"/>
              <w:spacing w:line="238" w:lineRule="exact" w:before="29"/>
              <w:ind w:left="248" w:right="241"/>
              <w:rPr>
                <w:rFonts w:ascii="Times New Roman"/>
                <w:sz w:val="21"/>
              </w:rPr>
            </w:pPr>
            <w:r>
              <w:rPr>
                <w:rFonts w:ascii="Times New Roman"/>
                <w:sz w:val="21"/>
              </w:rPr>
              <w:t>1#</w:t>
            </w:r>
          </w:p>
        </w:tc>
        <w:tc>
          <w:tcPr>
            <w:tcW w:w="1297" w:type="dxa"/>
          </w:tcPr>
          <w:p>
            <w:pPr>
              <w:pStyle w:val="TableParagraph"/>
              <w:spacing w:line="238" w:lineRule="exact" w:before="29"/>
              <w:ind w:left="312" w:right="304"/>
              <w:rPr>
                <w:rFonts w:ascii="Times New Roman"/>
                <w:sz w:val="21"/>
              </w:rPr>
            </w:pPr>
            <w:r>
              <w:rPr>
                <w:rFonts w:ascii="Times New Roman"/>
                <w:sz w:val="21"/>
              </w:rPr>
              <w:t>TSP</w:t>
            </w:r>
          </w:p>
        </w:tc>
        <w:tc>
          <w:tcPr>
            <w:tcW w:w="842" w:type="dxa"/>
          </w:tcPr>
          <w:p>
            <w:pPr>
              <w:pStyle w:val="TableParagraph"/>
              <w:spacing w:line="252" w:lineRule="exact" w:before="15"/>
              <w:ind w:left="106"/>
              <w:jc w:val="left"/>
              <w:rPr>
                <w:sz w:val="21"/>
              </w:rPr>
            </w:pPr>
            <w:r>
              <w:rPr>
                <w:sz w:val="21"/>
              </w:rPr>
              <w:t>日平均</w:t>
            </w:r>
          </w:p>
        </w:tc>
        <w:tc>
          <w:tcPr>
            <w:tcW w:w="1217" w:type="dxa"/>
          </w:tcPr>
          <w:p>
            <w:pPr>
              <w:pStyle w:val="TableParagraph"/>
              <w:spacing w:line="238" w:lineRule="exact" w:before="29"/>
              <w:ind w:left="376" w:right="368"/>
              <w:rPr>
                <w:rFonts w:ascii="Times New Roman"/>
                <w:sz w:val="21"/>
              </w:rPr>
            </w:pPr>
            <w:r>
              <w:rPr>
                <w:rFonts w:ascii="Times New Roman"/>
                <w:sz w:val="21"/>
              </w:rPr>
              <w:t>0.3</w:t>
            </w:r>
          </w:p>
        </w:tc>
        <w:tc>
          <w:tcPr>
            <w:tcW w:w="1581" w:type="dxa"/>
          </w:tcPr>
          <w:p>
            <w:pPr>
              <w:pStyle w:val="TableParagraph"/>
              <w:spacing w:line="238" w:lineRule="exact" w:before="29"/>
              <w:ind w:left="262"/>
              <w:jc w:val="left"/>
              <w:rPr>
                <w:rFonts w:ascii="Times New Roman"/>
                <w:sz w:val="21"/>
              </w:rPr>
            </w:pPr>
            <w:r>
              <w:rPr>
                <w:rFonts w:ascii="Times New Roman"/>
                <w:sz w:val="21"/>
              </w:rPr>
              <w:t>0.092~0.138</w:t>
            </w:r>
          </w:p>
        </w:tc>
        <w:tc>
          <w:tcPr>
            <w:tcW w:w="1389" w:type="dxa"/>
          </w:tcPr>
          <w:p>
            <w:pPr>
              <w:pStyle w:val="TableParagraph"/>
              <w:spacing w:line="238" w:lineRule="exact" w:before="29"/>
              <w:ind w:left="214" w:right="205"/>
              <w:rPr>
                <w:rFonts w:ascii="Times New Roman"/>
                <w:sz w:val="21"/>
              </w:rPr>
            </w:pPr>
            <w:r>
              <w:rPr>
                <w:rFonts w:ascii="Times New Roman"/>
                <w:sz w:val="21"/>
              </w:rPr>
              <w:t>46</w:t>
            </w:r>
          </w:p>
        </w:tc>
        <w:tc>
          <w:tcPr>
            <w:tcW w:w="1070" w:type="dxa"/>
          </w:tcPr>
          <w:p>
            <w:pPr>
              <w:pStyle w:val="TableParagraph"/>
              <w:spacing w:line="238" w:lineRule="exact" w:before="29"/>
              <w:ind w:left="8"/>
              <w:rPr>
                <w:rFonts w:ascii="Times New Roman"/>
                <w:sz w:val="21"/>
              </w:rPr>
            </w:pPr>
            <w:r>
              <w:rPr>
                <w:rFonts w:ascii="Times New Roman"/>
                <w:w w:val="99"/>
                <w:sz w:val="21"/>
              </w:rPr>
              <w:t>0</w:t>
            </w:r>
          </w:p>
        </w:tc>
        <w:tc>
          <w:tcPr>
            <w:tcW w:w="1069" w:type="dxa"/>
          </w:tcPr>
          <w:p>
            <w:pPr>
              <w:pStyle w:val="TableParagraph"/>
              <w:spacing w:line="252" w:lineRule="exact" w:before="15"/>
              <w:ind w:left="91" w:right="85"/>
              <w:rPr>
                <w:sz w:val="21"/>
              </w:rPr>
            </w:pPr>
            <w:r>
              <w:rPr>
                <w:sz w:val="21"/>
              </w:rPr>
              <w:t>达标</w:t>
            </w:r>
          </w:p>
        </w:tc>
      </w:tr>
      <w:tr>
        <w:trPr>
          <w:trHeight w:val="287" w:hRule="atLeast"/>
        </w:trPr>
        <w:tc>
          <w:tcPr>
            <w:tcW w:w="749" w:type="dxa"/>
          </w:tcPr>
          <w:p>
            <w:pPr>
              <w:pStyle w:val="TableParagraph"/>
              <w:spacing w:line="237" w:lineRule="exact" w:before="30"/>
              <w:ind w:left="248" w:right="241"/>
              <w:rPr>
                <w:rFonts w:ascii="Times New Roman"/>
                <w:sz w:val="21"/>
              </w:rPr>
            </w:pPr>
            <w:r>
              <w:rPr>
                <w:rFonts w:ascii="Times New Roman"/>
                <w:sz w:val="21"/>
              </w:rPr>
              <w:t>2#</w:t>
            </w:r>
          </w:p>
        </w:tc>
        <w:tc>
          <w:tcPr>
            <w:tcW w:w="1297" w:type="dxa"/>
          </w:tcPr>
          <w:p>
            <w:pPr>
              <w:pStyle w:val="TableParagraph"/>
              <w:spacing w:line="237" w:lineRule="exact" w:before="30"/>
              <w:ind w:left="312" w:right="304"/>
              <w:rPr>
                <w:rFonts w:ascii="Times New Roman"/>
                <w:sz w:val="21"/>
              </w:rPr>
            </w:pPr>
            <w:r>
              <w:rPr>
                <w:rFonts w:ascii="Times New Roman"/>
                <w:sz w:val="21"/>
              </w:rPr>
              <w:t>TSP</w:t>
            </w:r>
          </w:p>
        </w:tc>
        <w:tc>
          <w:tcPr>
            <w:tcW w:w="842" w:type="dxa"/>
          </w:tcPr>
          <w:p>
            <w:pPr>
              <w:pStyle w:val="TableParagraph"/>
              <w:spacing w:line="251" w:lineRule="exact" w:before="16"/>
              <w:ind w:left="106"/>
              <w:jc w:val="left"/>
              <w:rPr>
                <w:sz w:val="21"/>
              </w:rPr>
            </w:pPr>
            <w:r>
              <w:rPr>
                <w:sz w:val="21"/>
              </w:rPr>
              <w:t>日平均</w:t>
            </w:r>
          </w:p>
        </w:tc>
        <w:tc>
          <w:tcPr>
            <w:tcW w:w="1217" w:type="dxa"/>
          </w:tcPr>
          <w:p>
            <w:pPr>
              <w:pStyle w:val="TableParagraph"/>
              <w:spacing w:line="237" w:lineRule="exact" w:before="30"/>
              <w:ind w:left="376" w:right="368"/>
              <w:rPr>
                <w:rFonts w:ascii="Times New Roman"/>
                <w:sz w:val="21"/>
              </w:rPr>
            </w:pPr>
            <w:r>
              <w:rPr>
                <w:rFonts w:ascii="Times New Roman"/>
                <w:sz w:val="21"/>
              </w:rPr>
              <w:t>0.3</w:t>
            </w:r>
          </w:p>
        </w:tc>
        <w:tc>
          <w:tcPr>
            <w:tcW w:w="1581" w:type="dxa"/>
          </w:tcPr>
          <w:p>
            <w:pPr>
              <w:pStyle w:val="TableParagraph"/>
              <w:spacing w:line="237" w:lineRule="exact" w:before="30"/>
              <w:ind w:left="262"/>
              <w:jc w:val="left"/>
              <w:rPr>
                <w:rFonts w:ascii="Times New Roman"/>
                <w:sz w:val="21"/>
              </w:rPr>
            </w:pPr>
            <w:r>
              <w:rPr>
                <w:rFonts w:ascii="Times New Roman"/>
                <w:sz w:val="21"/>
              </w:rPr>
              <w:t>0.120~0.176</w:t>
            </w:r>
          </w:p>
        </w:tc>
        <w:tc>
          <w:tcPr>
            <w:tcW w:w="1389" w:type="dxa"/>
          </w:tcPr>
          <w:p>
            <w:pPr>
              <w:pStyle w:val="TableParagraph"/>
              <w:spacing w:line="237" w:lineRule="exact" w:before="30"/>
              <w:ind w:left="214" w:right="205"/>
              <w:rPr>
                <w:rFonts w:ascii="Times New Roman"/>
                <w:sz w:val="21"/>
              </w:rPr>
            </w:pPr>
            <w:r>
              <w:rPr>
                <w:rFonts w:ascii="Times New Roman"/>
                <w:sz w:val="21"/>
              </w:rPr>
              <w:t>58.67</w:t>
            </w:r>
          </w:p>
        </w:tc>
        <w:tc>
          <w:tcPr>
            <w:tcW w:w="1070" w:type="dxa"/>
          </w:tcPr>
          <w:p>
            <w:pPr>
              <w:pStyle w:val="TableParagraph"/>
              <w:spacing w:line="237" w:lineRule="exact" w:before="30"/>
              <w:ind w:left="8"/>
              <w:rPr>
                <w:rFonts w:ascii="Times New Roman"/>
                <w:sz w:val="21"/>
              </w:rPr>
            </w:pPr>
            <w:r>
              <w:rPr>
                <w:rFonts w:ascii="Times New Roman"/>
                <w:w w:val="99"/>
                <w:sz w:val="21"/>
              </w:rPr>
              <w:t>0</w:t>
            </w:r>
          </w:p>
        </w:tc>
        <w:tc>
          <w:tcPr>
            <w:tcW w:w="1069" w:type="dxa"/>
          </w:tcPr>
          <w:p>
            <w:pPr>
              <w:pStyle w:val="TableParagraph"/>
              <w:spacing w:line="251" w:lineRule="exact" w:before="16"/>
              <w:ind w:left="91" w:right="85"/>
              <w:rPr>
                <w:sz w:val="21"/>
              </w:rPr>
            </w:pPr>
            <w:r>
              <w:rPr>
                <w:sz w:val="21"/>
              </w:rPr>
              <w:t>达标</w:t>
            </w:r>
          </w:p>
        </w:tc>
      </w:tr>
    </w:tbl>
    <w:p>
      <w:pPr>
        <w:pStyle w:val="ListParagraph"/>
        <w:numPr>
          <w:ilvl w:val="3"/>
          <w:numId w:val="57"/>
        </w:numPr>
        <w:tabs>
          <w:tab w:pos="1457" w:val="left" w:leader="none"/>
        </w:tabs>
        <w:spacing w:line="240" w:lineRule="auto" w:before="1" w:after="0"/>
        <w:ind w:left="1457" w:right="0" w:hanging="601"/>
        <w:jc w:val="left"/>
        <w:rPr>
          <w:sz w:val="24"/>
        </w:rPr>
      </w:pPr>
      <w:r>
        <w:rPr>
          <w:sz w:val="24"/>
        </w:rPr>
        <w:t>现状评价结论</w:t>
      </w:r>
    </w:p>
    <w:p>
      <w:pPr>
        <w:pStyle w:val="BodyText"/>
        <w:spacing w:before="160"/>
        <w:ind w:right="751"/>
        <w:jc w:val="right"/>
        <w:rPr>
          <w:rFonts w:ascii="Times New Roman" w:eastAsia="Times New Roman"/>
        </w:rPr>
      </w:pPr>
      <w:r>
        <w:rPr>
          <w:rFonts w:ascii="Times New Roman" w:eastAsia="Times New Roman"/>
        </w:rPr>
        <w:t>1#</w:t>
      </w:r>
      <w:r>
        <w:rPr>
          <w:spacing w:val="-24"/>
        </w:rPr>
        <w:t>点 </w:t>
      </w:r>
      <w:r>
        <w:rPr>
          <w:rFonts w:ascii="Times New Roman" w:eastAsia="Times New Roman"/>
        </w:rPr>
        <w:t>TSP</w:t>
      </w:r>
      <w:r>
        <w:rPr>
          <w:rFonts w:ascii="Times New Roman" w:eastAsia="Times New Roman"/>
          <w:spacing w:val="8"/>
        </w:rPr>
        <w:t> </w:t>
      </w:r>
      <w:r>
        <w:rPr>
          <w:spacing w:val="-3"/>
        </w:rPr>
        <w:t>日均值浓度范围在 </w:t>
      </w:r>
      <w:r>
        <w:rPr>
          <w:rFonts w:ascii="Times New Roman" w:eastAsia="Times New Roman"/>
        </w:rPr>
        <w:t>0.092mg/m</w:t>
      </w:r>
      <w:r>
        <w:rPr>
          <w:rFonts w:ascii="Times New Roman" w:eastAsia="Times New Roman"/>
          <w:position w:val="8"/>
          <w:sz w:val="15"/>
        </w:rPr>
        <w:t>3</w:t>
      </w:r>
      <w:r>
        <w:rPr/>
        <w:t>～</w:t>
      </w:r>
      <w:r>
        <w:rPr>
          <w:rFonts w:ascii="Times New Roman" w:eastAsia="Times New Roman"/>
        </w:rPr>
        <w:t>0.138mg/m</w:t>
      </w:r>
      <w:r>
        <w:rPr>
          <w:rFonts w:ascii="Times New Roman" w:eastAsia="Times New Roman"/>
          <w:position w:val="8"/>
          <w:sz w:val="15"/>
        </w:rPr>
        <w:t>3</w:t>
      </w:r>
      <w:r>
        <w:rPr>
          <w:rFonts w:ascii="Times New Roman" w:eastAsia="Times New Roman"/>
          <w:spacing w:val="9"/>
          <w:position w:val="8"/>
          <w:sz w:val="15"/>
        </w:rPr>
        <w:t> </w:t>
      </w:r>
      <w:r>
        <w:rPr>
          <w:spacing w:val="-3"/>
        </w:rPr>
        <w:t>之间，最大占标为 </w:t>
      </w:r>
      <w:r>
        <w:rPr>
          <w:rFonts w:ascii="Times New Roman" w:eastAsia="Times New Roman"/>
        </w:rPr>
        <w:t>46%</w:t>
      </w:r>
      <w:r>
        <w:rPr/>
        <w:t>；</w:t>
      </w:r>
      <w:r>
        <w:rPr>
          <w:rFonts w:ascii="Times New Roman" w:eastAsia="Times New Roman"/>
        </w:rPr>
        <w:t>2#</w:t>
      </w:r>
    </w:p>
    <w:p>
      <w:pPr>
        <w:pStyle w:val="BodyText"/>
        <w:spacing w:before="158"/>
        <w:ind w:right="753"/>
        <w:jc w:val="right"/>
      </w:pPr>
      <w:r>
        <w:rPr>
          <w:spacing w:val="-26"/>
        </w:rPr>
        <w:t>点 </w:t>
      </w:r>
      <w:r>
        <w:rPr>
          <w:rFonts w:ascii="Times New Roman" w:eastAsia="Times New Roman"/>
        </w:rPr>
        <w:t>TSP</w:t>
      </w:r>
      <w:r>
        <w:rPr>
          <w:rFonts w:ascii="Times New Roman" w:eastAsia="Times New Roman"/>
          <w:spacing w:val="11"/>
        </w:rPr>
        <w:t> </w:t>
      </w:r>
      <w:r>
        <w:rPr>
          <w:spacing w:val="-6"/>
        </w:rPr>
        <w:t>日均值浓度范围在 </w:t>
      </w:r>
      <w:r>
        <w:rPr>
          <w:rFonts w:ascii="Times New Roman" w:eastAsia="Times New Roman"/>
        </w:rPr>
        <w:t>0.120mg/m</w:t>
      </w:r>
      <w:r>
        <w:rPr>
          <w:rFonts w:ascii="Times New Roman" w:eastAsia="Times New Roman"/>
          <w:position w:val="8"/>
          <w:sz w:val="15"/>
        </w:rPr>
        <w:t>3</w:t>
      </w:r>
      <w:r>
        <w:rPr/>
        <w:t>～</w:t>
      </w:r>
      <w:r>
        <w:rPr>
          <w:rFonts w:ascii="Times New Roman" w:eastAsia="Times New Roman"/>
        </w:rPr>
        <w:t>0.176mg/m</w:t>
      </w:r>
      <w:r>
        <w:rPr>
          <w:rFonts w:ascii="Times New Roman" w:eastAsia="Times New Roman"/>
          <w:position w:val="8"/>
          <w:sz w:val="15"/>
        </w:rPr>
        <w:t>3</w:t>
      </w:r>
      <w:r>
        <w:rPr>
          <w:rFonts w:ascii="Times New Roman" w:eastAsia="Times New Roman"/>
          <w:spacing w:val="9"/>
          <w:position w:val="8"/>
          <w:sz w:val="15"/>
        </w:rPr>
        <w:t> </w:t>
      </w:r>
      <w:r>
        <w:rPr>
          <w:spacing w:val="-6"/>
        </w:rPr>
        <w:t>之间，最大占标为 </w:t>
      </w:r>
      <w:r>
        <w:rPr>
          <w:rFonts w:ascii="Times New Roman" w:eastAsia="Times New Roman"/>
        </w:rPr>
        <w:t>58.67%</w:t>
      </w:r>
      <w:r>
        <w:rPr/>
        <w:t>。各监测</w:t>
      </w:r>
    </w:p>
    <w:p>
      <w:pPr>
        <w:spacing w:after="0"/>
        <w:jc w:val="right"/>
        <w:sectPr>
          <w:type w:val="continuous"/>
          <w:pgSz w:w="11910" w:h="16840"/>
          <w:pgMar w:top="1580" w:bottom="280" w:left="1040" w:right="600"/>
        </w:sectPr>
      </w:pPr>
    </w:p>
    <w:p>
      <w:pPr>
        <w:pStyle w:val="BodyText"/>
        <w:spacing w:line="362" w:lineRule="auto" w:before="66"/>
        <w:ind w:left="375" w:right="757"/>
        <w:jc w:val="both"/>
      </w:pPr>
      <w:r>
        <w:rPr>
          <w:spacing w:val="-18"/>
        </w:rPr>
        <w:t>点的 </w:t>
      </w:r>
      <w:r>
        <w:rPr>
          <w:rFonts w:ascii="Times New Roman" w:eastAsia="Times New Roman"/>
        </w:rPr>
        <w:t>TSP </w:t>
      </w:r>
      <w:r>
        <w:rPr>
          <w:spacing w:val="-1"/>
        </w:rPr>
        <w:t>日均值浓度值均满足《环境空气质量标准》</w:t>
      </w:r>
      <w:r>
        <w:rPr/>
        <w:t>（</w:t>
      </w:r>
      <w:r>
        <w:rPr>
          <w:rFonts w:ascii="Times New Roman" w:eastAsia="Times New Roman"/>
        </w:rPr>
        <w:t>GB3095-2012</w:t>
      </w:r>
      <w:r>
        <w:rPr/>
        <w:t>）</w:t>
      </w:r>
      <w:r>
        <w:rPr>
          <w:spacing w:val="-28"/>
        </w:rPr>
        <w:t>表 </w:t>
      </w:r>
      <w:r>
        <w:rPr>
          <w:rFonts w:ascii="Times New Roman" w:eastAsia="Times New Roman"/>
        </w:rPr>
        <w:t>2 </w:t>
      </w:r>
      <w:r>
        <w:rPr/>
        <w:t>二级标准限值要求。</w:t>
      </w:r>
    </w:p>
    <w:p>
      <w:pPr>
        <w:pStyle w:val="BodyText"/>
        <w:spacing w:line="364" w:lineRule="auto" w:before="5"/>
        <w:ind w:left="375" w:right="758" w:firstLine="480"/>
        <w:jc w:val="both"/>
      </w:pPr>
      <w:r>
        <w:rPr>
          <w:spacing w:val="-6"/>
        </w:rPr>
        <w:t>根据《</w:t>
      </w:r>
      <w:r>
        <w:rPr>
          <w:rFonts w:ascii="Times New Roman" w:eastAsia="Times New Roman"/>
        </w:rPr>
        <w:t>2019 </w:t>
      </w:r>
      <w:r>
        <w:rPr>
          <w:spacing w:val="-4"/>
        </w:rPr>
        <w:t>年双鸭山市环境空气质量状况》中相关数据，双鸭山市区域基本污染物</w:t>
      </w:r>
      <w:r>
        <w:rPr/>
        <w:t>均符合《环境空气质量标准》（</w:t>
      </w:r>
      <w:r>
        <w:rPr>
          <w:rFonts w:ascii="Times New Roman" w:eastAsia="Times New Roman"/>
        </w:rPr>
        <w:t>GB3095-2012</w:t>
      </w:r>
      <w:r>
        <w:rPr/>
        <w:t>）中二级标准要求，区域属于环境空气质量达标区。</w:t>
      </w:r>
    </w:p>
    <w:p>
      <w:pPr>
        <w:pStyle w:val="Heading3"/>
        <w:numPr>
          <w:ilvl w:val="1"/>
          <w:numId w:val="57"/>
        </w:numPr>
        <w:tabs>
          <w:tab w:pos="868" w:val="left" w:leader="none"/>
        </w:tabs>
        <w:spacing w:line="357" w:lineRule="exact" w:before="0" w:after="0"/>
        <w:ind w:left="868" w:right="0" w:hanging="493"/>
        <w:jc w:val="left"/>
        <w:rPr>
          <w:rFonts w:ascii="Times New Roman" w:eastAsia="Times New Roman"/>
        </w:rPr>
      </w:pPr>
      <w:bookmarkStart w:name="8.3 建设期大气环境影响及防治措施" w:id="527"/>
      <w:bookmarkEnd w:id="527"/>
      <w:r>
        <w:rPr>
          <w:b w:val="0"/>
        </w:rPr>
      </w:r>
      <w:bookmarkStart w:name="_bookmark41" w:id="528"/>
      <w:bookmarkEnd w:id="528"/>
      <w:r>
        <w:rPr>
          <w:b w:val="0"/>
        </w:rPr>
      </w:r>
      <w:bookmarkStart w:name="_bookmark41" w:id="529"/>
      <w:bookmarkEnd w:id="529"/>
      <w:r>
        <w:rPr/>
        <w:t>建设期大气环境影响及防治措施</w:t>
      </w:r>
    </w:p>
    <w:p>
      <w:pPr>
        <w:pStyle w:val="ListParagraph"/>
        <w:numPr>
          <w:ilvl w:val="2"/>
          <w:numId w:val="57"/>
        </w:numPr>
        <w:tabs>
          <w:tab w:pos="1077" w:val="left" w:leader="none"/>
        </w:tabs>
        <w:spacing w:line="240" w:lineRule="auto" w:before="188" w:after="0"/>
        <w:ind w:left="1076" w:right="0" w:hanging="702"/>
        <w:jc w:val="left"/>
        <w:rPr>
          <w:b/>
          <w:sz w:val="28"/>
        </w:rPr>
      </w:pPr>
      <w:bookmarkStart w:name="8.3.1 建设期环境空气影响" w:id="530"/>
      <w:bookmarkEnd w:id="530"/>
      <w:r>
        <w:rPr/>
      </w:r>
      <w:bookmarkStart w:name="8.3.1 建设期环境空气影响" w:id="531"/>
      <w:bookmarkEnd w:id="531"/>
      <w:r>
        <w:rPr>
          <w:b/>
          <w:sz w:val="28"/>
        </w:rPr>
        <w:t>建设期环境空气影响</w:t>
      </w:r>
    </w:p>
    <w:p>
      <w:pPr>
        <w:pStyle w:val="BodyText"/>
        <w:spacing w:line="362" w:lineRule="auto" w:before="183"/>
        <w:ind w:left="375" w:right="760" w:firstLine="480"/>
        <w:jc w:val="both"/>
      </w:pPr>
      <w:r>
        <w:rPr/>
        <w:t>施工活动对环境空气的影响主要为扬尘，施工扬尘主要来源于道路扬尘、混凝土搅拌、土石方挖、填产生的粉尘、渣石、建筑垃圾运输、物料破碎等产生的扬尘。施工人</w:t>
      </w:r>
      <w:r>
        <w:rPr>
          <w:position w:val="2"/>
        </w:rPr>
        <w:t>员生活、采暖锅炉排放的烟尘和 </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w:t>
      </w:r>
      <w:r>
        <w:rPr>
          <w:position w:val="2"/>
          <w:vertAlign w:val="baseline"/>
        </w:rPr>
        <w:t>给环境空气带来影响。</w:t>
      </w:r>
    </w:p>
    <w:p>
      <w:pPr>
        <w:pStyle w:val="Heading3"/>
        <w:numPr>
          <w:ilvl w:val="2"/>
          <w:numId w:val="57"/>
        </w:numPr>
        <w:tabs>
          <w:tab w:pos="1008" w:val="left" w:leader="none"/>
        </w:tabs>
        <w:spacing w:line="240" w:lineRule="auto" w:before="5" w:after="0"/>
        <w:ind w:left="1007" w:right="0" w:hanging="633"/>
        <w:jc w:val="left"/>
      </w:pPr>
      <w:bookmarkStart w:name="8.3.2建设期环境空气防治措施" w:id="532"/>
      <w:bookmarkEnd w:id="532"/>
      <w:r>
        <w:rPr>
          <w:b w:val="0"/>
        </w:rPr>
      </w:r>
      <w:bookmarkStart w:name="8.3.2建设期环境空气防治措施" w:id="533"/>
      <w:bookmarkEnd w:id="533"/>
      <w:r>
        <w:rPr/>
        <w:t>建设期环境空气防治措施</w:t>
      </w:r>
    </w:p>
    <w:p>
      <w:pPr>
        <w:pStyle w:val="BodyText"/>
        <w:spacing w:before="185"/>
        <w:ind w:left="856"/>
      </w:pPr>
      <w:r>
        <w:rPr/>
        <w:t>环境空气污染防治措施如下：</w:t>
      </w:r>
    </w:p>
    <w:p>
      <w:pPr>
        <w:pStyle w:val="BodyText"/>
        <w:spacing w:before="159"/>
        <w:ind w:left="856"/>
      </w:pPr>
      <w:r>
        <w:rPr/>
        <w:t>①施工粉尘</w:t>
      </w:r>
    </w:p>
    <w:p>
      <w:pPr>
        <w:pStyle w:val="BodyText"/>
        <w:spacing w:line="364" w:lineRule="auto" w:before="160"/>
        <w:ind w:left="375" w:right="637" w:firstLine="480"/>
      </w:pPr>
      <w:r>
        <w:rPr/>
        <w:t>施工中粉尘、扬尘主要来源于道路运输、混凝土搅拌，土方、渣石、垃圾堆放及物</w:t>
      </w:r>
      <w:r>
        <w:rPr>
          <w:spacing w:val="-11"/>
        </w:rPr>
        <w:t>料破碎等环节。土石方挖掘完后，要及时回填，剩余土方应及时运到需要填方的低洼处， </w:t>
      </w:r>
      <w:r>
        <w:rPr/>
        <w:t>或临时堆放在施工生活区主导风向的下风向，减轻对施工生活区的影响，同时防止水土流失；对施工现场要及时清理，定时洒水，保持清洁和相对湿度。散装水泥、沙子和石灰等易产生扬尘的建筑材料不得随意露天堆放，应设置专门的堆棚，且堆棚四周有围挡结构，以免产生扬尘对周围环境造成影响。混凝土搅拌机设在专门的棚内，散落在地上的水泥等要经常清理。为防止运输过程产生的二次扬尘污染，要对施工道路定时洒水， </w:t>
      </w:r>
      <w:r>
        <w:rPr>
          <w:spacing w:val="-4"/>
        </w:rPr>
        <w:t>并且在大风天气</w:t>
      </w:r>
      <w:r>
        <w:rPr/>
        <w:t>（风速</w:t>
      </w:r>
      <w:r>
        <w:rPr>
          <w:rFonts w:ascii="Times New Roman" w:hAnsi="Times New Roman" w:eastAsia="Times New Roman"/>
          <w:spacing w:val="-5"/>
        </w:rPr>
        <w:t>≥6m/s</w:t>
      </w:r>
      <w:r>
        <w:rPr>
          <w:spacing w:val="-5"/>
        </w:rPr>
        <w:t>）</w:t>
      </w:r>
      <w:r>
        <w:rPr>
          <w:spacing w:val="-9"/>
        </w:rPr>
        <w:t>下，停止土石方施工，并对容易产生二次扬尘污染的重点施工现场进行遮盖。</w:t>
      </w:r>
    </w:p>
    <w:p>
      <w:pPr>
        <w:pStyle w:val="BodyText"/>
        <w:spacing w:line="303" w:lineRule="exact"/>
        <w:ind w:left="856"/>
      </w:pPr>
      <w:r>
        <w:rPr/>
        <w:t>②锅炉烟气</w:t>
      </w:r>
    </w:p>
    <w:p>
      <w:pPr>
        <w:pStyle w:val="BodyText"/>
        <w:spacing w:line="364" w:lineRule="auto" w:before="158"/>
        <w:ind w:left="375" w:right="758" w:firstLine="480"/>
      </w:pPr>
      <w:r>
        <w:rPr/>
        <w:t>施工中应确保锅炉烟气达到《锅炉大气污染物排放标准》（</w:t>
      </w:r>
      <w:r>
        <w:rPr>
          <w:rFonts w:ascii="Times New Roman" w:hAnsi="Times New Roman" w:eastAsia="Times New Roman"/>
        </w:rPr>
        <w:t>GB13271</w:t>
      </w:r>
      <w:r>
        <w:rPr/>
        <w:t>—</w:t>
      </w:r>
      <w:r>
        <w:rPr>
          <w:rFonts w:ascii="Times New Roman" w:hAnsi="Times New Roman" w:eastAsia="Times New Roman"/>
        </w:rPr>
        <w:t>2001</w:t>
      </w:r>
      <w:r>
        <w:rPr/>
        <w:t>）中二类区第Ⅱ时段标准，烟囱高度应满足烟囱最低允许高度的要求。</w:t>
      </w:r>
    </w:p>
    <w:p>
      <w:pPr>
        <w:pStyle w:val="BodyText"/>
        <w:spacing w:line="306" w:lineRule="exact"/>
        <w:ind w:left="856"/>
      </w:pPr>
      <w:r>
        <w:rPr/>
        <w:t>③运输扬尘</w:t>
      </w:r>
    </w:p>
    <w:p>
      <w:pPr>
        <w:spacing w:after="0" w:line="306" w:lineRule="exact"/>
        <w:sectPr>
          <w:pgSz w:w="11910" w:h="16840"/>
          <w:pgMar w:header="0" w:footer="1169" w:top="1520" w:bottom="1360" w:left="1040" w:right="600"/>
        </w:sectPr>
      </w:pPr>
    </w:p>
    <w:p>
      <w:pPr>
        <w:pStyle w:val="BodyText"/>
        <w:spacing w:line="362" w:lineRule="auto" w:before="46"/>
        <w:ind w:left="375" w:right="769" w:firstLine="480"/>
      </w:pPr>
      <w:bookmarkStart w:name="控制运输汽车装载量，运输沙石、水泥等物料的车辆必须加盖蓬布，防止物料在运输过程中" w:id="534"/>
      <w:bookmarkEnd w:id="534"/>
      <w:r>
        <w:rPr/>
      </w:r>
      <w:r>
        <w:rPr/>
        <w:t>控制运输汽车装载量，运输沙石、水泥等物料的车辆必须加盖蓬布，防止物料在运输过程中抛洒，以减少道路扬尘。</w:t>
      </w:r>
    </w:p>
    <w:p>
      <w:pPr>
        <w:pStyle w:val="Heading3"/>
        <w:numPr>
          <w:ilvl w:val="1"/>
          <w:numId w:val="57"/>
        </w:numPr>
        <w:tabs>
          <w:tab w:pos="796" w:val="left" w:leader="none"/>
        </w:tabs>
        <w:spacing w:line="240" w:lineRule="auto" w:before="6" w:after="0"/>
        <w:ind w:left="796" w:right="0" w:hanging="421"/>
        <w:jc w:val="left"/>
        <w:rPr>
          <w:rFonts w:ascii="Times New Roman" w:eastAsia="Times New Roman"/>
        </w:rPr>
      </w:pPr>
      <w:bookmarkStart w:name="8.4运营期大气环境影响预测与评价" w:id="535"/>
      <w:bookmarkEnd w:id="535"/>
      <w:r>
        <w:rPr>
          <w:b w:val="0"/>
        </w:rPr>
      </w:r>
      <w:bookmarkStart w:name="_bookmark42" w:id="536"/>
      <w:bookmarkEnd w:id="536"/>
      <w:r>
        <w:rPr>
          <w:b w:val="0"/>
        </w:rPr>
      </w:r>
      <w:bookmarkStart w:name="_bookmark42" w:id="537"/>
      <w:bookmarkEnd w:id="537"/>
      <w:r>
        <w:rPr/>
        <w:t>运营期大气环境影响预测与评价</w:t>
      </w:r>
    </w:p>
    <w:p>
      <w:pPr>
        <w:pStyle w:val="BodyText"/>
        <w:spacing w:line="364" w:lineRule="auto" w:before="185"/>
        <w:ind w:left="375" w:right="757" w:firstLine="480"/>
        <w:jc w:val="both"/>
      </w:pPr>
      <w:r>
        <w:rPr>
          <w:spacing w:val="-4"/>
        </w:rPr>
        <w:t>根据《环境影响评价技术导则 大气环境》</w:t>
      </w:r>
      <w:r>
        <w:rPr/>
        <w:t>（</w:t>
      </w:r>
      <w:r>
        <w:rPr>
          <w:rFonts w:ascii="Times New Roman" w:eastAsia="Times New Roman"/>
        </w:rPr>
        <w:t>HJ2.2-2018</w:t>
      </w:r>
      <w:r>
        <w:rPr/>
        <w:t>）</w:t>
      </w:r>
      <w:r>
        <w:rPr>
          <w:spacing w:val="-4"/>
        </w:rPr>
        <w:t>的规定，根据《环境影响评价技术导则 大气环境》</w:t>
      </w:r>
      <w:r>
        <w:rPr/>
        <w:t>（</w:t>
      </w:r>
      <w:r>
        <w:rPr>
          <w:rFonts w:ascii="Times New Roman" w:eastAsia="Times New Roman"/>
        </w:rPr>
        <w:t>HJ2.2-2018</w:t>
      </w:r>
      <w:r>
        <w:rPr/>
        <w:t>）</w:t>
      </w:r>
      <w:r>
        <w:rPr>
          <w:spacing w:val="-4"/>
        </w:rPr>
        <w:t>的规定，二级评价项目不进行进一步预测与评</w:t>
      </w:r>
      <w:r>
        <w:rPr/>
        <w:t>价，只对污染物排放量进行核算。</w:t>
      </w:r>
    </w:p>
    <w:p>
      <w:pPr>
        <w:pStyle w:val="Heading3"/>
        <w:numPr>
          <w:ilvl w:val="2"/>
          <w:numId w:val="57"/>
        </w:numPr>
        <w:tabs>
          <w:tab w:pos="1008" w:val="left" w:leader="none"/>
        </w:tabs>
        <w:spacing w:line="240" w:lineRule="auto" w:before="0" w:after="0"/>
        <w:ind w:left="1007" w:right="0" w:hanging="633"/>
        <w:jc w:val="left"/>
      </w:pPr>
      <w:bookmarkStart w:name="8.4.1锅炉废气环境影响分析" w:id="538"/>
      <w:bookmarkEnd w:id="538"/>
      <w:r>
        <w:rPr>
          <w:b w:val="0"/>
        </w:rPr>
      </w:r>
      <w:bookmarkStart w:name="8.4.1锅炉废气环境影响分析" w:id="539"/>
      <w:bookmarkEnd w:id="539"/>
      <w:r>
        <w:rPr>
          <w:spacing w:val="-1"/>
        </w:rPr>
        <w:t>锅炉废气环境影响分析</w:t>
      </w:r>
    </w:p>
    <w:p>
      <w:pPr>
        <w:pStyle w:val="BodyText"/>
        <w:spacing w:line="362" w:lineRule="auto" w:before="183"/>
        <w:ind w:left="375" w:right="625" w:firstLine="480"/>
      </w:pPr>
      <w:r>
        <w:rPr>
          <w:spacing w:val="-5"/>
        </w:rPr>
        <w:t>锅炉房及热风炉房主要大气污染物是烟尘、二氧化硫和氮氧化物，燃料均为生物质， </w:t>
      </w:r>
      <w:r>
        <w:rPr>
          <w:spacing w:val="-5"/>
          <w:position w:val="2"/>
        </w:rPr>
        <w:t>锅炉及热风炉配套布袋除尘器，除尘效率为 </w:t>
      </w:r>
      <w:r>
        <w:rPr>
          <w:rFonts w:ascii="Times New Roman" w:eastAsia="Times New Roman"/>
          <w:position w:val="2"/>
        </w:rPr>
        <w:t>99%</w:t>
      </w:r>
      <w:r>
        <w:rPr>
          <w:position w:val="2"/>
        </w:rPr>
        <w:t>，经理论计算，锅炉烟尘、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 </w:t>
      </w:r>
      <w:r>
        <w:rPr>
          <w:spacing w:val="-8"/>
          <w:vertAlign w:val="baseline"/>
        </w:rPr>
        <w:t>排放浓度分别为 </w:t>
      </w:r>
      <w:r>
        <w:rPr>
          <w:rFonts w:ascii="Times New Roman" w:eastAsia="Times New Roman"/>
          <w:vertAlign w:val="baseline"/>
        </w:rPr>
        <w:t>14.25mg/m</w:t>
      </w:r>
      <w:r>
        <w:rPr>
          <w:rFonts w:ascii="Times New Roman" w:eastAsia="Times New Roman"/>
          <w:position w:val="8"/>
          <w:sz w:val="15"/>
          <w:vertAlign w:val="baseline"/>
        </w:rPr>
        <w:t>3</w:t>
      </w:r>
      <w:r>
        <w:rPr>
          <w:spacing w:val="-10"/>
          <w:vertAlign w:val="baseline"/>
        </w:rPr>
        <w:t>、</w:t>
      </w:r>
      <w:r>
        <w:rPr>
          <w:rFonts w:ascii="Times New Roman" w:eastAsia="Times New Roman"/>
          <w:vertAlign w:val="baseline"/>
        </w:rPr>
        <w:t>22.84mg/m</w:t>
      </w:r>
      <w:r>
        <w:rPr>
          <w:rFonts w:ascii="Times New Roman" w:eastAsia="Times New Roman"/>
          <w:position w:val="8"/>
          <w:sz w:val="15"/>
          <w:vertAlign w:val="baseline"/>
        </w:rPr>
        <w:t>3</w:t>
      </w:r>
      <w:r>
        <w:rPr>
          <w:spacing w:val="-12"/>
          <w:vertAlign w:val="baseline"/>
        </w:rPr>
        <w:t>、</w:t>
      </w:r>
      <w:r>
        <w:rPr>
          <w:rFonts w:ascii="Times New Roman" w:eastAsia="Times New Roman"/>
          <w:vertAlign w:val="baseline"/>
        </w:rPr>
        <w:t>200mg/m</w:t>
      </w:r>
      <w:r>
        <w:rPr>
          <w:rFonts w:ascii="Times New Roman" w:eastAsia="Times New Roman"/>
          <w:position w:val="8"/>
          <w:sz w:val="15"/>
          <w:vertAlign w:val="baseline"/>
        </w:rPr>
        <w:t>3</w:t>
      </w:r>
      <w:r>
        <w:rPr>
          <w:spacing w:val="-1"/>
          <w:vertAlign w:val="baseline"/>
        </w:rPr>
        <w:t>，污染物排放浓度满足《锅炉大气</w:t>
      </w:r>
      <w:r>
        <w:rPr>
          <w:spacing w:val="-3"/>
          <w:position w:val="2"/>
          <w:vertAlign w:val="baseline"/>
        </w:rPr>
        <w:t>污染物排放标准》</w:t>
      </w:r>
      <w:r>
        <w:rPr>
          <w:position w:val="2"/>
          <w:vertAlign w:val="baseline"/>
        </w:rPr>
        <w:t>（</w:t>
      </w:r>
      <w:r>
        <w:rPr>
          <w:rFonts w:ascii="Times New Roman" w:eastAsia="Times New Roman"/>
          <w:position w:val="2"/>
          <w:vertAlign w:val="baseline"/>
        </w:rPr>
        <w:t>GB13271-2014</w:t>
      </w:r>
      <w:r>
        <w:rPr>
          <w:position w:val="2"/>
          <w:vertAlign w:val="baseline"/>
        </w:rPr>
        <w:t>）</w:t>
      </w:r>
      <w:r>
        <w:rPr>
          <w:spacing w:val="-20"/>
          <w:position w:val="2"/>
          <w:vertAlign w:val="baseline"/>
        </w:rPr>
        <w:t>烟尘 </w:t>
      </w:r>
      <w:r>
        <w:rPr>
          <w:rFonts w:ascii="Times New Roman" w:eastAsia="Times New Roman"/>
          <w:position w:val="2"/>
          <w:vertAlign w:val="baseline"/>
        </w:rPr>
        <w:t>50mg/m</w:t>
      </w:r>
      <w:r>
        <w:rPr>
          <w:rFonts w:ascii="Times New Roman" w:eastAsia="Times New Roman"/>
          <w:position w:val="2"/>
          <w:vertAlign w:val="superscript"/>
        </w:rPr>
        <w:t>3</w:t>
      </w:r>
      <w:r>
        <w:rPr>
          <w:spacing w:val="-5"/>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5"/>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spacing w:val="-21"/>
          <w:position w:val="2"/>
          <w:vertAlign w:val="baseline"/>
        </w:rPr>
        <w:t> </w:t>
      </w:r>
      <w:r>
        <w:rPr>
          <w:position w:val="2"/>
          <w:vertAlign w:val="baseline"/>
        </w:rPr>
        <w:t>的标</w:t>
      </w:r>
      <w:r>
        <w:rPr>
          <w:spacing w:val="-22"/>
          <w:position w:val="2"/>
          <w:vertAlign w:val="baseline"/>
        </w:rPr>
        <w:t>准限值要求；热风炉烟尘、</w:t>
      </w:r>
      <w:r>
        <w:rPr>
          <w:rFonts w:ascii="Times New Roman" w:eastAsia="Times New Roman"/>
          <w:position w:val="2"/>
          <w:vertAlign w:val="baseline"/>
        </w:rPr>
        <w:t>SO</w:t>
      </w:r>
      <w:r>
        <w:rPr>
          <w:rFonts w:ascii="Times New Roman" w:eastAsia="Times New Roman"/>
          <w:position w:val="2"/>
          <w:vertAlign w:val="subscript"/>
        </w:rPr>
        <w:t>2</w:t>
      </w:r>
      <w:r>
        <w:rPr>
          <w:spacing w:val="-118"/>
          <w:position w:val="2"/>
          <w:vertAlign w:val="baseline"/>
        </w:rPr>
        <w:t>、</w:t>
      </w:r>
      <w:r>
        <w:rPr>
          <w:rFonts w:ascii="Times New Roman" w:eastAsia="Times New Roman"/>
          <w:position w:val="2"/>
          <w:vertAlign w:val="baseline"/>
        </w:rPr>
        <w:t>NOx</w:t>
      </w:r>
      <w:r>
        <w:rPr>
          <w:rFonts w:ascii="Times New Roman" w:eastAsia="Times New Roman"/>
          <w:spacing w:val="-4"/>
          <w:position w:val="2"/>
          <w:vertAlign w:val="baseline"/>
        </w:rPr>
        <w:t> </w:t>
      </w:r>
      <w:r>
        <w:rPr>
          <w:spacing w:val="-8"/>
          <w:position w:val="2"/>
          <w:vertAlign w:val="baseline"/>
        </w:rPr>
        <w:t>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spacing w:val="-120"/>
          <w:position w:val="2"/>
          <w:vertAlign w:val="baseline"/>
        </w:rPr>
        <w:t>、</w:t>
      </w:r>
      <w:r>
        <w:rPr>
          <w:rFonts w:ascii="Times New Roman" w:eastAsia="Times New Roman"/>
          <w:position w:val="2"/>
          <w:vertAlign w:val="baseline"/>
        </w:rPr>
        <w:t>22.85mg/m</w:t>
      </w:r>
      <w:r>
        <w:rPr>
          <w:rFonts w:ascii="Times New Roman" w:eastAsia="Times New Roman"/>
          <w:position w:val="2"/>
          <w:vertAlign w:val="superscript"/>
        </w:rPr>
        <w:t>3</w:t>
      </w:r>
      <w:r>
        <w:rPr>
          <w:spacing w:val="-120"/>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 </w:t>
      </w:r>
      <w:r>
        <w:rPr>
          <w:vertAlign w:val="baseline"/>
        </w:rPr>
        <w:t>污染物排放浓度满足工业炉窑大气污染物排放标准》（</w:t>
      </w:r>
      <w:r>
        <w:rPr>
          <w:rFonts w:ascii="Times New Roman" w:eastAsia="Times New Roman"/>
          <w:vertAlign w:val="baseline"/>
        </w:rPr>
        <w:t>GB9078-1996</w:t>
      </w:r>
      <w:r>
        <w:rPr>
          <w:vertAlign w:val="baseline"/>
        </w:rPr>
        <w:t>）</w:t>
      </w:r>
      <w:r>
        <w:rPr>
          <w:spacing w:val="-17"/>
          <w:vertAlign w:val="baseline"/>
        </w:rPr>
        <w:t>中表 </w:t>
      </w:r>
      <w:r>
        <w:rPr>
          <w:rFonts w:ascii="Times New Roman" w:eastAsia="Times New Roman"/>
          <w:vertAlign w:val="baseline"/>
        </w:rPr>
        <w:t>2</w:t>
      </w:r>
      <w:r>
        <w:rPr>
          <w:rFonts w:ascii="Times New Roman" w:eastAsia="Times New Roman"/>
          <w:spacing w:val="10"/>
          <w:vertAlign w:val="baseline"/>
        </w:rPr>
        <w:t> </w:t>
      </w:r>
      <w:r>
        <w:rPr>
          <w:spacing w:val="-17"/>
          <w:vertAlign w:val="baseline"/>
        </w:rPr>
        <w:t>及表 </w:t>
      </w:r>
      <w:r>
        <w:rPr>
          <w:rFonts w:ascii="Times New Roman" w:eastAsia="Times New Roman"/>
          <w:vertAlign w:val="baseline"/>
        </w:rPr>
        <w:t>4</w:t>
      </w:r>
      <w:r>
        <w:rPr>
          <w:rFonts w:ascii="Times New Roman" w:eastAsia="Times New Roman"/>
          <w:spacing w:val="11"/>
          <w:vertAlign w:val="baseline"/>
        </w:rPr>
        <w:t> </w:t>
      </w:r>
      <w:r>
        <w:rPr>
          <w:vertAlign w:val="baseline"/>
        </w:rPr>
        <w:t>中</w:t>
      </w:r>
      <w:r>
        <w:rPr>
          <w:spacing w:val="-20"/>
          <w:position w:val="2"/>
          <w:vertAlign w:val="baseline"/>
        </w:rPr>
        <w:t>烟尘 </w:t>
      </w:r>
      <w:r>
        <w:rPr>
          <w:rFonts w:ascii="Times New Roman" w:eastAsia="Times New Roman"/>
          <w:position w:val="2"/>
          <w:vertAlign w:val="baseline"/>
        </w:rPr>
        <w:t>200mg/m</w:t>
      </w:r>
      <w:r>
        <w:rPr>
          <w:rFonts w:ascii="Times New Roman" w:eastAsia="Times New Roman"/>
          <w:position w:val="2"/>
          <w:vertAlign w:val="superscript"/>
        </w:rPr>
        <w:t>3</w:t>
      </w:r>
      <w:r>
        <w:rPr>
          <w:spacing w:val="-22"/>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spacing w:val="-21"/>
          <w:position w:val="2"/>
          <w:vertAlign w:val="baseline"/>
        </w:rPr>
        <w:t> </w:t>
      </w:r>
      <w:r>
        <w:rPr>
          <w:spacing w:val="-5"/>
          <w:position w:val="2"/>
          <w:vertAlign w:val="baseline"/>
        </w:rPr>
        <w:t>的标准限值要求。本项目建成后，所排烟气对当地环境空</w:t>
      </w:r>
      <w:r>
        <w:rPr>
          <w:spacing w:val="-5"/>
          <w:vertAlign w:val="baseline"/>
        </w:rPr>
        <w:t>气质量贡献值较小。</w:t>
      </w:r>
    </w:p>
    <w:p>
      <w:pPr>
        <w:pStyle w:val="BodyText"/>
        <w:spacing w:line="364" w:lineRule="auto" w:before="2"/>
        <w:ind w:left="375" w:right="638" w:firstLine="480"/>
      </w:pPr>
      <w:r>
        <w:rPr>
          <w:spacing w:val="-11"/>
        </w:rPr>
        <w:t>对于煤炭场内储存和输送，本项目选择了合理的储存和输送方式及必要的治理措施， </w:t>
      </w:r>
      <w:r>
        <w:rPr/>
        <w:t>其扬尘对环境空气的影响可有效控制，一般情况下影响较小采用全封闭煤仓，煤尘对环境空气质量影响较小；煤炭厂内输送采用封闭的输煤栈桥，煤尘对环境空气质量影响较</w:t>
      </w:r>
      <w:r>
        <w:rPr>
          <w:spacing w:val="-13"/>
        </w:rPr>
        <w:t>小；筛分车间粉尘采用布袋除尘器处理后经 </w:t>
      </w:r>
      <w:r>
        <w:rPr>
          <w:rFonts w:ascii="Times New Roman" w:eastAsia="Times New Roman"/>
        </w:rPr>
        <w:t>15m </w:t>
      </w:r>
      <w:r>
        <w:rPr>
          <w:spacing w:val="-11"/>
        </w:rPr>
        <w:t>高烟囱排放，对环境空气质量影响较小； </w:t>
      </w:r>
      <w:r>
        <w:rPr/>
        <w:t>矸石临时堆放场内设有喷洒设施，洒水抑尘，煤尘对环境空气质量影响较小。</w:t>
      </w:r>
    </w:p>
    <w:p>
      <w:pPr>
        <w:pStyle w:val="Heading3"/>
        <w:numPr>
          <w:ilvl w:val="2"/>
          <w:numId w:val="58"/>
        </w:numPr>
        <w:tabs>
          <w:tab w:pos="1008" w:val="left" w:leader="none"/>
        </w:tabs>
        <w:spacing w:line="358" w:lineRule="exact" w:before="0" w:after="0"/>
        <w:ind w:left="1007" w:right="0" w:hanging="633"/>
        <w:jc w:val="left"/>
      </w:pPr>
      <w:bookmarkStart w:name="8.4.3油烟对环境空气的影响分析" w:id="540"/>
      <w:bookmarkEnd w:id="540"/>
      <w:r>
        <w:rPr>
          <w:b w:val="0"/>
        </w:rPr>
      </w:r>
      <w:bookmarkStart w:name="8.4.3油烟对环境空气的影响分析" w:id="541"/>
      <w:bookmarkEnd w:id="541"/>
      <w:r>
        <w:rPr/>
        <w:t>油烟对环境空气的影响分析</w:t>
      </w:r>
    </w:p>
    <w:p>
      <w:pPr>
        <w:pStyle w:val="BodyText"/>
        <w:spacing w:line="364" w:lineRule="auto" w:before="185"/>
        <w:ind w:left="375" w:right="712" w:firstLine="480"/>
        <w:jc w:val="both"/>
      </w:pPr>
      <w:r>
        <w:rPr>
          <w:spacing w:val="-8"/>
        </w:rPr>
        <w:t>本项目劳动定员 </w:t>
      </w:r>
      <w:r>
        <w:rPr>
          <w:rFonts w:ascii="Times New Roman" w:hAnsi="Times New Roman" w:eastAsia="Times New Roman"/>
        </w:rPr>
        <w:t>363 </w:t>
      </w:r>
      <w:r>
        <w:rPr/>
        <w:t>人，根据建设单位意向，矿井采用生产人员主要为原岭东煤矿职工、附近农业及林业闲置劳动力及外来务工人员。本项目食堂为职工内部食堂，基准</w:t>
      </w:r>
      <w:r>
        <w:rPr>
          <w:spacing w:val="-14"/>
        </w:rPr>
        <w:t>灶头数为 </w:t>
      </w:r>
      <w:r>
        <w:rPr>
          <w:rFonts w:ascii="Times New Roman" w:hAnsi="Times New Roman" w:eastAsia="Times New Roman"/>
        </w:rPr>
        <w:t>4 </w:t>
      </w:r>
      <w:r>
        <w:rPr/>
        <w:t>个，属于中型规模，参照《饮食油烟排放标准（试行）》（</w:t>
      </w:r>
      <w:r>
        <w:rPr>
          <w:rFonts w:ascii="Times New Roman" w:hAnsi="Times New Roman" w:eastAsia="Times New Roman"/>
        </w:rPr>
        <w:t>GB18483-2001</w:t>
      </w:r>
      <w:r>
        <w:rPr/>
        <w:t>） </w:t>
      </w:r>
      <w:r>
        <w:rPr>
          <w:spacing w:val="-6"/>
        </w:rPr>
        <w:t>中油烟排放要求，拟对新建食堂安装油烟净化设施，油烟去除效率</w:t>
      </w:r>
      <w:r>
        <w:rPr>
          <w:rFonts w:ascii="Times New Roman" w:hAnsi="Times New Roman" w:eastAsia="Times New Roman"/>
          <w:spacing w:val="-6"/>
        </w:rPr>
        <w:t>≥75%</w:t>
      </w:r>
      <w:r>
        <w:rPr>
          <w:spacing w:val="-2"/>
        </w:rPr>
        <w:t>，油烟排放浓度</w:t>
      </w:r>
      <w:r>
        <w:rPr/>
        <w:t>满足《饮食业油烟排放标准》（</w:t>
      </w:r>
      <w:r>
        <w:rPr>
          <w:rFonts w:ascii="Times New Roman" w:hAnsi="Times New Roman" w:eastAsia="Times New Roman"/>
        </w:rPr>
        <w:t>GB 18483-2001</w:t>
      </w:r>
      <w:r>
        <w:rPr/>
        <w:t>）</w:t>
      </w:r>
      <w:r>
        <w:rPr>
          <w:spacing w:val="-6"/>
        </w:rPr>
        <w:t>最高允许排放浓度 </w:t>
      </w:r>
      <w:r>
        <w:rPr>
          <w:rFonts w:ascii="Times New Roman" w:hAnsi="Times New Roman" w:eastAsia="Times New Roman"/>
        </w:rPr>
        <w:t>2.0mg/m</w:t>
      </w:r>
      <w:r>
        <w:rPr>
          <w:rFonts w:ascii="Times New Roman" w:hAnsi="Times New Roman" w:eastAsia="Times New Roman"/>
          <w:position w:val="8"/>
          <w:sz w:val="15"/>
        </w:rPr>
        <w:t>3</w:t>
      </w:r>
      <w:r>
        <w:rPr/>
        <w:t>，处理后的油烟废气经专用烟道通过高于所在建筑物顶部的排气筒排放。</w:t>
      </w:r>
    </w:p>
    <w:p>
      <w:pPr>
        <w:spacing w:after="0" w:line="364" w:lineRule="auto"/>
        <w:jc w:val="both"/>
        <w:sectPr>
          <w:pgSz w:w="11910" w:h="16840"/>
          <w:pgMar w:header="0" w:footer="1169" w:top="1540" w:bottom="1360" w:left="1040" w:right="600"/>
        </w:sectPr>
      </w:pPr>
    </w:p>
    <w:p>
      <w:pPr>
        <w:pStyle w:val="Heading3"/>
        <w:numPr>
          <w:ilvl w:val="2"/>
          <w:numId w:val="58"/>
        </w:numPr>
        <w:tabs>
          <w:tab w:pos="1008" w:val="left" w:leader="none"/>
        </w:tabs>
        <w:spacing w:line="240" w:lineRule="auto" w:before="47" w:after="0"/>
        <w:ind w:left="1007" w:right="0" w:hanging="633"/>
        <w:jc w:val="both"/>
      </w:pPr>
      <w:bookmarkStart w:name="8.4.4环境空气影响预测结论" w:id="542"/>
      <w:bookmarkEnd w:id="542"/>
      <w:r>
        <w:rPr>
          <w:b w:val="0"/>
        </w:rPr>
      </w:r>
      <w:bookmarkStart w:name="8.4.4环境空气影响预测结论" w:id="543"/>
      <w:bookmarkEnd w:id="543"/>
      <w:r>
        <w:rPr/>
        <w:t>环境空气影响预测结论</w:t>
      </w:r>
    </w:p>
    <w:p>
      <w:pPr>
        <w:pStyle w:val="BodyText"/>
        <w:spacing w:line="362" w:lineRule="auto" w:before="182"/>
        <w:ind w:left="375" w:right="752" w:firstLine="480"/>
        <w:jc w:val="both"/>
      </w:pPr>
      <w:r>
        <w:rPr>
          <w:position w:val="2"/>
        </w:rPr>
        <w:t>本项目服务期，工业广场锅炉排放的烟尘、</w:t>
      </w:r>
      <w:r>
        <w:rPr>
          <w:rFonts w:ascii="Times New Roman" w:hAnsi="Times New Roman" w:eastAsia="Times New Roman"/>
          <w:position w:val="2"/>
        </w:rPr>
        <w:t>SO</w:t>
      </w:r>
      <w:r>
        <w:rPr>
          <w:rFonts w:ascii="Times New Roman" w:hAnsi="Times New Roman" w:eastAsia="Times New Roman"/>
          <w:position w:val="2"/>
          <w:vertAlign w:val="subscript"/>
        </w:rPr>
        <w:t>2</w:t>
      </w:r>
      <w:r>
        <w:rPr>
          <w:rFonts w:ascii="Times New Roman" w:hAnsi="Times New Roman" w:eastAsia="Times New Roman"/>
          <w:spacing w:val="-18"/>
          <w:position w:val="2"/>
          <w:vertAlign w:val="baseline"/>
        </w:rPr>
        <w:t> </w:t>
      </w:r>
      <w:r>
        <w:rPr>
          <w:spacing w:val="-25"/>
          <w:position w:val="2"/>
          <w:vertAlign w:val="baseline"/>
        </w:rPr>
        <w:t>和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spacing w:val="-15"/>
          <w:position w:val="2"/>
          <w:vertAlign w:val="baseline"/>
        </w:rPr>
        <w:t> </w:t>
      </w:r>
      <w:r>
        <w:rPr>
          <w:position w:val="2"/>
          <w:vertAlign w:val="baseline"/>
        </w:rPr>
        <w:t>最大落地浓度均低于《锅炉</w:t>
      </w:r>
      <w:r>
        <w:rPr>
          <w:spacing w:val="-10"/>
          <w:position w:val="2"/>
          <w:vertAlign w:val="baseline"/>
        </w:rPr>
        <w:t>大气污染物排放标准》</w:t>
      </w:r>
      <w:r>
        <w:rPr>
          <w:spacing w:val="-4"/>
          <w:position w:val="2"/>
          <w:vertAlign w:val="baseline"/>
        </w:rPr>
        <w:t>（</w:t>
      </w:r>
      <w:r>
        <w:rPr>
          <w:rFonts w:ascii="Times New Roman" w:hAnsi="Times New Roman" w:eastAsia="Times New Roman"/>
          <w:spacing w:val="-4"/>
          <w:position w:val="2"/>
          <w:vertAlign w:val="baseline"/>
        </w:rPr>
        <w:t>GB13271-2014</w:t>
      </w:r>
      <w:r>
        <w:rPr>
          <w:spacing w:val="-4"/>
          <w:position w:val="2"/>
          <w:vertAlign w:val="baseline"/>
        </w:rPr>
        <w:t>）</w:t>
      </w:r>
      <w:r>
        <w:rPr>
          <w:spacing w:val="-10"/>
          <w:position w:val="2"/>
          <w:vertAlign w:val="baseline"/>
        </w:rPr>
        <w:t>标准限值要求，热风炉排放的烟尘、</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spacing w:val="-18"/>
          <w:position w:val="2"/>
          <w:vertAlign w:val="baseline"/>
        </w:rPr>
        <w:t> </w:t>
      </w:r>
      <w:r>
        <w:rPr>
          <w:spacing w:val="-25"/>
          <w:position w:val="2"/>
          <w:vertAlign w:val="baseline"/>
        </w:rPr>
        <w:t>和 </w:t>
      </w:r>
      <w:r>
        <w:rPr>
          <w:rFonts w:ascii="Times New Roman" w:hAnsi="Times New Roman" w:eastAsia="Times New Roman"/>
          <w:spacing w:val="-6"/>
          <w:position w:val="2"/>
          <w:vertAlign w:val="baseline"/>
        </w:rPr>
        <w:t>NO</w:t>
      </w:r>
      <w:r>
        <w:rPr>
          <w:rFonts w:ascii="Times New Roman" w:hAnsi="Times New Roman" w:eastAsia="Times New Roman"/>
          <w:spacing w:val="-6"/>
          <w:position w:val="2"/>
          <w:vertAlign w:val="subscript"/>
        </w:rPr>
        <w:t>2 </w:t>
      </w:r>
      <w:r>
        <w:rPr>
          <w:vertAlign w:val="baseline"/>
        </w:rPr>
        <w:t>最大落地浓度均低于《工业炉窑大气污染物排放标准》（</w:t>
      </w:r>
      <w:r>
        <w:rPr>
          <w:rFonts w:ascii="Times New Roman" w:hAnsi="Times New Roman" w:eastAsia="Times New Roman"/>
          <w:vertAlign w:val="baseline"/>
        </w:rPr>
        <w:t>GB9078-1996</w:t>
      </w:r>
      <w:r>
        <w:rPr>
          <w:vertAlign w:val="baseline"/>
        </w:rPr>
        <w:t>）</w:t>
      </w:r>
      <w:r>
        <w:rPr>
          <w:spacing w:val="-16"/>
          <w:vertAlign w:val="baseline"/>
        </w:rPr>
        <w:t>中表 </w:t>
      </w:r>
      <w:r>
        <w:rPr>
          <w:rFonts w:ascii="Times New Roman" w:hAnsi="Times New Roman" w:eastAsia="Times New Roman"/>
          <w:vertAlign w:val="baseline"/>
        </w:rPr>
        <w:t>2</w:t>
      </w:r>
      <w:r>
        <w:rPr>
          <w:rFonts w:ascii="Times New Roman" w:hAnsi="Times New Roman" w:eastAsia="Times New Roman"/>
          <w:spacing w:val="6"/>
          <w:vertAlign w:val="baseline"/>
        </w:rPr>
        <w:t> </w:t>
      </w:r>
      <w:r>
        <w:rPr>
          <w:spacing w:val="-16"/>
          <w:vertAlign w:val="baseline"/>
        </w:rPr>
        <w:t>及表 </w:t>
      </w:r>
      <w:r>
        <w:rPr>
          <w:rFonts w:ascii="Times New Roman" w:hAnsi="Times New Roman" w:eastAsia="Times New Roman"/>
          <w:vertAlign w:val="baseline"/>
        </w:rPr>
        <w:t>4 </w:t>
      </w:r>
      <w:r>
        <w:rPr>
          <w:vertAlign w:val="baseline"/>
        </w:rPr>
        <w:t>中标准限值要求，对所在区域的环境空气质量影响较小。在采取本评价提出的严格抑尘</w:t>
      </w:r>
      <w:r>
        <w:rPr>
          <w:spacing w:val="-7"/>
          <w:vertAlign w:val="baseline"/>
        </w:rPr>
        <w:t>措施后，本项目扬尘较小。食堂安装装油烟净化设施，油烟去除效率</w:t>
      </w:r>
      <w:r>
        <w:rPr>
          <w:rFonts w:ascii="Times New Roman" w:hAnsi="Times New Roman" w:eastAsia="Times New Roman"/>
          <w:spacing w:val="-5"/>
          <w:vertAlign w:val="baseline"/>
        </w:rPr>
        <w:t>≥85%</w:t>
      </w:r>
      <w:r>
        <w:rPr>
          <w:spacing w:val="-2"/>
          <w:vertAlign w:val="baseline"/>
        </w:rPr>
        <w:t>，净化后经专</w:t>
      </w:r>
      <w:r>
        <w:rPr>
          <w:spacing w:val="-10"/>
          <w:vertAlign w:val="baseline"/>
        </w:rPr>
        <w:t>用烟道通过高于所在建筑物顶部的排放，油烟排放浓度满足《饮食业油烟排放标准</w:t>
      </w:r>
      <w:r>
        <w:rPr>
          <w:spacing w:val="-164"/>
          <w:vertAlign w:val="baseline"/>
        </w:rPr>
        <w:t>》</w:t>
      </w:r>
      <w:r>
        <w:rPr>
          <w:vertAlign w:val="baseline"/>
        </w:rPr>
        <w:t>（</w:t>
      </w:r>
      <w:r>
        <w:rPr>
          <w:rFonts w:ascii="Times New Roman" w:hAnsi="Times New Roman" w:eastAsia="Times New Roman"/>
          <w:vertAlign w:val="baseline"/>
        </w:rPr>
        <w:t>GB 18483-2001</w:t>
      </w:r>
      <w:r>
        <w:rPr>
          <w:vertAlign w:val="baseline"/>
        </w:rPr>
        <w:t>）</w:t>
      </w:r>
      <w:r>
        <w:rPr>
          <w:spacing w:val="-7"/>
          <w:vertAlign w:val="baseline"/>
        </w:rPr>
        <w:t>最高允许排放浓度 </w:t>
      </w:r>
      <w:r>
        <w:rPr>
          <w:rFonts w:ascii="Times New Roman" w:hAnsi="Times New Roman" w:eastAsia="Times New Roman"/>
          <w:vertAlign w:val="baseline"/>
        </w:rPr>
        <w:t>2.0mg/m</w:t>
      </w:r>
      <w:r>
        <w:rPr>
          <w:rFonts w:ascii="Times New Roman" w:hAnsi="Times New Roman" w:eastAsia="Times New Roman"/>
          <w:position w:val="8"/>
          <w:sz w:val="15"/>
          <w:vertAlign w:val="baseline"/>
        </w:rPr>
        <w:t>3</w:t>
      </w:r>
      <w:r>
        <w:rPr>
          <w:vertAlign w:val="baseline"/>
        </w:rPr>
        <w:t>。总体来说，本项目对评价区域环境空气质量影响很小，排放的大气污染物可被现有环境所接受。</w:t>
      </w:r>
    </w:p>
    <w:p>
      <w:pPr>
        <w:pStyle w:val="Heading3"/>
        <w:numPr>
          <w:ilvl w:val="1"/>
          <w:numId w:val="57"/>
        </w:numPr>
        <w:tabs>
          <w:tab w:pos="796" w:val="left" w:leader="none"/>
        </w:tabs>
        <w:spacing w:line="240" w:lineRule="auto" w:before="15" w:after="0"/>
        <w:ind w:left="796" w:right="0" w:hanging="421"/>
        <w:jc w:val="both"/>
        <w:rPr>
          <w:rFonts w:ascii="Times New Roman" w:eastAsia="Times New Roman"/>
        </w:rPr>
      </w:pPr>
      <w:bookmarkStart w:name="8.5大气污染防治措施" w:id="544"/>
      <w:bookmarkEnd w:id="544"/>
      <w:r>
        <w:rPr>
          <w:b w:val="0"/>
        </w:rPr>
      </w:r>
      <w:bookmarkStart w:name="_bookmark43" w:id="545"/>
      <w:bookmarkEnd w:id="545"/>
      <w:r>
        <w:rPr>
          <w:b w:val="0"/>
        </w:rPr>
      </w:r>
      <w:bookmarkStart w:name="_bookmark43" w:id="546"/>
      <w:bookmarkEnd w:id="546"/>
      <w:r>
        <w:rPr/>
        <w:t>大气污染防治措施</w:t>
      </w:r>
    </w:p>
    <w:p>
      <w:pPr>
        <w:pStyle w:val="BodyText"/>
        <w:spacing w:before="185"/>
        <w:ind w:left="856"/>
      </w:pPr>
      <w:r>
        <w:rPr>
          <w:rFonts w:ascii="Times New Roman" w:eastAsia="Times New Roman"/>
        </w:rPr>
        <w:t>1</w:t>
      </w:r>
      <w:r>
        <w:rPr/>
        <w:t>、建设期</w:t>
      </w:r>
    </w:p>
    <w:p>
      <w:pPr>
        <w:pStyle w:val="BodyText"/>
        <w:spacing w:line="364" w:lineRule="auto" w:before="158"/>
        <w:ind w:left="375" w:right="760" w:firstLine="480"/>
      </w:pPr>
      <w:r>
        <w:rPr>
          <w:spacing w:val="-1"/>
        </w:rPr>
        <w:t>施工废气严格按照工程建设及施工操作规范实施，杜绝随意性，并要加强对施工人</w:t>
      </w:r>
      <w:r>
        <w:rPr/>
        <w:t>员的行为管理。</w:t>
      </w:r>
    </w:p>
    <w:p>
      <w:pPr>
        <w:pStyle w:val="BodyText"/>
        <w:spacing w:before="1"/>
        <w:ind w:left="856"/>
      </w:pPr>
      <w:r>
        <w:rPr>
          <w:rFonts w:ascii="Times New Roman" w:eastAsia="Times New Roman"/>
        </w:rPr>
        <w:t>2</w:t>
      </w:r>
      <w:r>
        <w:rPr/>
        <w:t>、运营期</w:t>
      </w:r>
    </w:p>
    <w:p>
      <w:pPr>
        <w:pStyle w:val="ListParagraph"/>
        <w:numPr>
          <w:ilvl w:val="0"/>
          <w:numId w:val="59"/>
        </w:numPr>
        <w:tabs>
          <w:tab w:pos="1457" w:val="left" w:leader="none"/>
        </w:tabs>
        <w:spacing w:line="240" w:lineRule="auto" w:before="158" w:after="0"/>
        <w:ind w:left="1457" w:right="0" w:hanging="601"/>
        <w:jc w:val="left"/>
        <w:rPr>
          <w:sz w:val="24"/>
        </w:rPr>
      </w:pPr>
      <w:r>
        <w:rPr>
          <w:sz w:val="24"/>
        </w:rPr>
        <w:t>锅炉及热风炉</w:t>
      </w:r>
    </w:p>
    <w:p>
      <w:pPr>
        <w:pStyle w:val="BodyText"/>
        <w:spacing w:line="362" w:lineRule="auto" w:before="155"/>
        <w:ind w:left="375" w:right="633" w:firstLine="480"/>
      </w:pPr>
      <w:r>
        <w:rPr>
          <w:spacing w:val="-11"/>
          <w:position w:val="2"/>
        </w:rPr>
        <w:t>锅炉燃用生物质，配置除尘效率为 </w:t>
      </w:r>
      <w:r>
        <w:rPr>
          <w:rFonts w:ascii="Times New Roman" w:eastAsia="Times New Roman"/>
          <w:position w:val="2"/>
        </w:rPr>
        <w:t>99.9%</w:t>
      </w:r>
      <w:r>
        <w:rPr>
          <w:spacing w:val="-14"/>
          <w:position w:val="2"/>
        </w:rPr>
        <w:t>的布袋除尘器，经计算，锅炉房烟尘、</w:t>
      </w:r>
      <w:r>
        <w:rPr>
          <w:rFonts w:ascii="Times New Roman" w:eastAsia="Times New Roman"/>
          <w:position w:val="2"/>
        </w:rPr>
        <w:t>SO</w:t>
      </w:r>
      <w:r>
        <w:rPr>
          <w:rFonts w:ascii="Times New Roman" w:eastAsia="Times New Roman"/>
          <w:position w:val="2"/>
          <w:vertAlign w:val="subscript"/>
        </w:rPr>
        <w:t>2</w:t>
      </w:r>
      <w:r>
        <w:rPr>
          <w:spacing w:val="-15"/>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w:t>
      </w:r>
      <w:r>
        <w:rPr>
          <w:spacing w:val="-7"/>
          <w:position w:val="2"/>
          <w:vertAlign w:val="baseline"/>
        </w:rPr>
        <w:t>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spacing w:val="-17"/>
          <w:position w:val="2"/>
          <w:vertAlign w:val="baseline"/>
        </w:rPr>
        <w:t>、</w:t>
      </w:r>
      <w:r>
        <w:rPr>
          <w:rFonts w:ascii="Times New Roman" w:eastAsia="Times New Roman"/>
          <w:position w:val="2"/>
          <w:vertAlign w:val="baseline"/>
        </w:rPr>
        <w:t>22.84mg/m</w:t>
      </w:r>
      <w:r>
        <w:rPr>
          <w:rFonts w:ascii="Times New Roman" w:eastAsia="Times New Roman"/>
          <w:position w:val="2"/>
          <w:vertAlign w:val="superscript"/>
        </w:rPr>
        <w:t>3</w:t>
      </w:r>
      <w:r>
        <w:rPr>
          <w:spacing w:val="-15"/>
          <w:position w:val="2"/>
          <w:vertAlign w:val="baseline"/>
        </w:rPr>
        <w:t>、</w:t>
      </w:r>
      <w:r>
        <w:rPr>
          <w:rFonts w:ascii="Times New Roman" w:eastAsia="Times New Roman"/>
          <w:spacing w:val="-3"/>
          <w:position w:val="2"/>
          <w:vertAlign w:val="baseline"/>
        </w:rPr>
        <w:t>200mg/m</w:t>
      </w:r>
      <w:r>
        <w:rPr>
          <w:rFonts w:ascii="Times New Roman" w:eastAsia="Times New Roman"/>
          <w:spacing w:val="-3"/>
          <w:position w:val="2"/>
          <w:vertAlign w:val="superscript"/>
        </w:rPr>
        <w:t>3</w:t>
      </w:r>
      <w:r>
        <w:rPr>
          <w:spacing w:val="-4"/>
          <w:position w:val="2"/>
          <w:vertAlign w:val="baseline"/>
        </w:rPr>
        <w:t>，符合《锅炉大气污染物排放</w:t>
      </w:r>
      <w:r>
        <w:rPr>
          <w:spacing w:val="-23"/>
          <w:vertAlign w:val="baseline"/>
        </w:rPr>
        <w:t>标准》</w:t>
      </w:r>
      <w:r>
        <w:rPr>
          <w:spacing w:val="-3"/>
          <w:vertAlign w:val="baseline"/>
        </w:rPr>
        <w:t>（</w:t>
      </w:r>
      <w:r>
        <w:rPr>
          <w:rFonts w:ascii="Times New Roman" w:eastAsia="Times New Roman"/>
          <w:spacing w:val="-3"/>
          <w:vertAlign w:val="baseline"/>
        </w:rPr>
        <w:t>GB13271-2014</w:t>
      </w:r>
      <w:r>
        <w:rPr>
          <w:spacing w:val="-3"/>
          <w:vertAlign w:val="baseline"/>
        </w:rPr>
        <w:t>）</w:t>
      </w:r>
      <w:r>
        <w:rPr>
          <w:spacing w:val="-29"/>
          <w:vertAlign w:val="baseline"/>
        </w:rPr>
        <w:t>表 </w:t>
      </w:r>
      <w:r>
        <w:rPr>
          <w:rFonts w:ascii="Times New Roman" w:eastAsia="Times New Roman"/>
          <w:vertAlign w:val="baseline"/>
        </w:rPr>
        <w:t>2 </w:t>
      </w:r>
      <w:r>
        <w:rPr>
          <w:spacing w:val="-9"/>
          <w:vertAlign w:val="baseline"/>
        </w:rPr>
        <w:t>限值要求。热风炉房配置除尘效率为 </w:t>
      </w:r>
      <w:r>
        <w:rPr>
          <w:rFonts w:ascii="Times New Roman" w:eastAsia="Times New Roman"/>
          <w:vertAlign w:val="baseline"/>
        </w:rPr>
        <w:t>99.9%</w:t>
      </w:r>
      <w:r>
        <w:rPr>
          <w:spacing w:val="-2"/>
          <w:vertAlign w:val="baseline"/>
        </w:rPr>
        <w:t>的布袋除尘器， </w:t>
      </w:r>
      <w:r>
        <w:rPr>
          <w:position w:val="2"/>
          <w:vertAlign w:val="baseline"/>
        </w:rPr>
        <w:t>烟尘、</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w:t>
      </w:r>
      <w:r>
        <w:rPr>
          <w:spacing w:val="-6"/>
          <w:position w:val="2"/>
          <w:vertAlign w:val="baseline"/>
        </w:rPr>
        <w:t>排放浓度分别为 </w:t>
      </w:r>
      <w:r>
        <w:rPr>
          <w:rFonts w:ascii="Times New Roman" w:eastAsia="Times New Roman"/>
          <w:position w:val="2"/>
          <w:vertAlign w:val="baseline"/>
        </w:rPr>
        <w:t>14.25mg/m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22.85mg/m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，污染物排放浓</w:t>
      </w:r>
      <w:r>
        <w:rPr>
          <w:spacing w:val="-10"/>
          <w:vertAlign w:val="baseline"/>
        </w:rPr>
        <w:t>度满足《工业炉窑大气污染物排放标准</w:t>
      </w:r>
      <w:r>
        <w:rPr>
          <w:spacing w:val="-192"/>
          <w:vertAlign w:val="baseline"/>
        </w:rPr>
        <w:t>》</w:t>
      </w:r>
      <w:r>
        <w:rPr>
          <w:vertAlign w:val="baseline"/>
        </w:rPr>
        <w:t>（</w:t>
      </w:r>
      <w:r>
        <w:rPr>
          <w:rFonts w:ascii="Times New Roman" w:eastAsia="Times New Roman"/>
          <w:spacing w:val="-1"/>
          <w:vertAlign w:val="baseline"/>
        </w:rPr>
        <w:t>G</w:t>
      </w:r>
      <w:r>
        <w:rPr>
          <w:rFonts w:ascii="Times New Roman" w:eastAsia="Times New Roman"/>
          <w:spacing w:val="-2"/>
          <w:vertAlign w:val="baseline"/>
        </w:rPr>
        <w:t>B</w:t>
      </w:r>
      <w:r>
        <w:rPr>
          <w:rFonts w:ascii="Times New Roman" w:eastAsia="Times New Roman"/>
          <w:vertAlign w:val="baseline"/>
        </w:rPr>
        <w:t>9078</w:t>
      </w:r>
      <w:r>
        <w:rPr>
          <w:rFonts w:ascii="Times New Roman" w:eastAsia="Times New Roman"/>
          <w:spacing w:val="-1"/>
          <w:vertAlign w:val="baseline"/>
        </w:rPr>
        <w:t>-</w:t>
      </w:r>
      <w:r>
        <w:rPr>
          <w:rFonts w:ascii="Times New Roman" w:eastAsia="Times New Roman"/>
          <w:vertAlign w:val="baseline"/>
        </w:rPr>
        <w:t>199</w:t>
      </w:r>
      <w:r>
        <w:rPr>
          <w:rFonts w:ascii="Times New Roman" w:eastAsia="Times New Roman"/>
          <w:spacing w:val="2"/>
          <w:vertAlign w:val="baseline"/>
        </w:rPr>
        <w:t>6</w:t>
      </w:r>
      <w:r>
        <w:rPr>
          <w:spacing w:val="-96"/>
          <w:vertAlign w:val="baseline"/>
        </w:rPr>
        <w:t>）</w:t>
      </w:r>
      <w:r>
        <w:rPr>
          <w:spacing w:val="-20"/>
          <w:vertAlign w:val="baseline"/>
        </w:rPr>
        <w:t>中表 </w:t>
      </w:r>
      <w:r>
        <w:rPr>
          <w:rFonts w:ascii="Times New Roman" w:eastAsia="Times New Roman"/>
          <w:vertAlign w:val="baseline"/>
        </w:rPr>
        <w:t>2 </w:t>
      </w:r>
      <w:r>
        <w:rPr>
          <w:spacing w:val="-20"/>
          <w:vertAlign w:val="baseline"/>
        </w:rPr>
        <w:t>及表 </w:t>
      </w:r>
      <w:r>
        <w:rPr>
          <w:rFonts w:ascii="Times New Roman" w:eastAsia="Times New Roman"/>
          <w:vertAlign w:val="baseline"/>
        </w:rPr>
        <w:t>4 </w:t>
      </w:r>
      <w:r>
        <w:rPr>
          <w:spacing w:val="-15"/>
          <w:vertAlign w:val="baseline"/>
        </w:rPr>
        <w:t>中烟尘 </w:t>
      </w:r>
      <w:r>
        <w:rPr>
          <w:rFonts w:ascii="Times New Roman" w:eastAsia="Times New Roman"/>
          <w:vertAlign w:val="baseline"/>
        </w:rPr>
        <w:t>200m</w:t>
      </w:r>
      <w:r>
        <w:rPr>
          <w:rFonts w:ascii="Times New Roman" w:eastAsia="Times New Roman"/>
          <w:spacing w:val="-3"/>
          <w:vertAlign w:val="baseline"/>
        </w:rPr>
        <w:t>g</w:t>
      </w:r>
      <w:r>
        <w:rPr>
          <w:rFonts w:ascii="Times New Roman" w:eastAsia="Times New Roman"/>
          <w:vertAlign w:val="baseline"/>
        </w:rPr>
        <w:t>/m</w:t>
      </w:r>
      <w:r>
        <w:rPr>
          <w:rFonts w:ascii="Times New Roman" w:eastAsia="Times New Roman"/>
          <w:spacing w:val="-2"/>
          <w:w w:val="104"/>
          <w:position w:val="8"/>
          <w:sz w:val="15"/>
          <w:vertAlign w:val="baseline"/>
        </w:rPr>
        <w:t>3</w:t>
      </w:r>
      <w:r>
        <w:rPr>
          <w:vertAlign w:val="baseline"/>
        </w:rPr>
        <w:t>、 </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w:t>
      </w:r>
      <w:r>
        <w:rPr>
          <w:position w:val="2"/>
          <w:vertAlign w:val="baseline"/>
        </w:rPr>
        <w:t>的标准限值要求。</w:t>
      </w:r>
    </w:p>
    <w:p>
      <w:pPr>
        <w:pStyle w:val="ListParagraph"/>
        <w:numPr>
          <w:ilvl w:val="0"/>
          <w:numId w:val="59"/>
        </w:numPr>
        <w:tabs>
          <w:tab w:pos="1457" w:val="left" w:leader="none"/>
        </w:tabs>
        <w:spacing w:line="240" w:lineRule="auto" w:before="3" w:after="0"/>
        <w:ind w:left="1457" w:right="0" w:hanging="601"/>
        <w:jc w:val="left"/>
        <w:rPr>
          <w:sz w:val="24"/>
        </w:rPr>
      </w:pPr>
      <w:r>
        <w:rPr>
          <w:sz w:val="24"/>
        </w:rPr>
        <w:t>扬尘</w:t>
      </w:r>
    </w:p>
    <w:p>
      <w:pPr>
        <w:pStyle w:val="BodyText"/>
        <w:spacing w:line="364" w:lineRule="auto" w:before="158"/>
        <w:ind w:left="375" w:right="760" w:firstLine="480"/>
        <w:jc w:val="both"/>
      </w:pPr>
      <w:r>
        <w:rPr/>
        <w:t>煤炭场内输送采用全封闭式输送栈桥，煤尘很少；采用全封闭煤仓，煤尘对环境空气影响较小；矸石临时堆放场内设有喷洒设施，洒水抑尘；筛分车间设布袋除尘器，烟尘经布袋除尘器处理后 </w:t>
      </w:r>
      <w:r>
        <w:rPr>
          <w:rFonts w:ascii="Times New Roman" w:eastAsia="Times New Roman"/>
        </w:rPr>
        <w:t>15m </w:t>
      </w:r>
      <w:r>
        <w:rPr/>
        <w:t>高烟囱排放。</w:t>
      </w:r>
    </w:p>
    <w:p>
      <w:pPr>
        <w:pStyle w:val="ListParagraph"/>
        <w:numPr>
          <w:ilvl w:val="0"/>
          <w:numId w:val="59"/>
        </w:numPr>
        <w:tabs>
          <w:tab w:pos="1460" w:val="left" w:leader="none"/>
        </w:tabs>
        <w:spacing w:line="362" w:lineRule="auto" w:before="0" w:after="0"/>
        <w:ind w:left="375" w:right="758" w:firstLine="480"/>
        <w:jc w:val="both"/>
        <w:rPr>
          <w:sz w:val="24"/>
        </w:rPr>
      </w:pPr>
      <w:r>
        <w:rPr>
          <w:sz w:val="24"/>
        </w:rPr>
        <w:t>食堂安装油烟净化设施，油烟去除效率</w:t>
      </w:r>
      <w:r>
        <w:rPr>
          <w:rFonts w:ascii="Times New Roman" w:hAnsi="Times New Roman" w:eastAsia="Times New Roman"/>
          <w:sz w:val="24"/>
        </w:rPr>
        <w:t>≥75%</w:t>
      </w:r>
      <w:r>
        <w:rPr>
          <w:sz w:val="24"/>
        </w:rPr>
        <w:t>，油烟排放浓度满足《饮食业油烟排放标准》（</w:t>
      </w:r>
      <w:r>
        <w:rPr>
          <w:rFonts w:ascii="Times New Roman" w:hAnsi="Times New Roman" w:eastAsia="Times New Roman"/>
          <w:sz w:val="24"/>
        </w:rPr>
        <w:t>GB</w:t>
      </w:r>
      <w:r>
        <w:rPr>
          <w:rFonts w:ascii="Times New Roman" w:hAnsi="Times New Roman" w:eastAsia="Times New Roman"/>
          <w:spacing w:val="-1"/>
          <w:sz w:val="24"/>
        </w:rPr>
        <w:t> </w:t>
      </w:r>
      <w:r>
        <w:rPr>
          <w:rFonts w:ascii="Times New Roman" w:hAnsi="Times New Roman" w:eastAsia="Times New Roman"/>
          <w:sz w:val="24"/>
        </w:rPr>
        <w:t>18483-2001</w:t>
      </w:r>
      <w:r>
        <w:rPr>
          <w:sz w:val="24"/>
        </w:rPr>
        <w:t>）</w:t>
      </w:r>
      <w:r>
        <w:rPr>
          <w:spacing w:val="-7"/>
          <w:sz w:val="24"/>
        </w:rPr>
        <w:t>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ListParagraph"/>
        <w:numPr>
          <w:ilvl w:val="0"/>
          <w:numId w:val="59"/>
        </w:numPr>
        <w:tabs>
          <w:tab w:pos="1457" w:val="left" w:leader="none"/>
        </w:tabs>
        <w:spacing w:line="240" w:lineRule="auto" w:before="5" w:after="0"/>
        <w:ind w:left="1457" w:right="0" w:hanging="601"/>
        <w:jc w:val="left"/>
        <w:rPr>
          <w:sz w:val="24"/>
        </w:rPr>
      </w:pPr>
      <w:r>
        <w:rPr>
          <w:sz w:val="24"/>
        </w:rPr>
        <w:t>运煤车辆的防尘要求</w:t>
      </w:r>
    </w:p>
    <w:p>
      <w:pPr>
        <w:pStyle w:val="BodyText"/>
        <w:spacing w:before="160"/>
        <w:ind w:left="856"/>
      </w:pPr>
      <w:r>
        <w:rPr/>
        <w:t>对进出运煤车辆定期进行清洗，清除车辆表面粘附的煤粒、泥土等；车辆表面要覆</w:t>
      </w:r>
    </w:p>
    <w:p>
      <w:pPr>
        <w:spacing w:after="0"/>
        <w:sectPr>
          <w:pgSz w:w="11910" w:h="16840"/>
          <w:pgMar w:header="0" w:footer="1169" w:top="1540" w:bottom="1360" w:left="1040" w:right="600"/>
        </w:sectPr>
      </w:pPr>
    </w:p>
    <w:p>
      <w:pPr>
        <w:pStyle w:val="BodyText"/>
        <w:spacing w:line="362" w:lineRule="auto" w:before="46"/>
        <w:ind w:left="375" w:right="760"/>
      </w:pPr>
      <w:r>
        <w:rPr/>
        <w:t>盖苫布，经运输线路敏感点时要减速慢行，防止散装煤炭的撒落对敏感点环境空气的影响。</w:t>
      </w:r>
    </w:p>
    <w:p>
      <w:pPr>
        <w:pStyle w:val="ListParagraph"/>
        <w:numPr>
          <w:ilvl w:val="0"/>
          <w:numId w:val="59"/>
        </w:numPr>
        <w:tabs>
          <w:tab w:pos="1457" w:val="left" w:leader="none"/>
        </w:tabs>
        <w:spacing w:line="362" w:lineRule="auto" w:before="5" w:after="0"/>
        <w:ind w:left="375" w:right="638" w:firstLine="480"/>
        <w:jc w:val="left"/>
        <w:rPr>
          <w:sz w:val="24"/>
        </w:rPr>
      </w:pPr>
      <w:r>
        <w:rPr>
          <w:spacing w:val="-14"/>
          <w:sz w:val="24"/>
        </w:rPr>
        <w:t>提高路面等级，改善路况，并加强道路两侧及工业场地的绿化，减少裸露地面</w:t>
      </w:r>
      <w:r>
        <w:rPr>
          <w:spacing w:val="-4"/>
          <w:sz w:val="24"/>
        </w:rPr>
        <w:t>，严格管理车辆，防止散装物料的撒落，对矿前区公路进行适当洒水，以进一步抑尘。</w:t>
      </w:r>
    </w:p>
    <w:p>
      <w:pPr>
        <w:pStyle w:val="Heading2"/>
        <w:numPr>
          <w:ilvl w:val="1"/>
          <w:numId w:val="57"/>
        </w:numPr>
        <w:tabs>
          <w:tab w:pos="828" w:val="left" w:leader="none"/>
        </w:tabs>
        <w:spacing w:line="240" w:lineRule="auto" w:before="5" w:after="0"/>
        <w:ind w:left="827" w:right="0" w:hanging="453"/>
        <w:jc w:val="left"/>
        <w:rPr>
          <w:rFonts w:ascii="Times New Roman" w:eastAsia="Times New Roman"/>
        </w:rPr>
      </w:pPr>
      <w:bookmarkStart w:name="8.6排放量核算" w:id="547"/>
      <w:bookmarkEnd w:id="547"/>
      <w:r>
        <w:rPr>
          <w:b w:val="0"/>
        </w:rPr>
      </w:r>
      <w:bookmarkStart w:name="_bookmark44" w:id="548"/>
      <w:bookmarkEnd w:id="548"/>
      <w:r>
        <w:rPr>
          <w:b w:val="0"/>
        </w:rPr>
      </w:r>
      <w:bookmarkStart w:name="_bookmark44" w:id="549"/>
      <w:bookmarkEnd w:id="549"/>
      <w:r>
        <w:rPr/>
        <w:t>排放量核算</w:t>
      </w:r>
    </w:p>
    <w:p>
      <w:pPr>
        <w:pStyle w:val="BodyText"/>
        <w:spacing w:before="199"/>
        <w:ind w:left="856"/>
      </w:pPr>
      <w:r>
        <w:rPr/>
        <w:t>本项目污染物排放量核算见表 </w:t>
      </w:r>
      <w:r>
        <w:rPr>
          <w:rFonts w:ascii="Times New Roman" w:eastAsia="Times New Roman"/>
        </w:rPr>
        <w:t>8.6-1</w:t>
      </w:r>
      <w:r>
        <w:rPr/>
        <w:t>、</w:t>
      </w:r>
      <w:r>
        <w:rPr>
          <w:rFonts w:ascii="Times New Roman" w:eastAsia="Times New Roman"/>
        </w:rPr>
        <w:t>8.6-2</w:t>
      </w:r>
      <w:r>
        <w:rPr/>
        <w:t>。</w:t>
      </w:r>
    </w:p>
    <w:p>
      <w:pPr>
        <w:pStyle w:val="Heading4"/>
        <w:spacing w:before="158" w:after="3"/>
        <w:ind w:left="3040"/>
      </w:pPr>
      <w:r>
        <w:rPr/>
        <w:t>表 </w:t>
      </w:r>
      <w:r>
        <w:rPr>
          <w:rFonts w:ascii="Times New Roman" w:eastAsia="Times New Roman"/>
        </w:rPr>
        <w:t>8.6-1 </w:t>
      </w:r>
      <w:r>
        <w:rPr/>
        <w:t>大气污染物有组织排放量核算表</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439"/>
        <w:gridCol w:w="1467"/>
        <w:gridCol w:w="1335"/>
        <w:gridCol w:w="2455"/>
        <w:gridCol w:w="1803"/>
      </w:tblGrid>
      <w:tr>
        <w:trPr>
          <w:trHeight w:val="467" w:hRule="atLeast"/>
        </w:trPr>
        <w:tc>
          <w:tcPr>
            <w:tcW w:w="845" w:type="dxa"/>
          </w:tcPr>
          <w:p>
            <w:pPr>
              <w:pStyle w:val="TableParagraph"/>
              <w:spacing w:before="118"/>
              <w:ind w:left="220" w:right="213"/>
              <w:rPr>
                <w:b/>
                <w:sz w:val="18"/>
              </w:rPr>
            </w:pPr>
            <w:r>
              <w:rPr>
                <w:b/>
                <w:sz w:val="18"/>
              </w:rPr>
              <w:t>序号</w:t>
            </w:r>
          </w:p>
        </w:tc>
        <w:tc>
          <w:tcPr>
            <w:tcW w:w="1439" w:type="dxa"/>
          </w:tcPr>
          <w:p>
            <w:pPr>
              <w:pStyle w:val="TableParagraph"/>
              <w:spacing w:before="118"/>
              <w:ind w:left="138" w:right="126"/>
              <w:rPr>
                <w:b/>
                <w:sz w:val="18"/>
              </w:rPr>
            </w:pPr>
            <w:r>
              <w:rPr>
                <w:b/>
                <w:sz w:val="18"/>
              </w:rPr>
              <w:t>排放口编号</w:t>
            </w:r>
          </w:p>
        </w:tc>
        <w:tc>
          <w:tcPr>
            <w:tcW w:w="1467" w:type="dxa"/>
          </w:tcPr>
          <w:p>
            <w:pPr>
              <w:pStyle w:val="TableParagraph"/>
              <w:spacing w:before="118"/>
              <w:ind w:left="442" w:right="432"/>
              <w:rPr>
                <w:b/>
                <w:sz w:val="18"/>
              </w:rPr>
            </w:pPr>
            <w:r>
              <w:rPr>
                <w:b/>
                <w:sz w:val="18"/>
              </w:rPr>
              <w:t>污染物</w:t>
            </w:r>
          </w:p>
        </w:tc>
        <w:tc>
          <w:tcPr>
            <w:tcW w:w="1335" w:type="dxa"/>
          </w:tcPr>
          <w:p>
            <w:pPr>
              <w:pStyle w:val="TableParagraph"/>
              <w:spacing w:before="1"/>
              <w:ind w:left="104" w:right="95"/>
              <w:rPr>
                <w:b/>
                <w:sz w:val="18"/>
              </w:rPr>
            </w:pPr>
            <w:r>
              <w:rPr>
                <w:b/>
                <w:sz w:val="18"/>
              </w:rPr>
              <w:t>核算排放浓度</w:t>
            </w:r>
          </w:p>
          <w:p>
            <w:pPr>
              <w:pStyle w:val="TableParagraph"/>
              <w:spacing w:line="211" w:lineRule="exact" w:before="4"/>
              <w:ind w:left="104" w:right="95"/>
              <w:rPr>
                <w:b/>
                <w:sz w:val="18"/>
              </w:rPr>
            </w:pPr>
            <w:r>
              <w:rPr>
                <w:b/>
                <w:sz w:val="18"/>
              </w:rPr>
              <w:t>（</w:t>
            </w:r>
            <w:r>
              <w:rPr>
                <w:rFonts w:ascii="Times New Roman" w:eastAsia="Times New Roman"/>
                <w:b/>
                <w:sz w:val="18"/>
              </w:rPr>
              <w:t>mg/m</w:t>
            </w:r>
            <w:r>
              <w:rPr>
                <w:rFonts w:ascii="Times New Roman" w:eastAsia="Times New Roman"/>
                <w:b/>
                <w:position w:val="6"/>
                <w:sz w:val="11"/>
              </w:rPr>
              <w:t>3</w:t>
            </w:r>
            <w:r>
              <w:rPr>
                <w:b/>
                <w:sz w:val="18"/>
              </w:rPr>
              <w:t>）</w:t>
            </w:r>
          </w:p>
        </w:tc>
        <w:tc>
          <w:tcPr>
            <w:tcW w:w="2455" w:type="dxa"/>
          </w:tcPr>
          <w:p>
            <w:pPr>
              <w:pStyle w:val="TableParagraph"/>
              <w:spacing w:before="118"/>
              <w:ind w:left="316" w:right="302"/>
              <w:rPr>
                <w:b/>
                <w:sz w:val="18"/>
              </w:rPr>
            </w:pPr>
            <w:r>
              <w:rPr>
                <w:b/>
                <w:sz w:val="18"/>
              </w:rPr>
              <w:t>核算排放速率（</w:t>
            </w:r>
            <w:r>
              <w:rPr>
                <w:rFonts w:ascii="Times New Roman" w:eastAsia="Times New Roman"/>
                <w:b/>
                <w:sz w:val="18"/>
              </w:rPr>
              <w:t>kg/h</w:t>
            </w:r>
            <w:r>
              <w:rPr>
                <w:b/>
                <w:sz w:val="18"/>
              </w:rPr>
              <w:t>）</w:t>
            </w:r>
          </w:p>
        </w:tc>
        <w:tc>
          <w:tcPr>
            <w:tcW w:w="1803" w:type="dxa"/>
          </w:tcPr>
          <w:p>
            <w:pPr>
              <w:pStyle w:val="TableParagraph"/>
              <w:spacing w:before="118"/>
              <w:ind w:left="90" w:right="17"/>
              <w:rPr>
                <w:b/>
                <w:sz w:val="18"/>
              </w:rPr>
            </w:pPr>
            <w:r>
              <w:rPr>
                <w:b/>
                <w:sz w:val="18"/>
              </w:rPr>
              <w:t>核算年排放量（</w:t>
            </w:r>
            <w:r>
              <w:rPr>
                <w:rFonts w:ascii="Times New Roman" w:eastAsia="Times New Roman"/>
                <w:b/>
                <w:sz w:val="18"/>
              </w:rPr>
              <w:t>t/a</w:t>
            </w:r>
            <w:r>
              <w:rPr>
                <w:b/>
                <w:sz w:val="18"/>
              </w:rPr>
              <w:t>）</w:t>
            </w:r>
          </w:p>
        </w:tc>
      </w:tr>
      <w:tr>
        <w:trPr>
          <w:trHeight w:val="234" w:hRule="atLeast"/>
        </w:trPr>
        <w:tc>
          <w:tcPr>
            <w:tcW w:w="9344" w:type="dxa"/>
            <w:gridSpan w:val="6"/>
          </w:tcPr>
          <w:p>
            <w:pPr>
              <w:pStyle w:val="TableParagraph"/>
              <w:spacing w:line="212" w:lineRule="exact" w:before="1"/>
              <w:ind w:left="4022" w:right="4011"/>
              <w:rPr>
                <w:sz w:val="18"/>
              </w:rPr>
            </w:pPr>
            <w:r>
              <w:rPr>
                <w:sz w:val="18"/>
              </w:rPr>
              <w:t>主要排放口</w:t>
            </w:r>
          </w:p>
        </w:tc>
      </w:tr>
      <w:tr>
        <w:trPr>
          <w:trHeight w:val="206" w:hRule="atLeast"/>
        </w:trPr>
        <w:tc>
          <w:tcPr>
            <w:tcW w:w="845" w:type="dxa"/>
          </w:tcPr>
          <w:p>
            <w:pPr>
              <w:pStyle w:val="TableParagraph"/>
              <w:spacing w:line="187" w:lineRule="exact"/>
              <w:ind w:left="6"/>
              <w:rPr>
                <w:rFonts w:ascii="Times New Roman"/>
                <w:sz w:val="18"/>
              </w:rPr>
            </w:pPr>
            <w:r>
              <w:rPr>
                <w:rFonts w:ascii="Times New Roman"/>
                <w:sz w:val="18"/>
              </w:rPr>
              <w:t>1</w:t>
            </w:r>
          </w:p>
        </w:tc>
        <w:tc>
          <w:tcPr>
            <w:tcW w:w="1439" w:type="dxa"/>
          </w:tcPr>
          <w:p>
            <w:pPr>
              <w:pStyle w:val="TableParagraph"/>
              <w:spacing w:line="187" w:lineRule="exact"/>
              <w:ind w:left="10"/>
              <w:rPr>
                <w:rFonts w:ascii="Times New Roman"/>
                <w:sz w:val="18"/>
              </w:rPr>
            </w:pPr>
            <w:r>
              <w:rPr>
                <w:rFonts w:ascii="Times New Roman"/>
                <w:sz w:val="18"/>
              </w:rPr>
              <w:t>/</w:t>
            </w:r>
          </w:p>
        </w:tc>
        <w:tc>
          <w:tcPr>
            <w:tcW w:w="1467" w:type="dxa"/>
          </w:tcPr>
          <w:p>
            <w:pPr>
              <w:pStyle w:val="TableParagraph"/>
              <w:spacing w:line="187" w:lineRule="exact"/>
              <w:ind w:left="8"/>
              <w:rPr>
                <w:rFonts w:ascii="Times New Roman"/>
                <w:sz w:val="18"/>
              </w:rPr>
            </w:pPr>
            <w:r>
              <w:rPr>
                <w:rFonts w:ascii="Times New Roman"/>
                <w:sz w:val="18"/>
              </w:rPr>
              <w:t>/</w:t>
            </w:r>
          </w:p>
        </w:tc>
        <w:tc>
          <w:tcPr>
            <w:tcW w:w="1335" w:type="dxa"/>
          </w:tcPr>
          <w:p>
            <w:pPr>
              <w:pStyle w:val="TableParagraph"/>
              <w:spacing w:line="187" w:lineRule="exact"/>
              <w:ind w:left="9"/>
              <w:rPr>
                <w:rFonts w:ascii="Times New Roman"/>
                <w:sz w:val="18"/>
              </w:rPr>
            </w:pPr>
            <w:r>
              <w:rPr>
                <w:rFonts w:ascii="Times New Roman"/>
                <w:sz w:val="18"/>
              </w:rPr>
              <w:t>/</w:t>
            </w:r>
          </w:p>
        </w:tc>
        <w:tc>
          <w:tcPr>
            <w:tcW w:w="2455" w:type="dxa"/>
          </w:tcPr>
          <w:p>
            <w:pPr>
              <w:pStyle w:val="TableParagraph"/>
              <w:spacing w:line="187" w:lineRule="exact"/>
              <w:ind w:left="6"/>
              <w:rPr>
                <w:rFonts w:ascii="Times New Roman"/>
                <w:sz w:val="18"/>
              </w:rPr>
            </w:pPr>
            <w:r>
              <w:rPr>
                <w:rFonts w:ascii="Times New Roman"/>
                <w:sz w:val="18"/>
              </w:rPr>
              <w:t>/</w:t>
            </w:r>
          </w:p>
        </w:tc>
        <w:tc>
          <w:tcPr>
            <w:tcW w:w="1803" w:type="dxa"/>
          </w:tcPr>
          <w:p>
            <w:pPr>
              <w:pStyle w:val="TableParagraph"/>
              <w:spacing w:line="187" w:lineRule="exact"/>
              <w:ind w:left="6"/>
              <w:rPr>
                <w:rFonts w:ascii="Times New Roman"/>
                <w:sz w:val="18"/>
              </w:rPr>
            </w:pPr>
            <w:r>
              <w:rPr>
                <w:rFonts w:ascii="Times New Roman"/>
                <w:sz w:val="18"/>
              </w:rPr>
              <w:t>/</w:t>
            </w:r>
          </w:p>
        </w:tc>
      </w:tr>
      <w:tr>
        <w:trPr>
          <w:trHeight w:val="233" w:hRule="atLeast"/>
        </w:trPr>
        <w:tc>
          <w:tcPr>
            <w:tcW w:w="2284" w:type="dxa"/>
            <w:gridSpan w:val="2"/>
          </w:tcPr>
          <w:p>
            <w:pPr>
              <w:pStyle w:val="TableParagraph"/>
              <w:spacing w:line="212" w:lineRule="exact" w:before="1"/>
              <w:ind w:left="512"/>
              <w:jc w:val="left"/>
              <w:rPr>
                <w:sz w:val="18"/>
              </w:rPr>
            </w:pPr>
            <w:r>
              <w:rPr>
                <w:sz w:val="18"/>
              </w:rPr>
              <w:t>主要排放口合计</w:t>
            </w:r>
          </w:p>
        </w:tc>
        <w:tc>
          <w:tcPr>
            <w:tcW w:w="5257" w:type="dxa"/>
            <w:gridSpan w:val="3"/>
          </w:tcPr>
          <w:p>
            <w:pPr>
              <w:pStyle w:val="TableParagraph"/>
              <w:spacing w:line="202" w:lineRule="exact" w:before="11"/>
              <w:ind w:left="10"/>
              <w:rPr>
                <w:rFonts w:ascii="Times New Roman"/>
                <w:sz w:val="18"/>
              </w:rPr>
            </w:pPr>
            <w:r>
              <w:rPr>
                <w:rFonts w:ascii="Times New Roman"/>
                <w:sz w:val="18"/>
              </w:rPr>
              <w:t>/</w:t>
            </w:r>
          </w:p>
        </w:tc>
        <w:tc>
          <w:tcPr>
            <w:tcW w:w="1803" w:type="dxa"/>
          </w:tcPr>
          <w:p>
            <w:pPr>
              <w:pStyle w:val="TableParagraph"/>
              <w:spacing w:line="202" w:lineRule="exact" w:before="11"/>
              <w:ind w:left="6"/>
              <w:rPr>
                <w:rFonts w:ascii="Times New Roman"/>
                <w:sz w:val="18"/>
              </w:rPr>
            </w:pPr>
            <w:r>
              <w:rPr>
                <w:rFonts w:ascii="Times New Roman"/>
                <w:sz w:val="18"/>
              </w:rPr>
              <w:t>/</w:t>
            </w:r>
          </w:p>
        </w:tc>
      </w:tr>
      <w:tr>
        <w:trPr>
          <w:trHeight w:val="232" w:hRule="atLeast"/>
        </w:trPr>
        <w:tc>
          <w:tcPr>
            <w:tcW w:w="9344" w:type="dxa"/>
            <w:gridSpan w:val="6"/>
          </w:tcPr>
          <w:p>
            <w:pPr>
              <w:pStyle w:val="TableParagraph"/>
              <w:spacing w:line="212" w:lineRule="exact"/>
              <w:ind w:left="4022" w:right="4011"/>
              <w:rPr>
                <w:sz w:val="18"/>
              </w:rPr>
            </w:pPr>
            <w:r>
              <w:rPr>
                <w:sz w:val="18"/>
              </w:rPr>
              <w:t>一般排放口</w:t>
            </w:r>
          </w:p>
        </w:tc>
      </w:tr>
      <w:tr>
        <w:trPr>
          <w:trHeight w:val="290" w:hRule="atLeast"/>
        </w:trPr>
        <w:tc>
          <w:tcPr>
            <w:tcW w:w="2284" w:type="dxa"/>
            <w:gridSpan w:val="2"/>
            <w:vMerge w:val="restart"/>
          </w:tcPr>
          <w:p>
            <w:pPr>
              <w:pStyle w:val="TableParagraph"/>
              <w:spacing w:before="8"/>
              <w:jc w:val="left"/>
              <w:rPr>
                <w:b/>
                <w:sz w:val="25"/>
              </w:rPr>
            </w:pPr>
          </w:p>
          <w:p>
            <w:pPr>
              <w:pStyle w:val="TableParagraph"/>
              <w:ind w:left="601"/>
              <w:jc w:val="left"/>
              <w:rPr>
                <w:sz w:val="18"/>
              </w:rPr>
            </w:pPr>
            <w:r>
              <w:rPr>
                <w:sz w:val="18"/>
              </w:rPr>
              <w:t>热风炉房烟囱</w:t>
            </w:r>
          </w:p>
        </w:tc>
        <w:tc>
          <w:tcPr>
            <w:tcW w:w="1467" w:type="dxa"/>
          </w:tcPr>
          <w:p>
            <w:pPr>
              <w:pStyle w:val="TableParagraph"/>
              <w:spacing w:before="29"/>
              <w:ind w:left="438" w:right="432"/>
              <w:rPr>
                <w:sz w:val="18"/>
              </w:rPr>
            </w:pPr>
            <w:r>
              <w:rPr>
                <w:sz w:val="18"/>
              </w:rPr>
              <w:t>烟尘</w:t>
            </w:r>
          </w:p>
        </w:tc>
        <w:tc>
          <w:tcPr>
            <w:tcW w:w="1335" w:type="dxa"/>
          </w:tcPr>
          <w:p>
            <w:pPr>
              <w:pStyle w:val="TableParagraph"/>
              <w:spacing w:before="1"/>
              <w:ind w:left="104" w:right="93"/>
              <w:rPr>
                <w:rFonts w:ascii="Times New Roman"/>
                <w:sz w:val="21"/>
              </w:rPr>
            </w:pPr>
            <w:r>
              <w:rPr>
                <w:rFonts w:ascii="Times New Roman"/>
                <w:sz w:val="21"/>
              </w:rPr>
              <w:t>14.25</w:t>
            </w:r>
          </w:p>
        </w:tc>
        <w:tc>
          <w:tcPr>
            <w:tcW w:w="2455" w:type="dxa"/>
          </w:tcPr>
          <w:p>
            <w:pPr>
              <w:pStyle w:val="TableParagraph"/>
              <w:spacing w:before="1"/>
              <w:ind w:left="312" w:right="302"/>
              <w:rPr>
                <w:rFonts w:ascii="Times New Roman"/>
                <w:sz w:val="21"/>
              </w:rPr>
            </w:pPr>
            <w:r>
              <w:rPr>
                <w:rFonts w:ascii="Times New Roman"/>
                <w:sz w:val="21"/>
              </w:rPr>
              <w:t>0.03</w:t>
            </w:r>
          </w:p>
        </w:tc>
        <w:tc>
          <w:tcPr>
            <w:tcW w:w="1803" w:type="dxa"/>
          </w:tcPr>
          <w:p>
            <w:pPr>
              <w:pStyle w:val="TableParagraph"/>
              <w:spacing w:before="1"/>
              <w:ind w:left="27" w:right="17"/>
              <w:rPr>
                <w:rFonts w:ascii="Times New Roman"/>
                <w:sz w:val="21"/>
              </w:rPr>
            </w:pPr>
            <w:r>
              <w:rPr>
                <w:rFonts w:ascii="Times New Roman"/>
                <w:sz w:val="21"/>
              </w:rPr>
              <w:t>0.176</w:t>
            </w:r>
          </w:p>
        </w:tc>
      </w:tr>
      <w:tr>
        <w:trPr>
          <w:trHeight w:val="290" w:hRule="atLeast"/>
        </w:trPr>
        <w:tc>
          <w:tcPr>
            <w:tcW w:w="2284" w:type="dxa"/>
            <w:gridSpan w:val="2"/>
            <w:vMerge/>
            <w:tcBorders>
              <w:top w:val="nil"/>
            </w:tcBorders>
          </w:tcPr>
          <w:p>
            <w:pPr>
              <w:rPr>
                <w:sz w:val="2"/>
                <w:szCs w:val="2"/>
              </w:rPr>
            </w:pPr>
          </w:p>
        </w:tc>
        <w:tc>
          <w:tcPr>
            <w:tcW w:w="1467" w:type="dxa"/>
          </w:tcPr>
          <w:p>
            <w:pPr>
              <w:pStyle w:val="TableParagraph"/>
              <w:spacing w:before="45"/>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TableParagraph"/>
              <w:spacing w:before="1"/>
              <w:ind w:left="104" w:right="93"/>
              <w:rPr>
                <w:rFonts w:ascii="Times New Roman"/>
                <w:sz w:val="21"/>
              </w:rPr>
            </w:pPr>
            <w:r>
              <w:rPr>
                <w:rFonts w:ascii="Times New Roman"/>
                <w:sz w:val="21"/>
              </w:rPr>
              <w:t>22.84</w:t>
            </w:r>
          </w:p>
        </w:tc>
        <w:tc>
          <w:tcPr>
            <w:tcW w:w="2455" w:type="dxa"/>
          </w:tcPr>
          <w:p>
            <w:pPr>
              <w:pStyle w:val="TableParagraph"/>
              <w:spacing w:before="1"/>
              <w:ind w:left="312" w:right="302"/>
              <w:rPr>
                <w:rFonts w:ascii="Times New Roman"/>
                <w:sz w:val="21"/>
              </w:rPr>
            </w:pPr>
            <w:r>
              <w:rPr>
                <w:rFonts w:ascii="Times New Roman"/>
                <w:sz w:val="21"/>
              </w:rPr>
              <w:t>0.06</w:t>
            </w:r>
          </w:p>
        </w:tc>
        <w:tc>
          <w:tcPr>
            <w:tcW w:w="1803" w:type="dxa"/>
          </w:tcPr>
          <w:p>
            <w:pPr>
              <w:pStyle w:val="TableParagraph"/>
              <w:spacing w:before="1"/>
              <w:ind w:left="27" w:right="17"/>
              <w:rPr>
                <w:rFonts w:ascii="Times New Roman"/>
                <w:sz w:val="21"/>
              </w:rPr>
            </w:pPr>
            <w:r>
              <w:rPr>
                <w:rFonts w:ascii="Times New Roman"/>
                <w:sz w:val="21"/>
              </w:rPr>
              <w:t>0.282</w:t>
            </w:r>
          </w:p>
        </w:tc>
      </w:tr>
      <w:tr>
        <w:trPr>
          <w:trHeight w:val="290" w:hRule="atLeast"/>
        </w:trPr>
        <w:tc>
          <w:tcPr>
            <w:tcW w:w="2284" w:type="dxa"/>
            <w:gridSpan w:val="2"/>
            <w:vMerge/>
            <w:tcBorders>
              <w:top w:val="nil"/>
            </w:tcBorders>
          </w:tcPr>
          <w:p>
            <w:pPr>
              <w:rPr>
                <w:sz w:val="2"/>
                <w:szCs w:val="2"/>
              </w:rPr>
            </w:pPr>
          </w:p>
        </w:tc>
        <w:tc>
          <w:tcPr>
            <w:tcW w:w="1467" w:type="dxa"/>
          </w:tcPr>
          <w:p>
            <w:pPr>
              <w:pStyle w:val="TableParagraph"/>
              <w:spacing w:before="41"/>
              <w:ind w:left="441" w:right="432"/>
              <w:rPr>
                <w:rFonts w:ascii="Times New Roman"/>
                <w:sz w:val="18"/>
              </w:rPr>
            </w:pPr>
            <w:r>
              <w:rPr>
                <w:rFonts w:ascii="Times New Roman"/>
                <w:sz w:val="18"/>
              </w:rPr>
              <w:t>NOx</w:t>
            </w:r>
          </w:p>
        </w:tc>
        <w:tc>
          <w:tcPr>
            <w:tcW w:w="1335" w:type="dxa"/>
          </w:tcPr>
          <w:p>
            <w:pPr>
              <w:pStyle w:val="TableParagraph"/>
              <w:spacing w:line="240" w:lineRule="exact"/>
              <w:ind w:left="104" w:right="93"/>
              <w:rPr>
                <w:rFonts w:ascii="Times New Roman"/>
                <w:sz w:val="21"/>
              </w:rPr>
            </w:pPr>
            <w:r>
              <w:rPr>
                <w:rFonts w:ascii="Times New Roman"/>
                <w:sz w:val="21"/>
              </w:rPr>
              <w:t>200</w:t>
            </w:r>
          </w:p>
        </w:tc>
        <w:tc>
          <w:tcPr>
            <w:tcW w:w="2455" w:type="dxa"/>
          </w:tcPr>
          <w:p>
            <w:pPr>
              <w:pStyle w:val="TableParagraph"/>
              <w:spacing w:line="240" w:lineRule="exact"/>
              <w:ind w:left="312" w:right="302"/>
              <w:rPr>
                <w:rFonts w:ascii="Times New Roman"/>
                <w:sz w:val="21"/>
              </w:rPr>
            </w:pPr>
            <w:r>
              <w:rPr>
                <w:rFonts w:ascii="Times New Roman"/>
                <w:sz w:val="21"/>
              </w:rPr>
              <w:t>0.49</w:t>
            </w:r>
          </w:p>
        </w:tc>
        <w:tc>
          <w:tcPr>
            <w:tcW w:w="1803" w:type="dxa"/>
          </w:tcPr>
          <w:p>
            <w:pPr>
              <w:pStyle w:val="TableParagraph"/>
              <w:spacing w:line="240" w:lineRule="exact"/>
              <w:ind w:left="29" w:right="17"/>
              <w:rPr>
                <w:rFonts w:ascii="Times New Roman"/>
                <w:sz w:val="21"/>
              </w:rPr>
            </w:pPr>
            <w:r>
              <w:rPr>
                <w:rFonts w:ascii="Times New Roman"/>
                <w:sz w:val="21"/>
              </w:rPr>
              <w:t>2.47</w:t>
            </w:r>
          </w:p>
        </w:tc>
      </w:tr>
      <w:tr>
        <w:trPr>
          <w:trHeight w:val="288" w:hRule="atLeast"/>
        </w:trPr>
        <w:tc>
          <w:tcPr>
            <w:tcW w:w="2284" w:type="dxa"/>
            <w:gridSpan w:val="2"/>
            <w:vMerge w:val="restart"/>
          </w:tcPr>
          <w:p>
            <w:pPr>
              <w:pStyle w:val="TableParagraph"/>
              <w:spacing w:before="8"/>
              <w:jc w:val="left"/>
              <w:rPr>
                <w:b/>
                <w:sz w:val="25"/>
              </w:rPr>
            </w:pPr>
          </w:p>
          <w:p>
            <w:pPr>
              <w:pStyle w:val="TableParagraph"/>
              <w:ind w:left="692"/>
              <w:jc w:val="left"/>
              <w:rPr>
                <w:sz w:val="18"/>
              </w:rPr>
            </w:pPr>
            <w:r>
              <w:rPr>
                <w:sz w:val="18"/>
              </w:rPr>
              <w:t>锅炉房烟囱</w:t>
            </w:r>
          </w:p>
        </w:tc>
        <w:tc>
          <w:tcPr>
            <w:tcW w:w="1467" w:type="dxa"/>
          </w:tcPr>
          <w:p>
            <w:pPr>
              <w:pStyle w:val="TableParagraph"/>
              <w:spacing w:before="29"/>
              <w:ind w:left="438" w:right="432"/>
              <w:rPr>
                <w:sz w:val="18"/>
              </w:rPr>
            </w:pPr>
            <w:r>
              <w:rPr>
                <w:sz w:val="18"/>
              </w:rPr>
              <w:t>烟尘</w:t>
            </w:r>
          </w:p>
        </w:tc>
        <w:tc>
          <w:tcPr>
            <w:tcW w:w="1335" w:type="dxa"/>
          </w:tcPr>
          <w:p>
            <w:pPr>
              <w:pStyle w:val="TableParagraph"/>
              <w:spacing w:line="240" w:lineRule="exact"/>
              <w:ind w:left="104" w:right="93"/>
              <w:rPr>
                <w:rFonts w:ascii="Times New Roman"/>
                <w:sz w:val="21"/>
              </w:rPr>
            </w:pPr>
            <w:r>
              <w:rPr>
                <w:rFonts w:ascii="Times New Roman"/>
                <w:sz w:val="21"/>
              </w:rPr>
              <w:t>14.25</w:t>
            </w:r>
          </w:p>
        </w:tc>
        <w:tc>
          <w:tcPr>
            <w:tcW w:w="2455" w:type="dxa"/>
          </w:tcPr>
          <w:p>
            <w:pPr>
              <w:pStyle w:val="TableParagraph"/>
              <w:spacing w:line="240" w:lineRule="exact"/>
              <w:ind w:left="312" w:right="302"/>
              <w:rPr>
                <w:rFonts w:ascii="Times New Roman"/>
                <w:sz w:val="21"/>
              </w:rPr>
            </w:pPr>
            <w:r>
              <w:rPr>
                <w:rFonts w:ascii="Times New Roman"/>
                <w:sz w:val="21"/>
              </w:rPr>
              <w:t>0.04</w:t>
            </w:r>
          </w:p>
        </w:tc>
        <w:tc>
          <w:tcPr>
            <w:tcW w:w="1803" w:type="dxa"/>
          </w:tcPr>
          <w:p>
            <w:pPr>
              <w:pStyle w:val="TableParagraph"/>
              <w:spacing w:line="240" w:lineRule="exact"/>
              <w:ind w:left="27" w:right="17"/>
              <w:rPr>
                <w:rFonts w:ascii="Times New Roman"/>
                <w:sz w:val="21"/>
              </w:rPr>
            </w:pPr>
            <w:r>
              <w:rPr>
                <w:rFonts w:ascii="Times New Roman"/>
                <w:sz w:val="21"/>
              </w:rPr>
              <w:t>0.117</w:t>
            </w:r>
          </w:p>
        </w:tc>
      </w:tr>
      <w:tr>
        <w:trPr>
          <w:trHeight w:val="290" w:hRule="atLeast"/>
        </w:trPr>
        <w:tc>
          <w:tcPr>
            <w:tcW w:w="2284" w:type="dxa"/>
            <w:gridSpan w:val="2"/>
            <w:vMerge/>
            <w:tcBorders>
              <w:top w:val="nil"/>
            </w:tcBorders>
          </w:tcPr>
          <w:p>
            <w:pPr>
              <w:rPr>
                <w:sz w:val="2"/>
                <w:szCs w:val="2"/>
              </w:rPr>
            </w:pPr>
          </w:p>
        </w:tc>
        <w:tc>
          <w:tcPr>
            <w:tcW w:w="1467" w:type="dxa"/>
          </w:tcPr>
          <w:p>
            <w:pPr>
              <w:pStyle w:val="TableParagraph"/>
              <w:spacing w:before="44"/>
              <w:ind w:left="442" w:right="432"/>
              <w:rPr>
                <w:rFonts w:ascii="Times New Roman"/>
                <w:sz w:val="18"/>
              </w:rPr>
            </w:pPr>
            <w:r>
              <w:rPr>
                <w:rFonts w:ascii="Times New Roman"/>
                <w:position w:val="1"/>
                <w:sz w:val="18"/>
              </w:rPr>
              <w:t>SO</w:t>
            </w:r>
            <w:r>
              <w:rPr>
                <w:rFonts w:ascii="Times New Roman"/>
                <w:position w:val="1"/>
                <w:sz w:val="18"/>
                <w:vertAlign w:val="subscript"/>
              </w:rPr>
              <w:t>2</w:t>
            </w:r>
          </w:p>
        </w:tc>
        <w:tc>
          <w:tcPr>
            <w:tcW w:w="1335" w:type="dxa"/>
          </w:tcPr>
          <w:p>
            <w:pPr>
              <w:pStyle w:val="TableParagraph"/>
              <w:spacing w:line="241" w:lineRule="exact"/>
              <w:ind w:left="104" w:right="93"/>
              <w:rPr>
                <w:rFonts w:ascii="Times New Roman"/>
                <w:sz w:val="21"/>
              </w:rPr>
            </w:pPr>
            <w:r>
              <w:rPr>
                <w:rFonts w:ascii="Times New Roman"/>
                <w:sz w:val="21"/>
              </w:rPr>
              <w:t>22.85</w:t>
            </w:r>
          </w:p>
        </w:tc>
        <w:tc>
          <w:tcPr>
            <w:tcW w:w="2455" w:type="dxa"/>
          </w:tcPr>
          <w:p>
            <w:pPr>
              <w:pStyle w:val="TableParagraph"/>
              <w:spacing w:line="241" w:lineRule="exact"/>
              <w:ind w:left="312" w:right="302"/>
              <w:rPr>
                <w:rFonts w:ascii="Times New Roman"/>
                <w:sz w:val="21"/>
              </w:rPr>
            </w:pPr>
            <w:r>
              <w:rPr>
                <w:rFonts w:ascii="Times New Roman"/>
                <w:sz w:val="21"/>
              </w:rPr>
              <w:t>0.06</w:t>
            </w:r>
          </w:p>
        </w:tc>
        <w:tc>
          <w:tcPr>
            <w:tcW w:w="1803" w:type="dxa"/>
          </w:tcPr>
          <w:p>
            <w:pPr>
              <w:pStyle w:val="TableParagraph"/>
              <w:spacing w:line="241" w:lineRule="exact"/>
              <w:ind w:left="27" w:right="17"/>
              <w:rPr>
                <w:rFonts w:ascii="Times New Roman"/>
                <w:sz w:val="21"/>
              </w:rPr>
            </w:pPr>
            <w:r>
              <w:rPr>
                <w:rFonts w:ascii="Times New Roman"/>
                <w:sz w:val="21"/>
              </w:rPr>
              <w:t>0.187</w:t>
            </w:r>
          </w:p>
        </w:tc>
      </w:tr>
      <w:tr>
        <w:trPr>
          <w:trHeight w:val="290" w:hRule="atLeast"/>
        </w:trPr>
        <w:tc>
          <w:tcPr>
            <w:tcW w:w="2284" w:type="dxa"/>
            <w:gridSpan w:val="2"/>
            <w:vMerge/>
            <w:tcBorders>
              <w:top w:val="nil"/>
            </w:tcBorders>
          </w:tcPr>
          <w:p>
            <w:pPr>
              <w:rPr>
                <w:sz w:val="2"/>
                <w:szCs w:val="2"/>
              </w:rPr>
            </w:pPr>
          </w:p>
        </w:tc>
        <w:tc>
          <w:tcPr>
            <w:tcW w:w="1467" w:type="dxa"/>
          </w:tcPr>
          <w:p>
            <w:pPr>
              <w:pStyle w:val="TableParagraph"/>
              <w:spacing w:before="42"/>
              <w:ind w:left="441" w:right="432"/>
              <w:rPr>
                <w:rFonts w:ascii="Times New Roman"/>
                <w:sz w:val="18"/>
              </w:rPr>
            </w:pPr>
            <w:r>
              <w:rPr>
                <w:rFonts w:ascii="Times New Roman"/>
                <w:sz w:val="18"/>
              </w:rPr>
              <w:t>NOx</w:t>
            </w:r>
          </w:p>
        </w:tc>
        <w:tc>
          <w:tcPr>
            <w:tcW w:w="1335" w:type="dxa"/>
          </w:tcPr>
          <w:p>
            <w:pPr>
              <w:pStyle w:val="TableParagraph"/>
              <w:spacing w:line="241" w:lineRule="exact"/>
              <w:ind w:left="104" w:right="93"/>
              <w:rPr>
                <w:rFonts w:ascii="Times New Roman"/>
                <w:sz w:val="21"/>
              </w:rPr>
            </w:pPr>
            <w:r>
              <w:rPr>
                <w:rFonts w:ascii="Times New Roman"/>
                <w:sz w:val="21"/>
              </w:rPr>
              <w:t>200</w:t>
            </w:r>
          </w:p>
        </w:tc>
        <w:tc>
          <w:tcPr>
            <w:tcW w:w="2455" w:type="dxa"/>
          </w:tcPr>
          <w:p>
            <w:pPr>
              <w:pStyle w:val="TableParagraph"/>
              <w:spacing w:line="241" w:lineRule="exact"/>
              <w:ind w:left="312" w:right="302"/>
              <w:rPr>
                <w:rFonts w:ascii="Times New Roman"/>
                <w:sz w:val="21"/>
              </w:rPr>
            </w:pPr>
            <w:r>
              <w:rPr>
                <w:rFonts w:ascii="Times New Roman"/>
                <w:sz w:val="21"/>
              </w:rPr>
              <w:t>0.50</w:t>
            </w:r>
          </w:p>
        </w:tc>
        <w:tc>
          <w:tcPr>
            <w:tcW w:w="1803" w:type="dxa"/>
          </w:tcPr>
          <w:p>
            <w:pPr>
              <w:pStyle w:val="TableParagraph"/>
              <w:spacing w:line="241" w:lineRule="exact"/>
              <w:ind w:left="29" w:right="17"/>
              <w:rPr>
                <w:rFonts w:ascii="Times New Roman"/>
                <w:sz w:val="21"/>
              </w:rPr>
            </w:pPr>
            <w:r>
              <w:rPr>
                <w:rFonts w:ascii="Times New Roman"/>
                <w:sz w:val="21"/>
              </w:rPr>
              <w:t>1.62</w:t>
            </w:r>
          </w:p>
        </w:tc>
      </w:tr>
      <w:tr>
        <w:trPr>
          <w:trHeight w:val="290" w:hRule="atLeast"/>
        </w:trPr>
        <w:tc>
          <w:tcPr>
            <w:tcW w:w="2284" w:type="dxa"/>
            <w:gridSpan w:val="2"/>
          </w:tcPr>
          <w:p>
            <w:pPr>
              <w:pStyle w:val="TableParagraph"/>
              <w:spacing w:before="30"/>
              <w:ind w:left="761" w:right="753"/>
              <w:rPr>
                <w:sz w:val="18"/>
              </w:rPr>
            </w:pPr>
            <w:r>
              <w:rPr>
                <w:sz w:val="18"/>
              </w:rPr>
              <w:t>筛分车间</w:t>
            </w:r>
          </w:p>
        </w:tc>
        <w:tc>
          <w:tcPr>
            <w:tcW w:w="1467" w:type="dxa"/>
          </w:tcPr>
          <w:p>
            <w:pPr>
              <w:pStyle w:val="TableParagraph"/>
              <w:spacing w:before="30"/>
              <w:ind w:left="438" w:right="432"/>
              <w:rPr>
                <w:sz w:val="18"/>
              </w:rPr>
            </w:pPr>
            <w:r>
              <w:rPr>
                <w:sz w:val="18"/>
              </w:rPr>
              <w:t>烟尘</w:t>
            </w:r>
          </w:p>
        </w:tc>
        <w:tc>
          <w:tcPr>
            <w:tcW w:w="1335" w:type="dxa"/>
          </w:tcPr>
          <w:p>
            <w:pPr>
              <w:pStyle w:val="TableParagraph"/>
              <w:spacing w:line="241" w:lineRule="exact"/>
              <w:ind w:left="101" w:right="95"/>
              <w:rPr>
                <w:rFonts w:ascii="Times New Roman"/>
                <w:sz w:val="21"/>
              </w:rPr>
            </w:pPr>
            <w:r>
              <w:rPr>
                <w:rFonts w:ascii="Times New Roman"/>
                <w:sz w:val="21"/>
              </w:rPr>
              <w:t>40</w:t>
            </w:r>
          </w:p>
        </w:tc>
        <w:tc>
          <w:tcPr>
            <w:tcW w:w="2455" w:type="dxa"/>
          </w:tcPr>
          <w:p>
            <w:pPr>
              <w:pStyle w:val="TableParagraph"/>
              <w:spacing w:line="241" w:lineRule="exact"/>
              <w:ind w:left="312" w:right="302"/>
              <w:rPr>
                <w:rFonts w:ascii="Times New Roman"/>
                <w:sz w:val="21"/>
              </w:rPr>
            </w:pPr>
            <w:r>
              <w:rPr>
                <w:rFonts w:ascii="Times New Roman"/>
                <w:sz w:val="21"/>
              </w:rPr>
              <w:t>0.01</w:t>
            </w:r>
          </w:p>
        </w:tc>
        <w:tc>
          <w:tcPr>
            <w:tcW w:w="1803" w:type="dxa"/>
          </w:tcPr>
          <w:p>
            <w:pPr>
              <w:pStyle w:val="TableParagraph"/>
              <w:spacing w:line="241" w:lineRule="exact"/>
              <w:ind w:left="29" w:right="17"/>
              <w:rPr>
                <w:rFonts w:ascii="Times New Roman"/>
                <w:sz w:val="21"/>
              </w:rPr>
            </w:pPr>
            <w:r>
              <w:rPr>
                <w:rFonts w:ascii="Times New Roman"/>
                <w:sz w:val="21"/>
              </w:rPr>
              <w:t>0.06</w:t>
            </w:r>
          </w:p>
        </w:tc>
      </w:tr>
      <w:tr>
        <w:trPr>
          <w:trHeight w:val="232" w:hRule="atLeast"/>
        </w:trPr>
        <w:tc>
          <w:tcPr>
            <w:tcW w:w="9344" w:type="dxa"/>
            <w:gridSpan w:val="6"/>
          </w:tcPr>
          <w:p>
            <w:pPr>
              <w:pStyle w:val="TableParagraph"/>
              <w:spacing w:line="212" w:lineRule="exact" w:before="1"/>
              <w:ind w:left="4022" w:right="4011"/>
              <w:rPr>
                <w:sz w:val="18"/>
              </w:rPr>
            </w:pPr>
            <w:r>
              <w:rPr>
                <w:sz w:val="18"/>
              </w:rPr>
              <w:t>有组织排放总计</w:t>
            </w:r>
          </w:p>
        </w:tc>
      </w:tr>
      <w:tr>
        <w:trPr>
          <w:trHeight w:val="242" w:hRule="atLeast"/>
        </w:trPr>
        <w:tc>
          <w:tcPr>
            <w:tcW w:w="2284" w:type="dxa"/>
            <w:gridSpan w:val="2"/>
            <w:vMerge w:val="restart"/>
          </w:tcPr>
          <w:p>
            <w:pPr>
              <w:pStyle w:val="TableParagraph"/>
              <w:spacing w:before="1"/>
              <w:jc w:val="left"/>
              <w:rPr>
                <w:b/>
                <w:sz w:val="20"/>
              </w:rPr>
            </w:pPr>
          </w:p>
          <w:p>
            <w:pPr>
              <w:pStyle w:val="TableParagraph"/>
              <w:ind w:left="512"/>
              <w:jc w:val="left"/>
              <w:rPr>
                <w:sz w:val="18"/>
              </w:rPr>
            </w:pPr>
            <w:r>
              <w:rPr>
                <w:sz w:val="18"/>
              </w:rPr>
              <w:t>有组织排放总计</w:t>
            </w:r>
          </w:p>
        </w:tc>
        <w:tc>
          <w:tcPr>
            <w:tcW w:w="5257" w:type="dxa"/>
            <w:gridSpan w:val="3"/>
          </w:tcPr>
          <w:p>
            <w:pPr>
              <w:pStyle w:val="TableParagraph"/>
              <w:spacing w:line="217" w:lineRule="exact" w:before="5"/>
              <w:ind w:left="2427" w:right="2419"/>
              <w:rPr>
                <w:sz w:val="18"/>
              </w:rPr>
            </w:pPr>
            <w:r>
              <w:rPr>
                <w:sz w:val="18"/>
              </w:rPr>
              <w:t>烟尘</w:t>
            </w:r>
          </w:p>
        </w:tc>
        <w:tc>
          <w:tcPr>
            <w:tcW w:w="1803" w:type="dxa"/>
          </w:tcPr>
          <w:p>
            <w:pPr>
              <w:pStyle w:val="TableParagraph"/>
              <w:spacing w:line="222" w:lineRule="exact"/>
              <w:ind w:left="27" w:right="17"/>
              <w:rPr>
                <w:rFonts w:ascii="Times New Roman"/>
                <w:sz w:val="21"/>
              </w:rPr>
            </w:pPr>
            <w:r>
              <w:rPr>
                <w:rFonts w:ascii="Times New Roman"/>
                <w:sz w:val="21"/>
              </w:rPr>
              <w:t>0.353</w:t>
            </w:r>
          </w:p>
        </w:tc>
      </w:tr>
      <w:tr>
        <w:trPr>
          <w:trHeight w:val="241" w:hRule="atLeast"/>
        </w:trPr>
        <w:tc>
          <w:tcPr>
            <w:tcW w:w="2284" w:type="dxa"/>
            <w:gridSpan w:val="2"/>
            <w:vMerge/>
            <w:tcBorders>
              <w:top w:val="nil"/>
            </w:tcBorders>
          </w:tcPr>
          <w:p>
            <w:pPr>
              <w:rPr>
                <w:sz w:val="2"/>
                <w:szCs w:val="2"/>
              </w:rPr>
            </w:pPr>
          </w:p>
        </w:tc>
        <w:tc>
          <w:tcPr>
            <w:tcW w:w="5257" w:type="dxa"/>
            <w:gridSpan w:val="3"/>
          </w:tcPr>
          <w:p>
            <w:pPr>
              <w:pStyle w:val="TableParagraph"/>
              <w:spacing w:line="206" w:lineRule="exact" w:before="15"/>
              <w:ind w:left="2427" w:right="2416"/>
              <w:rPr>
                <w:rFonts w:ascii="Times New Roman"/>
                <w:sz w:val="18"/>
              </w:rPr>
            </w:pPr>
            <w:r>
              <w:rPr>
                <w:rFonts w:ascii="Times New Roman"/>
                <w:sz w:val="18"/>
              </w:rPr>
              <w:t>NOx</w:t>
            </w:r>
          </w:p>
        </w:tc>
        <w:tc>
          <w:tcPr>
            <w:tcW w:w="1803" w:type="dxa"/>
          </w:tcPr>
          <w:p>
            <w:pPr>
              <w:pStyle w:val="TableParagraph"/>
              <w:spacing w:line="221" w:lineRule="exact"/>
              <w:ind w:left="29" w:right="17"/>
              <w:rPr>
                <w:rFonts w:ascii="Times New Roman"/>
                <w:sz w:val="21"/>
              </w:rPr>
            </w:pPr>
            <w:r>
              <w:rPr>
                <w:rFonts w:ascii="Times New Roman"/>
                <w:sz w:val="21"/>
              </w:rPr>
              <w:t>4.09</w:t>
            </w:r>
          </w:p>
        </w:tc>
      </w:tr>
      <w:tr>
        <w:trPr>
          <w:trHeight w:val="241" w:hRule="atLeast"/>
        </w:trPr>
        <w:tc>
          <w:tcPr>
            <w:tcW w:w="2284" w:type="dxa"/>
            <w:gridSpan w:val="2"/>
            <w:vMerge/>
            <w:tcBorders>
              <w:top w:val="nil"/>
            </w:tcBorders>
          </w:tcPr>
          <w:p>
            <w:pPr>
              <w:rPr>
                <w:sz w:val="2"/>
                <w:szCs w:val="2"/>
              </w:rPr>
            </w:pPr>
          </w:p>
        </w:tc>
        <w:tc>
          <w:tcPr>
            <w:tcW w:w="5257" w:type="dxa"/>
            <w:gridSpan w:val="3"/>
          </w:tcPr>
          <w:p>
            <w:pPr>
              <w:pStyle w:val="TableParagraph"/>
              <w:spacing w:line="202" w:lineRule="exact" w:before="20"/>
              <w:ind w:left="2427" w:right="2419"/>
              <w:rPr>
                <w:rFonts w:ascii="Times New Roman"/>
                <w:sz w:val="18"/>
              </w:rPr>
            </w:pPr>
            <w:r>
              <w:rPr>
                <w:rFonts w:ascii="Times New Roman"/>
                <w:position w:val="1"/>
                <w:sz w:val="18"/>
              </w:rPr>
              <w:t>SO</w:t>
            </w:r>
            <w:r>
              <w:rPr>
                <w:rFonts w:ascii="Times New Roman"/>
                <w:position w:val="1"/>
                <w:sz w:val="18"/>
                <w:vertAlign w:val="subscript"/>
              </w:rPr>
              <w:t>2</w:t>
            </w:r>
          </w:p>
        </w:tc>
        <w:tc>
          <w:tcPr>
            <w:tcW w:w="1803" w:type="dxa"/>
          </w:tcPr>
          <w:p>
            <w:pPr>
              <w:pStyle w:val="TableParagraph"/>
              <w:spacing w:line="222" w:lineRule="exact"/>
              <w:ind w:left="27" w:right="17"/>
              <w:rPr>
                <w:rFonts w:ascii="Times New Roman"/>
                <w:sz w:val="21"/>
              </w:rPr>
            </w:pPr>
            <w:r>
              <w:rPr>
                <w:rFonts w:ascii="Times New Roman"/>
                <w:sz w:val="21"/>
              </w:rPr>
              <w:t>0.469</w:t>
            </w:r>
          </w:p>
        </w:tc>
      </w:tr>
      <w:tr>
        <w:trPr>
          <w:trHeight w:val="241" w:hRule="atLeast"/>
        </w:trPr>
        <w:tc>
          <w:tcPr>
            <w:tcW w:w="2284" w:type="dxa"/>
            <w:gridSpan w:val="2"/>
          </w:tcPr>
          <w:p>
            <w:pPr>
              <w:pStyle w:val="TableParagraph"/>
              <w:spacing w:line="217" w:lineRule="exact" w:before="4"/>
              <w:ind w:left="512"/>
              <w:jc w:val="left"/>
              <w:rPr>
                <w:sz w:val="18"/>
              </w:rPr>
            </w:pPr>
            <w:r>
              <w:rPr>
                <w:sz w:val="18"/>
              </w:rPr>
              <w:t>无组织排放总计</w:t>
            </w:r>
          </w:p>
        </w:tc>
        <w:tc>
          <w:tcPr>
            <w:tcW w:w="5257" w:type="dxa"/>
            <w:gridSpan w:val="3"/>
          </w:tcPr>
          <w:p>
            <w:pPr>
              <w:pStyle w:val="TableParagraph"/>
              <w:spacing w:line="217" w:lineRule="exact" w:before="4"/>
              <w:ind w:left="2427" w:right="2419"/>
              <w:rPr>
                <w:sz w:val="18"/>
              </w:rPr>
            </w:pPr>
            <w:r>
              <w:rPr>
                <w:sz w:val="18"/>
              </w:rPr>
              <w:t>烟尘</w:t>
            </w:r>
          </w:p>
        </w:tc>
        <w:tc>
          <w:tcPr>
            <w:tcW w:w="1803" w:type="dxa"/>
          </w:tcPr>
          <w:p>
            <w:pPr>
              <w:pStyle w:val="TableParagraph"/>
              <w:spacing w:line="221" w:lineRule="exact"/>
              <w:ind w:left="27" w:right="17"/>
              <w:rPr>
                <w:rFonts w:ascii="Times New Roman"/>
                <w:sz w:val="21"/>
              </w:rPr>
            </w:pPr>
            <w:r>
              <w:rPr>
                <w:rFonts w:ascii="Times New Roman"/>
                <w:sz w:val="21"/>
              </w:rPr>
              <w:t>0.023</w:t>
            </w:r>
          </w:p>
        </w:tc>
      </w:tr>
    </w:tbl>
    <w:p>
      <w:pPr>
        <w:spacing w:before="144" w:after="29"/>
        <w:ind w:left="3040" w:right="0" w:firstLine="0"/>
        <w:jc w:val="left"/>
        <w:rPr>
          <w:b/>
          <w:sz w:val="24"/>
        </w:rPr>
      </w:pPr>
      <w:r>
        <w:rPr>
          <w:b/>
          <w:sz w:val="24"/>
        </w:rPr>
        <w:t>表 </w:t>
      </w:r>
      <w:r>
        <w:rPr>
          <w:rFonts w:ascii="Times New Roman" w:eastAsia="Times New Roman"/>
          <w:b/>
          <w:sz w:val="24"/>
        </w:rPr>
        <w:t>8.6-2 </w:t>
      </w:r>
      <w:r>
        <w:rPr>
          <w:b/>
          <w:sz w:val="24"/>
        </w:rPr>
        <w:t>大气污染物年排放量核算表</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9"/>
        <w:gridCol w:w="3795"/>
        <w:gridCol w:w="3370"/>
      </w:tblGrid>
      <w:tr>
        <w:trPr>
          <w:trHeight w:val="234" w:hRule="atLeast"/>
        </w:trPr>
        <w:tc>
          <w:tcPr>
            <w:tcW w:w="2179" w:type="dxa"/>
          </w:tcPr>
          <w:p>
            <w:pPr>
              <w:pStyle w:val="TableParagraph"/>
              <w:spacing w:line="212" w:lineRule="exact" w:before="2"/>
              <w:ind w:left="887" w:right="880"/>
              <w:rPr>
                <w:b/>
                <w:sz w:val="18"/>
              </w:rPr>
            </w:pPr>
            <w:r>
              <w:rPr>
                <w:b/>
                <w:sz w:val="18"/>
              </w:rPr>
              <w:t>序号</w:t>
            </w:r>
          </w:p>
        </w:tc>
        <w:tc>
          <w:tcPr>
            <w:tcW w:w="3795" w:type="dxa"/>
          </w:tcPr>
          <w:p>
            <w:pPr>
              <w:pStyle w:val="TableParagraph"/>
              <w:spacing w:line="212" w:lineRule="exact" w:before="2"/>
              <w:ind w:left="1605" w:right="1596"/>
              <w:rPr>
                <w:b/>
                <w:sz w:val="18"/>
              </w:rPr>
            </w:pPr>
            <w:r>
              <w:rPr>
                <w:b/>
                <w:sz w:val="18"/>
              </w:rPr>
              <w:t>污染物</w:t>
            </w:r>
          </w:p>
        </w:tc>
        <w:tc>
          <w:tcPr>
            <w:tcW w:w="3370" w:type="dxa"/>
          </w:tcPr>
          <w:p>
            <w:pPr>
              <w:pStyle w:val="TableParagraph"/>
              <w:spacing w:line="212" w:lineRule="exact" w:before="2"/>
              <w:ind w:left="1024" w:right="1011"/>
              <w:rPr>
                <w:b/>
                <w:sz w:val="18"/>
              </w:rPr>
            </w:pPr>
            <w:r>
              <w:rPr>
                <w:b/>
                <w:sz w:val="18"/>
              </w:rPr>
              <w:t>年排放量（</w:t>
            </w:r>
            <w:r>
              <w:rPr>
                <w:rFonts w:ascii="Times New Roman" w:eastAsia="Times New Roman"/>
                <w:b/>
                <w:sz w:val="18"/>
              </w:rPr>
              <w:t>t/a</w:t>
            </w:r>
            <w:r>
              <w:rPr>
                <w:b/>
                <w:sz w:val="18"/>
              </w:rPr>
              <w:t>）</w:t>
            </w:r>
          </w:p>
        </w:tc>
      </w:tr>
      <w:tr>
        <w:trPr>
          <w:trHeight w:val="232" w:hRule="atLeast"/>
        </w:trPr>
        <w:tc>
          <w:tcPr>
            <w:tcW w:w="2179" w:type="dxa"/>
          </w:tcPr>
          <w:p>
            <w:pPr>
              <w:pStyle w:val="TableParagraph"/>
              <w:spacing w:line="200" w:lineRule="exact" w:before="12"/>
              <w:ind w:left="6"/>
              <w:rPr>
                <w:rFonts w:ascii="Times New Roman"/>
                <w:sz w:val="18"/>
              </w:rPr>
            </w:pPr>
            <w:r>
              <w:rPr>
                <w:rFonts w:ascii="Times New Roman"/>
                <w:sz w:val="18"/>
              </w:rPr>
              <w:t>1</w:t>
            </w:r>
          </w:p>
        </w:tc>
        <w:tc>
          <w:tcPr>
            <w:tcW w:w="3795" w:type="dxa"/>
          </w:tcPr>
          <w:p>
            <w:pPr>
              <w:pStyle w:val="TableParagraph"/>
              <w:spacing w:line="212" w:lineRule="exact"/>
              <w:ind w:left="1605" w:right="1596"/>
              <w:rPr>
                <w:sz w:val="18"/>
              </w:rPr>
            </w:pPr>
            <w:r>
              <w:rPr>
                <w:sz w:val="18"/>
              </w:rPr>
              <w:t>烟尘</w:t>
            </w:r>
          </w:p>
        </w:tc>
        <w:tc>
          <w:tcPr>
            <w:tcW w:w="3370" w:type="dxa"/>
          </w:tcPr>
          <w:p>
            <w:pPr>
              <w:pStyle w:val="TableParagraph"/>
              <w:spacing w:line="200" w:lineRule="exact" w:before="12"/>
              <w:ind w:left="1020" w:right="1011"/>
              <w:rPr>
                <w:rFonts w:ascii="Times New Roman"/>
                <w:sz w:val="18"/>
              </w:rPr>
            </w:pPr>
            <w:r>
              <w:rPr>
                <w:rFonts w:ascii="Times New Roman"/>
                <w:sz w:val="18"/>
              </w:rPr>
              <w:t>0.376</w:t>
            </w:r>
          </w:p>
        </w:tc>
      </w:tr>
      <w:tr>
        <w:trPr>
          <w:trHeight w:val="207" w:hRule="atLeast"/>
        </w:trPr>
        <w:tc>
          <w:tcPr>
            <w:tcW w:w="2179" w:type="dxa"/>
          </w:tcPr>
          <w:p>
            <w:pPr>
              <w:pStyle w:val="TableParagraph"/>
              <w:spacing w:line="187" w:lineRule="exact"/>
              <w:ind w:left="6"/>
              <w:rPr>
                <w:rFonts w:ascii="Times New Roman"/>
                <w:sz w:val="18"/>
              </w:rPr>
            </w:pPr>
            <w:r>
              <w:rPr>
                <w:rFonts w:ascii="Times New Roman"/>
                <w:sz w:val="18"/>
              </w:rPr>
              <w:t>2</w:t>
            </w:r>
          </w:p>
        </w:tc>
        <w:tc>
          <w:tcPr>
            <w:tcW w:w="3795" w:type="dxa"/>
          </w:tcPr>
          <w:p>
            <w:pPr>
              <w:pStyle w:val="TableParagraph"/>
              <w:spacing w:line="183" w:lineRule="exact" w:before="4"/>
              <w:ind w:left="1605" w:right="1596"/>
              <w:rPr>
                <w:rFonts w:ascii="Times New Roman"/>
                <w:sz w:val="18"/>
              </w:rPr>
            </w:pPr>
            <w:r>
              <w:rPr>
                <w:rFonts w:ascii="Times New Roman"/>
                <w:position w:val="1"/>
                <w:sz w:val="18"/>
              </w:rPr>
              <w:t>SO</w:t>
            </w:r>
            <w:r>
              <w:rPr>
                <w:rFonts w:ascii="Times New Roman"/>
                <w:position w:val="1"/>
                <w:sz w:val="18"/>
                <w:vertAlign w:val="subscript"/>
              </w:rPr>
              <w:t>2</w:t>
            </w:r>
          </w:p>
        </w:tc>
        <w:tc>
          <w:tcPr>
            <w:tcW w:w="3370" w:type="dxa"/>
          </w:tcPr>
          <w:p>
            <w:pPr>
              <w:pStyle w:val="TableParagraph"/>
              <w:spacing w:line="187" w:lineRule="exact"/>
              <w:ind w:left="1020" w:right="1011"/>
              <w:rPr>
                <w:rFonts w:ascii="Times New Roman"/>
                <w:sz w:val="18"/>
              </w:rPr>
            </w:pPr>
            <w:r>
              <w:rPr>
                <w:rFonts w:ascii="Times New Roman"/>
                <w:sz w:val="18"/>
              </w:rPr>
              <w:t>0.469</w:t>
            </w:r>
          </w:p>
        </w:tc>
      </w:tr>
      <w:tr>
        <w:trPr>
          <w:trHeight w:val="207" w:hRule="atLeast"/>
        </w:trPr>
        <w:tc>
          <w:tcPr>
            <w:tcW w:w="2179" w:type="dxa"/>
          </w:tcPr>
          <w:p>
            <w:pPr>
              <w:pStyle w:val="TableParagraph"/>
              <w:spacing w:line="187" w:lineRule="exact"/>
              <w:ind w:left="6"/>
              <w:rPr>
                <w:rFonts w:ascii="Times New Roman"/>
                <w:sz w:val="18"/>
              </w:rPr>
            </w:pPr>
            <w:r>
              <w:rPr>
                <w:rFonts w:ascii="Times New Roman"/>
                <w:sz w:val="18"/>
              </w:rPr>
              <w:t>3</w:t>
            </w:r>
          </w:p>
        </w:tc>
        <w:tc>
          <w:tcPr>
            <w:tcW w:w="3795" w:type="dxa"/>
          </w:tcPr>
          <w:p>
            <w:pPr>
              <w:pStyle w:val="TableParagraph"/>
              <w:spacing w:line="187" w:lineRule="exact"/>
              <w:ind w:left="1604" w:right="1596"/>
              <w:rPr>
                <w:rFonts w:ascii="Times New Roman"/>
                <w:sz w:val="18"/>
              </w:rPr>
            </w:pPr>
            <w:r>
              <w:rPr>
                <w:rFonts w:ascii="Times New Roman"/>
                <w:sz w:val="18"/>
              </w:rPr>
              <w:t>NOx</w:t>
            </w:r>
          </w:p>
        </w:tc>
        <w:tc>
          <w:tcPr>
            <w:tcW w:w="3370" w:type="dxa"/>
          </w:tcPr>
          <w:p>
            <w:pPr>
              <w:pStyle w:val="TableParagraph"/>
              <w:spacing w:line="187" w:lineRule="exact"/>
              <w:ind w:left="1020" w:right="1011"/>
              <w:rPr>
                <w:rFonts w:ascii="Times New Roman"/>
                <w:sz w:val="18"/>
              </w:rPr>
            </w:pPr>
            <w:r>
              <w:rPr>
                <w:rFonts w:ascii="Times New Roman"/>
                <w:sz w:val="18"/>
              </w:rPr>
              <w:t>4.09</w:t>
            </w:r>
          </w:p>
        </w:tc>
      </w:tr>
    </w:tbl>
    <w:p>
      <w:pPr>
        <w:spacing w:after="0" w:line="187" w:lineRule="exact"/>
        <w:rPr>
          <w:rFonts w:ascii="Times New Roman"/>
          <w:sz w:val="18"/>
        </w:rPr>
        <w:sectPr>
          <w:pgSz w:w="11910" w:h="16840"/>
          <w:pgMar w:header="0" w:footer="1169" w:top="1540" w:bottom="1360" w:left="1040" w:right="600"/>
        </w:sectPr>
      </w:pPr>
    </w:p>
    <w:p>
      <w:pPr>
        <w:pStyle w:val="Heading1"/>
        <w:numPr>
          <w:ilvl w:val="1"/>
          <w:numId w:val="49"/>
        </w:numPr>
        <w:tabs>
          <w:tab w:pos="3992" w:val="left" w:leader="none"/>
          <w:tab w:pos="3993" w:val="left" w:leader="none"/>
        </w:tabs>
        <w:spacing w:line="240" w:lineRule="auto" w:before="46" w:after="0"/>
        <w:ind w:left="3992" w:right="0" w:hanging="632"/>
        <w:jc w:val="left"/>
      </w:pPr>
      <w:bookmarkStart w:name="9.  声环境影响分析" w:id="550"/>
      <w:bookmarkEnd w:id="550"/>
      <w:r>
        <w:rPr>
          <w:b w:val="0"/>
        </w:rPr>
      </w:r>
      <w:bookmarkStart w:name="_bookmark45" w:id="551"/>
      <w:bookmarkEnd w:id="551"/>
      <w:r>
        <w:rPr>
          <w:b w:val="0"/>
        </w:rPr>
      </w:r>
      <w:bookmarkStart w:name="_bookmark45" w:id="552"/>
      <w:bookmarkEnd w:id="552"/>
      <w:r>
        <w:rPr/>
        <w:t>声环境影响分析</w:t>
      </w:r>
    </w:p>
    <w:p>
      <w:pPr>
        <w:pStyle w:val="ListParagraph"/>
        <w:numPr>
          <w:ilvl w:val="1"/>
          <w:numId w:val="60"/>
        </w:numPr>
        <w:tabs>
          <w:tab w:pos="868" w:val="left" w:leader="none"/>
        </w:tabs>
        <w:spacing w:line="240" w:lineRule="auto" w:before="240" w:after="0"/>
        <w:ind w:left="868" w:right="0" w:hanging="493"/>
        <w:jc w:val="left"/>
        <w:rPr>
          <w:rFonts w:ascii="Times New Roman" w:eastAsia="Times New Roman"/>
          <w:b/>
          <w:sz w:val="28"/>
        </w:rPr>
      </w:pPr>
      <w:bookmarkStart w:name="9.1 声环境评价工作等级及范围" w:id="553"/>
      <w:bookmarkEnd w:id="553"/>
      <w:r>
        <w:rPr/>
      </w:r>
      <w:bookmarkStart w:name="_bookmark46" w:id="554"/>
      <w:bookmarkEnd w:id="554"/>
      <w:r>
        <w:rPr/>
      </w:r>
      <w:bookmarkStart w:name="_bookmark46" w:id="555"/>
      <w:bookmarkEnd w:id="555"/>
      <w:r>
        <w:rPr>
          <w:b/>
          <w:sz w:val="28"/>
        </w:rPr>
        <w:t>声环境评价工作等级及范围</w:t>
      </w:r>
    </w:p>
    <w:p>
      <w:pPr>
        <w:pStyle w:val="BodyText"/>
        <w:spacing w:line="364" w:lineRule="auto" w:before="186"/>
        <w:ind w:left="297" w:right="757" w:firstLine="480"/>
        <w:jc w:val="right"/>
      </w:pPr>
      <w:r>
        <w:rPr/>
        <w:t>按照《环境影响评价技术导则 声环境》（</w:t>
      </w:r>
      <w:r>
        <w:rPr>
          <w:rFonts w:ascii="Times New Roman" w:eastAsia="Times New Roman"/>
        </w:rPr>
        <w:t>HJ2.4-2009</w:t>
      </w:r>
      <w:r>
        <w:rPr/>
        <w:t>），建设项目所处的声环境功能区为 </w:t>
      </w:r>
      <w:r>
        <w:rPr>
          <w:rFonts w:ascii="Times New Roman" w:eastAsia="Times New Roman"/>
        </w:rPr>
        <w:t>GB 3096 </w:t>
      </w:r>
      <w:r>
        <w:rPr/>
        <w:t>规定的 </w:t>
      </w:r>
      <w:r>
        <w:rPr>
          <w:rFonts w:ascii="Times New Roman" w:eastAsia="Times New Roman"/>
        </w:rPr>
        <w:t>1 </w:t>
      </w:r>
      <w:r>
        <w:rPr/>
        <w:t>类、</w:t>
      </w:r>
      <w:r>
        <w:rPr>
          <w:rFonts w:ascii="Times New Roman" w:eastAsia="Times New Roman"/>
        </w:rPr>
        <w:t>2 </w:t>
      </w:r>
      <w:r>
        <w:rPr/>
        <w:t>类地区，或建设项目建设前后评价范围内敏感目标噪声级增高量达 </w:t>
      </w:r>
      <w:r>
        <w:rPr>
          <w:rFonts w:ascii="Times New Roman" w:eastAsia="Times New Roman"/>
        </w:rPr>
        <w:t>3</w:t>
      </w:r>
      <w:r>
        <w:rPr/>
        <w:t>～</w:t>
      </w:r>
      <w:r>
        <w:rPr>
          <w:rFonts w:ascii="Times New Roman" w:eastAsia="Times New Roman"/>
        </w:rPr>
        <w:t>5dB(A)[</w:t>
      </w:r>
      <w:r>
        <w:rPr/>
        <w:t>含 </w:t>
      </w:r>
      <w:r>
        <w:rPr>
          <w:rFonts w:ascii="Times New Roman" w:eastAsia="Times New Roman"/>
        </w:rPr>
        <w:t>5dB(A)]</w:t>
      </w:r>
      <w:r>
        <w:rPr/>
        <w:t>，或受噪声影响人口数量增加较多时，按二级评价。本项目矿区位于 </w:t>
      </w:r>
      <w:r>
        <w:rPr>
          <w:rFonts w:ascii="Times New Roman" w:eastAsia="Times New Roman"/>
        </w:rPr>
        <w:t>2 </w:t>
      </w:r>
      <w:r>
        <w:rPr/>
        <w:t>类声环境功能区，项目矿区评价范围内无环境敏感目标，受影响</w:t>
      </w:r>
    </w:p>
    <w:p>
      <w:pPr>
        <w:pStyle w:val="BodyText"/>
        <w:spacing w:line="305" w:lineRule="exact"/>
        <w:ind w:left="375"/>
      </w:pPr>
      <w:r>
        <w:rPr/>
        <w:t>人口数量无变化，故确定本项目矿区声环境评价等级为二级。</w:t>
      </w:r>
    </w:p>
    <w:p>
      <w:pPr>
        <w:pStyle w:val="BodyText"/>
        <w:spacing w:line="364" w:lineRule="auto" w:before="158"/>
        <w:ind w:left="375" w:right="702" w:firstLine="480"/>
      </w:pPr>
      <w:r>
        <w:rPr/>
        <w:t>评价工作范围：依据《环境影响评价技术导则 声环境》（</w:t>
      </w:r>
      <w:r>
        <w:rPr>
          <w:rFonts w:ascii="Times New Roman" w:eastAsia="Times New Roman"/>
        </w:rPr>
        <w:t>HJ2.4-2009</w:t>
      </w:r>
      <w:r>
        <w:rPr/>
        <w:t>），三级评价厂界外 </w:t>
      </w:r>
      <w:r>
        <w:rPr>
          <w:rFonts w:ascii="Times New Roman" w:eastAsia="Times New Roman"/>
        </w:rPr>
        <w:t>200m </w:t>
      </w:r>
      <w:r>
        <w:rPr/>
        <w:t>范围。</w:t>
      </w:r>
    </w:p>
    <w:p>
      <w:pPr>
        <w:pStyle w:val="ListParagraph"/>
        <w:numPr>
          <w:ilvl w:val="1"/>
          <w:numId w:val="60"/>
        </w:numPr>
        <w:tabs>
          <w:tab w:pos="868" w:val="left" w:leader="none"/>
        </w:tabs>
        <w:spacing w:line="358" w:lineRule="exact" w:before="0" w:after="0"/>
        <w:ind w:left="868" w:right="0" w:hanging="493"/>
        <w:jc w:val="left"/>
        <w:rPr>
          <w:rFonts w:ascii="Times New Roman" w:eastAsia="Times New Roman"/>
          <w:b/>
          <w:sz w:val="28"/>
        </w:rPr>
      </w:pPr>
      <w:bookmarkStart w:name="9.2 声环境现状监测与评价" w:id="556"/>
      <w:bookmarkEnd w:id="556"/>
      <w:r>
        <w:rPr/>
      </w:r>
      <w:bookmarkStart w:name="_bookmark47" w:id="557"/>
      <w:bookmarkEnd w:id="557"/>
      <w:r>
        <w:rPr/>
      </w:r>
      <w:bookmarkStart w:name="_bookmark47" w:id="558"/>
      <w:bookmarkEnd w:id="558"/>
      <w:r>
        <w:rPr>
          <w:b/>
          <w:sz w:val="28"/>
        </w:rPr>
        <w:t>声环境现状监测与评价</w:t>
      </w:r>
    </w:p>
    <w:p>
      <w:pPr>
        <w:pStyle w:val="ListParagraph"/>
        <w:numPr>
          <w:ilvl w:val="2"/>
          <w:numId w:val="60"/>
        </w:numPr>
        <w:tabs>
          <w:tab w:pos="1077" w:val="left" w:leader="none"/>
        </w:tabs>
        <w:spacing w:line="240" w:lineRule="auto" w:before="186" w:after="0"/>
        <w:ind w:left="1076" w:right="0" w:hanging="702"/>
        <w:jc w:val="left"/>
        <w:rPr>
          <w:b/>
          <w:sz w:val="28"/>
        </w:rPr>
      </w:pPr>
      <w:bookmarkStart w:name="9.2.1 声环境现状调查" w:id="559"/>
      <w:bookmarkEnd w:id="559"/>
      <w:r>
        <w:rPr/>
      </w:r>
      <w:bookmarkStart w:name="9.2.1 声环境现状调查" w:id="560"/>
      <w:bookmarkEnd w:id="560"/>
      <w:r>
        <w:rPr>
          <w:b/>
          <w:sz w:val="28"/>
        </w:rPr>
        <w:t>声环境现状调查</w:t>
      </w:r>
    </w:p>
    <w:p>
      <w:pPr>
        <w:pStyle w:val="Heading4"/>
        <w:numPr>
          <w:ilvl w:val="3"/>
          <w:numId w:val="60"/>
        </w:numPr>
        <w:tabs>
          <w:tab w:pos="1096" w:val="left" w:leader="none"/>
        </w:tabs>
        <w:spacing w:line="240" w:lineRule="auto" w:before="185" w:after="0"/>
        <w:ind w:left="1096" w:right="0" w:hanging="721"/>
        <w:jc w:val="left"/>
      </w:pPr>
      <w:r>
        <w:rPr/>
        <w:t>拟建工业场地周围声环境概况</w:t>
      </w:r>
    </w:p>
    <w:p>
      <w:pPr>
        <w:pStyle w:val="BodyText"/>
        <w:spacing w:line="362" w:lineRule="auto" w:before="160"/>
        <w:ind w:left="375" w:right="758" w:firstLine="480"/>
      </w:pPr>
      <w:r>
        <w:rPr/>
        <w:t>工业广场厂界外 </w:t>
      </w:r>
      <w:r>
        <w:rPr>
          <w:rFonts w:ascii="Times New Roman" w:eastAsia="Times New Roman"/>
        </w:rPr>
        <w:t>200m </w:t>
      </w:r>
      <w:r>
        <w:rPr/>
        <w:t>范围内，目前尚无工业企业及村屯分布，主要是次生林地， 声学环境状况良好。</w:t>
      </w:r>
    </w:p>
    <w:p>
      <w:pPr>
        <w:pStyle w:val="BodyText"/>
        <w:spacing w:before="5"/>
        <w:ind w:left="856"/>
      </w:pPr>
      <w:r>
        <w:rPr/>
        <w:t>本评价区执行《声环境质量标准》（</w:t>
      </w:r>
      <w:r>
        <w:rPr>
          <w:rFonts w:ascii="Times New Roman" w:eastAsia="Times New Roman"/>
        </w:rPr>
        <w:t>GB3096-2008</w:t>
      </w:r>
      <w:r>
        <w:rPr/>
        <w:t>）中规定的 </w:t>
      </w:r>
      <w:r>
        <w:rPr>
          <w:rFonts w:ascii="Times New Roman" w:eastAsia="Times New Roman"/>
        </w:rPr>
        <w:t>2 </w:t>
      </w:r>
      <w:r>
        <w:rPr/>
        <w:t>类地区标准。厂界</w:t>
      </w:r>
    </w:p>
    <w:p>
      <w:pPr>
        <w:pStyle w:val="BodyText"/>
        <w:spacing w:line="364" w:lineRule="auto" w:before="158"/>
        <w:ind w:left="375" w:right="637"/>
      </w:pPr>
      <w:r>
        <w:rPr>
          <w:spacing w:val="-10"/>
        </w:rPr>
        <w:t>噪声现状评价执行《工业企业厂界环境噪声排放标准》</w:t>
      </w:r>
      <w:r>
        <w:rPr>
          <w:spacing w:val="-4"/>
        </w:rPr>
        <w:t>（</w:t>
      </w:r>
      <w:r>
        <w:rPr>
          <w:rFonts w:ascii="Times New Roman" w:eastAsia="Times New Roman"/>
          <w:spacing w:val="-4"/>
        </w:rPr>
        <w:t>GB12348-2008</w:t>
      </w:r>
      <w:r>
        <w:rPr>
          <w:spacing w:val="-4"/>
        </w:rPr>
        <w:t>）</w:t>
      </w:r>
      <w:r>
        <w:rPr>
          <w:spacing w:val="-18"/>
        </w:rPr>
        <w:t>中的 </w:t>
      </w:r>
      <w:r>
        <w:rPr>
          <w:rFonts w:ascii="Times New Roman" w:eastAsia="Times New Roman"/>
        </w:rPr>
        <w:t>2 </w:t>
      </w:r>
      <w:r>
        <w:rPr>
          <w:spacing w:val="-4"/>
        </w:rPr>
        <w:t>类标准， </w:t>
      </w:r>
      <w:r>
        <w:rPr>
          <w:spacing w:val="-16"/>
        </w:rPr>
        <w:t>即昼间 </w:t>
      </w:r>
      <w:r>
        <w:rPr>
          <w:rFonts w:ascii="Times New Roman" w:eastAsia="Times New Roman"/>
        </w:rPr>
        <w:t>60dB</w:t>
      </w:r>
      <w:r>
        <w:rPr/>
        <w:t>（</w:t>
      </w:r>
      <w:r>
        <w:rPr>
          <w:rFonts w:ascii="Times New Roman" w:eastAsia="Times New Roman"/>
        </w:rPr>
        <w:t>A</w:t>
      </w:r>
      <w:r>
        <w:rPr/>
        <w:t>），</w:t>
      </w:r>
      <w:r>
        <w:rPr>
          <w:spacing w:val="-20"/>
        </w:rPr>
        <w:t>夜间 </w:t>
      </w:r>
      <w:r>
        <w:rPr>
          <w:rFonts w:ascii="Times New Roman" w:eastAsia="Times New Roman"/>
        </w:rPr>
        <w:t>50dB</w:t>
      </w:r>
      <w:r>
        <w:rPr/>
        <w:t>（</w:t>
      </w:r>
      <w:r>
        <w:rPr>
          <w:rFonts w:ascii="Times New Roman" w:eastAsia="Times New Roman"/>
        </w:rPr>
        <w:t>A</w:t>
      </w:r>
      <w:r>
        <w:rPr/>
        <w:t>）。</w:t>
      </w:r>
    </w:p>
    <w:p>
      <w:pPr>
        <w:pStyle w:val="Heading4"/>
        <w:numPr>
          <w:ilvl w:val="3"/>
          <w:numId w:val="60"/>
        </w:numPr>
        <w:tabs>
          <w:tab w:pos="1096" w:val="left" w:leader="none"/>
        </w:tabs>
        <w:spacing w:line="306" w:lineRule="exact" w:before="0" w:after="0"/>
        <w:ind w:left="1096" w:right="0" w:hanging="721"/>
        <w:jc w:val="left"/>
      </w:pPr>
      <w:r>
        <w:rPr/>
        <w:t>声环境现状监测点及测量方法</w:t>
      </w:r>
    </w:p>
    <w:p>
      <w:pPr>
        <w:pStyle w:val="BodyText"/>
        <w:spacing w:before="161"/>
        <w:ind w:left="856"/>
      </w:pPr>
      <w:r>
        <w:rPr/>
        <w:t>本项目委托黑龙江康和检测有限公司于 </w:t>
      </w:r>
      <w:r>
        <w:rPr>
          <w:rFonts w:ascii="Times New Roman" w:eastAsia="Times New Roman"/>
        </w:rPr>
        <w:t>2020 </w:t>
      </w:r>
      <w:r>
        <w:rPr/>
        <w:t>年 </w:t>
      </w:r>
      <w:r>
        <w:rPr>
          <w:rFonts w:ascii="Times New Roman" w:eastAsia="Times New Roman"/>
        </w:rPr>
        <w:t>06 </w:t>
      </w:r>
      <w:r>
        <w:rPr/>
        <w:t>月 </w:t>
      </w:r>
      <w:r>
        <w:rPr>
          <w:rFonts w:ascii="Times New Roman" w:eastAsia="Times New Roman"/>
        </w:rPr>
        <w:t>12 </w:t>
      </w:r>
      <w:r>
        <w:rPr/>
        <w:t>日，</w:t>
      </w:r>
      <w:r>
        <w:rPr>
          <w:rFonts w:ascii="Times New Roman" w:eastAsia="Times New Roman"/>
        </w:rPr>
        <w:t>6 </w:t>
      </w:r>
      <w:r>
        <w:rPr/>
        <w:t>月 </w:t>
      </w:r>
      <w:r>
        <w:rPr>
          <w:rFonts w:ascii="Times New Roman" w:eastAsia="Times New Roman"/>
        </w:rPr>
        <w:t>13 </w:t>
      </w:r>
      <w:r>
        <w:rPr/>
        <w:t>日对本项目工</w:t>
      </w:r>
    </w:p>
    <w:p>
      <w:pPr>
        <w:pStyle w:val="BodyText"/>
        <w:spacing w:line="364" w:lineRule="auto" w:before="158"/>
        <w:ind w:left="375" w:right="637"/>
      </w:pPr>
      <w:r>
        <w:rPr>
          <w:spacing w:val="-3"/>
        </w:rPr>
        <w:t>业广场进行噪声监测，在工业广场厂界布设 </w:t>
      </w:r>
      <w:r>
        <w:rPr>
          <w:rFonts w:ascii="Times New Roman" w:eastAsia="Times New Roman"/>
        </w:rPr>
        <w:t>4</w:t>
      </w:r>
      <w:r>
        <w:rPr>
          <w:rFonts w:ascii="Times New Roman" w:eastAsia="Times New Roman"/>
          <w:spacing w:val="1"/>
        </w:rPr>
        <w:t> </w:t>
      </w:r>
      <w:r>
        <w:rPr>
          <w:spacing w:val="-6"/>
        </w:rPr>
        <w:t>个监测点，连续监测 </w:t>
      </w:r>
      <w:r>
        <w:rPr>
          <w:rFonts w:ascii="Times New Roman" w:eastAsia="Times New Roman"/>
        </w:rPr>
        <w:t>2</w:t>
      </w:r>
      <w:r>
        <w:rPr>
          <w:rFonts w:ascii="Times New Roman" w:eastAsia="Times New Roman"/>
          <w:spacing w:val="2"/>
        </w:rPr>
        <w:t> </w:t>
      </w:r>
      <w:r>
        <w:rPr/>
        <w:t>天，采用多功能声</w:t>
      </w:r>
      <w:r>
        <w:rPr>
          <w:spacing w:val="-22"/>
        </w:rPr>
        <w:t>级计，分昼、夜两个时段进行监测，按《工业企业厂界环境噪声排放标准</w:t>
      </w:r>
      <w:r>
        <w:rPr>
          <w:spacing w:val="-214"/>
        </w:rPr>
        <w:t>》</w:t>
      </w:r>
      <w:r>
        <w:rPr>
          <w:spacing w:val="-3"/>
        </w:rPr>
        <w:t>（</w:t>
      </w:r>
      <w:r>
        <w:rPr>
          <w:rFonts w:ascii="Times New Roman" w:eastAsia="Times New Roman"/>
          <w:spacing w:val="-3"/>
        </w:rPr>
        <w:t>GB12348-2008</w:t>
      </w:r>
      <w:r>
        <w:rPr>
          <w:spacing w:val="-3"/>
        </w:rPr>
        <w:t>） </w:t>
      </w:r>
      <w:r>
        <w:rPr/>
        <w:t>进行。</w:t>
      </w:r>
    </w:p>
    <w:p>
      <w:pPr>
        <w:pStyle w:val="BodyText"/>
        <w:spacing w:line="307" w:lineRule="exact"/>
        <w:ind w:left="856"/>
      </w:pPr>
      <w:r>
        <w:rPr/>
        <w:t>现状监测结果见表 </w:t>
      </w:r>
      <w:r>
        <w:rPr>
          <w:rFonts w:ascii="Times New Roman" w:eastAsia="Times New Roman"/>
        </w:rPr>
        <w:t>9.2-1</w:t>
      </w:r>
      <w:r>
        <w:rPr/>
        <w:t>。</w:t>
      </w:r>
    </w:p>
    <w:p>
      <w:pPr>
        <w:pStyle w:val="Heading4"/>
        <w:tabs>
          <w:tab w:pos="1281" w:val="left" w:leader="none"/>
          <w:tab w:pos="4533" w:val="left" w:leader="none"/>
        </w:tabs>
        <w:spacing w:before="161"/>
        <w:ind w:right="368"/>
        <w:jc w:val="center"/>
        <w:rPr>
          <w:rFonts w:ascii="黑体" w:eastAsia="黑体" w:hint="eastAsia"/>
        </w:rPr>
      </w:pPr>
      <w:r>
        <w:rPr/>
        <w:t>表</w:t>
      </w:r>
      <w:r>
        <w:rPr>
          <w:spacing w:val="-62"/>
        </w:rPr>
        <w:t> </w:t>
      </w:r>
      <w:r>
        <w:rPr>
          <w:rFonts w:ascii="Times New Roman" w:eastAsia="Times New Roman"/>
        </w:rPr>
        <w:t>9.2-1</w:t>
        <w:tab/>
      </w:r>
      <w:r>
        <w:rPr/>
        <w:t>厂址周围环境噪声监测结果</w:t>
        <w:tab/>
        <w:t>单位：</w:t>
      </w:r>
      <w:r>
        <w:rPr>
          <w:rFonts w:ascii="Times New Roman" w:eastAsia="Times New Roman"/>
        </w:rPr>
        <w:t>dB</w:t>
      </w:r>
      <w:r>
        <w:rPr>
          <w:rFonts w:ascii="黑体" w:eastAsia="黑体" w:hint="eastAsia"/>
        </w:rPr>
        <w:t>（</w:t>
      </w:r>
      <w:r>
        <w:rPr>
          <w:rFonts w:ascii="Times New Roman" w:eastAsia="Times New Roman"/>
        </w:rPr>
        <w:t>A</w:t>
      </w:r>
      <w:r>
        <w:rPr>
          <w:rFonts w:ascii="黑体" w:eastAsia="黑体" w:hint="eastAsia"/>
        </w:rPr>
        <w:t>）</w:t>
      </w:r>
    </w:p>
    <w:p>
      <w:pPr>
        <w:pStyle w:val="BodyText"/>
        <w:spacing w:before="2"/>
        <w:rPr>
          <w:rFonts w:ascii="黑体"/>
          <w:b/>
          <w:sz w:val="12"/>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5"/>
        <w:gridCol w:w="1392"/>
        <w:gridCol w:w="1392"/>
        <w:gridCol w:w="1393"/>
        <w:gridCol w:w="1392"/>
      </w:tblGrid>
      <w:tr>
        <w:trPr>
          <w:trHeight w:val="271" w:hRule="atLeast"/>
        </w:trPr>
        <w:tc>
          <w:tcPr>
            <w:tcW w:w="3775" w:type="dxa"/>
            <w:vMerge w:val="restart"/>
          </w:tcPr>
          <w:p>
            <w:pPr>
              <w:pStyle w:val="TableParagraph"/>
              <w:spacing w:before="139"/>
              <w:ind w:left="891" w:right="884"/>
              <w:rPr>
                <w:sz w:val="21"/>
              </w:rPr>
            </w:pPr>
            <w:r>
              <w:rPr>
                <w:sz w:val="21"/>
              </w:rPr>
              <w:t>监测位置</w:t>
            </w:r>
          </w:p>
        </w:tc>
        <w:tc>
          <w:tcPr>
            <w:tcW w:w="2784" w:type="dxa"/>
            <w:gridSpan w:val="2"/>
          </w:tcPr>
          <w:p>
            <w:pPr>
              <w:pStyle w:val="TableParagraph"/>
              <w:spacing w:line="252" w:lineRule="exact"/>
              <w:ind w:left="526"/>
              <w:jc w:val="left"/>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12 </w:t>
            </w:r>
            <w:r>
              <w:rPr>
                <w:sz w:val="21"/>
              </w:rPr>
              <w:t>日</w:t>
            </w:r>
          </w:p>
        </w:tc>
        <w:tc>
          <w:tcPr>
            <w:tcW w:w="2785" w:type="dxa"/>
            <w:gridSpan w:val="2"/>
          </w:tcPr>
          <w:p>
            <w:pPr>
              <w:pStyle w:val="TableParagraph"/>
              <w:spacing w:line="252" w:lineRule="exact"/>
              <w:ind w:left="526"/>
              <w:jc w:val="left"/>
              <w:rPr>
                <w:sz w:val="21"/>
              </w:rPr>
            </w:pPr>
            <w:r>
              <w:rPr>
                <w:rFonts w:ascii="Times New Roman" w:eastAsia="Times New Roman"/>
                <w:sz w:val="21"/>
              </w:rPr>
              <w:t>2020 </w:t>
            </w:r>
            <w:r>
              <w:rPr>
                <w:sz w:val="21"/>
              </w:rPr>
              <w:t>年 </w:t>
            </w:r>
            <w:r>
              <w:rPr>
                <w:rFonts w:ascii="Times New Roman" w:eastAsia="Times New Roman"/>
                <w:sz w:val="21"/>
              </w:rPr>
              <w:t>06 </w:t>
            </w:r>
            <w:r>
              <w:rPr>
                <w:sz w:val="21"/>
              </w:rPr>
              <w:t>月 </w:t>
            </w:r>
            <w:r>
              <w:rPr>
                <w:rFonts w:ascii="Times New Roman" w:eastAsia="Times New Roman"/>
                <w:sz w:val="21"/>
              </w:rPr>
              <w:t>13 </w:t>
            </w:r>
            <w:r>
              <w:rPr>
                <w:sz w:val="21"/>
              </w:rPr>
              <w:t>日</w:t>
            </w:r>
          </w:p>
        </w:tc>
      </w:tr>
      <w:tr>
        <w:trPr>
          <w:trHeight w:val="273" w:hRule="atLeast"/>
        </w:trPr>
        <w:tc>
          <w:tcPr>
            <w:tcW w:w="3775" w:type="dxa"/>
            <w:vMerge/>
            <w:tcBorders>
              <w:top w:val="nil"/>
            </w:tcBorders>
          </w:tcPr>
          <w:p>
            <w:pPr>
              <w:rPr>
                <w:sz w:val="2"/>
                <w:szCs w:val="2"/>
              </w:rPr>
            </w:pPr>
          </w:p>
        </w:tc>
        <w:tc>
          <w:tcPr>
            <w:tcW w:w="1392" w:type="dxa"/>
          </w:tcPr>
          <w:p>
            <w:pPr>
              <w:pStyle w:val="TableParagraph"/>
              <w:spacing w:line="252" w:lineRule="exact" w:before="1"/>
              <w:ind w:left="253" w:right="245"/>
              <w:rPr>
                <w:sz w:val="21"/>
              </w:rPr>
            </w:pPr>
            <w:r>
              <w:rPr>
                <w:sz w:val="21"/>
              </w:rPr>
              <w:t>昼间</w:t>
            </w:r>
          </w:p>
        </w:tc>
        <w:tc>
          <w:tcPr>
            <w:tcW w:w="1392" w:type="dxa"/>
          </w:tcPr>
          <w:p>
            <w:pPr>
              <w:pStyle w:val="TableParagraph"/>
              <w:spacing w:line="252" w:lineRule="exact" w:before="1"/>
              <w:ind w:left="253" w:right="245"/>
              <w:rPr>
                <w:sz w:val="21"/>
              </w:rPr>
            </w:pPr>
            <w:r>
              <w:rPr>
                <w:sz w:val="21"/>
              </w:rPr>
              <w:t>夜间</w:t>
            </w:r>
          </w:p>
        </w:tc>
        <w:tc>
          <w:tcPr>
            <w:tcW w:w="1393" w:type="dxa"/>
          </w:tcPr>
          <w:p>
            <w:pPr>
              <w:pStyle w:val="TableParagraph"/>
              <w:spacing w:line="252" w:lineRule="exact" w:before="1"/>
              <w:ind w:left="486"/>
              <w:jc w:val="left"/>
              <w:rPr>
                <w:sz w:val="21"/>
              </w:rPr>
            </w:pPr>
            <w:r>
              <w:rPr>
                <w:sz w:val="21"/>
              </w:rPr>
              <w:t>昼间</w:t>
            </w:r>
          </w:p>
        </w:tc>
        <w:tc>
          <w:tcPr>
            <w:tcW w:w="1392" w:type="dxa"/>
          </w:tcPr>
          <w:p>
            <w:pPr>
              <w:pStyle w:val="TableParagraph"/>
              <w:spacing w:line="252" w:lineRule="exact" w:before="1"/>
              <w:ind w:left="253" w:right="247"/>
              <w:rPr>
                <w:sz w:val="21"/>
              </w:rPr>
            </w:pPr>
            <w:r>
              <w:rPr>
                <w:sz w:val="21"/>
              </w:rPr>
              <w:t>夜间</w:t>
            </w:r>
          </w:p>
        </w:tc>
      </w:tr>
      <w:tr>
        <w:trPr>
          <w:trHeight w:val="271" w:hRule="atLeast"/>
        </w:trPr>
        <w:tc>
          <w:tcPr>
            <w:tcW w:w="3775" w:type="dxa"/>
          </w:tcPr>
          <w:p>
            <w:pPr>
              <w:pStyle w:val="TableParagraph"/>
              <w:spacing w:line="252" w:lineRule="exact"/>
              <w:ind w:left="892" w:right="884"/>
              <w:rPr>
                <w:sz w:val="21"/>
              </w:rPr>
            </w:pPr>
            <w:r>
              <w:rPr>
                <w:sz w:val="21"/>
              </w:rPr>
              <w:t>工业广场东测外</w:t>
            </w:r>
            <w:r>
              <w:rPr>
                <w:rFonts w:ascii="Times New Roman" w:eastAsia="Times New Roman"/>
                <w:sz w:val="21"/>
              </w:rPr>
              <w:t>1m</w:t>
            </w:r>
            <w:r>
              <w:rPr>
                <w:sz w:val="21"/>
              </w:rPr>
              <w:t>处</w:t>
            </w:r>
          </w:p>
        </w:tc>
        <w:tc>
          <w:tcPr>
            <w:tcW w:w="1392" w:type="dxa"/>
          </w:tcPr>
          <w:p>
            <w:pPr>
              <w:pStyle w:val="TableParagraph"/>
              <w:spacing w:line="239" w:lineRule="exact" w:before="13"/>
              <w:ind w:left="253" w:right="242"/>
              <w:rPr>
                <w:rFonts w:ascii="Times New Roman"/>
                <w:sz w:val="21"/>
              </w:rPr>
            </w:pPr>
            <w:r>
              <w:rPr>
                <w:rFonts w:ascii="Times New Roman"/>
                <w:sz w:val="21"/>
              </w:rPr>
              <w:t>50.3</w:t>
            </w:r>
          </w:p>
        </w:tc>
        <w:tc>
          <w:tcPr>
            <w:tcW w:w="1392" w:type="dxa"/>
          </w:tcPr>
          <w:p>
            <w:pPr>
              <w:pStyle w:val="TableParagraph"/>
              <w:spacing w:line="239" w:lineRule="exact" w:before="13"/>
              <w:ind w:left="253" w:right="242"/>
              <w:rPr>
                <w:rFonts w:ascii="Times New Roman"/>
                <w:sz w:val="21"/>
              </w:rPr>
            </w:pPr>
            <w:r>
              <w:rPr>
                <w:rFonts w:ascii="Times New Roman"/>
                <w:sz w:val="21"/>
              </w:rPr>
              <w:t>46.5</w:t>
            </w:r>
          </w:p>
        </w:tc>
        <w:tc>
          <w:tcPr>
            <w:tcW w:w="1393" w:type="dxa"/>
          </w:tcPr>
          <w:p>
            <w:pPr>
              <w:pStyle w:val="TableParagraph"/>
              <w:spacing w:line="239" w:lineRule="exact" w:before="13"/>
              <w:ind w:left="512"/>
              <w:jc w:val="left"/>
              <w:rPr>
                <w:rFonts w:ascii="Times New Roman"/>
                <w:sz w:val="21"/>
              </w:rPr>
            </w:pPr>
            <w:r>
              <w:rPr>
                <w:rFonts w:ascii="Times New Roman"/>
                <w:sz w:val="21"/>
              </w:rPr>
              <w:t>51.1</w:t>
            </w:r>
          </w:p>
        </w:tc>
        <w:tc>
          <w:tcPr>
            <w:tcW w:w="1392" w:type="dxa"/>
          </w:tcPr>
          <w:p>
            <w:pPr>
              <w:pStyle w:val="TableParagraph"/>
              <w:spacing w:line="239" w:lineRule="exact" w:before="13"/>
              <w:ind w:left="253" w:right="244"/>
              <w:rPr>
                <w:rFonts w:ascii="Times New Roman"/>
                <w:sz w:val="21"/>
              </w:rPr>
            </w:pPr>
            <w:r>
              <w:rPr>
                <w:rFonts w:ascii="Times New Roman"/>
                <w:sz w:val="21"/>
              </w:rPr>
              <w:t>46.3</w:t>
            </w:r>
          </w:p>
        </w:tc>
      </w:tr>
      <w:tr>
        <w:trPr>
          <w:trHeight w:val="272" w:hRule="atLeast"/>
        </w:trPr>
        <w:tc>
          <w:tcPr>
            <w:tcW w:w="3775" w:type="dxa"/>
          </w:tcPr>
          <w:p>
            <w:pPr>
              <w:pStyle w:val="TableParagraph"/>
              <w:spacing w:line="252" w:lineRule="exact"/>
              <w:ind w:left="892" w:right="884"/>
              <w:rPr>
                <w:sz w:val="21"/>
              </w:rPr>
            </w:pPr>
            <w:r>
              <w:rPr>
                <w:sz w:val="21"/>
              </w:rPr>
              <w:t>工业广场南侧外</w:t>
            </w:r>
            <w:r>
              <w:rPr>
                <w:rFonts w:ascii="Times New Roman" w:eastAsia="Times New Roman"/>
                <w:sz w:val="21"/>
              </w:rPr>
              <w:t>1m</w:t>
            </w:r>
            <w:r>
              <w:rPr>
                <w:sz w:val="21"/>
              </w:rPr>
              <w:t>处</w:t>
            </w:r>
          </w:p>
        </w:tc>
        <w:tc>
          <w:tcPr>
            <w:tcW w:w="1392" w:type="dxa"/>
          </w:tcPr>
          <w:p>
            <w:pPr>
              <w:pStyle w:val="TableParagraph"/>
              <w:spacing w:line="238" w:lineRule="exact" w:before="14"/>
              <w:ind w:left="253" w:right="242"/>
              <w:rPr>
                <w:rFonts w:ascii="Times New Roman"/>
                <w:sz w:val="21"/>
              </w:rPr>
            </w:pPr>
            <w:r>
              <w:rPr>
                <w:rFonts w:ascii="Times New Roman"/>
                <w:sz w:val="21"/>
              </w:rPr>
              <w:t>50.2</w:t>
            </w:r>
          </w:p>
        </w:tc>
        <w:tc>
          <w:tcPr>
            <w:tcW w:w="1392" w:type="dxa"/>
          </w:tcPr>
          <w:p>
            <w:pPr>
              <w:pStyle w:val="TableParagraph"/>
              <w:spacing w:line="238" w:lineRule="exact" w:before="14"/>
              <w:ind w:left="253" w:right="242"/>
              <w:rPr>
                <w:rFonts w:ascii="Times New Roman"/>
                <w:sz w:val="21"/>
              </w:rPr>
            </w:pPr>
            <w:r>
              <w:rPr>
                <w:rFonts w:ascii="Times New Roman"/>
                <w:sz w:val="21"/>
              </w:rPr>
              <w:t>46.3</w:t>
            </w:r>
          </w:p>
        </w:tc>
        <w:tc>
          <w:tcPr>
            <w:tcW w:w="1393" w:type="dxa"/>
          </w:tcPr>
          <w:p>
            <w:pPr>
              <w:pStyle w:val="TableParagraph"/>
              <w:spacing w:line="238" w:lineRule="exact" w:before="14"/>
              <w:ind w:left="512"/>
              <w:jc w:val="left"/>
              <w:rPr>
                <w:rFonts w:ascii="Times New Roman"/>
                <w:sz w:val="21"/>
              </w:rPr>
            </w:pPr>
            <w:r>
              <w:rPr>
                <w:rFonts w:ascii="Times New Roman"/>
                <w:sz w:val="21"/>
              </w:rPr>
              <w:t>51.6</w:t>
            </w:r>
          </w:p>
        </w:tc>
        <w:tc>
          <w:tcPr>
            <w:tcW w:w="1392" w:type="dxa"/>
          </w:tcPr>
          <w:p>
            <w:pPr>
              <w:pStyle w:val="TableParagraph"/>
              <w:spacing w:line="238" w:lineRule="exact" w:before="14"/>
              <w:ind w:left="253" w:right="244"/>
              <w:rPr>
                <w:rFonts w:ascii="Times New Roman"/>
                <w:sz w:val="21"/>
              </w:rPr>
            </w:pPr>
            <w:r>
              <w:rPr>
                <w:rFonts w:ascii="Times New Roman"/>
                <w:sz w:val="21"/>
              </w:rPr>
              <w:t>46.8</w:t>
            </w:r>
          </w:p>
        </w:tc>
      </w:tr>
      <w:tr>
        <w:trPr>
          <w:trHeight w:val="272" w:hRule="atLeast"/>
        </w:trPr>
        <w:tc>
          <w:tcPr>
            <w:tcW w:w="3775" w:type="dxa"/>
          </w:tcPr>
          <w:p>
            <w:pPr>
              <w:pStyle w:val="TableParagraph"/>
              <w:spacing w:line="252" w:lineRule="exact" w:before="1"/>
              <w:ind w:left="892" w:right="884"/>
              <w:rPr>
                <w:sz w:val="21"/>
              </w:rPr>
            </w:pPr>
            <w:r>
              <w:rPr>
                <w:sz w:val="21"/>
              </w:rPr>
              <w:t>工业广场西侧外</w:t>
            </w:r>
            <w:r>
              <w:rPr>
                <w:rFonts w:ascii="Times New Roman" w:eastAsia="Times New Roman"/>
                <w:sz w:val="21"/>
              </w:rPr>
              <w:t>1m</w:t>
            </w:r>
            <w:r>
              <w:rPr>
                <w:sz w:val="21"/>
              </w:rPr>
              <w:t>处</w:t>
            </w:r>
          </w:p>
        </w:tc>
        <w:tc>
          <w:tcPr>
            <w:tcW w:w="1392" w:type="dxa"/>
          </w:tcPr>
          <w:p>
            <w:pPr>
              <w:pStyle w:val="TableParagraph"/>
              <w:spacing w:line="238" w:lineRule="exact" w:before="15"/>
              <w:ind w:left="253" w:right="242"/>
              <w:rPr>
                <w:rFonts w:ascii="Times New Roman"/>
                <w:sz w:val="21"/>
              </w:rPr>
            </w:pPr>
            <w:r>
              <w:rPr>
                <w:rFonts w:ascii="Times New Roman"/>
                <w:sz w:val="21"/>
              </w:rPr>
              <w:t>51.5</w:t>
            </w:r>
          </w:p>
        </w:tc>
        <w:tc>
          <w:tcPr>
            <w:tcW w:w="1392" w:type="dxa"/>
          </w:tcPr>
          <w:p>
            <w:pPr>
              <w:pStyle w:val="TableParagraph"/>
              <w:spacing w:line="238" w:lineRule="exact" w:before="15"/>
              <w:ind w:left="253" w:right="242"/>
              <w:rPr>
                <w:rFonts w:ascii="Times New Roman"/>
                <w:sz w:val="21"/>
              </w:rPr>
            </w:pPr>
            <w:r>
              <w:rPr>
                <w:rFonts w:ascii="Times New Roman"/>
                <w:sz w:val="21"/>
              </w:rPr>
              <w:t>45.8</w:t>
            </w:r>
          </w:p>
        </w:tc>
        <w:tc>
          <w:tcPr>
            <w:tcW w:w="1393" w:type="dxa"/>
          </w:tcPr>
          <w:p>
            <w:pPr>
              <w:pStyle w:val="TableParagraph"/>
              <w:spacing w:line="238" w:lineRule="exact" w:before="15"/>
              <w:ind w:left="512"/>
              <w:jc w:val="left"/>
              <w:rPr>
                <w:rFonts w:ascii="Times New Roman"/>
                <w:sz w:val="21"/>
              </w:rPr>
            </w:pPr>
            <w:r>
              <w:rPr>
                <w:rFonts w:ascii="Times New Roman"/>
                <w:sz w:val="21"/>
              </w:rPr>
              <w:t>50.8</w:t>
            </w:r>
          </w:p>
        </w:tc>
        <w:tc>
          <w:tcPr>
            <w:tcW w:w="1392" w:type="dxa"/>
          </w:tcPr>
          <w:p>
            <w:pPr>
              <w:pStyle w:val="TableParagraph"/>
              <w:spacing w:line="238" w:lineRule="exact" w:before="15"/>
              <w:ind w:left="253" w:right="244"/>
              <w:rPr>
                <w:rFonts w:ascii="Times New Roman"/>
                <w:sz w:val="21"/>
              </w:rPr>
            </w:pPr>
            <w:r>
              <w:rPr>
                <w:rFonts w:ascii="Times New Roman"/>
                <w:sz w:val="21"/>
              </w:rPr>
              <w:t>45.8</w:t>
            </w:r>
          </w:p>
        </w:tc>
      </w:tr>
      <w:tr>
        <w:trPr>
          <w:trHeight w:val="272" w:hRule="atLeast"/>
        </w:trPr>
        <w:tc>
          <w:tcPr>
            <w:tcW w:w="3775" w:type="dxa"/>
          </w:tcPr>
          <w:p>
            <w:pPr>
              <w:pStyle w:val="TableParagraph"/>
              <w:spacing w:line="252" w:lineRule="exact"/>
              <w:ind w:left="892" w:right="884"/>
              <w:rPr>
                <w:sz w:val="21"/>
              </w:rPr>
            </w:pPr>
            <w:r>
              <w:rPr>
                <w:sz w:val="21"/>
              </w:rPr>
              <w:t>工业广场北侧外</w:t>
            </w:r>
            <w:r>
              <w:rPr>
                <w:rFonts w:ascii="Times New Roman" w:eastAsia="Times New Roman"/>
                <w:sz w:val="21"/>
              </w:rPr>
              <w:t>1m</w:t>
            </w:r>
            <w:r>
              <w:rPr>
                <w:sz w:val="21"/>
              </w:rPr>
              <w:t>处</w:t>
            </w:r>
          </w:p>
        </w:tc>
        <w:tc>
          <w:tcPr>
            <w:tcW w:w="1392" w:type="dxa"/>
          </w:tcPr>
          <w:p>
            <w:pPr>
              <w:pStyle w:val="TableParagraph"/>
              <w:spacing w:line="239" w:lineRule="exact" w:before="13"/>
              <w:ind w:left="253" w:right="242"/>
              <w:rPr>
                <w:rFonts w:ascii="Times New Roman"/>
                <w:sz w:val="21"/>
              </w:rPr>
            </w:pPr>
            <w:r>
              <w:rPr>
                <w:rFonts w:ascii="Times New Roman"/>
                <w:sz w:val="21"/>
              </w:rPr>
              <w:t>50.8</w:t>
            </w:r>
          </w:p>
        </w:tc>
        <w:tc>
          <w:tcPr>
            <w:tcW w:w="1392" w:type="dxa"/>
          </w:tcPr>
          <w:p>
            <w:pPr>
              <w:pStyle w:val="TableParagraph"/>
              <w:spacing w:line="239" w:lineRule="exact" w:before="13"/>
              <w:ind w:left="253" w:right="242"/>
              <w:rPr>
                <w:rFonts w:ascii="Times New Roman"/>
                <w:sz w:val="21"/>
              </w:rPr>
            </w:pPr>
            <w:r>
              <w:rPr>
                <w:rFonts w:ascii="Times New Roman"/>
                <w:sz w:val="21"/>
              </w:rPr>
              <w:t>45.9</w:t>
            </w:r>
          </w:p>
        </w:tc>
        <w:tc>
          <w:tcPr>
            <w:tcW w:w="1393" w:type="dxa"/>
          </w:tcPr>
          <w:p>
            <w:pPr>
              <w:pStyle w:val="TableParagraph"/>
              <w:spacing w:line="239" w:lineRule="exact" w:before="13"/>
              <w:ind w:left="512"/>
              <w:jc w:val="left"/>
              <w:rPr>
                <w:rFonts w:ascii="Times New Roman"/>
                <w:sz w:val="21"/>
              </w:rPr>
            </w:pPr>
            <w:r>
              <w:rPr>
                <w:rFonts w:ascii="Times New Roman"/>
                <w:sz w:val="21"/>
              </w:rPr>
              <w:t>50.9</w:t>
            </w:r>
          </w:p>
        </w:tc>
        <w:tc>
          <w:tcPr>
            <w:tcW w:w="1392" w:type="dxa"/>
          </w:tcPr>
          <w:p>
            <w:pPr>
              <w:pStyle w:val="TableParagraph"/>
              <w:spacing w:line="239" w:lineRule="exact" w:before="13"/>
              <w:ind w:left="253" w:right="244"/>
              <w:rPr>
                <w:rFonts w:ascii="Times New Roman"/>
                <w:sz w:val="21"/>
              </w:rPr>
            </w:pPr>
            <w:r>
              <w:rPr>
                <w:rFonts w:ascii="Times New Roman"/>
                <w:sz w:val="21"/>
              </w:rPr>
              <w:t>47.0</w:t>
            </w:r>
          </w:p>
        </w:tc>
      </w:tr>
    </w:tbl>
    <w:p>
      <w:pPr>
        <w:spacing w:after="0" w:line="239" w:lineRule="exact"/>
        <w:rPr>
          <w:rFonts w:ascii="Times New Roman"/>
          <w:sz w:val="21"/>
        </w:rPr>
        <w:sectPr>
          <w:footerReference w:type="default" r:id="rId55"/>
          <w:pgSz w:w="11910" w:h="16840"/>
          <w:pgMar w:footer="1169" w:header="0" w:top="1540" w:bottom="1360" w:left="1040" w:right="600"/>
          <w:pgNumType w:start="130"/>
        </w:sectPr>
      </w:pPr>
    </w:p>
    <w:p>
      <w:pPr>
        <w:pStyle w:val="ListParagraph"/>
        <w:numPr>
          <w:ilvl w:val="2"/>
          <w:numId w:val="60"/>
        </w:numPr>
        <w:tabs>
          <w:tab w:pos="1008" w:val="left" w:leader="none"/>
        </w:tabs>
        <w:spacing w:line="240" w:lineRule="auto" w:before="47" w:after="0"/>
        <w:ind w:left="1007" w:right="0" w:hanging="633"/>
        <w:jc w:val="left"/>
        <w:rPr>
          <w:b/>
          <w:sz w:val="28"/>
        </w:rPr>
      </w:pPr>
      <w:bookmarkStart w:name="9.2.2声环境现状评价" w:id="561"/>
      <w:bookmarkEnd w:id="561"/>
      <w:r>
        <w:rPr/>
      </w:r>
      <w:bookmarkStart w:name="9.2.2声环境现状评价" w:id="562"/>
      <w:bookmarkEnd w:id="562"/>
      <w:r>
        <w:rPr>
          <w:b/>
          <w:sz w:val="28"/>
        </w:rPr>
        <w:t>声环境现状评价</w:t>
      </w:r>
    </w:p>
    <w:p>
      <w:pPr>
        <w:pStyle w:val="ListParagraph"/>
        <w:numPr>
          <w:ilvl w:val="3"/>
          <w:numId w:val="60"/>
        </w:numPr>
        <w:tabs>
          <w:tab w:pos="1156" w:val="left" w:leader="none"/>
        </w:tabs>
        <w:spacing w:line="240" w:lineRule="auto" w:before="185" w:after="0"/>
        <w:ind w:left="1156" w:right="0" w:hanging="781"/>
        <w:jc w:val="left"/>
        <w:rPr>
          <w:b/>
          <w:sz w:val="24"/>
        </w:rPr>
      </w:pPr>
      <w:r>
        <w:rPr>
          <w:b/>
          <w:sz w:val="24"/>
        </w:rPr>
        <w:t>评价量</w:t>
      </w:r>
    </w:p>
    <w:p>
      <w:pPr>
        <w:pStyle w:val="BodyText"/>
        <w:spacing w:before="158"/>
        <w:ind w:left="856"/>
      </w:pPr>
      <w:r>
        <w:rPr/>
        <w:t>以等效连续 </w:t>
      </w:r>
      <w:r>
        <w:rPr>
          <w:rFonts w:ascii="Times New Roman" w:eastAsia="Times New Roman"/>
        </w:rPr>
        <w:t>A </w:t>
      </w:r>
      <w:r>
        <w:rPr/>
        <w:t>声级 </w:t>
      </w:r>
      <w:r>
        <w:rPr>
          <w:rFonts w:ascii="Times New Roman" w:eastAsia="Times New Roman"/>
        </w:rPr>
        <w:t>Leq </w:t>
      </w:r>
      <w:r>
        <w:rPr/>
        <w:t>为评价量。</w:t>
      </w:r>
    </w:p>
    <w:p>
      <w:pPr>
        <w:pStyle w:val="Heading4"/>
        <w:numPr>
          <w:ilvl w:val="3"/>
          <w:numId w:val="60"/>
        </w:numPr>
        <w:tabs>
          <w:tab w:pos="1156" w:val="left" w:leader="none"/>
        </w:tabs>
        <w:spacing w:line="240" w:lineRule="auto" w:before="161" w:after="0"/>
        <w:ind w:left="1156" w:right="0" w:hanging="781"/>
        <w:jc w:val="left"/>
      </w:pPr>
      <w:r>
        <w:rPr/>
        <w:t>评价方法</w:t>
      </w:r>
    </w:p>
    <w:p>
      <w:pPr>
        <w:pStyle w:val="BodyText"/>
        <w:spacing w:before="158"/>
        <w:ind w:left="856"/>
      </w:pPr>
      <w:r>
        <w:rPr/>
        <w:t>监测值直接与标准值对比的方法。</w:t>
      </w:r>
    </w:p>
    <w:p>
      <w:pPr>
        <w:pStyle w:val="Heading4"/>
        <w:numPr>
          <w:ilvl w:val="3"/>
          <w:numId w:val="60"/>
        </w:numPr>
        <w:tabs>
          <w:tab w:pos="1156" w:val="left" w:leader="none"/>
        </w:tabs>
        <w:spacing w:line="240" w:lineRule="auto" w:before="160" w:after="0"/>
        <w:ind w:left="1156" w:right="0" w:hanging="781"/>
        <w:jc w:val="left"/>
      </w:pPr>
      <w:r>
        <w:rPr/>
        <w:t>评价标准</w:t>
      </w:r>
    </w:p>
    <w:p>
      <w:pPr>
        <w:pStyle w:val="BodyText"/>
        <w:spacing w:line="364" w:lineRule="auto" w:before="158"/>
        <w:ind w:left="375" w:right="758" w:firstLine="480"/>
      </w:pPr>
      <w:r>
        <w:rPr/>
        <w:t>拟建工业场地周围区域环境噪声执行《声环境质量标准》（</w:t>
      </w:r>
      <w:r>
        <w:rPr>
          <w:rFonts w:ascii="Times New Roman" w:eastAsia="Times New Roman"/>
        </w:rPr>
        <w:t>GB3096-2008</w:t>
      </w:r>
      <w:r>
        <w:rPr/>
        <w:t>）中 </w:t>
      </w:r>
      <w:r>
        <w:rPr>
          <w:rFonts w:ascii="Times New Roman" w:eastAsia="Times New Roman"/>
        </w:rPr>
        <w:t>2 </w:t>
      </w:r>
      <w:r>
        <w:rPr/>
        <w:t>类标准。即昼间 </w:t>
      </w:r>
      <w:r>
        <w:rPr>
          <w:rFonts w:ascii="Times New Roman" w:eastAsia="Times New Roman"/>
        </w:rPr>
        <w:t>60dB</w:t>
      </w:r>
      <w:r>
        <w:rPr/>
        <w:t>（</w:t>
      </w:r>
      <w:r>
        <w:rPr>
          <w:rFonts w:ascii="Times New Roman" w:eastAsia="Times New Roman"/>
        </w:rPr>
        <w:t>A</w:t>
      </w:r>
      <w:r>
        <w:rPr/>
        <w:t>），夜间 </w:t>
      </w:r>
      <w:r>
        <w:rPr>
          <w:rFonts w:ascii="Times New Roman" w:eastAsia="Times New Roman"/>
        </w:rPr>
        <w:t>50dB</w:t>
      </w:r>
      <w:r>
        <w:rPr/>
        <w:t>（</w:t>
      </w:r>
      <w:r>
        <w:rPr>
          <w:rFonts w:ascii="Times New Roman" w:eastAsia="Times New Roman"/>
        </w:rPr>
        <w:t>A</w:t>
      </w:r>
      <w:r>
        <w:rPr/>
        <w:t>）。</w:t>
      </w:r>
    </w:p>
    <w:p>
      <w:pPr>
        <w:pStyle w:val="Heading4"/>
        <w:numPr>
          <w:ilvl w:val="3"/>
          <w:numId w:val="60"/>
        </w:numPr>
        <w:tabs>
          <w:tab w:pos="1156" w:val="left" w:leader="none"/>
        </w:tabs>
        <w:spacing w:line="306" w:lineRule="exact" w:before="0" w:after="0"/>
        <w:ind w:left="1156" w:right="0" w:hanging="781"/>
        <w:jc w:val="left"/>
      </w:pPr>
      <w:r>
        <w:rPr/>
        <w:t>现状评价</w:t>
      </w:r>
    </w:p>
    <w:p>
      <w:pPr>
        <w:pStyle w:val="BodyText"/>
        <w:spacing w:before="161"/>
        <w:ind w:left="856"/>
        <w:rPr>
          <w:rFonts w:ascii="Times New Roman" w:eastAsia="Times New Roman"/>
        </w:rPr>
      </w:pPr>
      <w:r>
        <w:rPr/>
        <w:t>根据现状监测结果，厂界噪声值昼间在 </w:t>
      </w:r>
      <w:r>
        <w:rPr>
          <w:rFonts w:ascii="Times New Roman" w:eastAsia="Times New Roman"/>
        </w:rPr>
        <w:t>50.2~51.6dB</w:t>
      </w:r>
      <w:r>
        <w:rPr/>
        <w:t>（</w:t>
      </w:r>
      <w:r>
        <w:rPr>
          <w:rFonts w:ascii="Times New Roman" w:eastAsia="Times New Roman"/>
        </w:rPr>
        <w:t>A</w:t>
      </w:r>
      <w:r>
        <w:rPr/>
        <w:t>）之间，夜间在 </w:t>
      </w:r>
      <w:r>
        <w:rPr>
          <w:rFonts w:ascii="Times New Roman" w:eastAsia="Times New Roman"/>
        </w:rPr>
        <w:t>45.8~47.0dB</w:t>
      </w:r>
    </w:p>
    <w:p>
      <w:pPr>
        <w:pStyle w:val="BodyText"/>
        <w:spacing w:before="158"/>
        <w:ind w:left="375"/>
      </w:pPr>
      <w:r>
        <w:rPr/>
        <w:t>（</w:t>
      </w:r>
      <w:r>
        <w:rPr>
          <w:rFonts w:ascii="Times New Roman" w:eastAsia="Times New Roman"/>
        </w:rPr>
        <w:t>A</w:t>
      </w:r>
      <w:r>
        <w:rPr/>
        <w:t>）之间，监测点能够满足《声环境质量标准》（</w:t>
      </w:r>
      <w:r>
        <w:rPr>
          <w:rFonts w:ascii="Times New Roman" w:eastAsia="Times New Roman"/>
        </w:rPr>
        <w:t>GB3096-2008</w:t>
      </w:r>
      <w:r>
        <w:rPr/>
        <w:t>）中 </w:t>
      </w:r>
      <w:r>
        <w:rPr>
          <w:rFonts w:ascii="Times New Roman" w:eastAsia="Times New Roman"/>
        </w:rPr>
        <w:t>2 </w:t>
      </w:r>
      <w:r>
        <w:rPr/>
        <w:t>类标准限值要求。</w:t>
      </w:r>
    </w:p>
    <w:p>
      <w:pPr>
        <w:pStyle w:val="Heading4"/>
        <w:numPr>
          <w:ilvl w:val="3"/>
          <w:numId w:val="60"/>
        </w:numPr>
        <w:tabs>
          <w:tab w:pos="1156" w:val="left" w:leader="none"/>
        </w:tabs>
        <w:spacing w:line="240" w:lineRule="auto" w:before="160" w:after="0"/>
        <w:ind w:left="1156" w:right="0" w:hanging="781"/>
        <w:jc w:val="left"/>
      </w:pPr>
      <w:r>
        <w:rPr/>
        <w:t>现状评价结论</w:t>
      </w:r>
    </w:p>
    <w:p>
      <w:pPr>
        <w:pStyle w:val="BodyText"/>
        <w:spacing w:line="362" w:lineRule="auto" w:before="161"/>
        <w:ind w:left="375" w:right="760" w:firstLine="480"/>
      </w:pPr>
      <w:r>
        <w:rPr/>
        <w:t>厂址噪声现状评价结果表明：目前厂界噪声无论在昼间还是在夜间，均能达到声环境质量标准》（</w:t>
      </w:r>
      <w:r>
        <w:rPr>
          <w:rFonts w:ascii="Times New Roman" w:eastAsia="Times New Roman"/>
        </w:rPr>
        <w:t>GB3096-2008</w:t>
      </w:r>
      <w:r>
        <w:rPr/>
        <w:t>）中 </w:t>
      </w:r>
      <w:r>
        <w:rPr>
          <w:rFonts w:ascii="Times New Roman" w:eastAsia="Times New Roman"/>
        </w:rPr>
        <w:t>2 </w:t>
      </w:r>
      <w:r>
        <w:rPr/>
        <w:t>类标准限值要求，无超标现象。声环境质量较好。</w:t>
      </w:r>
    </w:p>
    <w:p>
      <w:pPr>
        <w:pStyle w:val="Heading3"/>
        <w:numPr>
          <w:ilvl w:val="1"/>
          <w:numId w:val="60"/>
        </w:numPr>
        <w:tabs>
          <w:tab w:pos="868" w:val="left" w:leader="none"/>
        </w:tabs>
        <w:spacing w:line="240" w:lineRule="auto" w:before="6" w:after="0"/>
        <w:ind w:left="868" w:right="0" w:hanging="493"/>
        <w:jc w:val="left"/>
        <w:rPr>
          <w:rFonts w:ascii="Times New Roman" w:eastAsia="Times New Roman"/>
        </w:rPr>
      </w:pPr>
      <w:bookmarkStart w:name="9.3 建设期声环境影响及防治措施" w:id="563"/>
      <w:bookmarkEnd w:id="563"/>
      <w:r>
        <w:rPr>
          <w:b w:val="0"/>
        </w:rPr>
      </w:r>
      <w:bookmarkStart w:name="_bookmark48" w:id="564"/>
      <w:bookmarkEnd w:id="564"/>
      <w:r>
        <w:rPr>
          <w:b w:val="0"/>
        </w:rPr>
      </w:r>
      <w:bookmarkStart w:name="_bookmark48" w:id="565"/>
      <w:bookmarkEnd w:id="565"/>
      <w:r>
        <w:rPr/>
        <w:t>建设期声环境影响及防治措施</w:t>
      </w:r>
    </w:p>
    <w:p>
      <w:pPr>
        <w:pStyle w:val="ListParagraph"/>
        <w:numPr>
          <w:ilvl w:val="2"/>
          <w:numId w:val="60"/>
        </w:numPr>
        <w:tabs>
          <w:tab w:pos="1008" w:val="left" w:leader="none"/>
        </w:tabs>
        <w:spacing w:line="240" w:lineRule="auto" w:before="183" w:after="0"/>
        <w:ind w:left="1007" w:right="0" w:hanging="633"/>
        <w:jc w:val="left"/>
        <w:rPr>
          <w:b/>
          <w:sz w:val="28"/>
        </w:rPr>
      </w:pPr>
      <w:bookmarkStart w:name="9.3.1建设期噪声源分析" w:id="566"/>
      <w:bookmarkEnd w:id="566"/>
      <w:r>
        <w:rPr/>
      </w:r>
      <w:bookmarkStart w:name="9.3.1建设期噪声源分析" w:id="567"/>
      <w:bookmarkEnd w:id="567"/>
      <w:r>
        <w:rPr>
          <w:b/>
          <w:sz w:val="28"/>
        </w:rPr>
        <w:t>建设期噪声源分析</w:t>
      </w:r>
    </w:p>
    <w:p>
      <w:pPr>
        <w:pStyle w:val="BodyText"/>
        <w:spacing w:before="3"/>
        <w:rPr>
          <w:b/>
          <w:sz w:val="23"/>
        </w:rPr>
      </w:pPr>
    </w:p>
    <w:p>
      <w:pPr>
        <w:pStyle w:val="BodyText"/>
        <w:spacing w:line="343" w:lineRule="auto" w:before="1"/>
        <w:ind w:left="375" w:right="638" w:firstLine="480"/>
      </w:pPr>
      <w:r>
        <w:rPr>
          <w:spacing w:val="-7"/>
        </w:rPr>
        <w:t>建设期噪声源主要为各类施工机械。根据本工程施工活动的特点，经类比调查可知， </w:t>
      </w:r>
      <w:r>
        <w:rPr/>
        <w:t>煤矿建设期的平整场地、筑路、建（构）筑物、井筒等施工常用的设备主要有推土机、挖掘机、装载机、混凝土搅拌机、压路机、起重机、专辑、振捣棒等。主要施工设备噪</w:t>
      </w:r>
      <w:r>
        <w:rPr>
          <w:spacing w:val="-6"/>
        </w:rPr>
        <w:t>声级类比调查结果见表 </w:t>
      </w:r>
      <w:r>
        <w:rPr>
          <w:rFonts w:ascii="Times New Roman" w:eastAsia="Times New Roman"/>
        </w:rPr>
        <w:t>9.3-1</w:t>
      </w:r>
      <w:r>
        <w:rPr/>
        <w:t>。</w:t>
      </w:r>
    </w:p>
    <w:p>
      <w:pPr>
        <w:pStyle w:val="Heading4"/>
        <w:tabs>
          <w:tab w:pos="1041" w:val="left" w:leader="none"/>
        </w:tabs>
        <w:spacing w:before="48" w:after="32"/>
        <w:ind w:right="370"/>
        <w:jc w:val="center"/>
        <w:rPr>
          <w:rFonts w:ascii="黑体" w:eastAsia="黑体" w:hint="eastAsia"/>
        </w:rPr>
      </w:pPr>
      <w:r>
        <w:rPr>
          <w:rFonts w:ascii="黑体" w:eastAsia="黑体" w:hint="eastAsia"/>
        </w:rPr>
        <w:t>表</w:t>
      </w:r>
      <w:r>
        <w:rPr>
          <w:rFonts w:ascii="黑体" w:eastAsia="黑体" w:hint="eastAsia"/>
          <w:spacing w:val="-62"/>
        </w:rPr>
        <w:t> </w:t>
      </w:r>
      <w:r>
        <w:rPr>
          <w:rFonts w:ascii="Times New Roman" w:eastAsia="Times New Roman"/>
        </w:rPr>
        <w:t>9.3-1</w:t>
        <w:tab/>
      </w:r>
      <w:r>
        <w:rPr>
          <w:rFonts w:ascii="黑体" w:eastAsia="黑体" w:hint="eastAsia"/>
        </w:rPr>
        <w:t>主要施工设备噪声源源强一览表</w:t>
      </w: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1"/>
        <w:gridCol w:w="2661"/>
        <w:gridCol w:w="2011"/>
        <w:gridCol w:w="2661"/>
      </w:tblGrid>
      <w:tr>
        <w:trPr>
          <w:trHeight w:val="720" w:hRule="atLeast"/>
        </w:trPr>
        <w:tc>
          <w:tcPr>
            <w:tcW w:w="2011" w:type="dxa"/>
          </w:tcPr>
          <w:p>
            <w:pPr>
              <w:pStyle w:val="TableParagraph"/>
              <w:spacing w:before="7"/>
              <w:jc w:val="left"/>
              <w:rPr>
                <w:rFonts w:ascii="黑体"/>
                <w:b/>
                <w:sz w:val="17"/>
              </w:rPr>
            </w:pPr>
          </w:p>
          <w:p>
            <w:pPr>
              <w:pStyle w:val="TableParagraph"/>
              <w:spacing w:before="1"/>
              <w:ind w:left="352" w:right="347"/>
              <w:rPr>
                <w:sz w:val="21"/>
              </w:rPr>
            </w:pPr>
            <w:r>
              <w:rPr>
                <w:sz w:val="21"/>
              </w:rPr>
              <w:t>高噪声设备</w:t>
            </w:r>
          </w:p>
        </w:tc>
        <w:tc>
          <w:tcPr>
            <w:tcW w:w="2661" w:type="dxa"/>
          </w:tcPr>
          <w:p>
            <w:pPr>
              <w:pStyle w:val="TableParagraph"/>
              <w:spacing w:before="46"/>
              <w:ind w:left="670"/>
              <w:jc w:val="left"/>
              <w:rPr>
                <w:sz w:val="21"/>
              </w:rPr>
            </w:pPr>
            <w:r>
              <w:rPr>
                <w:sz w:val="21"/>
              </w:rPr>
              <w:t>声级测量</w:t>
            </w:r>
            <w:r>
              <w:rPr>
                <w:rFonts w:ascii="Times New Roman" w:eastAsia="Times New Roman"/>
                <w:sz w:val="21"/>
              </w:rPr>
              <w:t>/</w:t>
            </w:r>
            <w:r>
              <w:rPr>
                <w:sz w:val="21"/>
              </w:rPr>
              <w:t>距离</w:t>
            </w:r>
          </w:p>
          <w:p>
            <w:pPr>
              <w:pStyle w:val="TableParagraph"/>
              <w:spacing w:before="90"/>
              <w:ind w:left="601"/>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c>
          <w:tcPr>
            <w:tcW w:w="2011" w:type="dxa"/>
          </w:tcPr>
          <w:p>
            <w:pPr>
              <w:pStyle w:val="TableParagraph"/>
              <w:spacing w:before="7"/>
              <w:jc w:val="left"/>
              <w:rPr>
                <w:rFonts w:ascii="黑体"/>
                <w:b/>
                <w:sz w:val="17"/>
              </w:rPr>
            </w:pPr>
          </w:p>
          <w:p>
            <w:pPr>
              <w:pStyle w:val="TableParagraph"/>
              <w:spacing w:before="1"/>
              <w:ind w:left="352" w:right="345"/>
              <w:rPr>
                <w:sz w:val="21"/>
              </w:rPr>
            </w:pPr>
            <w:r>
              <w:rPr>
                <w:sz w:val="21"/>
              </w:rPr>
              <w:t>高噪声设备</w:t>
            </w:r>
          </w:p>
        </w:tc>
        <w:tc>
          <w:tcPr>
            <w:tcW w:w="2661" w:type="dxa"/>
          </w:tcPr>
          <w:p>
            <w:pPr>
              <w:pStyle w:val="TableParagraph"/>
              <w:spacing w:before="46"/>
              <w:ind w:left="671"/>
              <w:jc w:val="left"/>
              <w:rPr>
                <w:sz w:val="21"/>
              </w:rPr>
            </w:pPr>
            <w:r>
              <w:rPr>
                <w:sz w:val="21"/>
              </w:rPr>
              <w:t>声级测量</w:t>
            </w:r>
            <w:r>
              <w:rPr>
                <w:rFonts w:ascii="Times New Roman" w:eastAsia="Times New Roman"/>
                <w:sz w:val="21"/>
              </w:rPr>
              <w:t>/</w:t>
            </w:r>
            <w:r>
              <w:rPr>
                <w:sz w:val="21"/>
              </w:rPr>
              <w:t>距离</w:t>
            </w:r>
          </w:p>
          <w:p>
            <w:pPr>
              <w:pStyle w:val="TableParagraph"/>
              <w:spacing w:before="90"/>
              <w:ind w:left="602"/>
              <w:jc w:val="left"/>
              <w:rPr>
                <w:sz w:val="21"/>
              </w:rPr>
            </w:pPr>
            <w:r>
              <w:rPr>
                <w:sz w:val="21"/>
              </w:rPr>
              <w:t>（</w:t>
            </w:r>
            <w:r>
              <w:rPr>
                <w:rFonts w:ascii="Times New Roman" w:eastAsia="Times New Roman"/>
                <w:sz w:val="21"/>
              </w:rPr>
              <w:t>dB</w:t>
            </w:r>
            <w:r>
              <w:rPr>
                <w:sz w:val="21"/>
              </w:rPr>
              <w:t>（</w:t>
            </w:r>
            <w:r>
              <w:rPr>
                <w:rFonts w:ascii="Times New Roman" w:eastAsia="Times New Roman"/>
                <w:sz w:val="21"/>
              </w:rPr>
              <w:t>A</w:t>
            </w:r>
            <w:r>
              <w:rPr>
                <w:sz w:val="21"/>
              </w:rPr>
              <w:t>）</w:t>
            </w:r>
            <w:r>
              <w:rPr>
                <w:rFonts w:ascii="Times New Roman" w:eastAsia="Times New Roman"/>
                <w:sz w:val="21"/>
              </w:rPr>
              <w:t>/m</w:t>
            </w:r>
            <w:r>
              <w:rPr>
                <w:sz w:val="21"/>
              </w:rPr>
              <w:t>）</w:t>
            </w:r>
          </w:p>
        </w:tc>
      </w:tr>
      <w:tr>
        <w:trPr>
          <w:trHeight w:val="360" w:hRule="atLeast"/>
        </w:trPr>
        <w:tc>
          <w:tcPr>
            <w:tcW w:w="2011" w:type="dxa"/>
          </w:tcPr>
          <w:p>
            <w:pPr>
              <w:pStyle w:val="TableParagraph"/>
              <w:spacing w:before="45"/>
              <w:ind w:left="352" w:right="347"/>
              <w:rPr>
                <w:sz w:val="21"/>
              </w:rPr>
            </w:pPr>
            <w:r>
              <w:rPr>
                <w:sz w:val="21"/>
              </w:rPr>
              <w:t>重型运输车</w:t>
            </w:r>
          </w:p>
        </w:tc>
        <w:tc>
          <w:tcPr>
            <w:tcW w:w="2661" w:type="dxa"/>
          </w:tcPr>
          <w:p>
            <w:pPr>
              <w:pStyle w:val="TableParagraph"/>
              <w:spacing w:before="45"/>
              <w:ind w:left="932"/>
              <w:jc w:val="left"/>
              <w:rPr>
                <w:rFonts w:ascii="Times New Roman" w:eastAsia="Times New Roman"/>
                <w:sz w:val="21"/>
              </w:rPr>
            </w:pPr>
            <w:r>
              <w:rPr>
                <w:rFonts w:ascii="Times New Roman" w:eastAsia="Times New Roman"/>
                <w:sz w:val="21"/>
              </w:rPr>
              <w:t>82</w:t>
            </w:r>
            <w:r>
              <w:rPr>
                <w:sz w:val="21"/>
              </w:rPr>
              <w:t>～</w:t>
            </w:r>
            <w:r>
              <w:rPr>
                <w:rFonts w:ascii="Times New Roman" w:eastAsia="Times New Roman"/>
                <w:sz w:val="21"/>
              </w:rPr>
              <w:t>90/5</w:t>
            </w:r>
          </w:p>
        </w:tc>
        <w:tc>
          <w:tcPr>
            <w:tcW w:w="2011" w:type="dxa"/>
          </w:tcPr>
          <w:p>
            <w:pPr>
              <w:pStyle w:val="TableParagraph"/>
              <w:spacing w:before="45"/>
              <w:ind w:left="352" w:right="348"/>
              <w:rPr>
                <w:sz w:val="21"/>
              </w:rPr>
            </w:pPr>
            <w:r>
              <w:rPr>
                <w:sz w:val="21"/>
              </w:rPr>
              <w:t>混凝土振捣器</w:t>
            </w:r>
          </w:p>
        </w:tc>
        <w:tc>
          <w:tcPr>
            <w:tcW w:w="2661" w:type="dxa"/>
          </w:tcPr>
          <w:p>
            <w:pPr>
              <w:pStyle w:val="TableParagraph"/>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88/5</w:t>
            </w:r>
          </w:p>
        </w:tc>
      </w:tr>
      <w:tr>
        <w:trPr>
          <w:trHeight w:val="360" w:hRule="atLeast"/>
        </w:trPr>
        <w:tc>
          <w:tcPr>
            <w:tcW w:w="2011" w:type="dxa"/>
          </w:tcPr>
          <w:p>
            <w:pPr>
              <w:pStyle w:val="TableParagraph"/>
              <w:spacing w:before="45"/>
              <w:ind w:left="352" w:right="345"/>
              <w:rPr>
                <w:sz w:val="21"/>
              </w:rPr>
            </w:pPr>
            <w:r>
              <w:rPr>
                <w:sz w:val="21"/>
              </w:rPr>
              <w:t>挖掘机</w:t>
            </w:r>
          </w:p>
        </w:tc>
        <w:tc>
          <w:tcPr>
            <w:tcW w:w="2661" w:type="dxa"/>
          </w:tcPr>
          <w:p>
            <w:pPr>
              <w:pStyle w:val="TableParagraph"/>
              <w:spacing w:before="45"/>
              <w:ind w:left="932"/>
              <w:jc w:val="left"/>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86/5</w:t>
            </w:r>
          </w:p>
        </w:tc>
        <w:tc>
          <w:tcPr>
            <w:tcW w:w="2011" w:type="dxa"/>
          </w:tcPr>
          <w:p>
            <w:pPr>
              <w:pStyle w:val="TableParagraph"/>
              <w:spacing w:before="45"/>
              <w:ind w:left="352" w:right="343"/>
              <w:rPr>
                <w:sz w:val="21"/>
              </w:rPr>
            </w:pPr>
            <w:r>
              <w:rPr>
                <w:sz w:val="21"/>
              </w:rPr>
              <w:t>压路机</w:t>
            </w:r>
          </w:p>
        </w:tc>
        <w:tc>
          <w:tcPr>
            <w:tcW w:w="2661" w:type="dxa"/>
          </w:tcPr>
          <w:p>
            <w:pPr>
              <w:pStyle w:val="TableParagraph"/>
              <w:spacing w:before="45"/>
              <w:ind w:left="913" w:right="904"/>
              <w:rPr>
                <w:rFonts w:ascii="Times New Roman" w:eastAsia="Times New Roman"/>
                <w:sz w:val="21"/>
              </w:rPr>
            </w:pPr>
            <w:r>
              <w:rPr>
                <w:rFonts w:ascii="Times New Roman" w:eastAsia="Times New Roman"/>
                <w:sz w:val="21"/>
              </w:rPr>
              <w:t>80</w:t>
            </w:r>
            <w:r>
              <w:rPr>
                <w:sz w:val="21"/>
              </w:rPr>
              <w:t>～</w:t>
            </w:r>
            <w:r>
              <w:rPr>
                <w:rFonts w:ascii="Times New Roman" w:eastAsia="Times New Roman"/>
                <w:sz w:val="21"/>
              </w:rPr>
              <w:t>90/5</w:t>
            </w:r>
          </w:p>
        </w:tc>
      </w:tr>
      <w:tr>
        <w:trPr>
          <w:trHeight w:val="360" w:hRule="atLeast"/>
        </w:trPr>
        <w:tc>
          <w:tcPr>
            <w:tcW w:w="2011" w:type="dxa"/>
          </w:tcPr>
          <w:p>
            <w:pPr>
              <w:pStyle w:val="TableParagraph"/>
              <w:spacing w:before="44"/>
              <w:ind w:left="352" w:right="345"/>
              <w:rPr>
                <w:sz w:val="21"/>
              </w:rPr>
            </w:pPr>
            <w:r>
              <w:rPr>
                <w:sz w:val="21"/>
              </w:rPr>
              <w:t>推土机</w:t>
            </w:r>
          </w:p>
        </w:tc>
        <w:tc>
          <w:tcPr>
            <w:tcW w:w="2661" w:type="dxa"/>
          </w:tcPr>
          <w:p>
            <w:pPr>
              <w:pStyle w:val="TableParagraph"/>
              <w:spacing w:before="47"/>
              <w:ind w:left="932"/>
              <w:jc w:val="left"/>
              <w:rPr>
                <w:rFonts w:ascii="Times New Roman" w:eastAsia="Times New Roman"/>
                <w:sz w:val="21"/>
              </w:rPr>
            </w:pPr>
            <w:r>
              <w:rPr>
                <w:rFonts w:ascii="Times New Roman" w:eastAsia="Times New Roman"/>
                <w:sz w:val="21"/>
              </w:rPr>
              <w:t>83</w:t>
            </w:r>
            <w:r>
              <w:rPr>
                <w:sz w:val="21"/>
              </w:rPr>
              <w:t>～</w:t>
            </w:r>
            <w:r>
              <w:rPr>
                <w:rFonts w:ascii="Times New Roman" w:eastAsia="Times New Roman"/>
                <w:sz w:val="21"/>
              </w:rPr>
              <w:t>88/5</w:t>
            </w:r>
          </w:p>
        </w:tc>
        <w:tc>
          <w:tcPr>
            <w:tcW w:w="2011" w:type="dxa"/>
          </w:tcPr>
          <w:p>
            <w:pPr>
              <w:pStyle w:val="TableParagraph"/>
              <w:spacing w:before="44"/>
              <w:ind w:left="352" w:right="345"/>
              <w:rPr>
                <w:sz w:val="21"/>
              </w:rPr>
            </w:pPr>
            <w:r>
              <w:rPr>
                <w:sz w:val="21"/>
              </w:rPr>
              <w:t>轮式装载机</w:t>
            </w:r>
          </w:p>
        </w:tc>
        <w:tc>
          <w:tcPr>
            <w:tcW w:w="2661" w:type="dxa"/>
          </w:tcPr>
          <w:p>
            <w:pPr>
              <w:pStyle w:val="TableParagraph"/>
              <w:spacing w:before="47"/>
              <w:ind w:left="913" w:right="904"/>
              <w:rPr>
                <w:rFonts w:ascii="Times New Roman" w:eastAsia="Times New Roman"/>
                <w:sz w:val="21"/>
              </w:rPr>
            </w:pPr>
            <w:r>
              <w:rPr>
                <w:rFonts w:ascii="Times New Roman" w:eastAsia="Times New Roman"/>
                <w:sz w:val="21"/>
              </w:rPr>
              <w:t>90</w:t>
            </w:r>
            <w:r>
              <w:rPr>
                <w:sz w:val="21"/>
              </w:rPr>
              <w:t>～</w:t>
            </w:r>
            <w:r>
              <w:rPr>
                <w:rFonts w:ascii="Times New Roman" w:eastAsia="Times New Roman"/>
                <w:sz w:val="21"/>
              </w:rPr>
              <w:t>95/5</w:t>
            </w:r>
          </w:p>
        </w:tc>
      </w:tr>
      <w:tr>
        <w:trPr>
          <w:trHeight w:val="360" w:hRule="atLeast"/>
        </w:trPr>
        <w:tc>
          <w:tcPr>
            <w:tcW w:w="2011" w:type="dxa"/>
          </w:tcPr>
          <w:p>
            <w:pPr>
              <w:pStyle w:val="TableParagraph"/>
              <w:spacing w:before="44"/>
              <w:ind w:left="352" w:right="345"/>
              <w:rPr>
                <w:sz w:val="21"/>
              </w:rPr>
            </w:pPr>
            <w:r>
              <w:rPr>
                <w:sz w:val="21"/>
              </w:rPr>
              <w:t>空压机</w:t>
            </w:r>
          </w:p>
        </w:tc>
        <w:tc>
          <w:tcPr>
            <w:tcW w:w="2661" w:type="dxa"/>
          </w:tcPr>
          <w:p>
            <w:pPr>
              <w:pStyle w:val="TableParagraph"/>
              <w:spacing w:before="46"/>
              <w:ind w:left="932"/>
              <w:jc w:val="left"/>
              <w:rPr>
                <w:rFonts w:ascii="Times New Roman" w:eastAsia="Times New Roman"/>
                <w:sz w:val="21"/>
              </w:rPr>
            </w:pPr>
            <w:r>
              <w:rPr>
                <w:rFonts w:ascii="Times New Roman" w:eastAsia="Times New Roman"/>
                <w:sz w:val="21"/>
              </w:rPr>
              <w:t>88</w:t>
            </w:r>
            <w:r>
              <w:rPr>
                <w:sz w:val="21"/>
              </w:rPr>
              <w:t>～</w:t>
            </w:r>
            <w:r>
              <w:rPr>
                <w:rFonts w:ascii="Times New Roman" w:eastAsia="Times New Roman"/>
                <w:sz w:val="21"/>
              </w:rPr>
              <w:t>92/5</w:t>
            </w:r>
          </w:p>
        </w:tc>
        <w:tc>
          <w:tcPr>
            <w:tcW w:w="2011" w:type="dxa"/>
          </w:tcPr>
          <w:p>
            <w:pPr>
              <w:pStyle w:val="TableParagraph"/>
              <w:jc w:val="left"/>
              <w:rPr>
                <w:rFonts w:ascii="Times New Roman"/>
                <w:sz w:val="22"/>
              </w:rPr>
            </w:pPr>
          </w:p>
        </w:tc>
        <w:tc>
          <w:tcPr>
            <w:tcW w:w="2661" w:type="dxa"/>
          </w:tcPr>
          <w:p>
            <w:pPr>
              <w:pStyle w:val="TableParagraph"/>
              <w:jc w:val="left"/>
              <w:rPr>
                <w:rFonts w:ascii="Times New Roman"/>
                <w:sz w:val="22"/>
              </w:rPr>
            </w:pPr>
          </w:p>
        </w:tc>
      </w:tr>
    </w:tbl>
    <w:p>
      <w:pPr>
        <w:pStyle w:val="ListParagraph"/>
        <w:numPr>
          <w:ilvl w:val="2"/>
          <w:numId w:val="60"/>
        </w:numPr>
        <w:tabs>
          <w:tab w:pos="1008" w:val="left" w:leader="none"/>
        </w:tabs>
        <w:spacing w:line="240" w:lineRule="auto" w:before="3" w:after="0"/>
        <w:ind w:left="1007" w:right="0" w:hanging="633"/>
        <w:jc w:val="left"/>
        <w:rPr>
          <w:b/>
          <w:sz w:val="28"/>
        </w:rPr>
      </w:pPr>
      <w:bookmarkStart w:name="9.3.2建设期声环境影响分析" w:id="568"/>
      <w:bookmarkEnd w:id="568"/>
      <w:r>
        <w:rPr/>
      </w:r>
      <w:bookmarkStart w:name="_bookmark49" w:id="569"/>
      <w:bookmarkEnd w:id="569"/>
      <w:r>
        <w:rPr/>
      </w:r>
      <w:bookmarkStart w:name="_bookmark49" w:id="570"/>
      <w:bookmarkEnd w:id="570"/>
      <w:r>
        <w:rPr>
          <w:b/>
          <w:sz w:val="28"/>
        </w:rPr>
        <w:t>建设期声环境影响分析</w:t>
      </w:r>
    </w:p>
    <w:p>
      <w:pPr>
        <w:pStyle w:val="BodyText"/>
        <w:rPr>
          <w:b/>
          <w:sz w:val="23"/>
        </w:rPr>
      </w:pPr>
    </w:p>
    <w:p>
      <w:pPr>
        <w:pStyle w:val="BodyText"/>
        <w:spacing w:line="345" w:lineRule="auto"/>
        <w:ind w:left="375" w:right="760" w:firstLine="480"/>
      </w:pPr>
      <w:r>
        <w:rPr/>
        <w:t>由于施工期不同阶段施工设备不同，施工设备数量不同，因此很难预测施工场地各场界噪声値。因此本次预测主要针对施工期各噪声源分析衰減情况，具体见表 </w:t>
      </w:r>
      <w:r>
        <w:rPr>
          <w:rFonts w:ascii="Times New Roman" w:eastAsia="Times New Roman"/>
        </w:rPr>
        <w:t>9.3-2</w:t>
      </w:r>
      <w:r>
        <w:rPr/>
        <w:t>。</w:t>
      </w:r>
    </w:p>
    <w:p>
      <w:pPr>
        <w:spacing w:after="0" w:line="345" w:lineRule="auto"/>
        <w:sectPr>
          <w:pgSz w:w="11910" w:h="16840"/>
          <w:pgMar w:header="0" w:footer="1169" w:top="1540" w:bottom="1360" w:left="1040" w:right="600"/>
        </w:sectPr>
      </w:pPr>
    </w:p>
    <w:p>
      <w:pPr>
        <w:pStyle w:val="Heading4"/>
        <w:tabs>
          <w:tab w:pos="1041" w:val="left" w:leader="none"/>
        </w:tabs>
        <w:spacing w:before="164" w:after="33"/>
        <w:ind w:right="372"/>
        <w:jc w:val="center"/>
        <w:rPr>
          <w:rFonts w:ascii="黑体" w:eastAsia="黑体" w:hint="eastAsia"/>
        </w:rPr>
      </w:pPr>
      <w:r>
        <w:rPr>
          <w:rFonts w:ascii="黑体" w:eastAsia="黑体" w:hint="eastAsia"/>
        </w:rPr>
        <w:t>表</w:t>
      </w:r>
      <w:r>
        <w:rPr>
          <w:rFonts w:ascii="黑体" w:eastAsia="黑体" w:hint="eastAsia"/>
          <w:spacing w:val="-62"/>
        </w:rPr>
        <w:t> </w:t>
      </w:r>
      <w:r>
        <w:rPr>
          <w:rFonts w:ascii="Times New Roman" w:eastAsia="Times New Roman"/>
        </w:rPr>
        <w:t>9.3-2</w:t>
        <w:tab/>
      </w:r>
      <w:r>
        <w:rPr>
          <w:rFonts w:ascii="黑体" w:eastAsia="黑体" w:hint="eastAsia"/>
        </w:rPr>
        <w:t>施工噪声影响预测一览表</w:t>
      </w: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1345"/>
        <w:gridCol w:w="822"/>
        <w:gridCol w:w="783"/>
        <w:gridCol w:w="774"/>
        <w:gridCol w:w="774"/>
        <w:gridCol w:w="822"/>
        <w:gridCol w:w="812"/>
        <w:gridCol w:w="774"/>
        <w:gridCol w:w="784"/>
      </w:tblGrid>
      <w:tr>
        <w:trPr>
          <w:trHeight w:val="360" w:hRule="atLeast"/>
        </w:trPr>
        <w:tc>
          <w:tcPr>
            <w:tcW w:w="1649" w:type="dxa"/>
            <w:vMerge w:val="restart"/>
          </w:tcPr>
          <w:p>
            <w:pPr>
              <w:pStyle w:val="TableParagraph"/>
              <w:spacing w:before="12"/>
              <w:jc w:val="left"/>
              <w:rPr>
                <w:rFonts w:ascii="黑体"/>
                <w:b/>
                <w:sz w:val="17"/>
              </w:rPr>
            </w:pPr>
          </w:p>
          <w:p>
            <w:pPr>
              <w:pStyle w:val="TableParagraph"/>
              <w:ind w:left="507"/>
              <w:jc w:val="left"/>
              <w:rPr>
                <w:sz w:val="21"/>
              </w:rPr>
            </w:pPr>
            <w:r>
              <w:rPr>
                <w:sz w:val="21"/>
              </w:rPr>
              <w:t>噪声源</w:t>
            </w:r>
          </w:p>
        </w:tc>
        <w:tc>
          <w:tcPr>
            <w:tcW w:w="1345" w:type="dxa"/>
            <w:vMerge w:val="restart"/>
          </w:tcPr>
          <w:p>
            <w:pPr>
              <w:pStyle w:val="TableParagraph"/>
              <w:spacing w:before="50"/>
              <w:ind w:left="207"/>
              <w:jc w:val="left"/>
              <w:rPr>
                <w:rFonts w:ascii="Times New Roman" w:eastAsia="Times New Roman"/>
                <w:sz w:val="21"/>
              </w:rPr>
            </w:pPr>
            <w:r>
              <w:rPr>
                <w:sz w:val="21"/>
              </w:rPr>
              <w:t>噪声级 </w:t>
            </w:r>
            <w:r>
              <w:rPr>
                <w:rFonts w:ascii="Times New Roman" w:eastAsia="Times New Roman"/>
                <w:sz w:val="21"/>
              </w:rPr>
              <w:t>dB</w:t>
            </w:r>
          </w:p>
          <w:p>
            <w:pPr>
              <w:pStyle w:val="TableParagraph"/>
              <w:spacing w:before="91"/>
              <w:ind w:left="106" w:right="-15"/>
              <w:jc w:val="left"/>
              <w:rPr>
                <w:sz w:val="21"/>
              </w:rPr>
            </w:pPr>
            <w:r>
              <w:rPr>
                <w:spacing w:val="-4"/>
                <w:sz w:val="21"/>
              </w:rPr>
              <w:t>（</w:t>
            </w:r>
            <w:r>
              <w:rPr>
                <w:rFonts w:ascii="Times New Roman" w:eastAsia="Times New Roman"/>
                <w:spacing w:val="-4"/>
                <w:sz w:val="21"/>
              </w:rPr>
              <w:t>A</w:t>
            </w:r>
            <w:r>
              <w:rPr>
                <w:spacing w:val="-4"/>
                <w:sz w:val="21"/>
              </w:rPr>
              <w:t>）（</w:t>
            </w:r>
            <w:r>
              <w:rPr>
                <w:rFonts w:ascii="Times New Roman" w:eastAsia="Times New Roman"/>
                <w:spacing w:val="-4"/>
                <w:sz w:val="21"/>
              </w:rPr>
              <w:t>1m</w:t>
            </w:r>
            <w:r>
              <w:rPr>
                <w:spacing w:val="-4"/>
                <w:sz w:val="21"/>
              </w:rPr>
              <w:t>）</w:t>
            </w:r>
          </w:p>
        </w:tc>
        <w:tc>
          <w:tcPr>
            <w:tcW w:w="6345" w:type="dxa"/>
            <w:gridSpan w:val="8"/>
          </w:tcPr>
          <w:p>
            <w:pPr>
              <w:pStyle w:val="TableParagraph"/>
              <w:spacing w:before="45"/>
              <w:ind w:left="2166" w:right="2157"/>
              <w:rPr>
                <w:sz w:val="21"/>
              </w:rPr>
            </w:pPr>
            <w:r>
              <w:rPr>
                <w:sz w:val="21"/>
              </w:rPr>
              <w:t>预测噪声级 </w:t>
            </w:r>
            <w:r>
              <w:rPr>
                <w:rFonts w:ascii="Times New Roman" w:eastAsia="Times New Roman"/>
                <w:sz w:val="21"/>
              </w:rPr>
              <w:t>dB</w:t>
            </w:r>
            <w:r>
              <w:rPr>
                <w:sz w:val="21"/>
              </w:rPr>
              <w:t>（</w:t>
            </w:r>
            <w:r>
              <w:rPr>
                <w:rFonts w:ascii="Times New Roman" w:eastAsia="Times New Roman"/>
                <w:sz w:val="21"/>
              </w:rPr>
              <w:t>A</w:t>
            </w:r>
            <w:r>
              <w:rPr>
                <w:sz w:val="21"/>
              </w:rPr>
              <w:t>）</w:t>
            </w:r>
          </w:p>
        </w:tc>
      </w:tr>
      <w:tr>
        <w:trPr>
          <w:trHeight w:val="360" w:hRule="atLeast"/>
        </w:trPr>
        <w:tc>
          <w:tcPr>
            <w:tcW w:w="1649" w:type="dxa"/>
            <w:vMerge/>
            <w:tcBorders>
              <w:top w:val="nil"/>
            </w:tcBorders>
          </w:tcPr>
          <w:p>
            <w:pPr>
              <w:rPr>
                <w:sz w:val="2"/>
                <w:szCs w:val="2"/>
              </w:rPr>
            </w:pPr>
          </w:p>
        </w:tc>
        <w:tc>
          <w:tcPr>
            <w:tcW w:w="1345" w:type="dxa"/>
            <w:vMerge/>
            <w:tcBorders>
              <w:top w:val="nil"/>
            </w:tcBorders>
          </w:tcPr>
          <w:p>
            <w:pPr>
              <w:rPr>
                <w:sz w:val="2"/>
                <w:szCs w:val="2"/>
              </w:rPr>
            </w:pPr>
          </w:p>
        </w:tc>
        <w:tc>
          <w:tcPr>
            <w:tcW w:w="822" w:type="dxa"/>
          </w:tcPr>
          <w:p>
            <w:pPr>
              <w:pStyle w:val="TableParagraph"/>
              <w:spacing w:before="59"/>
              <w:ind w:left="152" w:right="144"/>
              <w:rPr>
                <w:rFonts w:ascii="Times New Roman"/>
                <w:sz w:val="21"/>
              </w:rPr>
            </w:pPr>
            <w:r>
              <w:rPr>
                <w:rFonts w:ascii="Times New Roman"/>
                <w:sz w:val="21"/>
              </w:rPr>
              <w:t>5m</w:t>
            </w:r>
          </w:p>
        </w:tc>
        <w:tc>
          <w:tcPr>
            <w:tcW w:w="783" w:type="dxa"/>
          </w:tcPr>
          <w:p>
            <w:pPr>
              <w:pStyle w:val="TableParagraph"/>
              <w:spacing w:before="59"/>
              <w:ind w:left="205"/>
              <w:jc w:val="left"/>
              <w:rPr>
                <w:rFonts w:ascii="Times New Roman"/>
                <w:sz w:val="21"/>
              </w:rPr>
            </w:pPr>
            <w:r>
              <w:rPr>
                <w:rFonts w:ascii="Times New Roman"/>
                <w:sz w:val="21"/>
              </w:rPr>
              <w:t>10m</w:t>
            </w:r>
          </w:p>
        </w:tc>
        <w:tc>
          <w:tcPr>
            <w:tcW w:w="774" w:type="dxa"/>
          </w:tcPr>
          <w:p>
            <w:pPr>
              <w:pStyle w:val="TableParagraph"/>
              <w:spacing w:before="59"/>
              <w:ind w:left="200"/>
              <w:jc w:val="left"/>
              <w:rPr>
                <w:rFonts w:ascii="Times New Roman"/>
                <w:sz w:val="21"/>
              </w:rPr>
            </w:pPr>
            <w:r>
              <w:rPr>
                <w:rFonts w:ascii="Times New Roman"/>
                <w:sz w:val="21"/>
              </w:rPr>
              <w:t>20m</w:t>
            </w:r>
          </w:p>
        </w:tc>
        <w:tc>
          <w:tcPr>
            <w:tcW w:w="774" w:type="dxa"/>
          </w:tcPr>
          <w:p>
            <w:pPr>
              <w:pStyle w:val="TableParagraph"/>
              <w:spacing w:before="59"/>
              <w:ind w:right="189"/>
              <w:jc w:val="right"/>
              <w:rPr>
                <w:rFonts w:ascii="Times New Roman"/>
                <w:sz w:val="21"/>
              </w:rPr>
            </w:pPr>
            <w:r>
              <w:rPr>
                <w:rFonts w:ascii="Times New Roman"/>
                <w:sz w:val="21"/>
              </w:rPr>
              <w:t>40m</w:t>
            </w:r>
          </w:p>
        </w:tc>
        <w:tc>
          <w:tcPr>
            <w:tcW w:w="822" w:type="dxa"/>
          </w:tcPr>
          <w:p>
            <w:pPr>
              <w:pStyle w:val="TableParagraph"/>
              <w:spacing w:before="59"/>
              <w:ind w:right="212"/>
              <w:jc w:val="right"/>
              <w:rPr>
                <w:rFonts w:ascii="Times New Roman"/>
                <w:sz w:val="21"/>
              </w:rPr>
            </w:pPr>
            <w:r>
              <w:rPr>
                <w:rFonts w:ascii="Times New Roman"/>
                <w:sz w:val="21"/>
              </w:rPr>
              <w:t>50m</w:t>
            </w:r>
          </w:p>
        </w:tc>
        <w:tc>
          <w:tcPr>
            <w:tcW w:w="812" w:type="dxa"/>
          </w:tcPr>
          <w:p>
            <w:pPr>
              <w:pStyle w:val="TableParagraph"/>
              <w:spacing w:before="59"/>
              <w:ind w:left="218"/>
              <w:jc w:val="left"/>
              <w:rPr>
                <w:rFonts w:ascii="Times New Roman"/>
                <w:sz w:val="21"/>
              </w:rPr>
            </w:pPr>
            <w:r>
              <w:rPr>
                <w:rFonts w:ascii="Times New Roman"/>
                <w:sz w:val="21"/>
              </w:rPr>
              <w:t>80m</w:t>
            </w:r>
          </w:p>
        </w:tc>
        <w:tc>
          <w:tcPr>
            <w:tcW w:w="774" w:type="dxa"/>
          </w:tcPr>
          <w:p>
            <w:pPr>
              <w:pStyle w:val="TableParagraph"/>
              <w:spacing w:before="59"/>
              <w:ind w:left="127" w:right="117"/>
              <w:rPr>
                <w:rFonts w:ascii="Times New Roman"/>
                <w:sz w:val="21"/>
              </w:rPr>
            </w:pPr>
            <w:r>
              <w:rPr>
                <w:rFonts w:ascii="Times New Roman"/>
                <w:sz w:val="21"/>
              </w:rPr>
              <w:t>100m</w:t>
            </w:r>
          </w:p>
        </w:tc>
        <w:tc>
          <w:tcPr>
            <w:tcW w:w="784" w:type="dxa"/>
          </w:tcPr>
          <w:p>
            <w:pPr>
              <w:pStyle w:val="TableParagraph"/>
              <w:spacing w:before="59"/>
              <w:ind w:left="132" w:right="122"/>
              <w:rPr>
                <w:rFonts w:ascii="Times New Roman"/>
                <w:sz w:val="21"/>
              </w:rPr>
            </w:pPr>
            <w:r>
              <w:rPr>
                <w:rFonts w:ascii="Times New Roman"/>
                <w:sz w:val="21"/>
              </w:rPr>
              <w:t>200m</w:t>
            </w:r>
          </w:p>
        </w:tc>
      </w:tr>
      <w:tr>
        <w:trPr>
          <w:trHeight w:val="360" w:hRule="atLeast"/>
        </w:trPr>
        <w:tc>
          <w:tcPr>
            <w:tcW w:w="1649" w:type="dxa"/>
          </w:tcPr>
          <w:p>
            <w:pPr>
              <w:pStyle w:val="TableParagraph"/>
              <w:spacing w:before="44"/>
              <w:ind w:left="172" w:right="164"/>
              <w:rPr>
                <w:sz w:val="21"/>
              </w:rPr>
            </w:pPr>
            <w:r>
              <w:rPr>
                <w:sz w:val="21"/>
              </w:rPr>
              <w:t>重型运输车</w:t>
            </w:r>
          </w:p>
        </w:tc>
        <w:tc>
          <w:tcPr>
            <w:tcW w:w="1345" w:type="dxa"/>
          </w:tcPr>
          <w:p>
            <w:pPr>
              <w:pStyle w:val="TableParagraph"/>
              <w:spacing w:before="61"/>
              <w:ind w:left="547" w:right="537"/>
              <w:rPr>
                <w:rFonts w:ascii="Times New Roman"/>
                <w:sz w:val="21"/>
              </w:rPr>
            </w:pPr>
            <w:r>
              <w:rPr>
                <w:rFonts w:ascii="Times New Roman"/>
                <w:sz w:val="21"/>
              </w:rPr>
              <w:t>90</w:t>
            </w:r>
          </w:p>
        </w:tc>
        <w:tc>
          <w:tcPr>
            <w:tcW w:w="822" w:type="dxa"/>
          </w:tcPr>
          <w:p>
            <w:pPr>
              <w:pStyle w:val="TableParagraph"/>
              <w:spacing w:before="61"/>
              <w:ind w:left="154" w:right="144"/>
              <w:rPr>
                <w:rFonts w:ascii="Times New Roman"/>
                <w:sz w:val="21"/>
              </w:rPr>
            </w:pPr>
            <w:r>
              <w:rPr>
                <w:rFonts w:ascii="Times New Roman"/>
                <w:sz w:val="21"/>
              </w:rPr>
              <w:t>76.02</w:t>
            </w:r>
          </w:p>
        </w:tc>
        <w:tc>
          <w:tcPr>
            <w:tcW w:w="783" w:type="dxa"/>
          </w:tcPr>
          <w:p>
            <w:pPr>
              <w:pStyle w:val="TableParagraph"/>
              <w:spacing w:before="61"/>
              <w:ind w:left="155"/>
              <w:jc w:val="left"/>
              <w:rPr>
                <w:rFonts w:ascii="Times New Roman"/>
                <w:sz w:val="21"/>
              </w:rPr>
            </w:pPr>
            <w:r>
              <w:rPr>
                <w:rFonts w:ascii="Times New Roman"/>
                <w:sz w:val="21"/>
              </w:rPr>
              <w:t>70.00</w:t>
            </w:r>
          </w:p>
        </w:tc>
        <w:tc>
          <w:tcPr>
            <w:tcW w:w="774" w:type="dxa"/>
          </w:tcPr>
          <w:p>
            <w:pPr>
              <w:pStyle w:val="TableParagraph"/>
              <w:spacing w:before="61"/>
              <w:ind w:left="149"/>
              <w:jc w:val="left"/>
              <w:rPr>
                <w:rFonts w:ascii="Times New Roman"/>
                <w:sz w:val="21"/>
              </w:rPr>
            </w:pPr>
            <w:r>
              <w:rPr>
                <w:rFonts w:ascii="Times New Roman"/>
                <w:sz w:val="21"/>
              </w:rPr>
              <w:t>63.98</w:t>
            </w:r>
          </w:p>
        </w:tc>
        <w:tc>
          <w:tcPr>
            <w:tcW w:w="774" w:type="dxa"/>
          </w:tcPr>
          <w:p>
            <w:pPr>
              <w:pStyle w:val="TableParagraph"/>
              <w:spacing w:before="61"/>
              <w:ind w:right="136"/>
              <w:jc w:val="right"/>
              <w:rPr>
                <w:rFonts w:ascii="Times New Roman"/>
                <w:sz w:val="21"/>
              </w:rPr>
            </w:pPr>
            <w:r>
              <w:rPr>
                <w:rFonts w:ascii="Times New Roman"/>
                <w:sz w:val="21"/>
              </w:rPr>
              <w:t>57.96</w:t>
            </w:r>
          </w:p>
        </w:tc>
        <w:tc>
          <w:tcPr>
            <w:tcW w:w="822" w:type="dxa"/>
          </w:tcPr>
          <w:p>
            <w:pPr>
              <w:pStyle w:val="TableParagraph"/>
              <w:spacing w:before="61"/>
              <w:ind w:right="162"/>
              <w:jc w:val="right"/>
              <w:rPr>
                <w:rFonts w:ascii="Times New Roman"/>
                <w:sz w:val="21"/>
              </w:rPr>
            </w:pPr>
            <w:r>
              <w:rPr>
                <w:rFonts w:ascii="Times New Roman"/>
                <w:sz w:val="21"/>
              </w:rPr>
              <w:t>56.02</w:t>
            </w:r>
          </w:p>
        </w:tc>
        <w:tc>
          <w:tcPr>
            <w:tcW w:w="812" w:type="dxa"/>
          </w:tcPr>
          <w:p>
            <w:pPr>
              <w:pStyle w:val="TableParagraph"/>
              <w:spacing w:before="61"/>
              <w:ind w:left="170"/>
              <w:jc w:val="left"/>
              <w:rPr>
                <w:rFonts w:ascii="Times New Roman"/>
                <w:sz w:val="21"/>
              </w:rPr>
            </w:pPr>
            <w:r>
              <w:rPr>
                <w:rFonts w:ascii="Times New Roman"/>
                <w:sz w:val="21"/>
              </w:rPr>
              <w:t>51.94</w:t>
            </w:r>
          </w:p>
        </w:tc>
        <w:tc>
          <w:tcPr>
            <w:tcW w:w="774" w:type="dxa"/>
          </w:tcPr>
          <w:p>
            <w:pPr>
              <w:pStyle w:val="TableParagraph"/>
              <w:spacing w:before="61"/>
              <w:ind w:left="127" w:right="117"/>
              <w:rPr>
                <w:rFonts w:ascii="Times New Roman"/>
                <w:sz w:val="21"/>
              </w:rPr>
            </w:pPr>
            <w:r>
              <w:rPr>
                <w:rFonts w:ascii="Times New Roman"/>
                <w:sz w:val="21"/>
              </w:rPr>
              <w:t>50.00</w:t>
            </w:r>
          </w:p>
        </w:tc>
        <w:tc>
          <w:tcPr>
            <w:tcW w:w="784" w:type="dxa"/>
          </w:tcPr>
          <w:p>
            <w:pPr>
              <w:pStyle w:val="TableParagraph"/>
              <w:spacing w:before="61"/>
              <w:ind w:left="132" w:right="122"/>
              <w:rPr>
                <w:rFonts w:ascii="Times New Roman"/>
                <w:sz w:val="21"/>
              </w:rPr>
            </w:pPr>
            <w:r>
              <w:rPr>
                <w:rFonts w:ascii="Times New Roman"/>
                <w:sz w:val="21"/>
              </w:rPr>
              <w:t>43.98</w:t>
            </w:r>
          </w:p>
        </w:tc>
      </w:tr>
      <w:tr>
        <w:trPr>
          <w:trHeight w:val="360" w:hRule="atLeast"/>
        </w:trPr>
        <w:tc>
          <w:tcPr>
            <w:tcW w:w="1649" w:type="dxa"/>
          </w:tcPr>
          <w:p>
            <w:pPr>
              <w:pStyle w:val="TableParagraph"/>
              <w:spacing w:before="44"/>
              <w:ind w:left="172" w:right="167"/>
              <w:rPr>
                <w:sz w:val="21"/>
              </w:rPr>
            </w:pPr>
            <w:r>
              <w:rPr>
                <w:sz w:val="21"/>
              </w:rPr>
              <w:t>挖掘机</w:t>
            </w:r>
          </w:p>
        </w:tc>
        <w:tc>
          <w:tcPr>
            <w:tcW w:w="1345" w:type="dxa"/>
          </w:tcPr>
          <w:p>
            <w:pPr>
              <w:pStyle w:val="TableParagraph"/>
              <w:spacing w:before="60"/>
              <w:ind w:left="547" w:right="537"/>
              <w:rPr>
                <w:rFonts w:ascii="Times New Roman"/>
                <w:sz w:val="21"/>
              </w:rPr>
            </w:pPr>
            <w:r>
              <w:rPr>
                <w:rFonts w:ascii="Times New Roman"/>
                <w:sz w:val="21"/>
              </w:rPr>
              <w:t>86</w:t>
            </w:r>
          </w:p>
        </w:tc>
        <w:tc>
          <w:tcPr>
            <w:tcW w:w="822" w:type="dxa"/>
          </w:tcPr>
          <w:p>
            <w:pPr>
              <w:pStyle w:val="TableParagraph"/>
              <w:spacing w:before="60"/>
              <w:ind w:left="154" w:right="144"/>
              <w:rPr>
                <w:rFonts w:ascii="Times New Roman"/>
                <w:sz w:val="21"/>
              </w:rPr>
            </w:pPr>
            <w:r>
              <w:rPr>
                <w:rFonts w:ascii="Times New Roman"/>
                <w:sz w:val="21"/>
              </w:rPr>
              <w:t>48.38</w:t>
            </w:r>
          </w:p>
        </w:tc>
        <w:tc>
          <w:tcPr>
            <w:tcW w:w="783" w:type="dxa"/>
          </w:tcPr>
          <w:p>
            <w:pPr>
              <w:pStyle w:val="TableParagraph"/>
              <w:spacing w:before="60"/>
              <w:ind w:left="155"/>
              <w:jc w:val="left"/>
              <w:rPr>
                <w:rFonts w:ascii="Times New Roman"/>
                <w:sz w:val="21"/>
              </w:rPr>
            </w:pPr>
            <w:r>
              <w:rPr>
                <w:rFonts w:ascii="Times New Roman"/>
                <w:sz w:val="21"/>
              </w:rPr>
              <w:t>49.10</w:t>
            </w:r>
          </w:p>
        </w:tc>
        <w:tc>
          <w:tcPr>
            <w:tcW w:w="774" w:type="dxa"/>
          </w:tcPr>
          <w:p>
            <w:pPr>
              <w:pStyle w:val="TableParagraph"/>
              <w:spacing w:before="60"/>
              <w:ind w:left="149"/>
              <w:jc w:val="left"/>
              <w:rPr>
                <w:rFonts w:ascii="Times New Roman"/>
                <w:sz w:val="21"/>
              </w:rPr>
            </w:pPr>
            <w:r>
              <w:rPr>
                <w:rFonts w:ascii="Times New Roman"/>
                <w:sz w:val="21"/>
              </w:rPr>
              <w:t>49.88</w:t>
            </w:r>
          </w:p>
        </w:tc>
        <w:tc>
          <w:tcPr>
            <w:tcW w:w="774" w:type="dxa"/>
          </w:tcPr>
          <w:p>
            <w:pPr>
              <w:pStyle w:val="TableParagraph"/>
              <w:spacing w:before="60"/>
              <w:ind w:right="136"/>
              <w:jc w:val="right"/>
              <w:rPr>
                <w:rFonts w:ascii="Times New Roman"/>
                <w:sz w:val="21"/>
              </w:rPr>
            </w:pPr>
            <w:r>
              <w:rPr>
                <w:rFonts w:ascii="Times New Roman"/>
                <w:sz w:val="21"/>
              </w:rPr>
              <w:t>50.74</w:t>
            </w:r>
          </w:p>
        </w:tc>
        <w:tc>
          <w:tcPr>
            <w:tcW w:w="822" w:type="dxa"/>
          </w:tcPr>
          <w:p>
            <w:pPr>
              <w:pStyle w:val="TableParagraph"/>
              <w:spacing w:before="60"/>
              <w:ind w:right="162"/>
              <w:jc w:val="right"/>
              <w:rPr>
                <w:rFonts w:ascii="Times New Roman"/>
                <w:sz w:val="21"/>
              </w:rPr>
            </w:pPr>
            <w:r>
              <w:rPr>
                <w:rFonts w:ascii="Times New Roman"/>
                <w:sz w:val="21"/>
              </w:rPr>
              <w:t>51.03</w:t>
            </w:r>
          </w:p>
        </w:tc>
        <w:tc>
          <w:tcPr>
            <w:tcW w:w="812" w:type="dxa"/>
          </w:tcPr>
          <w:p>
            <w:pPr>
              <w:pStyle w:val="TableParagraph"/>
              <w:spacing w:before="60"/>
              <w:ind w:left="170"/>
              <w:jc w:val="left"/>
              <w:rPr>
                <w:rFonts w:ascii="Times New Roman"/>
                <w:sz w:val="21"/>
              </w:rPr>
            </w:pPr>
            <w:r>
              <w:rPr>
                <w:rFonts w:ascii="Times New Roman"/>
                <w:sz w:val="21"/>
              </w:rPr>
              <w:t>51.69</w:t>
            </w:r>
          </w:p>
        </w:tc>
        <w:tc>
          <w:tcPr>
            <w:tcW w:w="774" w:type="dxa"/>
          </w:tcPr>
          <w:p>
            <w:pPr>
              <w:pStyle w:val="TableParagraph"/>
              <w:spacing w:before="60"/>
              <w:ind w:left="127" w:right="117"/>
              <w:rPr>
                <w:rFonts w:ascii="Times New Roman"/>
                <w:sz w:val="21"/>
              </w:rPr>
            </w:pPr>
            <w:r>
              <w:rPr>
                <w:rFonts w:ascii="Times New Roman"/>
                <w:sz w:val="21"/>
              </w:rPr>
              <w:t>52.02</w:t>
            </w:r>
          </w:p>
        </w:tc>
        <w:tc>
          <w:tcPr>
            <w:tcW w:w="784" w:type="dxa"/>
          </w:tcPr>
          <w:p>
            <w:pPr>
              <w:pStyle w:val="TableParagraph"/>
              <w:spacing w:before="60"/>
              <w:ind w:left="132" w:right="122"/>
              <w:rPr>
                <w:rFonts w:ascii="Times New Roman"/>
                <w:sz w:val="21"/>
              </w:rPr>
            </w:pPr>
            <w:r>
              <w:rPr>
                <w:rFonts w:ascii="Times New Roman"/>
                <w:sz w:val="21"/>
              </w:rPr>
              <w:t>53.14</w:t>
            </w:r>
          </w:p>
        </w:tc>
      </w:tr>
      <w:tr>
        <w:trPr>
          <w:trHeight w:val="360" w:hRule="atLeast"/>
        </w:trPr>
        <w:tc>
          <w:tcPr>
            <w:tcW w:w="1649" w:type="dxa"/>
          </w:tcPr>
          <w:p>
            <w:pPr>
              <w:pStyle w:val="TableParagraph"/>
              <w:spacing w:before="44"/>
              <w:ind w:left="172" w:right="167"/>
              <w:rPr>
                <w:sz w:val="21"/>
              </w:rPr>
            </w:pPr>
            <w:r>
              <w:rPr>
                <w:sz w:val="21"/>
              </w:rPr>
              <w:t>推土机</w:t>
            </w:r>
          </w:p>
        </w:tc>
        <w:tc>
          <w:tcPr>
            <w:tcW w:w="1345" w:type="dxa"/>
          </w:tcPr>
          <w:p>
            <w:pPr>
              <w:pStyle w:val="TableParagraph"/>
              <w:spacing w:before="60"/>
              <w:ind w:left="547" w:right="537"/>
              <w:rPr>
                <w:rFonts w:ascii="Times New Roman"/>
                <w:sz w:val="21"/>
              </w:rPr>
            </w:pPr>
            <w:r>
              <w:rPr>
                <w:rFonts w:ascii="Times New Roman"/>
                <w:sz w:val="21"/>
              </w:rPr>
              <w:t>88</w:t>
            </w:r>
          </w:p>
        </w:tc>
        <w:tc>
          <w:tcPr>
            <w:tcW w:w="822" w:type="dxa"/>
          </w:tcPr>
          <w:p>
            <w:pPr>
              <w:pStyle w:val="TableParagraph"/>
              <w:spacing w:before="60"/>
              <w:ind w:left="154" w:right="144"/>
              <w:rPr>
                <w:rFonts w:ascii="Times New Roman"/>
                <w:sz w:val="21"/>
              </w:rPr>
            </w:pPr>
            <w:r>
              <w:rPr>
                <w:rFonts w:ascii="Times New Roman"/>
                <w:sz w:val="21"/>
              </w:rPr>
              <w:t>54.31</w:t>
            </w:r>
          </w:p>
        </w:tc>
        <w:tc>
          <w:tcPr>
            <w:tcW w:w="783" w:type="dxa"/>
          </w:tcPr>
          <w:p>
            <w:pPr>
              <w:pStyle w:val="TableParagraph"/>
              <w:spacing w:before="60"/>
              <w:ind w:left="155"/>
              <w:jc w:val="left"/>
              <w:rPr>
                <w:rFonts w:ascii="Times New Roman"/>
                <w:sz w:val="21"/>
              </w:rPr>
            </w:pPr>
            <w:r>
              <w:rPr>
                <w:rFonts w:ascii="Times New Roman"/>
                <w:sz w:val="21"/>
              </w:rPr>
              <w:t>54.18</w:t>
            </w:r>
          </w:p>
        </w:tc>
        <w:tc>
          <w:tcPr>
            <w:tcW w:w="774" w:type="dxa"/>
          </w:tcPr>
          <w:p>
            <w:pPr>
              <w:pStyle w:val="TableParagraph"/>
              <w:spacing w:before="60"/>
              <w:ind w:left="149"/>
              <w:jc w:val="left"/>
              <w:rPr>
                <w:rFonts w:ascii="Times New Roman"/>
                <w:sz w:val="21"/>
              </w:rPr>
            </w:pPr>
            <w:r>
              <w:rPr>
                <w:rFonts w:ascii="Times New Roman"/>
                <w:sz w:val="21"/>
              </w:rPr>
              <w:t>54.04</w:t>
            </w:r>
          </w:p>
        </w:tc>
        <w:tc>
          <w:tcPr>
            <w:tcW w:w="774" w:type="dxa"/>
          </w:tcPr>
          <w:p>
            <w:pPr>
              <w:pStyle w:val="TableParagraph"/>
              <w:spacing w:before="60"/>
              <w:ind w:right="136"/>
              <w:jc w:val="right"/>
              <w:rPr>
                <w:rFonts w:ascii="Times New Roman"/>
                <w:sz w:val="21"/>
              </w:rPr>
            </w:pPr>
            <w:r>
              <w:rPr>
                <w:rFonts w:ascii="Times New Roman"/>
                <w:sz w:val="21"/>
              </w:rPr>
              <w:t>53.89</w:t>
            </w:r>
          </w:p>
        </w:tc>
        <w:tc>
          <w:tcPr>
            <w:tcW w:w="822" w:type="dxa"/>
          </w:tcPr>
          <w:p>
            <w:pPr>
              <w:pStyle w:val="TableParagraph"/>
              <w:spacing w:before="60"/>
              <w:ind w:right="162"/>
              <w:jc w:val="right"/>
              <w:rPr>
                <w:rFonts w:ascii="Times New Roman"/>
                <w:sz w:val="21"/>
              </w:rPr>
            </w:pPr>
            <w:r>
              <w:rPr>
                <w:rFonts w:ascii="Times New Roman"/>
                <w:sz w:val="21"/>
              </w:rPr>
              <w:t>53.84</w:t>
            </w:r>
          </w:p>
        </w:tc>
        <w:tc>
          <w:tcPr>
            <w:tcW w:w="812" w:type="dxa"/>
          </w:tcPr>
          <w:p>
            <w:pPr>
              <w:pStyle w:val="TableParagraph"/>
              <w:spacing w:before="60"/>
              <w:ind w:left="170"/>
              <w:jc w:val="left"/>
              <w:rPr>
                <w:rFonts w:ascii="Times New Roman"/>
                <w:sz w:val="21"/>
              </w:rPr>
            </w:pPr>
            <w:r>
              <w:rPr>
                <w:rFonts w:ascii="Times New Roman"/>
                <w:sz w:val="21"/>
              </w:rPr>
              <w:t>53.73</w:t>
            </w:r>
          </w:p>
        </w:tc>
        <w:tc>
          <w:tcPr>
            <w:tcW w:w="774" w:type="dxa"/>
          </w:tcPr>
          <w:p>
            <w:pPr>
              <w:pStyle w:val="TableParagraph"/>
              <w:spacing w:before="60"/>
              <w:ind w:left="127" w:right="117"/>
              <w:rPr>
                <w:rFonts w:ascii="Times New Roman"/>
                <w:sz w:val="21"/>
              </w:rPr>
            </w:pPr>
            <w:r>
              <w:rPr>
                <w:rFonts w:ascii="Times New Roman"/>
                <w:sz w:val="21"/>
              </w:rPr>
              <w:t>53.68</w:t>
            </w:r>
          </w:p>
        </w:tc>
        <w:tc>
          <w:tcPr>
            <w:tcW w:w="784" w:type="dxa"/>
          </w:tcPr>
          <w:p>
            <w:pPr>
              <w:pStyle w:val="TableParagraph"/>
              <w:spacing w:before="60"/>
              <w:ind w:left="132" w:right="122"/>
              <w:rPr>
                <w:rFonts w:ascii="Times New Roman"/>
                <w:sz w:val="21"/>
              </w:rPr>
            </w:pPr>
            <w:r>
              <w:rPr>
                <w:rFonts w:ascii="Times New Roman"/>
                <w:sz w:val="21"/>
              </w:rPr>
              <w:t>53.49</w:t>
            </w:r>
          </w:p>
        </w:tc>
      </w:tr>
      <w:tr>
        <w:trPr>
          <w:trHeight w:val="360" w:hRule="atLeast"/>
        </w:trPr>
        <w:tc>
          <w:tcPr>
            <w:tcW w:w="1649" w:type="dxa"/>
          </w:tcPr>
          <w:p>
            <w:pPr>
              <w:pStyle w:val="TableParagraph"/>
              <w:spacing w:before="46"/>
              <w:ind w:left="172" w:right="167"/>
              <w:rPr>
                <w:sz w:val="21"/>
              </w:rPr>
            </w:pPr>
            <w:r>
              <w:rPr>
                <w:sz w:val="21"/>
              </w:rPr>
              <w:t>空压机</w:t>
            </w:r>
          </w:p>
        </w:tc>
        <w:tc>
          <w:tcPr>
            <w:tcW w:w="1345" w:type="dxa"/>
          </w:tcPr>
          <w:p>
            <w:pPr>
              <w:pStyle w:val="TableParagraph"/>
              <w:spacing w:before="60"/>
              <w:ind w:left="547" w:right="537"/>
              <w:rPr>
                <w:rFonts w:ascii="Times New Roman"/>
                <w:sz w:val="21"/>
              </w:rPr>
            </w:pPr>
            <w:r>
              <w:rPr>
                <w:rFonts w:ascii="Times New Roman"/>
                <w:sz w:val="21"/>
              </w:rPr>
              <w:t>92</w:t>
            </w:r>
          </w:p>
        </w:tc>
        <w:tc>
          <w:tcPr>
            <w:tcW w:w="822" w:type="dxa"/>
          </w:tcPr>
          <w:p>
            <w:pPr>
              <w:pStyle w:val="TableParagraph"/>
              <w:spacing w:before="60"/>
              <w:ind w:left="154" w:right="144"/>
              <w:rPr>
                <w:rFonts w:ascii="Times New Roman"/>
                <w:sz w:val="21"/>
              </w:rPr>
            </w:pPr>
            <w:r>
              <w:rPr>
                <w:rFonts w:ascii="Times New Roman"/>
                <w:sz w:val="21"/>
              </w:rPr>
              <w:t>57.30</w:t>
            </w:r>
          </w:p>
        </w:tc>
        <w:tc>
          <w:tcPr>
            <w:tcW w:w="783" w:type="dxa"/>
          </w:tcPr>
          <w:p>
            <w:pPr>
              <w:pStyle w:val="TableParagraph"/>
              <w:spacing w:before="60"/>
              <w:ind w:left="155"/>
              <w:jc w:val="left"/>
              <w:rPr>
                <w:rFonts w:ascii="Times New Roman"/>
                <w:sz w:val="21"/>
              </w:rPr>
            </w:pPr>
            <w:r>
              <w:rPr>
                <w:rFonts w:ascii="Times New Roman"/>
                <w:sz w:val="21"/>
              </w:rPr>
              <w:t>57.32</w:t>
            </w:r>
          </w:p>
        </w:tc>
        <w:tc>
          <w:tcPr>
            <w:tcW w:w="774" w:type="dxa"/>
          </w:tcPr>
          <w:p>
            <w:pPr>
              <w:pStyle w:val="TableParagraph"/>
              <w:spacing w:before="60"/>
              <w:ind w:left="149"/>
              <w:jc w:val="left"/>
              <w:rPr>
                <w:rFonts w:ascii="Times New Roman"/>
                <w:sz w:val="21"/>
              </w:rPr>
            </w:pPr>
            <w:r>
              <w:rPr>
                <w:rFonts w:ascii="Times New Roman"/>
                <w:sz w:val="21"/>
              </w:rPr>
              <w:t>57.35</w:t>
            </w:r>
          </w:p>
        </w:tc>
        <w:tc>
          <w:tcPr>
            <w:tcW w:w="774" w:type="dxa"/>
          </w:tcPr>
          <w:p>
            <w:pPr>
              <w:pStyle w:val="TableParagraph"/>
              <w:spacing w:before="60"/>
              <w:ind w:right="136"/>
              <w:jc w:val="right"/>
              <w:rPr>
                <w:rFonts w:ascii="Times New Roman"/>
                <w:sz w:val="21"/>
              </w:rPr>
            </w:pPr>
            <w:r>
              <w:rPr>
                <w:rFonts w:ascii="Times New Roman"/>
                <w:sz w:val="21"/>
              </w:rPr>
              <w:t>57.37</w:t>
            </w:r>
          </w:p>
        </w:tc>
        <w:tc>
          <w:tcPr>
            <w:tcW w:w="822" w:type="dxa"/>
          </w:tcPr>
          <w:p>
            <w:pPr>
              <w:pStyle w:val="TableParagraph"/>
              <w:spacing w:before="60"/>
              <w:ind w:right="162"/>
              <w:jc w:val="right"/>
              <w:rPr>
                <w:rFonts w:ascii="Times New Roman"/>
                <w:sz w:val="21"/>
              </w:rPr>
            </w:pPr>
            <w:r>
              <w:rPr>
                <w:rFonts w:ascii="Times New Roman"/>
                <w:sz w:val="21"/>
              </w:rPr>
              <w:t>57.38</w:t>
            </w:r>
          </w:p>
        </w:tc>
        <w:tc>
          <w:tcPr>
            <w:tcW w:w="812" w:type="dxa"/>
          </w:tcPr>
          <w:p>
            <w:pPr>
              <w:pStyle w:val="TableParagraph"/>
              <w:spacing w:before="60"/>
              <w:ind w:left="170"/>
              <w:jc w:val="left"/>
              <w:rPr>
                <w:rFonts w:ascii="Times New Roman"/>
                <w:sz w:val="21"/>
              </w:rPr>
            </w:pPr>
            <w:r>
              <w:rPr>
                <w:rFonts w:ascii="Times New Roman"/>
                <w:sz w:val="21"/>
              </w:rPr>
              <w:t>57.40</w:t>
            </w:r>
          </w:p>
        </w:tc>
        <w:tc>
          <w:tcPr>
            <w:tcW w:w="774" w:type="dxa"/>
          </w:tcPr>
          <w:p>
            <w:pPr>
              <w:pStyle w:val="TableParagraph"/>
              <w:spacing w:before="60"/>
              <w:ind w:left="127" w:right="117"/>
              <w:rPr>
                <w:rFonts w:ascii="Times New Roman"/>
                <w:sz w:val="21"/>
              </w:rPr>
            </w:pPr>
            <w:r>
              <w:rPr>
                <w:rFonts w:ascii="Times New Roman"/>
                <w:sz w:val="21"/>
              </w:rPr>
              <w:t>57.40</w:t>
            </w:r>
          </w:p>
        </w:tc>
        <w:tc>
          <w:tcPr>
            <w:tcW w:w="784" w:type="dxa"/>
          </w:tcPr>
          <w:p>
            <w:pPr>
              <w:pStyle w:val="TableParagraph"/>
              <w:spacing w:before="60"/>
              <w:ind w:left="132" w:right="122"/>
              <w:rPr>
                <w:rFonts w:ascii="Times New Roman"/>
                <w:sz w:val="21"/>
              </w:rPr>
            </w:pPr>
            <w:r>
              <w:rPr>
                <w:rFonts w:ascii="Times New Roman"/>
                <w:sz w:val="21"/>
              </w:rPr>
              <w:t>57.43</w:t>
            </w:r>
          </w:p>
        </w:tc>
      </w:tr>
      <w:tr>
        <w:trPr>
          <w:trHeight w:val="360" w:hRule="atLeast"/>
        </w:trPr>
        <w:tc>
          <w:tcPr>
            <w:tcW w:w="1649" w:type="dxa"/>
          </w:tcPr>
          <w:p>
            <w:pPr>
              <w:pStyle w:val="TableParagraph"/>
              <w:spacing w:before="45"/>
              <w:ind w:left="172" w:right="167"/>
              <w:rPr>
                <w:sz w:val="21"/>
              </w:rPr>
            </w:pPr>
            <w:r>
              <w:rPr>
                <w:sz w:val="21"/>
              </w:rPr>
              <w:t>混凝土振捣器</w:t>
            </w:r>
          </w:p>
        </w:tc>
        <w:tc>
          <w:tcPr>
            <w:tcW w:w="1345" w:type="dxa"/>
          </w:tcPr>
          <w:p>
            <w:pPr>
              <w:pStyle w:val="TableParagraph"/>
              <w:spacing w:before="59"/>
              <w:ind w:left="547" w:right="537"/>
              <w:rPr>
                <w:rFonts w:ascii="Times New Roman"/>
                <w:sz w:val="21"/>
              </w:rPr>
            </w:pPr>
            <w:r>
              <w:rPr>
                <w:rFonts w:ascii="Times New Roman"/>
                <w:sz w:val="21"/>
              </w:rPr>
              <w:t>88</w:t>
            </w:r>
          </w:p>
        </w:tc>
        <w:tc>
          <w:tcPr>
            <w:tcW w:w="822" w:type="dxa"/>
          </w:tcPr>
          <w:p>
            <w:pPr>
              <w:pStyle w:val="TableParagraph"/>
              <w:spacing w:before="59"/>
              <w:ind w:left="154" w:right="144"/>
              <w:rPr>
                <w:rFonts w:ascii="Times New Roman"/>
                <w:sz w:val="21"/>
              </w:rPr>
            </w:pPr>
            <w:r>
              <w:rPr>
                <w:rFonts w:ascii="Times New Roman"/>
                <w:sz w:val="21"/>
              </w:rPr>
              <w:t>52.84</w:t>
            </w:r>
          </w:p>
        </w:tc>
        <w:tc>
          <w:tcPr>
            <w:tcW w:w="783" w:type="dxa"/>
          </w:tcPr>
          <w:p>
            <w:pPr>
              <w:pStyle w:val="TableParagraph"/>
              <w:spacing w:before="59"/>
              <w:ind w:left="155"/>
              <w:jc w:val="left"/>
              <w:rPr>
                <w:rFonts w:ascii="Times New Roman"/>
                <w:sz w:val="21"/>
              </w:rPr>
            </w:pPr>
            <w:r>
              <w:rPr>
                <w:rFonts w:ascii="Times New Roman"/>
                <w:sz w:val="21"/>
              </w:rPr>
              <w:t>52.83</w:t>
            </w:r>
          </w:p>
        </w:tc>
        <w:tc>
          <w:tcPr>
            <w:tcW w:w="774" w:type="dxa"/>
          </w:tcPr>
          <w:p>
            <w:pPr>
              <w:pStyle w:val="TableParagraph"/>
              <w:spacing w:before="59"/>
              <w:ind w:left="149"/>
              <w:jc w:val="left"/>
              <w:rPr>
                <w:rFonts w:ascii="Times New Roman"/>
                <w:sz w:val="21"/>
              </w:rPr>
            </w:pPr>
            <w:r>
              <w:rPr>
                <w:rFonts w:ascii="Times New Roman"/>
                <w:sz w:val="21"/>
              </w:rPr>
              <w:t>52.83</w:t>
            </w:r>
          </w:p>
        </w:tc>
        <w:tc>
          <w:tcPr>
            <w:tcW w:w="774" w:type="dxa"/>
          </w:tcPr>
          <w:p>
            <w:pPr>
              <w:pStyle w:val="TableParagraph"/>
              <w:spacing w:before="59"/>
              <w:ind w:right="136"/>
              <w:jc w:val="right"/>
              <w:rPr>
                <w:rFonts w:ascii="Times New Roman"/>
                <w:sz w:val="21"/>
              </w:rPr>
            </w:pPr>
            <w:r>
              <w:rPr>
                <w:rFonts w:ascii="Times New Roman"/>
                <w:sz w:val="21"/>
              </w:rPr>
              <w:t>52.83</w:t>
            </w:r>
          </w:p>
        </w:tc>
        <w:tc>
          <w:tcPr>
            <w:tcW w:w="822" w:type="dxa"/>
          </w:tcPr>
          <w:p>
            <w:pPr>
              <w:pStyle w:val="TableParagraph"/>
              <w:spacing w:before="59"/>
              <w:ind w:right="162"/>
              <w:jc w:val="right"/>
              <w:rPr>
                <w:rFonts w:ascii="Times New Roman"/>
                <w:sz w:val="21"/>
              </w:rPr>
            </w:pPr>
            <w:r>
              <w:rPr>
                <w:rFonts w:ascii="Times New Roman"/>
                <w:sz w:val="21"/>
              </w:rPr>
              <w:t>52.83</w:t>
            </w:r>
          </w:p>
        </w:tc>
        <w:tc>
          <w:tcPr>
            <w:tcW w:w="812" w:type="dxa"/>
          </w:tcPr>
          <w:p>
            <w:pPr>
              <w:pStyle w:val="TableParagraph"/>
              <w:spacing w:before="59"/>
              <w:ind w:left="170"/>
              <w:jc w:val="left"/>
              <w:rPr>
                <w:rFonts w:ascii="Times New Roman"/>
                <w:sz w:val="21"/>
              </w:rPr>
            </w:pPr>
            <w:r>
              <w:rPr>
                <w:rFonts w:ascii="Times New Roman"/>
                <w:sz w:val="21"/>
              </w:rPr>
              <w:t>52.82</w:t>
            </w:r>
          </w:p>
        </w:tc>
        <w:tc>
          <w:tcPr>
            <w:tcW w:w="774" w:type="dxa"/>
          </w:tcPr>
          <w:p>
            <w:pPr>
              <w:pStyle w:val="TableParagraph"/>
              <w:spacing w:before="59"/>
              <w:ind w:left="127" w:right="117"/>
              <w:rPr>
                <w:rFonts w:ascii="Times New Roman"/>
                <w:sz w:val="21"/>
              </w:rPr>
            </w:pPr>
            <w:r>
              <w:rPr>
                <w:rFonts w:ascii="Times New Roman"/>
                <w:sz w:val="21"/>
              </w:rPr>
              <w:t>52.82</w:t>
            </w:r>
          </w:p>
        </w:tc>
        <w:tc>
          <w:tcPr>
            <w:tcW w:w="784" w:type="dxa"/>
          </w:tcPr>
          <w:p>
            <w:pPr>
              <w:pStyle w:val="TableParagraph"/>
              <w:spacing w:before="59"/>
              <w:ind w:left="132" w:right="122"/>
              <w:rPr>
                <w:rFonts w:ascii="Times New Roman"/>
                <w:sz w:val="21"/>
              </w:rPr>
            </w:pPr>
            <w:r>
              <w:rPr>
                <w:rFonts w:ascii="Times New Roman"/>
                <w:sz w:val="21"/>
              </w:rPr>
              <w:t>52.82</w:t>
            </w:r>
          </w:p>
        </w:tc>
      </w:tr>
      <w:tr>
        <w:trPr>
          <w:trHeight w:val="360" w:hRule="atLeast"/>
        </w:trPr>
        <w:tc>
          <w:tcPr>
            <w:tcW w:w="1649" w:type="dxa"/>
          </w:tcPr>
          <w:p>
            <w:pPr>
              <w:pStyle w:val="TableParagraph"/>
              <w:spacing w:before="45"/>
              <w:ind w:left="172" w:right="167"/>
              <w:rPr>
                <w:sz w:val="21"/>
              </w:rPr>
            </w:pPr>
            <w:r>
              <w:rPr>
                <w:sz w:val="21"/>
              </w:rPr>
              <w:t>压路机</w:t>
            </w:r>
          </w:p>
        </w:tc>
        <w:tc>
          <w:tcPr>
            <w:tcW w:w="1345" w:type="dxa"/>
          </w:tcPr>
          <w:p>
            <w:pPr>
              <w:pStyle w:val="TableParagraph"/>
              <w:spacing w:before="59"/>
              <w:ind w:left="547" w:right="537"/>
              <w:rPr>
                <w:rFonts w:ascii="Times New Roman"/>
                <w:sz w:val="21"/>
              </w:rPr>
            </w:pPr>
            <w:r>
              <w:rPr>
                <w:rFonts w:ascii="Times New Roman"/>
                <w:sz w:val="21"/>
              </w:rPr>
              <w:t>90</w:t>
            </w:r>
          </w:p>
        </w:tc>
        <w:tc>
          <w:tcPr>
            <w:tcW w:w="822" w:type="dxa"/>
          </w:tcPr>
          <w:p>
            <w:pPr>
              <w:pStyle w:val="TableParagraph"/>
              <w:spacing w:before="59"/>
              <w:ind w:left="154" w:right="144"/>
              <w:rPr>
                <w:rFonts w:ascii="Times New Roman"/>
                <w:sz w:val="21"/>
              </w:rPr>
            </w:pPr>
            <w:r>
              <w:rPr>
                <w:rFonts w:ascii="Times New Roman"/>
                <w:sz w:val="21"/>
              </w:rPr>
              <w:t>55.54</w:t>
            </w:r>
          </w:p>
        </w:tc>
        <w:tc>
          <w:tcPr>
            <w:tcW w:w="783" w:type="dxa"/>
          </w:tcPr>
          <w:p>
            <w:pPr>
              <w:pStyle w:val="TableParagraph"/>
              <w:spacing w:before="59"/>
              <w:ind w:left="155"/>
              <w:jc w:val="left"/>
              <w:rPr>
                <w:rFonts w:ascii="Times New Roman"/>
                <w:sz w:val="21"/>
              </w:rPr>
            </w:pPr>
            <w:r>
              <w:rPr>
                <w:rFonts w:ascii="Times New Roman"/>
                <w:sz w:val="21"/>
              </w:rPr>
              <w:t>55.54</w:t>
            </w:r>
          </w:p>
        </w:tc>
        <w:tc>
          <w:tcPr>
            <w:tcW w:w="774" w:type="dxa"/>
          </w:tcPr>
          <w:p>
            <w:pPr>
              <w:pStyle w:val="TableParagraph"/>
              <w:spacing w:before="59"/>
              <w:ind w:left="149"/>
              <w:jc w:val="left"/>
              <w:rPr>
                <w:rFonts w:ascii="Times New Roman"/>
                <w:sz w:val="21"/>
              </w:rPr>
            </w:pPr>
            <w:r>
              <w:rPr>
                <w:rFonts w:ascii="Times New Roman"/>
                <w:sz w:val="21"/>
              </w:rPr>
              <w:t>55.54</w:t>
            </w:r>
          </w:p>
        </w:tc>
        <w:tc>
          <w:tcPr>
            <w:tcW w:w="774" w:type="dxa"/>
          </w:tcPr>
          <w:p>
            <w:pPr>
              <w:pStyle w:val="TableParagraph"/>
              <w:spacing w:before="59"/>
              <w:ind w:right="136"/>
              <w:jc w:val="right"/>
              <w:rPr>
                <w:rFonts w:ascii="Times New Roman"/>
                <w:sz w:val="21"/>
              </w:rPr>
            </w:pPr>
            <w:r>
              <w:rPr>
                <w:rFonts w:ascii="Times New Roman"/>
                <w:sz w:val="21"/>
              </w:rPr>
              <w:t>55.54</w:t>
            </w:r>
          </w:p>
        </w:tc>
        <w:tc>
          <w:tcPr>
            <w:tcW w:w="822" w:type="dxa"/>
          </w:tcPr>
          <w:p>
            <w:pPr>
              <w:pStyle w:val="TableParagraph"/>
              <w:spacing w:before="59"/>
              <w:ind w:right="162"/>
              <w:jc w:val="right"/>
              <w:rPr>
                <w:rFonts w:ascii="Times New Roman"/>
                <w:sz w:val="21"/>
              </w:rPr>
            </w:pPr>
            <w:r>
              <w:rPr>
                <w:rFonts w:ascii="Times New Roman"/>
                <w:sz w:val="21"/>
              </w:rPr>
              <w:t>55.54</w:t>
            </w:r>
          </w:p>
        </w:tc>
        <w:tc>
          <w:tcPr>
            <w:tcW w:w="812" w:type="dxa"/>
          </w:tcPr>
          <w:p>
            <w:pPr>
              <w:pStyle w:val="TableParagraph"/>
              <w:spacing w:before="59"/>
              <w:ind w:left="170"/>
              <w:jc w:val="left"/>
              <w:rPr>
                <w:rFonts w:ascii="Times New Roman"/>
                <w:sz w:val="21"/>
              </w:rPr>
            </w:pPr>
            <w:r>
              <w:rPr>
                <w:rFonts w:ascii="Times New Roman"/>
                <w:sz w:val="21"/>
              </w:rPr>
              <w:t>55.54</w:t>
            </w:r>
          </w:p>
        </w:tc>
        <w:tc>
          <w:tcPr>
            <w:tcW w:w="774" w:type="dxa"/>
          </w:tcPr>
          <w:p>
            <w:pPr>
              <w:pStyle w:val="TableParagraph"/>
              <w:spacing w:before="59"/>
              <w:ind w:left="127" w:right="117"/>
              <w:rPr>
                <w:rFonts w:ascii="Times New Roman"/>
                <w:sz w:val="21"/>
              </w:rPr>
            </w:pPr>
            <w:r>
              <w:rPr>
                <w:rFonts w:ascii="Times New Roman"/>
                <w:sz w:val="21"/>
              </w:rPr>
              <w:t>55.54</w:t>
            </w:r>
          </w:p>
        </w:tc>
        <w:tc>
          <w:tcPr>
            <w:tcW w:w="784" w:type="dxa"/>
          </w:tcPr>
          <w:p>
            <w:pPr>
              <w:pStyle w:val="TableParagraph"/>
              <w:spacing w:before="59"/>
              <w:ind w:left="132" w:right="122"/>
              <w:rPr>
                <w:rFonts w:ascii="Times New Roman"/>
                <w:sz w:val="21"/>
              </w:rPr>
            </w:pPr>
            <w:r>
              <w:rPr>
                <w:rFonts w:ascii="Times New Roman"/>
                <w:sz w:val="21"/>
              </w:rPr>
              <w:t>55.54</w:t>
            </w:r>
          </w:p>
        </w:tc>
      </w:tr>
      <w:tr>
        <w:trPr>
          <w:trHeight w:val="360" w:hRule="atLeast"/>
        </w:trPr>
        <w:tc>
          <w:tcPr>
            <w:tcW w:w="1649" w:type="dxa"/>
          </w:tcPr>
          <w:p>
            <w:pPr>
              <w:pStyle w:val="TableParagraph"/>
              <w:spacing w:before="44"/>
              <w:ind w:left="172" w:right="164"/>
              <w:rPr>
                <w:sz w:val="21"/>
              </w:rPr>
            </w:pPr>
            <w:r>
              <w:rPr>
                <w:sz w:val="21"/>
              </w:rPr>
              <w:t>轮式装载机</w:t>
            </w:r>
          </w:p>
        </w:tc>
        <w:tc>
          <w:tcPr>
            <w:tcW w:w="1345" w:type="dxa"/>
          </w:tcPr>
          <w:p>
            <w:pPr>
              <w:pStyle w:val="TableParagraph"/>
              <w:spacing w:before="61"/>
              <w:ind w:left="547" w:right="537"/>
              <w:rPr>
                <w:rFonts w:ascii="Times New Roman"/>
                <w:sz w:val="21"/>
              </w:rPr>
            </w:pPr>
            <w:r>
              <w:rPr>
                <w:rFonts w:ascii="Times New Roman"/>
                <w:sz w:val="21"/>
              </w:rPr>
              <w:t>95</w:t>
            </w:r>
          </w:p>
        </w:tc>
        <w:tc>
          <w:tcPr>
            <w:tcW w:w="822" w:type="dxa"/>
          </w:tcPr>
          <w:p>
            <w:pPr>
              <w:pStyle w:val="TableParagraph"/>
              <w:spacing w:before="61"/>
              <w:ind w:left="154" w:right="144"/>
              <w:rPr>
                <w:rFonts w:ascii="Times New Roman"/>
                <w:sz w:val="21"/>
              </w:rPr>
            </w:pPr>
            <w:r>
              <w:rPr>
                <w:rFonts w:ascii="Times New Roman"/>
                <w:sz w:val="21"/>
              </w:rPr>
              <w:t>60.11</w:t>
            </w:r>
          </w:p>
        </w:tc>
        <w:tc>
          <w:tcPr>
            <w:tcW w:w="783" w:type="dxa"/>
          </w:tcPr>
          <w:p>
            <w:pPr>
              <w:pStyle w:val="TableParagraph"/>
              <w:spacing w:before="61"/>
              <w:ind w:left="157"/>
              <w:jc w:val="left"/>
              <w:rPr>
                <w:rFonts w:ascii="Times New Roman"/>
                <w:sz w:val="21"/>
              </w:rPr>
            </w:pPr>
            <w:r>
              <w:rPr>
                <w:rFonts w:ascii="Times New Roman"/>
                <w:sz w:val="21"/>
              </w:rPr>
              <w:t>60.11</w:t>
            </w:r>
          </w:p>
        </w:tc>
        <w:tc>
          <w:tcPr>
            <w:tcW w:w="774" w:type="dxa"/>
          </w:tcPr>
          <w:p>
            <w:pPr>
              <w:pStyle w:val="TableParagraph"/>
              <w:spacing w:before="61"/>
              <w:ind w:left="154"/>
              <w:jc w:val="left"/>
              <w:rPr>
                <w:rFonts w:ascii="Times New Roman"/>
                <w:sz w:val="21"/>
              </w:rPr>
            </w:pPr>
            <w:r>
              <w:rPr>
                <w:rFonts w:ascii="Times New Roman"/>
                <w:sz w:val="21"/>
              </w:rPr>
              <w:t>60.11</w:t>
            </w:r>
          </w:p>
        </w:tc>
        <w:tc>
          <w:tcPr>
            <w:tcW w:w="774" w:type="dxa"/>
          </w:tcPr>
          <w:p>
            <w:pPr>
              <w:pStyle w:val="TableParagraph"/>
              <w:spacing w:before="61"/>
              <w:ind w:right="139"/>
              <w:jc w:val="right"/>
              <w:rPr>
                <w:rFonts w:ascii="Times New Roman"/>
                <w:sz w:val="21"/>
              </w:rPr>
            </w:pPr>
            <w:r>
              <w:rPr>
                <w:rFonts w:ascii="Times New Roman"/>
                <w:w w:val="95"/>
                <w:sz w:val="21"/>
              </w:rPr>
              <w:t>60.11</w:t>
            </w:r>
          </w:p>
        </w:tc>
        <w:tc>
          <w:tcPr>
            <w:tcW w:w="822" w:type="dxa"/>
          </w:tcPr>
          <w:p>
            <w:pPr>
              <w:pStyle w:val="TableParagraph"/>
              <w:spacing w:before="61"/>
              <w:ind w:right="164"/>
              <w:jc w:val="right"/>
              <w:rPr>
                <w:rFonts w:ascii="Times New Roman"/>
                <w:sz w:val="21"/>
              </w:rPr>
            </w:pPr>
            <w:r>
              <w:rPr>
                <w:rFonts w:ascii="Times New Roman"/>
                <w:w w:val="95"/>
                <w:sz w:val="21"/>
              </w:rPr>
              <w:t>60.11</w:t>
            </w:r>
          </w:p>
        </w:tc>
        <w:tc>
          <w:tcPr>
            <w:tcW w:w="812" w:type="dxa"/>
          </w:tcPr>
          <w:p>
            <w:pPr>
              <w:pStyle w:val="TableParagraph"/>
              <w:spacing w:before="61"/>
              <w:ind w:left="172"/>
              <w:jc w:val="left"/>
              <w:rPr>
                <w:rFonts w:ascii="Times New Roman"/>
                <w:sz w:val="21"/>
              </w:rPr>
            </w:pPr>
            <w:r>
              <w:rPr>
                <w:rFonts w:ascii="Times New Roman"/>
                <w:sz w:val="21"/>
              </w:rPr>
              <w:t>60.11</w:t>
            </w:r>
          </w:p>
        </w:tc>
        <w:tc>
          <w:tcPr>
            <w:tcW w:w="774" w:type="dxa"/>
          </w:tcPr>
          <w:p>
            <w:pPr>
              <w:pStyle w:val="TableParagraph"/>
              <w:spacing w:before="61"/>
              <w:ind w:left="127" w:right="115"/>
              <w:rPr>
                <w:rFonts w:ascii="Times New Roman"/>
                <w:sz w:val="21"/>
              </w:rPr>
            </w:pPr>
            <w:r>
              <w:rPr>
                <w:rFonts w:ascii="Times New Roman"/>
                <w:sz w:val="21"/>
              </w:rPr>
              <w:t>60.11</w:t>
            </w:r>
          </w:p>
        </w:tc>
        <w:tc>
          <w:tcPr>
            <w:tcW w:w="784" w:type="dxa"/>
          </w:tcPr>
          <w:p>
            <w:pPr>
              <w:pStyle w:val="TableParagraph"/>
              <w:spacing w:before="61"/>
              <w:ind w:left="132" w:right="122"/>
              <w:rPr>
                <w:rFonts w:ascii="Times New Roman"/>
                <w:sz w:val="21"/>
              </w:rPr>
            </w:pPr>
            <w:r>
              <w:rPr>
                <w:rFonts w:ascii="Times New Roman"/>
                <w:sz w:val="21"/>
              </w:rPr>
              <w:t>60.11</w:t>
            </w:r>
          </w:p>
        </w:tc>
      </w:tr>
    </w:tbl>
    <w:p>
      <w:pPr>
        <w:pStyle w:val="BodyText"/>
        <w:spacing w:line="343" w:lineRule="auto" w:before="113"/>
        <w:ind w:left="375" w:right="757" w:firstLine="480"/>
        <w:jc w:val="both"/>
      </w:pPr>
      <w:r>
        <w:rPr>
          <w:spacing w:val="-13"/>
        </w:rPr>
        <w:t>根据表 </w:t>
      </w:r>
      <w:r>
        <w:rPr>
          <w:rFonts w:ascii="Times New Roman" w:eastAsia="Times New Roman"/>
        </w:rPr>
        <w:t>9.3-2 </w:t>
      </w:r>
      <w:r>
        <w:rPr>
          <w:spacing w:val="-5"/>
        </w:rPr>
        <w:t>预测结果，单台机械设备在 </w:t>
      </w:r>
      <w:r>
        <w:rPr>
          <w:rFonts w:ascii="Times New Roman" w:eastAsia="Times New Roman"/>
        </w:rPr>
        <w:t>20m </w:t>
      </w:r>
      <w:r>
        <w:rPr/>
        <w:t>处产生的声级值均能满足《建筑施工</w:t>
      </w:r>
      <w:r>
        <w:rPr>
          <w:spacing w:val="-2"/>
        </w:rPr>
        <w:t>场界环境噪声排放标准》</w:t>
      </w:r>
      <w:r>
        <w:rPr/>
        <w:t>（</w:t>
      </w:r>
      <w:r>
        <w:rPr>
          <w:rFonts w:ascii="Times New Roman" w:eastAsia="Times New Roman"/>
        </w:rPr>
        <w:t>GB12523-2011</w:t>
      </w:r>
      <w:r>
        <w:rPr/>
        <w:t>）</w:t>
      </w:r>
      <w:r>
        <w:rPr>
          <w:spacing w:val="-4"/>
        </w:rPr>
        <w:t>昼间标准要求。随着距离加大，均有明显衰减，工业场地边界外 </w:t>
      </w:r>
      <w:r>
        <w:rPr>
          <w:rFonts w:ascii="Times New Roman" w:eastAsia="Times New Roman"/>
        </w:rPr>
        <w:t>200m </w:t>
      </w:r>
      <w:r>
        <w:rPr/>
        <w:t>范围内无声环境敏感保护目标，且建设期噪声环境影响是暂</w:t>
      </w:r>
    </w:p>
    <w:p>
      <w:pPr>
        <w:pStyle w:val="BodyText"/>
        <w:spacing w:before="1"/>
        <w:ind w:left="375"/>
      </w:pPr>
      <w:r>
        <w:rPr/>
        <w:t>时的，建设期结束，影响随之消失，环境影响可接受。</w:t>
      </w:r>
    </w:p>
    <w:p>
      <w:pPr>
        <w:pStyle w:val="Heading3"/>
        <w:numPr>
          <w:ilvl w:val="2"/>
          <w:numId w:val="60"/>
        </w:numPr>
        <w:tabs>
          <w:tab w:pos="1008" w:val="left" w:leader="none"/>
        </w:tabs>
        <w:spacing w:line="240" w:lineRule="auto" w:before="22" w:after="0"/>
        <w:ind w:left="1007" w:right="0" w:hanging="633"/>
        <w:jc w:val="left"/>
      </w:pPr>
      <w:bookmarkStart w:name="9.3.3建设期噪声防治措施" w:id="571"/>
      <w:bookmarkEnd w:id="571"/>
      <w:r>
        <w:rPr>
          <w:b w:val="0"/>
        </w:rPr>
      </w:r>
      <w:bookmarkStart w:name="9.3.3建设期噪声防治措施" w:id="572"/>
      <w:bookmarkEnd w:id="572"/>
      <w:r>
        <w:rPr/>
        <w:t>建设期噪声防治措施</w:t>
      </w:r>
    </w:p>
    <w:p>
      <w:pPr>
        <w:pStyle w:val="BodyText"/>
        <w:spacing w:before="185"/>
        <w:ind w:left="856"/>
      </w:pPr>
      <w:r>
        <w:rPr/>
        <w:t>为降低施工期噪声对外环境产生影响，本评价要求该项目建设期应采取如下措施：</w:t>
      </w:r>
    </w:p>
    <w:p>
      <w:pPr>
        <w:pStyle w:val="ListParagraph"/>
        <w:numPr>
          <w:ilvl w:val="0"/>
          <w:numId w:val="61"/>
        </w:numPr>
        <w:tabs>
          <w:tab w:pos="1457" w:val="left" w:leader="none"/>
        </w:tabs>
        <w:spacing w:line="364" w:lineRule="auto" w:before="158" w:after="0"/>
        <w:ind w:left="375" w:right="638" w:firstLine="480"/>
        <w:jc w:val="left"/>
        <w:rPr>
          <w:sz w:val="24"/>
        </w:rPr>
      </w:pPr>
      <w:r>
        <w:rPr>
          <w:spacing w:val="-7"/>
          <w:sz w:val="24"/>
        </w:rPr>
        <w:t>在施工设备选型上，应选用正规厂家、噪声较低的环保型设备。保证现场设备</w:t>
      </w:r>
      <w:r>
        <w:rPr>
          <w:spacing w:val="-13"/>
          <w:sz w:val="24"/>
        </w:rPr>
        <w:t>安装质量，加强施工机械及运输车辆的维修与管理，确保施工设备和车辆均能正常运行。</w:t>
      </w:r>
    </w:p>
    <w:p>
      <w:pPr>
        <w:pStyle w:val="ListParagraph"/>
        <w:numPr>
          <w:ilvl w:val="0"/>
          <w:numId w:val="61"/>
        </w:numPr>
        <w:tabs>
          <w:tab w:pos="1457" w:val="left" w:leader="none"/>
        </w:tabs>
        <w:spacing w:line="240" w:lineRule="auto" w:before="1" w:after="0"/>
        <w:ind w:left="1457" w:right="0" w:hanging="601"/>
        <w:jc w:val="left"/>
        <w:rPr>
          <w:sz w:val="24"/>
        </w:rPr>
      </w:pPr>
      <w:r>
        <w:rPr>
          <w:sz w:val="24"/>
        </w:rPr>
        <w:t>加强施工现场管理，封闭施工现场。</w:t>
      </w:r>
    </w:p>
    <w:p>
      <w:pPr>
        <w:pStyle w:val="ListParagraph"/>
        <w:numPr>
          <w:ilvl w:val="0"/>
          <w:numId w:val="61"/>
        </w:numPr>
        <w:tabs>
          <w:tab w:pos="1457" w:val="left" w:leader="none"/>
        </w:tabs>
        <w:spacing w:line="240" w:lineRule="auto" w:before="158" w:after="0"/>
        <w:ind w:left="1457" w:right="0" w:hanging="601"/>
        <w:jc w:val="left"/>
        <w:rPr>
          <w:sz w:val="24"/>
        </w:rPr>
      </w:pPr>
      <w:r>
        <w:rPr>
          <w:sz w:val="24"/>
        </w:rPr>
        <w:t>高噪声设备采取减震等措施降低其使用时产生的噪声对周围环境的影响。</w:t>
      </w:r>
    </w:p>
    <w:p>
      <w:pPr>
        <w:pStyle w:val="ListParagraph"/>
        <w:numPr>
          <w:ilvl w:val="0"/>
          <w:numId w:val="61"/>
        </w:numPr>
        <w:tabs>
          <w:tab w:pos="1457" w:val="left" w:leader="none"/>
        </w:tabs>
        <w:spacing w:line="240" w:lineRule="auto" w:before="161" w:after="0"/>
        <w:ind w:left="1457" w:right="0" w:hanging="601"/>
        <w:jc w:val="left"/>
        <w:rPr>
          <w:rFonts w:ascii="Times New Roman" w:eastAsia="Times New Roman"/>
          <w:sz w:val="24"/>
        </w:rPr>
      </w:pPr>
      <w:r>
        <w:rPr>
          <w:spacing w:val="-3"/>
          <w:sz w:val="24"/>
        </w:rPr>
        <w:t>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BodyText"/>
        <w:spacing w:before="158"/>
        <w:ind w:left="375"/>
      </w:pPr>
      <w:r>
        <w:rPr/>
        <w:t>时间段内施工及运输。</w:t>
      </w:r>
    </w:p>
    <w:p>
      <w:pPr>
        <w:pStyle w:val="Heading2"/>
        <w:numPr>
          <w:ilvl w:val="1"/>
          <w:numId w:val="60"/>
        </w:numPr>
        <w:tabs>
          <w:tab w:pos="828" w:val="left" w:leader="none"/>
        </w:tabs>
        <w:spacing w:line="240" w:lineRule="auto" w:before="160" w:after="0"/>
        <w:ind w:left="827" w:right="0" w:hanging="453"/>
        <w:jc w:val="left"/>
        <w:rPr>
          <w:rFonts w:ascii="Times New Roman" w:eastAsia="Times New Roman"/>
        </w:rPr>
      </w:pPr>
      <w:bookmarkStart w:name="9.4运营期声环境影响预测与评价" w:id="573"/>
      <w:bookmarkEnd w:id="573"/>
      <w:r>
        <w:rPr>
          <w:b w:val="0"/>
        </w:rPr>
      </w:r>
      <w:bookmarkStart w:name="_bookmark50" w:id="574"/>
      <w:bookmarkEnd w:id="574"/>
      <w:r>
        <w:rPr>
          <w:b w:val="0"/>
        </w:rPr>
      </w:r>
      <w:bookmarkStart w:name="_bookmark50" w:id="575"/>
      <w:bookmarkEnd w:id="575"/>
      <w:r>
        <w:rPr/>
        <w:t>运营期声环境影响预测与评价</w:t>
      </w:r>
    </w:p>
    <w:p>
      <w:pPr>
        <w:pStyle w:val="Heading3"/>
        <w:numPr>
          <w:ilvl w:val="2"/>
          <w:numId w:val="60"/>
        </w:numPr>
        <w:tabs>
          <w:tab w:pos="1008" w:val="left" w:leader="none"/>
        </w:tabs>
        <w:spacing w:line="240" w:lineRule="auto" w:before="200" w:after="0"/>
        <w:ind w:left="1007" w:right="0" w:hanging="633"/>
        <w:jc w:val="left"/>
      </w:pPr>
      <w:bookmarkStart w:name="9.4.1主要噪声源" w:id="576"/>
      <w:bookmarkEnd w:id="576"/>
      <w:r>
        <w:rPr>
          <w:b w:val="0"/>
        </w:rPr>
      </w:r>
      <w:bookmarkStart w:name="9.4.1主要噪声源" w:id="577"/>
      <w:bookmarkEnd w:id="577"/>
      <w:r>
        <w:rPr/>
        <w:t>主要噪声源</w:t>
      </w:r>
    </w:p>
    <w:p>
      <w:pPr>
        <w:pStyle w:val="BodyText"/>
        <w:spacing w:line="364" w:lineRule="auto" w:before="185"/>
        <w:ind w:left="375" w:right="758" w:firstLine="480"/>
        <w:jc w:val="both"/>
      </w:pPr>
      <w:r>
        <w:rPr/>
        <w:t>本项目工业场地噪声主要来源于矿井压风机房、提升机房、锅炉房等，设备噪声源大部分是宽频带的，且多为固定、连续噪声源。本项目工业场地噪声源的噪声级见表</w:t>
      </w:r>
      <w:r>
        <w:rPr>
          <w:rFonts w:ascii="Times New Roman" w:eastAsia="Times New Roman"/>
        </w:rPr>
        <w:t>3.4-9</w:t>
      </w:r>
      <w:r>
        <w:rPr/>
        <w:t>。</w:t>
      </w:r>
    </w:p>
    <w:p>
      <w:pPr>
        <w:pStyle w:val="Heading3"/>
        <w:numPr>
          <w:ilvl w:val="2"/>
          <w:numId w:val="60"/>
        </w:numPr>
        <w:tabs>
          <w:tab w:pos="1077" w:val="left" w:leader="none"/>
        </w:tabs>
        <w:spacing w:line="357" w:lineRule="exact" w:before="0" w:after="0"/>
        <w:ind w:left="1076" w:right="0" w:hanging="702"/>
        <w:jc w:val="left"/>
      </w:pPr>
      <w:bookmarkStart w:name="9.4.2 预测范围及方法" w:id="578"/>
      <w:bookmarkEnd w:id="578"/>
      <w:r>
        <w:rPr>
          <w:b w:val="0"/>
        </w:rPr>
      </w:r>
      <w:bookmarkStart w:name="9.4.2 预测范围及方法" w:id="579"/>
      <w:bookmarkEnd w:id="579"/>
      <w:r>
        <w:rPr/>
        <w:t>预测范围及方法</w:t>
      </w:r>
    </w:p>
    <w:p>
      <w:pPr>
        <w:pStyle w:val="BodyText"/>
        <w:spacing w:line="364" w:lineRule="auto" w:before="186"/>
        <w:ind w:left="375" w:right="760" w:firstLine="480"/>
      </w:pPr>
      <w:r>
        <w:rPr/>
        <w:t>噪声从室内向室外传播的声级差主要考虑对相似车间的类比调查结果而确定。噪声在室外的传播衰减只考虑噪声随距离的衰减。</w:t>
      </w:r>
    </w:p>
    <w:p>
      <w:pPr>
        <w:spacing w:after="0" w:line="364" w:lineRule="auto"/>
        <w:sectPr>
          <w:pgSz w:w="11910" w:h="16840"/>
          <w:pgMar w:header="0" w:footer="1169" w:top="1580" w:bottom="1360" w:left="1040" w:right="600"/>
        </w:sectPr>
      </w:pPr>
    </w:p>
    <w:p>
      <w:pPr>
        <w:pStyle w:val="Heading3"/>
        <w:numPr>
          <w:ilvl w:val="2"/>
          <w:numId w:val="60"/>
        </w:numPr>
        <w:tabs>
          <w:tab w:pos="1077" w:val="left" w:leader="none"/>
        </w:tabs>
        <w:spacing w:line="240" w:lineRule="auto" w:before="47" w:after="0"/>
        <w:ind w:left="1076" w:right="0" w:hanging="702"/>
        <w:jc w:val="left"/>
      </w:pPr>
      <w:bookmarkStart w:name="9.4.3 预测模式" w:id="580"/>
      <w:bookmarkEnd w:id="580"/>
      <w:r>
        <w:rPr>
          <w:b w:val="0"/>
        </w:rPr>
      </w:r>
      <w:bookmarkStart w:name="9.4.3 预测模式" w:id="581"/>
      <w:bookmarkEnd w:id="581"/>
      <w:r>
        <w:rPr/>
        <w:t>预测模式</w:t>
      </w:r>
    </w:p>
    <w:p>
      <w:pPr>
        <w:pStyle w:val="BodyText"/>
        <w:spacing w:before="185"/>
        <w:ind w:left="856"/>
      </w:pPr>
      <w:r>
        <w:rPr/>
        <w:t>噪声随距离衰减计算模式为：</w:t>
      </w:r>
    </w:p>
    <w:p>
      <w:pPr>
        <w:spacing w:before="145"/>
        <w:ind w:left="1979" w:right="0" w:firstLine="0"/>
        <w:jc w:val="left"/>
        <w:rPr>
          <w:rFonts w:ascii="Times New Roman" w:hAnsi="Times New Roman"/>
          <w:sz w:val="24"/>
        </w:rPr>
      </w:pPr>
      <w:r>
        <w:rPr>
          <w:rFonts w:ascii="Times New Roman" w:hAnsi="Times New Roman"/>
          <w:i/>
          <w:spacing w:val="7"/>
          <w:w w:val="101"/>
          <w:position w:val="12"/>
          <w:sz w:val="33"/>
        </w:rPr>
        <w:t>L</w:t>
      </w:r>
      <w:r>
        <w:rPr>
          <w:rFonts w:ascii="Times New Roman" w:hAnsi="Times New Roman"/>
          <w:position w:val="10"/>
          <w:sz w:val="13"/>
        </w:rPr>
        <w:t>(</w:t>
      </w:r>
      <w:r>
        <w:rPr>
          <w:rFonts w:ascii="Times New Roman" w:hAnsi="Times New Roman"/>
          <w:spacing w:val="-21"/>
          <w:position w:val="10"/>
          <w:sz w:val="13"/>
        </w:rPr>
        <w:t> </w:t>
      </w:r>
      <w:r>
        <w:rPr>
          <w:rFonts w:ascii="Times New Roman" w:hAnsi="Times New Roman"/>
          <w:i/>
          <w:position w:val="10"/>
          <w:sz w:val="13"/>
        </w:rPr>
        <w:t>r</w:t>
      </w:r>
      <w:r>
        <w:rPr>
          <w:rFonts w:ascii="Times New Roman" w:hAnsi="Times New Roman"/>
          <w:i/>
          <w:spacing w:val="-15"/>
          <w:position w:val="10"/>
          <w:sz w:val="13"/>
        </w:rPr>
        <w:t> </w:t>
      </w:r>
      <w:r>
        <w:rPr>
          <w:rFonts w:ascii="Times New Roman" w:hAnsi="Times New Roman"/>
          <w:position w:val="10"/>
          <w:sz w:val="13"/>
        </w:rPr>
        <w:t>) </w:t>
      </w:r>
      <w:r>
        <w:rPr>
          <w:rFonts w:ascii="Times New Roman" w:hAnsi="Times New Roman"/>
          <w:spacing w:val="-1"/>
          <w:position w:val="10"/>
          <w:sz w:val="13"/>
        </w:rPr>
        <w:t> </w:t>
      </w:r>
      <w:r>
        <w:rPr>
          <w:rFonts w:ascii="Symbol" w:hAnsi="Symbol"/>
          <w:w w:val="101"/>
          <w:position w:val="19"/>
          <w:sz w:val="22"/>
        </w:rPr>
        <w:t></w:t>
      </w:r>
      <w:r>
        <w:rPr>
          <w:rFonts w:ascii="Times New Roman" w:hAnsi="Times New Roman"/>
          <w:spacing w:val="18"/>
          <w:position w:val="19"/>
          <w:sz w:val="22"/>
        </w:rPr>
        <w:t> </w:t>
      </w:r>
      <w:r>
        <w:rPr>
          <w:rFonts w:ascii="Times New Roman" w:hAnsi="Times New Roman"/>
          <w:i/>
          <w:spacing w:val="7"/>
          <w:w w:val="101"/>
          <w:position w:val="12"/>
          <w:sz w:val="33"/>
        </w:rPr>
        <w:t>L</w:t>
      </w:r>
      <w:r>
        <w:rPr>
          <w:rFonts w:ascii="Times New Roman" w:hAnsi="Times New Roman"/>
          <w:spacing w:val="10"/>
          <w:position w:val="10"/>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w:t>
      </w:r>
      <w:r>
        <w:rPr>
          <w:rFonts w:ascii="Times New Roman" w:hAnsi="Times New Roman"/>
          <w:position w:val="10"/>
          <w:sz w:val="13"/>
        </w:rPr>
        <w:t>)</w:t>
      </w:r>
      <w:r>
        <w:rPr>
          <w:rFonts w:ascii="Times New Roman" w:hAnsi="Times New Roman"/>
          <w:spacing w:val="10"/>
          <w:position w:val="10"/>
          <w:sz w:val="13"/>
        </w:rPr>
        <w:t> </w:t>
      </w:r>
      <w:r>
        <w:rPr>
          <w:rFonts w:ascii="Times New Roman" w:hAnsi="Times New Roman"/>
          <w:w w:val="101"/>
          <w:position w:val="19"/>
          <w:sz w:val="22"/>
        </w:rPr>
        <w:t>_</w:t>
      </w:r>
      <w:r>
        <w:rPr>
          <w:rFonts w:ascii="Times New Roman" w:hAnsi="Times New Roman"/>
          <w:spacing w:val="-9"/>
          <w:position w:val="19"/>
          <w:sz w:val="22"/>
        </w:rPr>
        <w:t> </w:t>
      </w:r>
      <w:r>
        <w:rPr>
          <w:rFonts w:ascii="Times New Roman" w:hAnsi="Times New Roman"/>
          <w:w w:val="101"/>
          <w:position w:val="19"/>
          <w:sz w:val="22"/>
        </w:rPr>
        <w:t>20</w:t>
      </w:r>
      <w:r>
        <w:rPr>
          <w:rFonts w:ascii="Times New Roman" w:hAnsi="Times New Roman"/>
          <w:spacing w:val="-6"/>
          <w:position w:val="19"/>
          <w:sz w:val="22"/>
        </w:rPr>
        <w:t> </w:t>
      </w:r>
      <w:r>
        <w:rPr>
          <w:rFonts w:ascii="Times New Roman" w:hAnsi="Times New Roman"/>
          <w:sz w:val="24"/>
        </w:rPr>
        <w:t>lo</w:t>
      </w:r>
      <w:r>
        <w:rPr>
          <w:rFonts w:ascii="Times New Roman" w:hAnsi="Times New Roman"/>
          <w:spacing w:val="-3"/>
          <w:sz w:val="24"/>
        </w:rPr>
        <w:t>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3"/>
          <w:sz w:val="24"/>
        </w:rPr>
        <w:t>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w:t>
      </w:r>
      <w:r>
        <w:rPr>
          <w:sz w:val="24"/>
        </w:rPr>
        <w:t>）</w:t>
      </w:r>
      <w:r>
        <w:rPr>
          <w:rFonts w:ascii="Times New Roman" w:hAnsi="Times New Roman"/>
          <w:sz w:val="24"/>
        </w:rPr>
        <w:t>—</w:t>
      </w:r>
      <w:r>
        <w:rPr>
          <w:rFonts w:ascii="Times New Roman" w:hAnsi="Times New Roman"/>
          <w:spacing w:val="-23"/>
          <w:sz w:val="24"/>
        </w:rPr>
        <w:t> </w:t>
      </w:r>
      <w:r>
        <w:rPr>
          <w:rFonts w:ascii="Symbol" w:hAnsi="Symbol"/>
          <w:w w:val="96"/>
          <w:position w:val="4"/>
          <w:sz w:val="24"/>
        </w:rPr>
        <w:t></w:t>
      </w:r>
      <w:r>
        <w:rPr>
          <w:rFonts w:ascii="Times New Roman" w:hAnsi="Times New Roman"/>
          <w:spacing w:val="-16"/>
          <w:position w:val="4"/>
          <w:sz w:val="24"/>
        </w:rPr>
        <w:t> </w:t>
      </w:r>
      <w:r>
        <w:rPr>
          <w:rFonts w:ascii="Times New Roman" w:hAnsi="Times New Roman"/>
          <w:sz w:val="24"/>
        </w:rPr>
        <w:t>L</w:t>
      </w:r>
    </w:p>
    <w:p>
      <w:pPr>
        <w:pStyle w:val="BodyText"/>
        <w:spacing w:before="3"/>
        <w:rPr>
          <w:rFonts w:ascii="Times New Roman"/>
          <w:sz w:val="14"/>
        </w:rPr>
      </w:pPr>
      <w:r>
        <w:rPr/>
        <w:pict>
          <v:shape style="position:absolute;margin-left:256.539001pt;margin-top:9.402312pt;width:3.5pt;height:7.7pt;mso-position-horizontal-relative:page;mso-position-vertical-relative:paragraph;z-index:-251500544;mso-wrap-distance-left:0;mso-wrap-distance-right:0" type="#_x0000_t202" filled="false" stroked="false">
            <v:textbox inset="0,0,0,0">
              <w:txbxContent>
                <w:p>
                  <w:pPr>
                    <w:spacing w:line="154" w:lineRule="exact" w:before="0"/>
                    <w:ind w:left="0" w:right="0" w:firstLine="0"/>
                    <w:jc w:val="left"/>
                    <w:rPr>
                      <w:rFonts w:ascii="Times New Roman"/>
                      <w:i/>
                      <w:sz w:val="14"/>
                    </w:rPr>
                  </w:pPr>
                  <w:r>
                    <w:rPr>
                      <w:rFonts w:ascii="Times New Roman"/>
                      <w:i/>
                      <w:w w:val="99"/>
                      <w:sz w:val="14"/>
                    </w:rPr>
                    <w:t>n</w:t>
                  </w:r>
                </w:p>
              </w:txbxContent>
            </v:textbox>
            <w10:wrap type="topAndBottom"/>
          </v:shape>
        </w:pict>
      </w:r>
    </w:p>
    <w:p>
      <w:pPr>
        <w:spacing w:line="307" w:lineRule="exact" w:before="0"/>
        <w:ind w:left="856" w:right="0" w:firstLine="0"/>
        <w:jc w:val="left"/>
        <w:rPr>
          <w:rFonts w:ascii="Times New Roman" w:hAnsi="Times New Roman"/>
          <w:i/>
          <w:sz w:val="24"/>
        </w:rPr>
      </w:pPr>
      <w:r>
        <w:rPr>
          <w:spacing w:val="-8"/>
          <w:sz w:val="24"/>
        </w:rPr>
        <w:t>多源噪声叠加公式： </w:t>
      </w:r>
      <w:r>
        <w:rPr>
          <w:rFonts w:ascii="Times New Roman" w:hAnsi="Times New Roman"/>
          <w:i/>
          <w:w w:val="99"/>
          <w:sz w:val="24"/>
        </w:rPr>
        <w:t>L</w:t>
      </w:r>
      <w:r>
        <w:rPr>
          <w:rFonts w:ascii="Times New Roman" w:hAnsi="Times New Roman"/>
          <w:i/>
          <w:spacing w:val="6"/>
          <w:sz w:val="24"/>
        </w:rPr>
        <w:t> </w:t>
      </w:r>
      <w:r>
        <w:rPr>
          <w:rFonts w:ascii="Symbol" w:hAnsi="Symbol"/>
          <w:w w:val="99"/>
          <w:sz w:val="24"/>
        </w:rPr>
        <w:t></w:t>
      </w:r>
      <w:r>
        <w:rPr>
          <w:rFonts w:ascii="Times New Roman" w:hAnsi="Times New Roman"/>
          <w:spacing w:val="-23"/>
          <w:sz w:val="24"/>
        </w:rPr>
        <w:t>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7"/>
          <w:sz w:val="24"/>
        </w:rPr>
        <w:t>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w:t>
      </w:r>
      <w:r>
        <w:rPr>
          <w:rFonts w:ascii="Symbol" w:hAnsi="Symbol"/>
          <w:spacing w:val="7"/>
          <w:w w:val="102"/>
          <w:position w:val="-4"/>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w:t>
      </w:r>
      <w:r>
        <w:rPr>
          <w:rFonts w:ascii="Times New Roman" w:hAnsi="Times New Roman"/>
          <w:w w:val="99"/>
          <w:sz w:val="24"/>
        </w:rPr>
        <w:t>)</w:t>
      </w:r>
      <w:r>
        <w:rPr>
          <w:rFonts w:ascii="Times New Roman" w:hAnsi="Times New Roman"/>
          <w:spacing w:val="-12"/>
          <w:sz w:val="24"/>
        </w:rPr>
        <w:t> </w:t>
      </w:r>
      <w:r>
        <w:rPr>
          <w:rFonts w:ascii="Symbol" w:hAnsi="Symbol"/>
          <w:w w:val="99"/>
          <w:sz w:val="24"/>
        </w:rPr>
        <w:t></w:t>
      </w:r>
      <w:r>
        <w:rPr>
          <w:rFonts w:ascii="Times New Roman" w:hAnsi="Times New Roman"/>
          <w:spacing w:val="-11"/>
          <w:sz w:val="24"/>
        </w:rPr>
        <w:t> </w:t>
      </w:r>
      <w:r>
        <w:rPr>
          <w:rFonts w:ascii="Symbol" w:hAnsi="Symbol"/>
          <w:w w:val="99"/>
          <w:sz w:val="24"/>
        </w:rPr>
        <w:t></w:t>
      </w:r>
      <w:r>
        <w:rPr>
          <w:rFonts w:ascii="Times New Roman" w:hAnsi="Times New Roman"/>
          <w:i/>
          <w:w w:val="99"/>
          <w:sz w:val="24"/>
        </w:rPr>
        <w:t>L</w:t>
      </w:r>
    </w:p>
    <w:p>
      <w:pPr>
        <w:spacing w:line="160" w:lineRule="exact" w:before="0"/>
        <w:ind w:left="0" w:right="200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BodyText"/>
        <w:spacing w:before="4"/>
        <w:rPr>
          <w:rFonts w:ascii="Times New Roman"/>
          <w:sz w:val="13"/>
        </w:rPr>
      </w:pPr>
    </w:p>
    <w:p>
      <w:pPr>
        <w:pStyle w:val="BodyText"/>
        <w:ind w:right="4168"/>
        <w:jc w:val="right"/>
      </w:pPr>
      <w:r>
        <w:rPr>
          <w:spacing w:val="-20"/>
        </w:rPr>
        <w:t>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w:t>
      </w:r>
      <w:r>
        <w:rPr>
          <w:rFonts w:ascii="Times New Roman" w:hAnsi="Times New Roman" w:eastAsia="Times New Roman"/>
          <w:w w:val="104"/>
          <w:position w:val="6"/>
          <w:sz w:val="12"/>
        </w:rPr>
        <w:t>)</w:t>
      </w:r>
      <w:r>
        <w:rPr>
          <w:rFonts w:ascii="Times New Roman" w:hAnsi="Times New Roman" w:eastAsia="Times New Roman"/>
          <w:spacing w:val="1"/>
          <w:position w:val="6"/>
          <w:sz w:val="12"/>
        </w:rPr>
        <w:t> </w:t>
      </w:r>
      <w:r>
        <w:rPr>
          <w:rFonts w:ascii="Times New Roman" w:hAnsi="Times New Roman" w:eastAsia="Times New Roman"/>
        </w:rPr>
        <w:t>—</w:t>
      </w:r>
      <w:r>
        <w:rPr>
          <w:spacing w:val="-5"/>
        </w:rPr>
        <w:t>点声源在预测点产生的噪声级 </w:t>
      </w:r>
      <w:r>
        <w:rPr>
          <w:rFonts w:ascii="Times New Roman" w:hAnsi="Times New Roman" w:eastAsia="Times New Roman"/>
        </w:rPr>
        <w:t>dB</w:t>
      </w:r>
      <w:r>
        <w:rPr/>
        <w:t>（</w:t>
      </w:r>
      <w:r>
        <w:rPr>
          <w:rFonts w:ascii="Times New Roman" w:hAnsi="Times New Roman" w:eastAsia="Times New Roman"/>
          <w:spacing w:val="-1"/>
        </w:rPr>
        <w:t>A</w:t>
      </w:r>
      <w:r>
        <w:rPr/>
        <w:t>）；</w:t>
      </w:r>
    </w:p>
    <w:p>
      <w:pPr>
        <w:spacing w:before="136"/>
        <w:ind w:left="0" w:right="4261"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5"/>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8"/>
          <w:position w:val="10"/>
          <w:sz w:val="12"/>
        </w:rPr>
        <w:t>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w:t>
      </w:r>
      <w:r>
        <w:rPr>
          <w:spacing w:val="-8"/>
          <w:sz w:val="24"/>
        </w:rPr>
        <w:t>处的已知噪声级 </w:t>
      </w:r>
      <w:r>
        <w:rPr>
          <w:rFonts w:ascii="Times New Roman" w:hAnsi="Times New Roman" w:eastAsia="Times New Roman"/>
          <w:sz w:val="24"/>
        </w:rPr>
        <w:t>d</w:t>
      </w:r>
      <w:r>
        <w:rPr>
          <w:rFonts w:ascii="Times New Roman" w:hAnsi="Times New Roman" w:eastAsia="Times New Roman"/>
          <w:spacing w:val="-2"/>
          <w:sz w:val="24"/>
        </w:rPr>
        <w:t>B</w:t>
      </w:r>
      <w:r>
        <w:rPr>
          <w:sz w:val="24"/>
        </w:rPr>
        <w:t>（</w:t>
      </w:r>
      <w:r>
        <w:rPr>
          <w:rFonts w:ascii="Times New Roman" w:hAnsi="Times New Roman" w:eastAsia="Times New Roman"/>
          <w:spacing w:val="-1"/>
          <w:sz w:val="24"/>
        </w:rPr>
        <w:t>A</w:t>
      </w:r>
      <w:r>
        <w:rPr>
          <w:sz w:val="24"/>
        </w:rPr>
        <w:t>）；</w:t>
      </w:r>
    </w:p>
    <w:p>
      <w:pPr>
        <w:pStyle w:val="BodyText"/>
        <w:spacing w:line="362" w:lineRule="auto" w:before="131"/>
        <w:ind w:left="1216" w:right="5713" w:firstLine="37"/>
      </w:pPr>
      <w:r>
        <w:rPr>
          <w:rFonts w:ascii="Symbol" w:hAnsi="Symbol" w:eastAsia="Symbol"/>
          <w:position w:val="4"/>
        </w:rPr>
        <w:t></w:t>
      </w:r>
      <w:r>
        <w:rPr>
          <w:rFonts w:ascii="Times New Roman" w:hAnsi="Times New Roman" w:eastAsia="Times New Roman"/>
          <w:position w:val="4"/>
        </w:rPr>
        <w:t> </w:t>
      </w:r>
      <w:r>
        <w:rPr>
          <w:rFonts w:ascii="Times New Roman" w:hAnsi="Times New Roman" w:eastAsia="Times New Roman"/>
        </w:rPr>
        <w:t>L—</w:t>
      </w:r>
      <w:r>
        <w:rPr/>
        <w:t>各种因素引起的衰减量； </w:t>
      </w:r>
      <w:r>
        <w:rPr>
          <w:rFonts w:ascii="Times New Roman" w:hAnsi="Times New Roman" w:eastAsia="Times New Roman"/>
        </w:rPr>
        <w:t>r—</w:t>
      </w:r>
      <w:r>
        <w:rPr/>
        <w:t>关心点距噪声源距离；</w:t>
      </w:r>
    </w:p>
    <w:p>
      <w:pPr>
        <w:pStyle w:val="BodyText"/>
        <w:spacing w:line="362" w:lineRule="auto" w:before="2"/>
        <w:ind w:left="1216" w:right="6007"/>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总等效 </w:t>
      </w:r>
      <w:r>
        <w:rPr>
          <w:rFonts w:ascii="Times New Roman" w:hAnsi="Times New Roman" w:eastAsia="Times New Roman"/>
          <w:vertAlign w:val="baseline"/>
        </w:rPr>
        <w:t>A </w:t>
      </w:r>
      <w:r>
        <w:rPr>
          <w:vertAlign w:val="baseline"/>
        </w:rPr>
        <w:t>声级，</w:t>
      </w:r>
      <w:r>
        <w:rPr>
          <w:rFonts w:ascii="Times New Roman" w:hAnsi="Times New Roman" w:eastAsia="Times New Roman"/>
          <w:vertAlign w:val="baseline"/>
        </w:rPr>
        <w:t>dB(A)</w:t>
      </w:r>
      <w:r>
        <w:rPr>
          <w:vertAlign w:val="baseline"/>
        </w:rPr>
        <w:t>；</w:t>
      </w:r>
    </w:p>
    <w:p>
      <w:pPr>
        <w:pStyle w:val="BodyText"/>
        <w:spacing w:before="4"/>
        <w:ind w:left="1216"/>
      </w:pPr>
      <w:r>
        <w:rPr>
          <w:rFonts w:ascii="Times New Roman" w:hAnsi="Times New Roman" w:eastAsia="Times New Roman"/>
        </w:rPr>
        <w:t>Li—</w:t>
      </w:r>
      <w:r>
        <w:rPr/>
        <w:t>第 </w:t>
      </w:r>
      <w:r>
        <w:rPr>
          <w:rFonts w:ascii="Times New Roman" w:hAnsi="Times New Roman" w:eastAsia="Times New Roman"/>
        </w:rPr>
        <w:t>i </w:t>
      </w:r>
      <w:r>
        <w:rPr/>
        <w:t>个声源的声压级，</w:t>
      </w:r>
      <w:r>
        <w:rPr>
          <w:rFonts w:ascii="Times New Roman" w:hAnsi="Times New Roman" w:eastAsia="Times New Roman"/>
        </w:rPr>
        <w:t>dB(A)</w:t>
      </w:r>
      <w:r>
        <w:rPr/>
        <w:t>；</w:t>
      </w:r>
    </w:p>
    <w:p>
      <w:pPr>
        <w:pStyle w:val="BodyText"/>
        <w:spacing w:before="158"/>
        <w:ind w:left="1216"/>
      </w:pPr>
      <w:r>
        <w:rPr>
          <w:rFonts w:ascii="Times New Roman" w:hAnsi="Times New Roman" w:eastAsia="Times New Roman"/>
        </w:rPr>
        <w:t>N—</w:t>
      </w:r>
      <w:r>
        <w:rPr/>
        <w:t>声源数量</w:t>
      </w:r>
    </w:p>
    <w:p>
      <w:pPr>
        <w:pStyle w:val="Heading3"/>
        <w:numPr>
          <w:ilvl w:val="2"/>
          <w:numId w:val="60"/>
        </w:numPr>
        <w:tabs>
          <w:tab w:pos="1077" w:val="left" w:leader="none"/>
        </w:tabs>
        <w:spacing w:line="240" w:lineRule="auto" w:before="161" w:after="0"/>
        <w:ind w:left="1076" w:right="0" w:hanging="702"/>
        <w:jc w:val="left"/>
      </w:pPr>
      <w:bookmarkStart w:name="9.4.4 噪声预测结果" w:id="582"/>
      <w:bookmarkEnd w:id="582"/>
      <w:r>
        <w:rPr>
          <w:b w:val="0"/>
        </w:rPr>
      </w:r>
      <w:bookmarkStart w:name="9.4.4 噪声预测结果" w:id="583"/>
      <w:bookmarkEnd w:id="583"/>
      <w:r>
        <w:rPr/>
        <w:t>噪声预测结果</w:t>
      </w:r>
    </w:p>
    <w:p>
      <w:pPr>
        <w:pStyle w:val="BodyText"/>
        <w:spacing w:line="364" w:lineRule="auto" w:before="186"/>
        <w:ind w:left="375" w:right="760" w:firstLine="480"/>
      </w:pPr>
      <w:r>
        <w:rPr/>
        <w:t>选取本项目主要噪声设备作为点源，采用多源叠加的方法作出工程噪声预测，具体结果见下表。</w:t>
      </w:r>
    </w:p>
    <w:p>
      <w:pPr>
        <w:pStyle w:val="Heading4"/>
        <w:spacing w:before="142" w:after="28"/>
        <w:ind w:left="3251"/>
      </w:pPr>
      <w:r>
        <w:rPr/>
        <w:t>表 </w:t>
      </w:r>
      <w:r>
        <w:rPr>
          <w:rFonts w:ascii="Times New Roman" w:eastAsia="Times New Roman"/>
        </w:rPr>
        <w:t>9.4-1 </w:t>
      </w:r>
      <w:r>
        <w:rPr/>
        <w:t>本项目噪声源强厂界预测值</w:t>
      </w:r>
    </w:p>
    <w:tbl>
      <w:tblPr>
        <w:tblW w:w="0" w:type="auto"/>
        <w:jc w:val="left"/>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7"/>
        <w:gridCol w:w="3676"/>
      </w:tblGrid>
      <w:tr>
        <w:trPr>
          <w:trHeight w:val="360" w:hRule="atLeast"/>
        </w:trPr>
        <w:tc>
          <w:tcPr>
            <w:tcW w:w="3487" w:type="dxa"/>
          </w:tcPr>
          <w:p>
            <w:pPr>
              <w:pStyle w:val="TableParagraph"/>
              <w:spacing w:before="45"/>
              <w:ind w:left="879" w:right="875"/>
              <w:rPr>
                <w:sz w:val="21"/>
              </w:rPr>
            </w:pPr>
            <w:r>
              <w:rPr>
                <w:sz w:val="21"/>
              </w:rPr>
              <w:t>位置</w:t>
            </w:r>
          </w:p>
        </w:tc>
        <w:tc>
          <w:tcPr>
            <w:tcW w:w="3676" w:type="dxa"/>
          </w:tcPr>
          <w:p>
            <w:pPr>
              <w:pStyle w:val="TableParagraph"/>
              <w:spacing w:before="45"/>
              <w:ind w:left="832" w:right="822"/>
              <w:rPr>
                <w:sz w:val="21"/>
              </w:rPr>
            </w:pPr>
            <w:r>
              <w:rPr>
                <w:sz w:val="21"/>
              </w:rPr>
              <w:t>噪声贡献值 </w:t>
            </w:r>
            <w:r>
              <w:rPr>
                <w:rFonts w:ascii="Times New Roman" w:eastAsia="Times New Roman"/>
                <w:sz w:val="21"/>
              </w:rPr>
              <w:t>dB</w:t>
            </w:r>
            <w:r>
              <w:rPr>
                <w:sz w:val="21"/>
              </w:rPr>
              <w:t>（</w:t>
            </w:r>
            <w:r>
              <w:rPr>
                <w:rFonts w:ascii="Times New Roman" w:eastAsia="Times New Roman"/>
                <w:sz w:val="21"/>
              </w:rPr>
              <w:t>A</w:t>
            </w:r>
            <w:r>
              <w:rPr>
                <w:sz w:val="21"/>
              </w:rPr>
              <w:t>）</w:t>
            </w:r>
          </w:p>
        </w:tc>
      </w:tr>
      <w:tr>
        <w:trPr>
          <w:trHeight w:val="360" w:hRule="atLeast"/>
        </w:trPr>
        <w:tc>
          <w:tcPr>
            <w:tcW w:w="3487" w:type="dxa"/>
          </w:tcPr>
          <w:p>
            <w:pPr>
              <w:pStyle w:val="TableParagraph"/>
              <w:spacing w:before="45"/>
              <w:ind w:left="882" w:right="875"/>
              <w:rPr>
                <w:sz w:val="21"/>
              </w:rPr>
            </w:pPr>
            <w:r>
              <w:rPr>
                <w:sz w:val="21"/>
              </w:rPr>
              <w:t>工业广场东侧厂界</w:t>
            </w:r>
          </w:p>
        </w:tc>
        <w:tc>
          <w:tcPr>
            <w:tcW w:w="3676" w:type="dxa"/>
          </w:tcPr>
          <w:p>
            <w:pPr>
              <w:pStyle w:val="TableParagraph"/>
              <w:spacing w:before="59"/>
              <w:ind w:left="832" w:right="821"/>
              <w:rPr>
                <w:rFonts w:ascii="Times New Roman"/>
                <w:sz w:val="21"/>
              </w:rPr>
            </w:pPr>
            <w:r>
              <w:rPr>
                <w:rFonts w:ascii="Times New Roman"/>
                <w:sz w:val="21"/>
              </w:rPr>
              <w:t>34.3</w:t>
            </w:r>
          </w:p>
        </w:tc>
      </w:tr>
      <w:tr>
        <w:trPr>
          <w:trHeight w:val="360" w:hRule="atLeast"/>
        </w:trPr>
        <w:tc>
          <w:tcPr>
            <w:tcW w:w="3487" w:type="dxa"/>
          </w:tcPr>
          <w:p>
            <w:pPr>
              <w:pStyle w:val="TableParagraph"/>
              <w:spacing w:before="45"/>
              <w:ind w:left="882" w:right="875"/>
              <w:rPr>
                <w:sz w:val="21"/>
              </w:rPr>
            </w:pPr>
            <w:r>
              <w:rPr>
                <w:sz w:val="21"/>
              </w:rPr>
              <w:t>工业广场西侧厂界</w:t>
            </w:r>
          </w:p>
        </w:tc>
        <w:tc>
          <w:tcPr>
            <w:tcW w:w="3676" w:type="dxa"/>
          </w:tcPr>
          <w:p>
            <w:pPr>
              <w:pStyle w:val="TableParagraph"/>
              <w:spacing w:before="59"/>
              <w:ind w:left="832" w:right="821"/>
              <w:rPr>
                <w:rFonts w:ascii="Times New Roman"/>
                <w:sz w:val="21"/>
              </w:rPr>
            </w:pPr>
            <w:r>
              <w:rPr>
                <w:rFonts w:ascii="Times New Roman"/>
                <w:sz w:val="21"/>
              </w:rPr>
              <w:t>40.0</w:t>
            </w:r>
          </w:p>
        </w:tc>
      </w:tr>
      <w:tr>
        <w:trPr>
          <w:trHeight w:val="360" w:hRule="atLeast"/>
        </w:trPr>
        <w:tc>
          <w:tcPr>
            <w:tcW w:w="3487" w:type="dxa"/>
          </w:tcPr>
          <w:p>
            <w:pPr>
              <w:pStyle w:val="TableParagraph"/>
              <w:spacing w:before="44"/>
              <w:ind w:left="882" w:right="875"/>
              <w:rPr>
                <w:sz w:val="21"/>
              </w:rPr>
            </w:pPr>
            <w:r>
              <w:rPr>
                <w:sz w:val="21"/>
              </w:rPr>
              <w:t>工业广场南侧厂界</w:t>
            </w:r>
          </w:p>
        </w:tc>
        <w:tc>
          <w:tcPr>
            <w:tcW w:w="3676" w:type="dxa"/>
          </w:tcPr>
          <w:p>
            <w:pPr>
              <w:pStyle w:val="TableParagraph"/>
              <w:spacing w:before="61"/>
              <w:ind w:left="832" w:right="821"/>
              <w:rPr>
                <w:rFonts w:ascii="Times New Roman"/>
                <w:sz w:val="21"/>
              </w:rPr>
            </w:pPr>
            <w:r>
              <w:rPr>
                <w:rFonts w:ascii="Times New Roman"/>
                <w:sz w:val="21"/>
              </w:rPr>
              <w:t>38.2</w:t>
            </w:r>
          </w:p>
        </w:tc>
      </w:tr>
      <w:tr>
        <w:trPr>
          <w:trHeight w:val="360" w:hRule="atLeast"/>
        </w:trPr>
        <w:tc>
          <w:tcPr>
            <w:tcW w:w="3487" w:type="dxa"/>
          </w:tcPr>
          <w:p>
            <w:pPr>
              <w:pStyle w:val="TableParagraph"/>
              <w:spacing w:before="44"/>
              <w:ind w:left="882" w:right="875"/>
              <w:rPr>
                <w:sz w:val="21"/>
              </w:rPr>
            </w:pPr>
            <w:r>
              <w:rPr>
                <w:sz w:val="21"/>
              </w:rPr>
              <w:t>工业广场北侧厂界</w:t>
            </w:r>
          </w:p>
        </w:tc>
        <w:tc>
          <w:tcPr>
            <w:tcW w:w="3676" w:type="dxa"/>
          </w:tcPr>
          <w:p>
            <w:pPr>
              <w:pStyle w:val="TableParagraph"/>
              <w:spacing w:before="60"/>
              <w:ind w:left="832" w:right="821"/>
              <w:rPr>
                <w:rFonts w:ascii="Times New Roman"/>
                <w:sz w:val="21"/>
              </w:rPr>
            </w:pPr>
            <w:r>
              <w:rPr>
                <w:rFonts w:ascii="Times New Roman"/>
                <w:sz w:val="21"/>
              </w:rPr>
              <w:t>31.8</w:t>
            </w:r>
          </w:p>
        </w:tc>
      </w:tr>
    </w:tbl>
    <w:p>
      <w:pPr>
        <w:spacing w:after="0"/>
        <w:rPr>
          <w:rFonts w:ascii="Times New Roman"/>
          <w:sz w:val="21"/>
        </w:rPr>
        <w:sectPr>
          <w:pgSz w:w="11910" w:h="16840"/>
          <w:pgMar w:header="0" w:footer="1169" w:top="1540" w:bottom="1360" w:left="1040" w:right="600"/>
        </w:sectPr>
      </w:pPr>
    </w:p>
    <w:p>
      <w:pPr>
        <w:pStyle w:val="BodyText"/>
        <w:ind w:left="376"/>
        <w:rPr>
          <w:sz w:val="20"/>
        </w:rPr>
      </w:pPr>
      <w:r>
        <w:rPr>
          <w:sz w:val="20"/>
        </w:rPr>
        <w:drawing>
          <wp:inline distT="0" distB="0" distL="0" distR="0">
            <wp:extent cx="5743555" cy="4194714"/>
            <wp:effectExtent l="0" t="0" r="0" b="0"/>
            <wp:docPr id="57" name="image32.jpeg"/>
            <wp:cNvGraphicFramePr>
              <a:graphicFrameLocks noChangeAspect="1"/>
            </wp:cNvGraphicFramePr>
            <a:graphic>
              <a:graphicData uri="http://schemas.openxmlformats.org/drawingml/2006/picture">
                <pic:pic>
                  <pic:nvPicPr>
                    <pic:cNvPr id="58" name="image32.jpeg"/>
                    <pic:cNvPicPr/>
                  </pic:nvPicPr>
                  <pic:blipFill>
                    <a:blip r:embed="rId56" cstate="print"/>
                    <a:stretch>
                      <a:fillRect/>
                    </a:stretch>
                  </pic:blipFill>
                  <pic:spPr>
                    <a:xfrm>
                      <a:off x="0" y="0"/>
                      <a:ext cx="5743555" cy="4194714"/>
                    </a:xfrm>
                    <a:prstGeom prst="rect">
                      <a:avLst/>
                    </a:prstGeom>
                  </pic:spPr>
                </pic:pic>
              </a:graphicData>
            </a:graphic>
          </wp:inline>
        </w:drawing>
      </w:r>
      <w:r>
        <w:rPr>
          <w:sz w:val="20"/>
        </w:rPr>
      </w:r>
    </w:p>
    <w:p>
      <w:pPr>
        <w:pStyle w:val="BodyText"/>
        <w:rPr>
          <w:b/>
          <w:sz w:val="20"/>
        </w:rPr>
      </w:pPr>
    </w:p>
    <w:p>
      <w:pPr>
        <w:pStyle w:val="BodyText"/>
        <w:rPr>
          <w:b/>
          <w:sz w:val="27"/>
        </w:rPr>
      </w:pPr>
    </w:p>
    <w:p>
      <w:pPr>
        <w:spacing w:before="75"/>
        <w:ind w:left="3131" w:right="0" w:firstLine="0"/>
        <w:jc w:val="both"/>
        <w:rPr>
          <w:b/>
          <w:sz w:val="24"/>
        </w:rPr>
      </w:pPr>
      <w:r>
        <w:rPr>
          <w:b/>
          <w:sz w:val="24"/>
        </w:rPr>
        <w:t>图 </w:t>
      </w:r>
      <w:r>
        <w:rPr>
          <w:rFonts w:ascii="Times New Roman" w:eastAsia="Times New Roman"/>
          <w:b/>
          <w:sz w:val="24"/>
        </w:rPr>
        <w:t>9.4-1 </w:t>
      </w:r>
      <w:r>
        <w:rPr>
          <w:b/>
          <w:sz w:val="24"/>
        </w:rPr>
        <w:t>本项目噪声噪声等值线分布图</w:t>
      </w:r>
    </w:p>
    <w:p>
      <w:pPr>
        <w:pStyle w:val="BodyText"/>
        <w:spacing w:line="440" w:lineRule="atLeast" w:before="8"/>
        <w:ind w:left="375" w:right="758" w:firstLine="480"/>
        <w:jc w:val="both"/>
      </w:pPr>
      <w:r>
        <w:rPr/>
        <w:t>本项目选取低噪声设备，采取减振措施，经厂界距离衰减后厂界处噪声满足《工业企业厂界环境噪声排放标准》（</w:t>
      </w:r>
      <w:r>
        <w:rPr>
          <w:rFonts w:ascii="Times New Roman" w:eastAsia="Times New Roman"/>
        </w:rPr>
        <w:t>GB12348-2008</w:t>
      </w:r>
      <w:r>
        <w:rPr/>
        <w:t>）</w:t>
      </w:r>
      <w:r>
        <w:rPr>
          <w:rFonts w:ascii="Times New Roman" w:eastAsia="Times New Roman"/>
        </w:rPr>
        <w:t>2 </w:t>
      </w:r>
      <w:r>
        <w:rPr/>
        <w:t>类昼间标准，因此本项目噪声对环境的影响很小。</w:t>
      </w:r>
    </w:p>
    <w:p>
      <w:pPr>
        <w:pStyle w:val="Heading3"/>
        <w:numPr>
          <w:ilvl w:val="2"/>
          <w:numId w:val="60"/>
        </w:numPr>
        <w:tabs>
          <w:tab w:pos="1008" w:val="left" w:leader="none"/>
        </w:tabs>
        <w:spacing w:line="240" w:lineRule="auto" w:before="21" w:after="0"/>
        <w:ind w:left="1007" w:right="0" w:hanging="633"/>
        <w:jc w:val="left"/>
      </w:pPr>
      <w:bookmarkStart w:name="9.4.5声环境影响评价结论" w:id="584"/>
      <w:bookmarkEnd w:id="584"/>
      <w:r>
        <w:rPr>
          <w:b w:val="0"/>
        </w:rPr>
      </w:r>
      <w:bookmarkStart w:name="9.4.5声环境影响评价结论" w:id="585"/>
      <w:bookmarkEnd w:id="585"/>
      <w:r>
        <w:rPr/>
        <w:t>声环境影响评价结论</w:t>
      </w:r>
    </w:p>
    <w:p>
      <w:pPr>
        <w:pStyle w:val="BodyText"/>
        <w:spacing w:before="3"/>
        <w:rPr>
          <w:b/>
          <w:sz w:val="23"/>
        </w:rPr>
      </w:pPr>
    </w:p>
    <w:p>
      <w:pPr>
        <w:pStyle w:val="BodyText"/>
        <w:ind w:left="856"/>
        <w:rPr>
          <w:rFonts w:ascii="Times New Roman" w:eastAsia="Times New Roman"/>
        </w:rPr>
      </w:pPr>
      <w:r>
        <w:rPr/>
        <w:t>工业场地各厂界昼夜间声环境质量均满足《声环境质量标准》（</w:t>
      </w:r>
      <w:r>
        <w:rPr>
          <w:rFonts w:ascii="Times New Roman" w:eastAsia="Times New Roman"/>
        </w:rPr>
        <w:t>GB3096-2008</w:t>
      </w:r>
      <w:r>
        <w:rPr/>
        <w:t>）中 </w:t>
      </w:r>
      <w:r>
        <w:rPr>
          <w:rFonts w:ascii="Times New Roman" w:eastAsia="Times New Roman"/>
        </w:rPr>
        <w:t>2</w:t>
      </w:r>
    </w:p>
    <w:p>
      <w:pPr>
        <w:pStyle w:val="BodyText"/>
        <w:spacing w:before="132"/>
        <w:ind w:left="375"/>
      </w:pPr>
      <w:r>
        <w:rPr/>
        <w:t>类标准的要求。区域内声环境质量良好。</w:t>
      </w:r>
    </w:p>
    <w:p>
      <w:pPr>
        <w:pStyle w:val="BodyText"/>
        <w:spacing w:line="343" w:lineRule="auto" w:before="132"/>
        <w:ind w:left="375" w:right="757" w:firstLine="480"/>
        <w:jc w:val="both"/>
      </w:pPr>
      <w:r>
        <w:rPr>
          <w:spacing w:val="-1"/>
        </w:rPr>
        <w:t>工业场地厂界噪声预测结果表明：项目运行期间工业场地厂界昼夜间噪声排放均满</w:t>
      </w:r>
      <w:r>
        <w:rPr>
          <w:spacing w:val="-9"/>
        </w:rPr>
        <w:t>足《工业企业厂界环境噪声排放标准》</w:t>
      </w:r>
      <w:r>
        <w:rPr>
          <w:rFonts w:ascii="Times New Roman" w:eastAsia="Times New Roman"/>
        </w:rPr>
        <w:t>2 </w:t>
      </w:r>
      <w:r>
        <w:rPr>
          <w:spacing w:val="-10"/>
        </w:rPr>
        <w:t>类区标准，本项目工业场地厂界及周围 </w:t>
      </w:r>
      <w:r>
        <w:rPr>
          <w:rFonts w:ascii="Times New Roman" w:eastAsia="Times New Roman"/>
        </w:rPr>
        <w:t>200m </w:t>
      </w:r>
      <w:r>
        <w:rPr>
          <w:spacing w:val="-16"/>
        </w:rPr>
        <w:t>以</w:t>
      </w:r>
      <w:r>
        <w:rPr/>
        <w:t>内无敏感目标，对周边环境影响较小。</w:t>
      </w:r>
    </w:p>
    <w:p>
      <w:pPr>
        <w:pStyle w:val="BodyText"/>
        <w:spacing w:line="343" w:lineRule="auto"/>
        <w:ind w:left="375" w:right="760" w:firstLine="480"/>
        <w:jc w:val="both"/>
      </w:pPr>
      <w:r>
        <w:rPr/>
        <w:t>本项目产品运输均在昼间进行，矿方加强对运输车辆管理，杜绝超载现象，按期保养车辆保持车辆良好工况，运输车辆在经过沿线敏感目标时控制行驶速度，通过采取以上措施运输沿线公路交通噪声影响是可以接受的。</w:t>
      </w:r>
    </w:p>
    <w:p>
      <w:pPr>
        <w:pStyle w:val="BodyText"/>
        <w:spacing w:before="1"/>
        <w:ind w:left="856"/>
      </w:pPr>
      <w:r>
        <w:rPr/>
        <w:t>因此，本项目的建设声环境影响可接受。</w:t>
      </w:r>
    </w:p>
    <w:p>
      <w:pPr>
        <w:spacing w:after="0"/>
        <w:sectPr>
          <w:pgSz w:w="11910" w:h="16840"/>
          <w:pgMar w:header="0" w:footer="1169" w:top="1580" w:bottom="1360" w:left="1040" w:right="600"/>
        </w:sectPr>
      </w:pPr>
    </w:p>
    <w:p>
      <w:pPr>
        <w:pStyle w:val="Heading2"/>
        <w:numPr>
          <w:ilvl w:val="1"/>
          <w:numId w:val="60"/>
        </w:numPr>
        <w:tabs>
          <w:tab w:pos="902" w:val="left" w:leader="none"/>
        </w:tabs>
        <w:spacing w:line="240" w:lineRule="auto" w:before="46" w:after="0"/>
        <w:ind w:left="901" w:right="0" w:hanging="527"/>
        <w:jc w:val="left"/>
        <w:rPr>
          <w:rFonts w:ascii="Times New Roman" w:eastAsia="Times New Roman"/>
        </w:rPr>
      </w:pPr>
      <w:bookmarkStart w:name="9.5 声环境污染防治措施" w:id="586"/>
      <w:bookmarkEnd w:id="586"/>
      <w:r>
        <w:rPr>
          <w:b w:val="0"/>
        </w:rPr>
      </w:r>
      <w:bookmarkStart w:name="_bookmark51" w:id="587"/>
      <w:bookmarkEnd w:id="587"/>
      <w:r>
        <w:rPr>
          <w:b w:val="0"/>
        </w:rPr>
      </w:r>
      <w:bookmarkStart w:name="_bookmark51" w:id="588"/>
      <w:bookmarkEnd w:id="588"/>
      <w:r>
        <w:rPr/>
        <w:t>声环境污染防治措施</w:t>
      </w:r>
    </w:p>
    <w:p>
      <w:pPr>
        <w:pStyle w:val="ListParagraph"/>
        <w:numPr>
          <w:ilvl w:val="0"/>
          <w:numId w:val="62"/>
        </w:numPr>
        <w:tabs>
          <w:tab w:pos="1457" w:val="left" w:leader="none"/>
        </w:tabs>
        <w:spacing w:line="364" w:lineRule="auto" w:before="199" w:after="0"/>
        <w:ind w:left="375" w:right="758" w:firstLine="480"/>
        <w:jc w:val="both"/>
        <w:rPr>
          <w:sz w:val="24"/>
        </w:rPr>
      </w:pPr>
      <w:r>
        <w:rPr>
          <w:spacing w:val="-5"/>
          <w:sz w:val="24"/>
        </w:rPr>
        <w:t>矿井总平面布置应按照生产区和生活区功能布置原则，对场地内办公区、生</w:t>
      </w:r>
      <w:r>
        <w:rPr>
          <w:spacing w:val="-4"/>
          <w:sz w:val="24"/>
        </w:rPr>
        <w:t>产区和辅助生产区进行合理规划，生活区集中布置。生产区道路两侧和高噪声车间外四周还可种植滞尘、抗污染性较强且枝密叶茂的常绿树种，生活区选用常绿乔木和常绿灌木搭配种植，即可美化环境又可对降低噪声影响起到辅助作用。</w:t>
      </w:r>
    </w:p>
    <w:p>
      <w:pPr>
        <w:pStyle w:val="ListParagraph"/>
        <w:numPr>
          <w:ilvl w:val="0"/>
          <w:numId w:val="62"/>
        </w:numPr>
        <w:tabs>
          <w:tab w:pos="1457" w:val="left" w:leader="none"/>
        </w:tabs>
        <w:spacing w:line="364" w:lineRule="auto" w:before="0" w:after="0"/>
        <w:ind w:left="375" w:right="758" w:firstLine="480"/>
        <w:jc w:val="both"/>
        <w:rPr>
          <w:sz w:val="24"/>
        </w:rPr>
      </w:pPr>
      <w:r>
        <w:rPr>
          <w:spacing w:val="-5"/>
          <w:sz w:val="24"/>
        </w:rPr>
        <w:t>对矿井用各种机电产品选用时，除考虑满足生产工艺技术要求外，还必须考</w:t>
      </w:r>
      <w:r>
        <w:rPr>
          <w:spacing w:val="-4"/>
          <w:sz w:val="24"/>
        </w:rPr>
        <w:t>虑产品应具备良好的声学特征</w:t>
      </w:r>
      <w:r>
        <w:rPr>
          <w:sz w:val="24"/>
        </w:rPr>
        <w:t>（高效低噪），向供货制造设备厂方提出限制噪声要求， </w:t>
      </w:r>
      <w:r>
        <w:rPr>
          <w:spacing w:val="-4"/>
          <w:sz w:val="24"/>
        </w:rPr>
        <w:t>否则应与厂方协商提供相配套的降噪设施。</w:t>
      </w:r>
    </w:p>
    <w:p>
      <w:pPr>
        <w:pStyle w:val="ListParagraph"/>
        <w:numPr>
          <w:ilvl w:val="0"/>
          <w:numId w:val="62"/>
        </w:numPr>
        <w:tabs>
          <w:tab w:pos="1457" w:val="left" w:leader="none"/>
        </w:tabs>
        <w:spacing w:line="304" w:lineRule="exact" w:before="0" w:after="0"/>
        <w:ind w:left="1457" w:right="0" w:hanging="601"/>
        <w:jc w:val="left"/>
        <w:rPr>
          <w:sz w:val="24"/>
        </w:rPr>
      </w:pPr>
      <w:r>
        <w:rPr>
          <w:sz w:val="24"/>
        </w:rPr>
        <w:t>对工业场地通风机排风口设置消声扩散塔，并设隔声值班室。</w:t>
      </w:r>
    </w:p>
    <w:p>
      <w:pPr>
        <w:pStyle w:val="ListParagraph"/>
        <w:numPr>
          <w:ilvl w:val="0"/>
          <w:numId w:val="62"/>
        </w:numPr>
        <w:tabs>
          <w:tab w:pos="1457" w:val="left" w:leader="none"/>
        </w:tabs>
        <w:spacing w:line="364" w:lineRule="auto" w:before="158" w:after="0"/>
        <w:ind w:left="375" w:right="638" w:firstLine="480"/>
        <w:jc w:val="left"/>
        <w:rPr>
          <w:sz w:val="24"/>
        </w:rPr>
      </w:pPr>
      <w:r>
        <w:rPr>
          <w:spacing w:val="-11"/>
          <w:sz w:val="24"/>
        </w:rPr>
        <w:t>矿井工业场地的提升机房、压风机房、机修车间的外门、外窗选用隔声型结构</w:t>
      </w:r>
      <w:r>
        <w:rPr>
          <w:spacing w:val="-4"/>
          <w:sz w:val="24"/>
        </w:rPr>
        <w:t>；压风机进风口设阻抗复合消声器，室内设立隔声值班室。</w:t>
      </w:r>
    </w:p>
    <w:p>
      <w:pPr>
        <w:pStyle w:val="ListParagraph"/>
        <w:numPr>
          <w:ilvl w:val="0"/>
          <w:numId w:val="62"/>
        </w:numPr>
        <w:tabs>
          <w:tab w:pos="1457" w:val="left" w:leader="none"/>
        </w:tabs>
        <w:spacing w:line="306" w:lineRule="exact" w:before="0" w:after="0"/>
        <w:ind w:left="1457" w:right="0" w:hanging="601"/>
        <w:jc w:val="left"/>
        <w:rPr>
          <w:sz w:val="24"/>
        </w:rPr>
      </w:pPr>
      <w:r>
        <w:rPr>
          <w:sz w:val="24"/>
        </w:rPr>
        <w:t>对水泵房水泵基础采取减振、阻尼等降噪措施。</w:t>
      </w:r>
    </w:p>
    <w:p>
      <w:pPr>
        <w:pStyle w:val="ListParagraph"/>
        <w:numPr>
          <w:ilvl w:val="0"/>
          <w:numId w:val="62"/>
        </w:numPr>
        <w:tabs>
          <w:tab w:pos="1457" w:val="left" w:leader="none"/>
        </w:tabs>
        <w:spacing w:line="362" w:lineRule="auto" w:before="160" w:after="0"/>
        <w:ind w:left="375" w:right="649" w:firstLine="480"/>
        <w:jc w:val="left"/>
        <w:rPr>
          <w:sz w:val="24"/>
        </w:rPr>
      </w:pPr>
      <w:r>
        <w:rPr>
          <w:spacing w:val="-1"/>
          <w:sz w:val="24"/>
        </w:rPr>
        <w:t>在无法采取隔声、减振、阻尼等降噪措施的作业场所，工作人员应佩戴耳塞、</w:t>
      </w:r>
      <w:r>
        <w:rPr>
          <w:sz w:val="24"/>
        </w:rPr>
        <w:t>耳罩等劳保产品进行个人防护。</w:t>
      </w:r>
    </w:p>
    <w:p>
      <w:pPr>
        <w:pStyle w:val="BodyText"/>
        <w:spacing w:before="5"/>
        <w:ind w:left="856"/>
      </w:pPr>
      <w:r>
        <w:rPr/>
        <w:t>通过采取以上措施，运行期声环境影响可接受。</w:t>
      </w:r>
    </w:p>
    <w:p>
      <w:pPr>
        <w:spacing w:after="0"/>
        <w:sectPr>
          <w:pgSz w:w="11910" w:h="16840"/>
          <w:pgMar w:header="0" w:footer="1169" w:top="1540" w:bottom="1360" w:left="1040" w:right="600"/>
        </w:sectPr>
      </w:pPr>
    </w:p>
    <w:p>
      <w:pPr>
        <w:pStyle w:val="Heading1"/>
        <w:numPr>
          <w:ilvl w:val="1"/>
          <w:numId w:val="49"/>
        </w:numPr>
        <w:tabs>
          <w:tab w:pos="3362" w:val="left" w:leader="none"/>
        </w:tabs>
        <w:spacing w:line="240" w:lineRule="auto" w:before="46" w:after="0"/>
        <w:ind w:left="3361" w:right="380" w:hanging="3362"/>
        <w:jc w:val="left"/>
      </w:pPr>
      <w:bookmarkStart w:name="10.固体废物环境影响分析" w:id="589"/>
      <w:bookmarkEnd w:id="589"/>
      <w:r>
        <w:rPr>
          <w:b w:val="0"/>
        </w:rPr>
      </w:r>
      <w:bookmarkStart w:name="_bookmark52" w:id="590"/>
      <w:bookmarkEnd w:id="590"/>
      <w:r>
        <w:rPr>
          <w:b w:val="0"/>
        </w:rPr>
      </w:r>
      <w:bookmarkStart w:name="_bookmark52" w:id="591"/>
      <w:bookmarkEnd w:id="591"/>
      <w:r>
        <w:rPr/>
        <w:t>固体废物环境影响分析</w:t>
      </w:r>
    </w:p>
    <w:p>
      <w:pPr>
        <w:pStyle w:val="Heading3"/>
        <w:numPr>
          <w:ilvl w:val="1"/>
          <w:numId w:val="63"/>
        </w:numPr>
        <w:tabs>
          <w:tab w:pos="1008" w:val="left" w:leader="none"/>
        </w:tabs>
        <w:spacing w:line="240" w:lineRule="auto" w:before="240" w:after="0"/>
        <w:ind w:left="1007" w:right="0" w:hanging="633"/>
        <w:jc w:val="left"/>
        <w:rPr>
          <w:rFonts w:ascii="Times New Roman" w:eastAsia="Times New Roman"/>
        </w:rPr>
      </w:pPr>
      <w:bookmarkStart w:name="10.1 建设期固体废物的处置" w:id="592"/>
      <w:bookmarkEnd w:id="592"/>
      <w:r>
        <w:rPr>
          <w:b w:val="0"/>
        </w:rPr>
      </w:r>
      <w:bookmarkStart w:name="_bookmark53" w:id="593"/>
      <w:bookmarkEnd w:id="593"/>
      <w:r>
        <w:rPr>
          <w:b w:val="0"/>
        </w:rPr>
      </w:r>
      <w:bookmarkStart w:name="_bookmark53" w:id="594"/>
      <w:bookmarkEnd w:id="594"/>
      <w:r>
        <w:rPr/>
        <w:t>建设期固体废物的处置</w:t>
      </w:r>
    </w:p>
    <w:p>
      <w:pPr>
        <w:pStyle w:val="BodyText"/>
        <w:spacing w:before="186"/>
        <w:ind w:left="856"/>
      </w:pPr>
      <w:r>
        <w:rPr/>
        <w:t>施工期固体废物主要为掘进矸石、生活垃圾和施工产生的废渣土。</w:t>
      </w:r>
    </w:p>
    <w:p>
      <w:pPr>
        <w:pStyle w:val="ListParagraph"/>
        <w:numPr>
          <w:ilvl w:val="2"/>
          <w:numId w:val="63"/>
        </w:numPr>
        <w:tabs>
          <w:tab w:pos="1457" w:val="left" w:leader="none"/>
        </w:tabs>
        <w:spacing w:line="362" w:lineRule="auto" w:before="158" w:after="0"/>
        <w:ind w:left="375" w:right="757" w:firstLine="480"/>
        <w:jc w:val="left"/>
        <w:rPr>
          <w:sz w:val="24"/>
        </w:rPr>
      </w:pPr>
      <w:r>
        <w:rPr>
          <w:spacing w:val="-8"/>
          <w:sz w:val="24"/>
        </w:rPr>
        <w:t>施工期产生的废弃的砖块、石块、弃土、淤泥、废渣等建筑垃圾，送往临时矸</w:t>
      </w:r>
      <w:r>
        <w:rPr>
          <w:sz w:val="24"/>
        </w:rPr>
        <w:t>石堆暂存，进行路基回填或对采煤后地表出现的裂缝充填。剩余部分及时清运。</w:t>
      </w:r>
    </w:p>
    <w:p>
      <w:pPr>
        <w:pStyle w:val="ListParagraph"/>
        <w:numPr>
          <w:ilvl w:val="2"/>
          <w:numId w:val="63"/>
        </w:numPr>
        <w:tabs>
          <w:tab w:pos="1457" w:val="left" w:leader="none"/>
        </w:tabs>
        <w:spacing w:line="240" w:lineRule="auto" w:before="5" w:after="0"/>
        <w:ind w:left="1457" w:right="0" w:hanging="601"/>
        <w:jc w:val="left"/>
        <w:rPr>
          <w:sz w:val="24"/>
        </w:rPr>
      </w:pPr>
      <w:r>
        <w:rPr>
          <w:sz w:val="24"/>
        </w:rPr>
        <w:t>施工期施工人员产生的生活废水排入防渗旱厕。</w:t>
      </w:r>
    </w:p>
    <w:p>
      <w:pPr>
        <w:pStyle w:val="ListParagraph"/>
        <w:numPr>
          <w:ilvl w:val="2"/>
          <w:numId w:val="63"/>
        </w:numPr>
        <w:tabs>
          <w:tab w:pos="1457" w:val="left" w:leader="none"/>
        </w:tabs>
        <w:spacing w:line="362" w:lineRule="auto" w:before="160" w:after="0"/>
        <w:ind w:left="856" w:right="2089" w:firstLine="0"/>
        <w:jc w:val="left"/>
        <w:rPr>
          <w:sz w:val="24"/>
        </w:rPr>
      </w:pPr>
      <w:r>
        <w:rPr>
          <w:spacing w:val="-1"/>
          <w:sz w:val="24"/>
        </w:rPr>
        <w:t>生活垃圾可用垃圾桶集中收集后按市政环卫部门要求统一处理。</w:t>
      </w:r>
      <w:bookmarkStart w:name="采取以上措施后，施工期固体废物可做到100%处置。" w:id="595"/>
      <w:bookmarkEnd w:id="595"/>
      <w:r>
        <w:rPr>
          <w:spacing w:val="-1"/>
          <w:sz w:val="24"/>
        </w:rPr>
      </w:r>
      <w:r>
        <w:rPr>
          <w:spacing w:val="-4"/>
          <w:sz w:val="24"/>
        </w:rPr>
        <w:t>采取以上措施后，施工期固体废物可做到 </w:t>
      </w:r>
      <w:r>
        <w:rPr>
          <w:rFonts w:ascii="Times New Roman" w:eastAsia="Times New Roman"/>
          <w:sz w:val="24"/>
        </w:rPr>
        <w:t>100%</w:t>
      </w:r>
      <w:r>
        <w:rPr>
          <w:sz w:val="24"/>
        </w:rPr>
        <w:t>处置。</w:t>
      </w:r>
    </w:p>
    <w:p>
      <w:pPr>
        <w:pStyle w:val="Heading3"/>
        <w:numPr>
          <w:ilvl w:val="1"/>
          <w:numId w:val="63"/>
        </w:numPr>
        <w:tabs>
          <w:tab w:pos="1008" w:val="left" w:leader="none"/>
        </w:tabs>
        <w:spacing w:line="240" w:lineRule="auto" w:before="6" w:after="0"/>
        <w:ind w:left="1007" w:right="0" w:hanging="633"/>
        <w:jc w:val="left"/>
        <w:rPr>
          <w:rFonts w:ascii="Times New Roman" w:eastAsia="Times New Roman"/>
        </w:rPr>
      </w:pPr>
      <w:bookmarkStart w:name="10.2 运营期固体废物排放情况与处置措施分析" w:id="596"/>
      <w:bookmarkEnd w:id="596"/>
      <w:r>
        <w:rPr>
          <w:b w:val="0"/>
        </w:rPr>
      </w:r>
      <w:bookmarkStart w:name="_bookmark54" w:id="597"/>
      <w:bookmarkEnd w:id="597"/>
      <w:r>
        <w:rPr>
          <w:b w:val="0"/>
        </w:rPr>
      </w:r>
      <w:bookmarkStart w:name="_bookmark54" w:id="598"/>
      <w:bookmarkEnd w:id="598"/>
      <w:r>
        <w:rPr/>
        <w:t>运营期固体废物排放情况与处置措施分析</w:t>
      </w:r>
    </w:p>
    <w:p>
      <w:pPr>
        <w:pStyle w:val="ListParagraph"/>
        <w:numPr>
          <w:ilvl w:val="0"/>
          <w:numId w:val="64"/>
        </w:numPr>
        <w:tabs>
          <w:tab w:pos="1457" w:val="left" w:leader="none"/>
        </w:tabs>
        <w:spacing w:line="240" w:lineRule="auto" w:before="183" w:after="0"/>
        <w:ind w:left="1457" w:right="0" w:hanging="601"/>
        <w:jc w:val="left"/>
        <w:rPr>
          <w:sz w:val="24"/>
        </w:rPr>
      </w:pPr>
      <w:r>
        <w:rPr>
          <w:sz w:val="24"/>
        </w:rPr>
        <w:t>生活垃圾</w:t>
      </w:r>
    </w:p>
    <w:p>
      <w:pPr>
        <w:pStyle w:val="BodyText"/>
        <w:spacing w:line="364" w:lineRule="auto" w:before="160"/>
        <w:ind w:left="375" w:right="698" w:firstLine="480"/>
      </w:pPr>
      <w:r>
        <w:rPr>
          <w:spacing w:val="-7"/>
        </w:rPr>
        <w:t>本项目工作人员为 </w:t>
      </w:r>
      <w:r>
        <w:rPr>
          <w:rFonts w:ascii="Times New Roman" w:hAnsi="Times New Roman" w:eastAsia="Times New Roman"/>
        </w:rPr>
        <w:t>363 </w:t>
      </w:r>
      <w:r>
        <w:rPr>
          <w:spacing w:val="-8"/>
        </w:rPr>
        <w:t>人，生活垃圾按 </w:t>
      </w:r>
      <w:r>
        <w:rPr>
          <w:rFonts w:ascii="Times New Roman" w:hAnsi="Times New Roman" w:eastAsia="Times New Roman"/>
        </w:rPr>
        <w:t>0.5kg/d</w:t>
      </w:r>
      <w:r>
        <w:rPr/>
        <w:t>·</w:t>
      </w:r>
      <w:r>
        <w:rPr>
          <w:spacing w:val="-5"/>
        </w:rPr>
        <w:t>人计算，生活垃圾产生量 </w:t>
      </w:r>
      <w:r>
        <w:rPr>
          <w:rFonts w:ascii="Times New Roman" w:hAnsi="Times New Roman" w:eastAsia="Times New Roman"/>
        </w:rPr>
        <w:t>59.9t/a</w:t>
      </w:r>
      <w:r>
        <w:rPr>
          <w:spacing w:val="-14"/>
        </w:rPr>
        <w:t>。</w:t>
      </w:r>
      <w:r>
        <w:rPr/>
        <w:t>生活垃圾集中收集，委托市政部门统一清运。</w:t>
      </w:r>
    </w:p>
    <w:p>
      <w:pPr>
        <w:pStyle w:val="ListParagraph"/>
        <w:numPr>
          <w:ilvl w:val="0"/>
          <w:numId w:val="64"/>
        </w:numPr>
        <w:tabs>
          <w:tab w:pos="1457" w:val="left" w:leader="none"/>
        </w:tabs>
        <w:spacing w:line="306" w:lineRule="exact" w:before="0" w:after="0"/>
        <w:ind w:left="1457" w:right="0" w:hanging="601"/>
        <w:jc w:val="left"/>
        <w:rPr>
          <w:sz w:val="24"/>
        </w:rPr>
      </w:pPr>
      <w:r>
        <w:rPr>
          <w:sz w:val="24"/>
        </w:rPr>
        <w:t>污水处理站污泥</w:t>
      </w:r>
    </w:p>
    <w:p>
      <w:pPr>
        <w:pStyle w:val="BodyText"/>
        <w:spacing w:before="161"/>
        <w:ind w:left="856"/>
      </w:pPr>
      <w:r>
        <w:rPr/>
        <w:t>污水处理站产生污泥量约为 </w:t>
      </w:r>
      <w:r>
        <w:rPr>
          <w:rFonts w:ascii="Times New Roman" w:eastAsia="Times New Roman"/>
        </w:rPr>
        <w:t>500t/a</w:t>
      </w:r>
      <w:r>
        <w:rPr/>
        <w:t>，委托市政部门统一清运。</w:t>
      </w:r>
    </w:p>
    <w:p>
      <w:pPr>
        <w:pStyle w:val="ListParagraph"/>
        <w:numPr>
          <w:ilvl w:val="0"/>
          <w:numId w:val="64"/>
        </w:numPr>
        <w:tabs>
          <w:tab w:pos="1457" w:val="left" w:leader="none"/>
        </w:tabs>
        <w:spacing w:line="240" w:lineRule="auto" w:before="158" w:after="0"/>
        <w:ind w:left="1457" w:right="0" w:hanging="601"/>
        <w:jc w:val="left"/>
        <w:rPr>
          <w:sz w:val="24"/>
        </w:rPr>
      </w:pPr>
      <w:r>
        <w:rPr>
          <w:sz w:val="24"/>
        </w:rPr>
        <w:t>炉灰</w:t>
      </w:r>
    </w:p>
    <w:p>
      <w:pPr>
        <w:pStyle w:val="BodyText"/>
        <w:spacing w:line="362" w:lineRule="auto" w:before="160"/>
        <w:ind w:left="375" w:right="756" w:firstLine="480"/>
      </w:pPr>
      <w:r>
        <w:rPr/>
        <w:t>炉灰为生物质燃料燃烧产生，经计算炉灰渣产生量约为 </w:t>
      </w:r>
      <w:r>
        <w:rPr>
          <w:rFonts w:ascii="Times New Roman" w:eastAsia="Times New Roman"/>
        </w:rPr>
        <w:t>553t/a</w:t>
      </w:r>
      <w:r>
        <w:rPr/>
        <w:t>，锅炉灰渣全部作为农肥原料外售。</w:t>
      </w:r>
    </w:p>
    <w:p>
      <w:pPr>
        <w:pStyle w:val="ListParagraph"/>
        <w:numPr>
          <w:ilvl w:val="0"/>
          <w:numId w:val="64"/>
        </w:numPr>
        <w:tabs>
          <w:tab w:pos="1457" w:val="left" w:leader="none"/>
        </w:tabs>
        <w:spacing w:line="240" w:lineRule="auto" w:before="5" w:after="0"/>
        <w:ind w:left="1457" w:right="0" w:hanging="601"/>
        <w:jc w:val="left"/>
        <w:rPr>
          <w:sz w:val="24"/>
        </w:rPr>
      </w:pPr>
      <w:r>
        <w:rPr>
          <w:sz w:val="24"/>
        </w:rPr>
        <w:t>矸石</w:t>
      </w:r>
    </w:p>
    <w:p>
      <w:pPr>
        <w:pStyle w:val="BodyText"/>
        <w:spacing w:line="364" w:lineRule="auto" w:before="158"/>
        <w:ind w:left="375" w:right="756" w:firstLine="480"/>
        <w:jc w:val="both"/>
      </w:pPr>
      <w:r>
        <w:rPr>
          <w:spacing w:val="-3"/>
        </w:rPr>
        <w:t>初步筛分栈桥产生的矸石按年产能的 </w:t>
      </w:r>
      <w:r>
        <w:rPr>
          <w:rFonts w:ascii="Times New Roman" w:eastAsia="Times New Roman"/>
        </w:rPr>
        <w:t>10%</w:t>
      </w:r>
      <w:r>
        <w:rPr>
          <w:spacing w:val="-5"/>
        </w:rPr>
        <w:t>计，矸石产生量为 </w:t>
      </w:r>
      <w:r>
        <w:rPr>
          <w:rFonts w:ascii="Times New Roman" w:eastAsia="Times New Roman"/>
        </w:rPr>
        <w:t>3 </w:t>
      </w:r>
      <w:r>
        <w:rPr/>
        <w:t>万吨</w:t>
      </w:r>
      <w:r>
        <w:rPr>
          <w:rFonts w:ascii="Times New Roman" w:eastAsia="Times New Roman"/>
        </w:rPr>
        <w:t>/a</w:t>
      </w:r>
      <w:r>
        <w:rPr/>
        <w:t>，暂存于矸石</w:t>
      </w:r>
      <w:r>
        <w:rPr>
          <w:spacing w:val="-1"/>
        </w:rPr>
        <w:t>临时堆放场，本项目矸石用于平整工业场地、公路的路基石料、或用于填沟造田等，矸</w:t>
      </w:r>
      <w:r>
        <w:rPr>
          <w:spacing w:val="-5"/>
        </w:rPr>
        <w:t>石临时堆放场地占地面积 </w:t>
      </w:r>
      <w:r>
        <w:rPr>
          <w:rFonts w:ascii="Times New Roman" w:eastAsia="Times New Roman"/>
        </w:rPr>
        <w:t>1313m</w:t>
      </w:r>
      <w:r>
        <w:rPr>
          <w:rFonts w:ascii="Times New Roman" w:eastAsia="Times New Roman"/>
          <w:position w:val="8"/>
          <w:sz w:val="15"/>
        </w:rPr>
        <w:t>2</w:t>
      </w:r>
      <w:r>
        <w:rPr/>
        <w:t>。</w:t>
      </w:r>
    </w:p>
    <w:p>
      <w:pPr>
        <w:pStyle w:val="ListParagraph"/>
        <w:numPr>
          <w:ilvl w:val="0"/>
          <w:numId w:val="64"/>
        </w:numPr>
        <w:tabs>
          <w:tab w:pos="1457" w:val="left" w:leader="none"/>
        </w:tabs>
        <w:spacing w:line="307" w:lineRule="exact" w:before="0" w:after="0"/>
        <w:ind w:left="1457" w:right="0" w:hanging="601"/>
        <w:jc w:val="left"/>
        <w:rPr>
          <w:sz w:val="24"/>
        </w:rPr>
      </w:pPr>
      <w:r>
        <w:rPr>
          <w:sz w:val="24"/>
        </w:rPr>
        <w:t>废机油</w:t>
      </w:r>
    </w:p>
    <w:p>
      <w:pPr>
        <w:pStyle w:val="BodyText"/>
        <w:spacing w:line="362" w:lineRule="auto" w:before="161"/>
        <w:ind w:left="375" w:right="580" w:firstLine="480"/>
      </w:pPr>
      <w:r>
        <w:rPr/>
        <w:t>本项目废润滑油、废机油等产生量约为 </w:t>
      </w:r>
      <w:r>
        <w:rPr>
          <w:rFonts w:ascii="Times New Roman" w:eastAsia="Times New Roman"/>
        </w:rPr>
        <w:t>0.2t/a</w:t>
      </w:r>
      <w:r>
        <w:rPr/>
        <w:t>，在工业场地设置危废暂存库房一座， 由完好无损加盖容器分别储存，定期委托有资质单位进行处置。</w:t>
      </w:r>
    </w:p>
    <w:p>
      <w:pPr>
        <w:pStyle w:val="Heading2"/>
        <w:numPr>
          <w:ilvl w:val="1"/>
          <w:numId w:val="63"/>
        </w:numPr>
        <w:tabs>
          <w:tab w:pos="1053" w:val="left" w:leader="none"/>
        </w:tabs>
        <w:spacing w:line="240" w:lineRule="auto" w:before="5" w:after="0"/>
        <w:ind w:left="1052" w:right="0" w:hanging="678"/>
        <w:jc w:val="left"/>
        <w:rPr>
          <w:rFonts w:ascii="Times New Roman" w:eastAsia="Times New Roman"/>
        </w:rPr>
      </w:pPr>
      <w:bookmarkStart w:name="10.3 固体废物环境的影响分析" w:id="599"/>
      <w:bookmarkEnd w:id="599"/>
      <w:r>
        <w:rPr>
          <w:b w:val="0"/>
        </w:rPr>
      </w:r>
      <w:bookmarkStart w:name="_bookmark55" w:id="600"/>
      <w:bookmarkEnd w:id="600"/>
      <w:r>
        <w:rPr>
          <w:b w:val="0"/>
        </w:rPr>
      </w:r>
      <w:bookmarkStart w:name="_bookmark55" w:id="601"/>
      <w:bookmarkEnd w:id="601"/>
      <w:r>
        <w:rPr/>
        <w:t>固体废物环境的影响分析</w:t>
      </w:r>
    </w:p>
    <w:p>
      <w:pPr>
        <w:pStyle w:val="Heading3"/>
        <w:numPr>
          <w:ilvl w:val="2"/>
          <w:numId w:val="65"/>
        </w:numPr>
        <w:tabs>
          <w:tab w:pos="1216" w:val="left" w:leader="none"/>
        </w:tabs>
        <w:spacing w:line="240" w:lineRule="auto" w:before="199" w:after="0"/>
        <w:ind w:left="1216" w:right="0" w:hanging="841"/>
        <w:jc w:val="left"/>
      </w:pPr>
      <w:bookmarkStart w:name="10.3.1 矸石堆存环境影响分析" w:id="602"/>
      <w:bookmarkEnd w:id="602"/>
      <w:r>
        <w:rPr>
          <w:b w:val="0"/>
        </w:rPr>
      </w:r>
      <w:bookmarkStart w:name="10.3.1 矸石堆存环境影响分析" w:id="603"/>
      <w:bookmarkEnd w:id="603"/>
      <w:r>
        <w:rPr/>
        <w:t>矸石堆存环境影响分析</w:t>
      </w:r>
    </w:p>
    <w:p>
      <w:pPr>
        <w:pStyle w:val="BodyText"/>
        <w:spacing w:line="362" w:lineRule="auto" w:before="186"/>
        <w:ind w:left="375" w:right="758" w:firstLine="480"/>
        <w:jc w:val="both"/>
      </w:pPr>
      <w:r>
        <w:rPr>
          <w:spacing w:val="-8"/>
        </w:rPr>
        <w:t>本项目设置面积 </w:t>
      </w:r>
      <w:r>
        <w:rPr>
          <w:rFonts w:ascii="Times New Roman" w:eastAsia="Times New Roman"/>
        </w:rPr>
        <w:t>1313m</w:t>
      </w:r>
      <w:r>
        <w:rPr>
          <w:rFonts w:ascii="Times New Roman" w:eastAsia="Times New Roman"/>
          <w:position w:val="8"/>
          <w:sz w:val="15"/>
        </w:rPr>
        <w:t>2 </w:t>
      </w:r>
      <w:r>
        <w:rPr>
          <w:spacing w:val="-12"/>
        </w:rPr>
        <w:t>矸石临时堆放场，项目产生矸石用来平整工业场地；用作公</w:t>
      </w:r>
      <w:r>
        <w:rPr>
          <w:spacing w:val="-1"/>
        </w:rPr>
        <w:t>路的路基石料；用于填沟造地等。矸石排放对环境的影响主要表现在对环境空气、水体</w:t>
      </w:r>
    </w:p>
    <w:p>
      <w:pPr>
        <w:spacing w:after="0" w:line="362" w:lineRule="auto"/>
        <w:jc w:val="both"/>
        <w:sectPr>
          <w:pgSz w:w="11910" w:h="16840"/>
          <w:pgMar w:header="0" w:footer="1169" w:top="1540" w:bottom="1360" w:left="1040" w:right="600"/>
        </w:sectPr>
      </w:pPr>
    </w:p>
    <w:p>
      <w:pPr>
        <w:pStyle w:val="BodyText"/>
        <w:spacing w:line="362" w:lineRule="auto" w:before="46"/>
        <w:ind w:left="375" w:right="760"/>
      </w:pPr>
      <w:r>
        <w:rPr/>
        <w:t>等环境要素的影响上，其影响程度与矸石的理化性质、矸石产量、矸石排放场地及处理方式有关。</w:t>
      </w:r>
    </w:p>
    <w:p>
      <w:pPr>
        <w:pStyle w:val="ListParagraph"/>
        <w:numPr>
          <w:ilvl w:val="3"/>
          <w:numId w:val="65"/>
        </w:numPr>
        <w:tabs>
          <w:tab w:pos="1457" w:val="left" w:leader="none"/>
        </w:tabs>
        <w:spacing w:line="240" w:lineRule="auto" w:before="5" w:after="0"/>
        <w:ind w:left="1457" w:right="0" w:hanging="601"/>
        <w:jc w:val="left"/>
        <w:rPr>
          <w:sz w:val="24"/>
        </w:rPr>
      </w:pPr>
      <w:r>
        <w:rPr>
          <w:sz w:val="24"/>
        </w:rPr>
        <w:t>矸石自燃的倾向判断和影响</w:t>
      </w:r>
    </w:p>
    <w:p>
      <w:pPr>
        <w:pStyle w:val="BodyText"/>
        <w:spacing w:line="364" w:lineRule="auto" w:before="158"/>
        <w:ind w:left="375" w:right="705" w:firstLine="480"/>
      </w:pPr>
      <w:r>
        <w:rPr>
          <w:spacing w:val="-7"/>
        </w:rPr>
        <w:t>生产期矸石产生量 </w:t>
      </w:r>
      <w:r>
        <w:rPr>
          <w:rFonts w:ascii="Times New Roman" w:eastAsia="Times New Roman"/>
        </w:rPr>
        <w:t>3 </w:t>
      </w:r>
      <w:r>
        <w:rPr>
          <w:spacing w:val="-30"/>
        </w:rPr>
        <w:t>万 </w:t>
      </w:r>
      <w:r>
        <w:rPr>
          <w:rFonts w:ascii="Times New Roman" w:eastAsia="Times New Roman"/>
        </w:rPr>
        <w:t>t/a</w:t>
      </w:r>
      <w:r>
        <w:rPr>
          <w:spacing w:val="-1"/>
        </w:rPr>
        <w:t>，矸石产生量较小。矸石临时堆放场在工业场地东南角， </w:t>
      </w:r>
      <w:r>
        <w:rPr>
          <w:spacing w:val="-12"/>
        </w:rPr>
        <w:t>占地面积 </w:t>
      </w:r>
      <w:r>
        <w:rPr>
          <w:rFonts w:ascii="Times New Roman" w:eastAsia="Times New Roman"/>
        </w:rPr>
        <w:t>1313m</w:t>
      </w:r>
      <w:r>
        <w:rPr>
          <w:rFonts w:ascii="Times New Roman" w:eastAsia="Times New Roman"/>
          <w:position w:val="8"/>
          <w:sz w:val="15"/>
        </w:rPr>
        <w:t>2</w:t>
      </w:r>
      <w:r>
        <w:rPr/>
        <w:t>。</w:t>
      </w:r>
    </w:p>
    <w:p>
      <w:pPr>
        <w:pStyle w:val="BodyText"/>
        <w:spacing w:line="364" w:lineRule="auto"/>
        <w:ind w:left="375" w:right="760" w:firstLine="480"/>
      </w:pPr>
      <w:r>
        <w:rPr/>
        <w:t>根据《双鸭山市东盛矿业集团有限公司（双鸭山市东盛煤业有限公司）资源整合矿产资源开发利用方案》可知，矸石堆放可分为五个步骤进行：</w:t>
      </w:r>
    </w:p>
    <w:p>
      <w:pPr>
        <w:pStyle w:val="BodyText"/>
        <w:spacing w:line="362" w:lineRule="auto"/>
        <w:ind w:left="375" w:right="760" w:firstLine="480"/>
        <w:jc w:val="both"/>
      </w:pPr>
      <w:r>
        <w:rPr/>
        <w:t>①修涵洞做防渗层：在沟口修筑挡矸坝，以防洪水将矸石冲走及对矸石造成浸泡淋溶污染水体；沿沟底修涵洞，用于排放沟内洪水，矸石沟两侧修筑防洪沟（截流沟两侧的雨水不汇入矸石场）。</w:t>
      </w:r>
    </w:p>
    <w:p>
      <w:pPr>
        <w:pStyle w:val="BodyText"/>
        <w:spacing w:line="362" w:lineRule="auto" w:before="6"/>
        <w:ind w:left="375" w:right="760" w:firstLine="480"/>
      </w:pPr>
      <w:r>
        <w:rPr/>
        <w:t>②矸石分层堆放：矸石从工业场地通过汽车拉入矸石场，用推土机将矸石推平，并通过压路机、推土机往返对矸石进行压实。</w:t>
      </w:r>
    </w:p>
    <w:p>
      <w:pPr>
        <w:pStyle w:val="BodyText"/>
        <w:spacing w:line="364" w:lineRule="auto" w:before="5"/>
        <w:ind w:left="375" w:right="637" w:firstLine="480"/>
        <w:jc w:val="both"/>
      </w:pPr>
      <w:r>
        <w:rPr>
          <w:spacing w:val="-13"/>
        </w:rPr>
        <w:t>③外边坡覆土、绿化。绿化树种选择适合当地生长的树种，栽种季节宜选择在春季。</w:t>
      </w:r>
      <w:r>
        <w:rPr>
          <w:spacing w:val="-9"/>
        </w:rPr>
        <w:t>栽种方式采用客土坑栽，客土采用熟土及肥料按比例混合，肥料可用生活污水站的污泥。</w:t>
      </w:r>
      <w:r>
        <w:rPr/>
        <w:t>为了保证绿化和树木成活率，要定时浇水。内侧矸石分层堆放按第二步要求进行。</w:t>
      </w:r>
    </w:p>
    <w:p>
      <w:pPr>
        <w:pStyle w:val="BodyText"/>
        <w:spacing w:line="364" w:lineRule="auto"/>
        <w:ind w:left="375" w:right="760" w:firstLine="480"/>
        <w:jc w:val="both"/>
      </w:pPr>
      <w:r>
        <w:rPr>
          <w:spacing w:val="-1"/>
        </w:rPr>
        <w:t>④堆放覆土及复垦：当矸石堆放达到山顶时，及时进行覆土，覆土厚度达到农业复</w:t>
      </w:r>
      <w:r>
        <w:rPr/>
        <w:t>垦要求（</w:t>
      </w:r>
      <w:r>
        <w:rPr>
          <w:rFonts w:ascii="Times New Roman" w:hAnsi="Times New Roman" w:eastAsia="Times New Roman"/>
        </w:rPr>
        <w:t>0.8~1.0m)</w:t>
      </w:r>
      <w:r>
        <w:rPr>
          <w:spacing w:val="-3"/>
        </w:rPr>
        <w:t>。为了改良土壤增加肥力，可种固氮类农作物，如豆类、薯类等 </w:t>
      </w:r>
      <w:r>
        <w:rPr>
          <w:rFonts w:ascii="Times New Roman" w:hAnsi="Times New Roman" w:eastAsia="Times New Roman"/>
        </w:rPr>
        <w:t>1~2 </w:t>
      </w:r>
      <w:r>
        <w:rPr/>
        <w:t>年，同时，内侧按第二步要求进行矸石分层堆放。</w:t>
      </w:r>
    </w:p>
    <w:p>
      <w:pPr>
        <w:pStyle w:val="BodyText"/>
        <w:spacing w:line="364" w:lineRule="auto"/>
        <w:ind w:left="375" w:right="760" w:firstLine="480"/>
      </w:pPr>
      <w:r>
        <w:rPr/>
        <w:t>⑤新购场地矸石堆放：当现矸石场堆满向新矸石场延伸时，依次顺序重复以上四步过程。</w:t>
      </w:r>
    </w:p>
    <w:p>
      <w:pPr>
        <w:pStyle w:val="BodyText"/>
        <w:spacing w:line="364" w:lineRule="auto"/>
        <w:ind w:left="375" w:right="760" w:firstLine="480"/>
        <w:jc w:val="both"/>
      </w:pPr>
      <w:r>
        <w:rPr/>
        <w:t>矸石排至沟内后逐层压实，使矸石间空气的存贮和流动空隙压缩至最小，再经过黄土层的隔绝，造成矸石自燃所需氧气的缺乏，使矸石中的硫铁矿始终处于缺氧状态。如此处理后，矸石自燃可能性很小。</w:t>
      </w:r>
    </w:p>
    <w:p>
      <w:pPr>
        <w:pStyle w:val="ListParagraph"/>
        <w:numPr>
          <w:ilvl w:val="3"/>
          <w:numId w:val="65"/>
        </w:numPr>
        <w:tabs>
          <w:tab w:pos="1457" w:val="left" w:leader="none"/>
        </w:tabs>
        <w:spacing w:line="307" w:lineRule="exact" w:before="0" w:after="0"/>
        <w:ind w:left="1457" w:right="0" w:hanging="601"/>
        <w:jc w:val="left"/>
        <w:rPr>
          <w:sz w:val="24"/>
        </w:rPr>
      </w:pPr>
      <w:r>
        <w:rPr>
          <w:sz w:val="24"/>
        </w:rPr>
        <w:t>矸石扬尘对环境污染影响分析</w:t>
      </w:r>
    </w:p>
    <w:p>
      <w:pPr>
        <w:pStyle w:val="BodyText"/>
        <w:spacing w:before="156"/>
        <w:ind w:left="856"/>
      </w:pPr>
      <w:r>
        <w:rPr/>
        <w:t>固体物料起尘条件主要取决于其粒度、表面含水量和风速的大小。</w:t>
      </w:r>
    </w:p>
    <w:p>
      <w:pPr>
        <w:pStyle w:val="BodyText"/>
        <w:spacing w:line="362" w:lineRule="auto" w:before="158"/>
        <w:ind w:left="375" w:right="760" w:firstLine="480"/>
      </w:pPr>
      <w:r>
        <w:rPr>
          <w:spacing w:val="-1"/>
        </w:rPr>
        <w:t>东盛煤矿矸石产生后在矸石临时堆放场暂存，定期洒水降尘，用于平整工业场地、</w:t>
      </w:r>
      <w:r>
        <w:rPr/>
        <w:t>公路的路基石料、或用于填沟造田等。矸石扬尘对周边环境影响较小。</w:t>
      </w:r>
    </w:p>
    <w:p>
      <w:pPr>
        <w:pStyle w:val="ListParagraph"/>
        <w:numPr>
          <w:ilvl w:val="3"/>
          <w:numId w:val="65"/>
        </w:numPr>
        <w:tabs>
          <w:tab w:pos="1457" w:val="left" w:leader="none"/>
        </w:tabs>
        <w:spacing w:line="240" w:lineRule="auto" w:before="5" w:after="0"/>
        <w:ind w:left="1457" w:right="0" w:hanging="601"/>
        <w:jc w:val="left"/>
        <w:rPr>
          <w:sz w:val="24"/>
        </w:rPr>
      </w:pPr>
      <w:r>
        <w:rPr>
          <w:sz w:val="24"/>
        </w:rPr>
        <w:t>矸石淋溶水对水环境的影响</w:t>
      </w:r>
    </w:p>
    <w:p>
      <w:pPr>
        <w:pStyle w:val="BodyText"/>
        <w:spacing w:before="160"/>
        <w:ind w:left="856"/>
      </w:pPr>
      <w:r>
        <w:rPr/>
        <w:t>矸石露天堆放，经降雨淋溶后，可溶解性元素随雨水迁移进入土壤和水体，可能会</w:t>
      </w:r>
    </w:p>
    <w:p>
      <w:pPr>
        <w:spacing w:after="0"/>
        <w:sectPr>
          <w:pgSz w:w="11910" w:h="16840"/>
          <w:pgMar w:header="0" w:footer="1169" w:top="1540" w:bottom="1360" w:left="1040" w:right="600"/>
        </w:sectPr>
      </w:pPr>
    </w:p>
    <w:p>
      <w:pPr>
        <w:pStyle w:val="BodyText"/>
        <w:spacing w:line="362" w:lineRule="auto" w:before="46"/>
        <w:ind w:left="375" w:right="760"/>
      </w:pPr>
      <w:r>
        <w:rPr/>
        <w:t>对土壤、地表水及地下水产生一定的影响。其影响程度取决于矸石成分、淋溶液中污染物的排放情况及所在地的环境地质条件。</w:t>
      </w:r>
    </w:p>
    <w:p>
      <w:pPr>
        <w:pStyle w:val="BodyText"/>
        <w:spacing w:line="362" w:lineRule="auto" w:before="5"/>
        <w:ind w:left="375" w:right="760" w:firstLine="480"/>
      </w:pPr>
      <w:r>
        <w:rPr>
          <w:spacing w:val="-4"/>
        </w:rPr>
        <w:t>本次环评采用黑龙江康和检测有限公司于 </w:t>
      </w:r>
      <w:r>
        <w:rPr>
          <w:rFonts w:ascii="Times New Roman" w:eastAsia="Times New Roman"/>
        </w:rPr>
        <w:t>2020 </w:t>
      </w:r>
      <w:r>
        <w:rPr>
          <w:spacing w:val="-30"/>
        </w:rPr>
        <w:t>年 </w:t>
      </w:r>
      <w:r>
        <w:rPr>
          <w:rFonts w:ascii="Times New Roman" w:eastAsia="Times New Roman"/>
        </w:rPr>
        <w:t>6 </w:t>
      </w:r>
      <w:r>
        <w:rPr>
          <w:spacing w:val="-30"/>
        </w:rPr>
        <w:t>月 </w:t>
      </w:r>
      <w:r>
        <w:rPr>
          <w:rFonts w:ascii="Times New Roman" w:eastAsia="Times New Roman"/>
        </w:rPr>
        <w:t>18 </w:t>
      </w:r>
      <w:r>
        <w:rPr>
          <w:spacing w:val="-2"/>
        </w:rPr>
        <w:t>日进行了矸石浸出实验结</w:t>
      </w:r>
      <w:r>
        <w:rPr>
          <w:spacing w:val="-7"/>
        </w:rPr>
        <w:t>果，测试结果如表 </w:t>
      </w:r>
      <w:r>
        <w:rPr>
          <w:rFonts w:ascii="Times New Roman" w:eastAsia="Times New Roman"/>
        </w:rPr>
        <w:t>10.3-1</w:t>
      </w:r>
      <w:r>
        <w:rPr/>
        <w:t>。</w:t>
      </w:r>
    </w:p>
    <w:p>
      <w:pPr>
        <w:pStyle w:val="Heading4"/>
        <w:tabs>
          <w:tab w:pos="1161" w:val="left" w:leader="none"/>
        </w:tabs>
        <w:spacing w:before="5" w:after="2"/>
        <w:ind w:right="375"/>
        <w:jc w:val="center"/>
      </w:pPr>
      <w:r>
        <w:rPr/>
        <w:t>表</w:t>
      </w:r>
      <w:r>
        <w:rPr>
          <w:spacing w:val="-62"/>
        </w:rPr>
        <w:t> </w:t>
      </w:r>
      <w:r>
        <w:rPr>
          <w:rFonts w:ascii="Times New Roman" w:eastAsia="Times New Roman"/>
        </w:rPr>
        <w:t>10.3-1</w:t>
        <w:tab/>
      </w:r>
      <w:r>
        <w:rPr/>
        <w:t>矸石淋溶液监测结果</w:t>
      </w:r>
    </w:p>
    <w:tbl>
      <w:tblPr>
        <w:tblW w:w="0" w:type="auto"/>
        <w:jc w:val="left"/>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9"/>
        <w:gridCol w:w="882"/>
        <w:gridCol w:w="890"/>
        <w:gridCol w:w="2316"/>
        <w:gridCol w:w="3601"/>
      </w:tblGrid>
      <w:tr>
        <w:trPr>
          <w:trHeight w:val="817" w:hRule="atLeast"/>
        </w:trPr>
        <w:tc>
          <w:tcPr>
            <w:tcW w:w="1811" w:type="dxa"/>
            <w:gridSpan w:val="2"/>
          </w:tcPr>
          <w:p>
            <w:pPr>
              <w:pStyle w:val="TableParagraph"/>
              <w:spacing w:before="3"/>
              <w:jc w:val="left"/>
              <w:rPr>
                <w:b/>
                <w:sz w:val="21"/>
              </w:rPr>
            </w:pPr>
          </w:p>
          <w:p>
            <w:pPr>
              <w:pStyle w:val="TableParagraph"/>
              <w:ind w:left="673" w:right="668"/>
              <w:rPr>
                <w:sz w:val="21"/>
              </w:rPr>
            </w:pPr>
            <w:r>
              <w:rPr>
                <w:sz w:val="21"/>
              </w:rPr>
              <w:t>项目</w:t>
            </w:r>
          </w:p>
        </w:tc>
        <w:tc>
          <w:tcPr>
            <w:tcW w:w="890" w:type="dxa"/>
          </w:tcPr>
          <w:p>
            <w:pPr>
              <w:pStyle w:val="TableParagraph"/>
              <w:spacing w:line="244" w:lineRule="auto" w:before="135"/>
              <w:ind w:left="234" w:right="225"/>
              <w:jc w:val="left"/>
              <w:rPr>
                <w:sz w:val="21"/>
              </w:rPr>
            </w:pPr>
            <w:r>
              <w:rPr>
                <w:sz w:val="21"/>
              </w:rPr>
              <w:t>分析结果</w:t>
            </w:r>
          </w:p>
        </w:tc>
        <w:tc>
          <w:tcPr>
            <w:tcW w:w="2316" w:type="dxa"/>
          </w:tcPr>
          <w:p>
            <w:pPr>
              <w:pStyle w:val="TableParagraph"/>
              <w:spacing w:before="1"/>
              <w:ind w:left="275"/>
              <w:jc w:val="left"/>
              <w:rPr>
                <w:rFonts w:ascii="Times New Roman" w:eastAsia="Times New Roman"/>
                <w:sz w:val="21"/>
              </w:rPr>
            </w:pPr>
            <w:r>
              <w:rPr>
                <w:sz w:val="21"/>
              </w:rPr>
              <w:t>最高允许浓度 </w:t>
            </w:r>
            <w:r>
              <w:rPr>
                <w:rFonts w:ascii="Times New Roman" w:eastAsia="Times New Roman"/>
                <w:sz w:val="21"/>
              </w:rPr>
              <w:t>mg/L</w:t>
            </w:r>
          </w:p>
          <w:p>
            <w:pPr>
              <w:pStyle w:val="TableParagraph"/>
              <w:spacing w:line="270" w:lineRule="atLeast" w:before="1"/>
              <w:ind w:left="107" w:right="-15"/>
              <w:jc w:val="left"/>
              <w:rPr>
                <w:sz w:val="21"/>
              </w:rPr>
            </w:pPr>
            <w:r>
              <w:rPr>
                <w:sz w:val="21"/>
              </w:rPr>
              <w:t>《煤炭工业污染物排放</w:t>
            </w:r>
            <w:r>
              <w:rPr>
                <w:spacing w:val="-50"/>
                <w:sz w:val="21"/>
              </w:rPr>
              <w:t>标准》</w:t>
            </w:r>
            <w:r>
              <w:rPr>
                <w:sz w:val="21"/>
              </w:rPr>
              <w:t>（</w:t>
            </w:r>
            <w:r>
              <w:rPr>
                <w:rFonts w:ascii="Times New Roman" w:eastAsia="Times New Roman"/>
                <w:sz w:val="21"/>
              </w:rPr>
              <w:t>GB20426-2006</w:t>
            </w:r>
            <w:r>
              <w:rPr>
                <w:sz w:val="21"/>
              </w:rPr>
              <w:t>）</w:t>
            </w:r>
          </w:p>
        </w:tc>
        <w:tc>
          <w:tcPr>
            <w:tcW w:w="3601" w:type="dxa"/>
          </w:tcPr>
          <w:p>
            <w:pPr>
              <w:pStyle w:val="TableParagraph"/>
              <w:spacing w:before="3"/>
              <w:jc w:val="left"/>
              <w:rPr>
                <w:b/>
                <w:sz w:val="21"/>
              </w:rPr>
            </w:pPr>
          </w:p>
          <w:p>
            <w:pPr>
              <w:pStyle w:val="TableParagraph"/>
              <w:ind w:left="959"/>
              <w:jc w:val="left"/>
              <w:rPr>
                <w:sz w:val="21"/>
              </w:rPr>
            </w:pPr>
            <w:r>
              <w:rPr>
                <w:sz w:val="21"/>
              </w:rPr>
              <w:t>分析方法及标准号</w:t>
            </w:r>
          </w:p>
        </w:tc>
      </w:tr>
      <w:tr>
        <w:trPr>
          <w:trHeight w:val="514" w:hRule="atLeast"/>
        </w:trPr>
        <w:tc>
          <w:tcPr>
            <w:tcW w:w="1811" w:type="dxa"/>
            <w:gridSpan w:val="2"/>
          </w:tcPr>
          <w:p>
            <w:pPr>
              <w:pStyle w:val="TableParagraph"/>
              <w:spacing w:before="119"/>
              <w:ind w:left="120"/>
              <w:jc w:val="left"/>
              <w:rPr>
                <w:sz w:val="21"/>
              </w:rPr>
            </w:pPr>
            <w:r>
              <w:rPr>
                <w:rFonts w:ascii="Times New Roman" w:eastAsia="Times New Roman"/>
                <w:sz w:val="21"/>
              </w:rPr>
              <w:t>pH </w:t>
            </w:r>
            <w:r>
              <w:rPr>
                <w:sz w:val="21"/>
              </w:rPr>
              <w:t>值（无量纲）</w:t>
            </w:r>
          </w:p>
        </w:tc>
        <w:tc>
          <w:tcPr>
            <w:tcW w:w="890" w:type="dxa"/>
          </w:tcPr>
          <w:p>
            <w:pPr>
              <w:pStyle w:val="TableParagraph"/>
              <w:spacing w:before="133"/>
              <w:ind w:left="260"/>
              <w:jc w:val="left"/>
              <w:rPr>
                <w:rFonts w:ascii="Times New Roman"/>
                <w:sz w:val="21"/>
              </w:rPr>
            </w:pPr>
            <w:r>
              <w:rPr>
                <w:rFonts w:ascii="Times New Roman"/>
                <w:sz w:val="21"/>
              </w:rPr>
              <w:t>7.04</w:t>
            </w:r>
          </w:p>
        </w:tc>
        <w:tc>
          <w:tcPr>
            <w:tcW w:w="2316" w:type="dxa"/>
          </w:tcPr>
          <w:p>
            <w:pPr>
              <w:pStyle w:val="TableParagraph"/>
              <w:spacing w:before="133"/>
              <w:ind w:left="995"/>
              <w:jc w:val="left"/>
              <w:rPr>
                <w:rFonts w:ascii="Times New Roman"/>
                <w:sz w:val="21"/>
              </w:rPr>
            </w:pPr>
            <w:r>
              <w:rPr>
                <w:rFonts w:ascii="Times New Roman"/>
                <w:sz w:val="21"/>
              </w:rPr>
              <w:t>6~9</w:t>
            </w:r>
          </w:p>
        </w:tc>
        <w:tc>
          <w:tcPr>
            <w:tcW w:w="3601" w:type="dxa"/>
          </w:tcPr>
          <w:p>
            <w:pPr>
              <w:pStyle w:val="TableParagraph"/>
              <w:spacing w:line="269" w:lineRule="exact"/>
              <w:ind w:left="98" w:right="90"/>
              <w:rPr>
                <w:sz w:val="21"/>
              </w:rPr>
            </w:pPr>
            <w:r>
              <w:rPr>
                <w:sz w:val="21"/>
              </w:rPr>
              <w:t>固体废物腐蚀性的测定玻璃电极法</w:t>
            </w:r>
          </w:p>
          <w:p>
            <w:pPr>
              <w:pStyle w:val="TableParagraph"/>
              <w:spacing w:line="224" w:lineRule="exact" w:before="1"/>
              <w:ind w:left="98" w:right="87"/>
              <w:rPr>
                <w:rFonts w:ascii="Times New Roman"/>
                <w:sz w:val="21"/>
              </w:rPr>
            </w:pPr>
            <w:r>
              <w:rPr>
                <w:rFonts w:ascii="Times New Roman"/>
                <w:sz w:val="21"/>
              </w:rPr>
              <w:t>GB/T 15555.12-1995</w:t>
            </w:r>
          </w:p>
        </w:tc>
      </w:tr>
      <w:tr>
        <w:trPr>
          <w:trHeight w:val="544" w:hRule="atLeast"/>
        </w:trPr>
        <w:tc>
          <w:tcPr>
            <w:tcW w:w="1811" w:type="dxa"/>
            <w:gridSpan w:val="2"/>
          </w:tcPr>
          <w:p>
            <w:pPr>
              <w:pStyle w:val="TableParagraph"/>
              <w:spacing w:before="135"/>
              <w:ind w:left="283"/>
              <w:jc w:val="left"/>
              <w:rPr>
                <w:sz w:val="21"/>
              </w:rPr>
            </w:pPr>
            <w:r>
              <w:rPr>
                <w:sz w:val="21"/>
              </w:rPr>
              <w:t>总汞（</w:t>
            </w:r>
            <w:r>
              <w:rPr>
                <w:rFonts w:ascii="Times New Roman" w:hAnsi="Times New Roman" w:eastAsia="Times New Roman"/>
                <w:sz w:val="21"/>
              </w:rPr>
              <w:t>μg/L</w:t>
            </w:r>
            <w:r>
              <w:rPr>
                <w:sz w:val="21"/>
              </w:rPr>
              <w:t>）</w:t>
            </w:r>
          </w:p>
        </w:tc>
        <w:tc>
          <w:tcPr>
            <w:tcW w:w="890" w:type="dxa"/>
          </w:tcPr>
          <w:p>
            <w:pPr>
              <w:pStyle w:val="TableParagraph"/>
              <w:spacing w:before="149"/>
              <w:ind w:right="191"/>
              <w:jc w:val="right"/>
              <w:rPr>
                <w:rFonts w:ascii="Times New Roman"/>
                <w:sz w:val="21"/>
              </w:rPr>
            </w:pPr>
            <w:r>
              <w:rPr>
                <w:rFonts w:ascii="Times New Roman"/>
                <w:w w:val="95"/>
                <w:sz w:val="21"/>
              </w:rPr>
              <w:t>&lt;0.05</w:t>
            </w:r>
          </w:p>
        </w:tc>
        <w:tc>
          <w:tcPr>
            <w:tcW w:w="2316" w:type="dxa"/>
          </w:tcPr>
          <w:p>
            <w:pPr>
              <w:pStyle w:val="TableParagraph"/>
              <w:spacing w:before="149"/>
              <w:ind w:left="973"/>
              <w:jc w:val="left"/>
              <w:rPr>
                <w:rFonts w:ascii="Times New Roman"/>
                <w:sz w:val="21"/>
              </w:rPr>
            </w:pPr>
            <w:r>
              <w:rPr>
                <w:rFonts w:ascii="Times New Roman"/>
                <w:sz w:val="21"/>
              </w:rPr>
              <w:t>0.05</w:t>
            </w:r>
          </w:p>
        </w:tc>
        <w:tc>
          <w:tcPr>
            <w:tcW w:w="3601" w:type="dxa"/>
          </w:tcPr>
          <w:p>
            <w:pPr>
              <w:pStyle w:val="TableParagraph"/>
              <w:spacing w:before="1"/>
              <w:ind w:left="98" w:right="93"/>
              <w:rPr>
                <w:sz w:val="21"/>
              </w:rPr>
            </w:pPr>
            <w:r>
              <w:rPr>
                <w:sz w:val="21"/>
              </w:rPr>
              <w:t>固体废物总汞的测定冷原子吸收分光</w:t>
            </w:r>
          </w:p>
          <w:p>
            <w:pPr>
              <w:pStyle w:val="TableParagraph"/>
              <w:spacing w:line="252" w:lineRule="exact" w:before="2"/>
              <w:ind w:left="98" w:right="87"/>
              <w:rPr>
                <w:rFonts w:ascii="Times New Roman" w:eastAsia="Times New Roman"/>
                <w:sz w:val="21"/>
              </w:rPr>
            </w:pPr>
            <w:r>
              <w:rPr>
                <w:sz w:val="21"/>
              </w:rPr>
              <w:t>光度法 </w:t>
            </w:r>
            <w:r>
              <w:rPr>
                <w:rFonts w:ascii="Times New Roman" w:eastAsia="Times New Roman"/>
                <w:sz w:val="21"/>
              </w:rPr>
              <w:t>GB/T 15555.1-1995</w:t>
            </w:r>
          </w:p>
        </w:tc>
      </w:tr>
      <w:tr>
        <w:trPr>
          <w:trHeight w:val="545" w:hRule="atLeast"/>
        </w:trPr>
        <w:tc>
          <w:tcPr>
            <w:tcW w:w="1811" w:type="dxa"/>
            <w:gridSpan w:val="2"/>
          </w:tcPr>
          <w:p>
            <w:pPr>
              <w:pStyle w:val="TableParagraph"/>
              <w:spacing w:before="136"/>
              <w:ind w:left="257"/>
              <w:jc w:val="left"/>
              <w:rPr>
                <w:sz w:val="21"/>
              </w:rPr>
            </w:pPr>
            <w:r>
              <w:rPr>
                <w:sz w:val="21"/>
              </w:rPr>
              <w:t>总铬（</w:t>
            </w:r>
            <w:r>
              <w:rPr>
                <w:rFonts w:ascii="Times New Roman" w:eastAsia="Times New Roman"/>
                <w:sz w:val="21"/>
              </w:rPr>
              <w:t>mg/L</w:t>
            </w:r>
            <w:r>
              <w:rPr>
                <w:sz w:val="21"/>
              </w:rPr>
              <w:t>）</w:t>
            </w:r>
          </w:p>
        </w:tc>
        <w:tc>
          <w:tcPr>
            <w:tcW w:w="890" w:type="dxa"/>
          </w:tcPr>
          <w:p>
            <w:pPr>
              <w:pStyle w:val="TableParagraph"/>
              <w:spacing w:before="150"/>
              <w:ind w:right="191"/>
              <w:jc w:val="right"/>
              <w:rPr>
                <w:rFonts w:ascii="Times New Roman"/>
                <w:sz w:val="21"/>
              </w:rPr>
            </w:pPr>
            <w:r>
              <w:rPr>
                <w:rFonts w:ascii="Times New Roman"/>
                <w:w w:val="95"/>
                <w:sz w:val="21"/>
              </w:rPr>
              <w:t>&lt;0.03</w:t>
            </w:r>
          </w:p>
        </w:tc>
        <w:tc>
          <w:tcPr>
            <w:tcW w:w="2316" w:type="dxa"/>
          </w:tcPr>
          <w:p>
            <w:pPr>
              <w:pStyle w:val="TableParagraph"/>
              <w:spacing w:before="150"/>
              <w:ind w:left="1026"/>
              <w:jc w:val="left"/>
              <w:rPr>
                <w:rFonts w:ascii="Times New Roman"/>
                <w:sz w:val="21"/>
              </w:rPr>
            </w:pPr>
            <w:r>
              <w:rPr>
                <w:rFonts w:ascii="Times New Roman"/>
                <w:sz w:val="21"/>
              </w:rPr>
              <w:t>0.1</w:t>
            </w:r>
          </w:p>
        </w:tc>
        <w:tc>
          <w:tcPr>
            <w:tcW w:w="3601" w:type="dxa"/>
          </w:tcPr>
          <w:p>
            <w:pPr>
              <w:pStyle w:val="TableParagraph"/>
              <w:spacing w:before="1"/>
              <w:ind w:left="98" w:right="93"/>
              <w:rPr>
                <w:sz w:val="21"/>
              </w:rPr>
            </w:pPr>
            <w:r>
              <w:rPr>
                <w:sz w:val="21"/>
              </w:rPr>
              <w:t>固体废物总铬的测定火焰原子吸收分</w:t>
            </w:r>
          </w:p>
          <w:p>
            <w:pPr>
              <w:pStyle w:val="TableParagraph"/>
              <w:spacing w:line="252" w:lineRule="exact" w:before="2"/>
              <w:ind w:left="98" w:right="87"/>
              <w:rPr>
                <w:rFonts w:ascii="Times New Roman" w:eastAsia="Times New Roman"/>
                <w:sz w:val="21"/>
              </w:rPr>
            </w:pPr>
            <w:r>
              <w:rPr>
                <w:sz w:val="21"/>
              </w:rPr>
              <w:t>光光度法 </w:t>
            </w:r>
            <w:r>
              <w:rPr>
                <w:rFonts w:ascii="Times New Roman" w:eastAsia="Times New Roman"/>
                <w:sz w:val="21"/>
              </w:rPr>
              <w:t>HJ 749-2015</w:t>
            </w:r>
          </w:p>
        </w:tc>
      </w:tr>
      <w:tr>
        <w:trPr>
          <w:trHeight w:val="544" w:hRule="atLeast"/>
        </w:trPr>
        <w:tc>
          <w:tcPr>
            <w:tcW w:w="1811" w:type="dxa"/>
            <w:gridSpan w:val="2"/>
          </w:tcPr>
          <w:p>
            <w:pPr>
              <w:pStyle w:val="TableParagraph"/>
              <w:spacing w:before="135"/>
              <w:ind w:left="283"/>
              <w:jc w:val="left"/>
              <w:rPr>
                <w:sz w:val="21"/>
              </w:rPr>
            </w:pPr>
            <w:r>
              <w:rPr>
                <w:sz w:val="21"/>
              </w:rPr>
              <w:t>总镉（</w:t>
            </w:r>
            <w:r>
              <w:rPr>
                <w:rFonts w:ascii="Times New Roman" w:hAnsi="Times New Roman" w:eastAsia="Times New Roman"/>
                <w:sz w:val="21"/>
              </w:rPr>
              <w:t>μg/L</w:t>
            </w:r>
            <w:r>
              <w:rPr>
                <w:sz w:val="21"/>
              </w:rPr>
              <w:t>）</w:t>
            </w:r>
          </w:p>
        </w:tc>
        <w:tc>
          <w:tcPr>
            <w:tcW w:w="890" w:type="dxa"/>
          </w:tcPr>
          <w:p>
            <w:pPr>
              <w:pStyle w:val="TableParagraph"/>
              <w:spacing w:before="149"/>
              <w:ind w:left="253"/>
              <w:jc w:val="left"/>
              <w:rPr>
                <w:rFonts w:ascii="Times New Roman"/>
                <w:sz w:val="21"/>
              </w:rPr>
            </w:pPr>
            <w:r>
              <w:rPr>
                <w:rFonts w:ascii="Times New Roman"/>
                <w:sz w:val="21"/>
              </w:rPr>
              <w:t>&lt;0.6</w:t>
            </w:r>
          </w:p>
        </w:tc>
        <w:tc>
          <w:tcPr>
            <w:tcW w:w="2316" w:type="dxa"/>
          </w:tcPr>
          <w:p>
            <w:pPr>
              <w:pStyle w:val="TableParagraph"/>
              <w:spacing w:before="149"/>
              <w:ind w:left="1026"/>
              <w:jc w:val="left"/>
              <w:rPr>
                <w:rFonts w:ascii="Times New Roman"/>
                <w:sz w:val="21"/>
              </w:rPr>
            </w:pPr>
            <w:r>
              <w:rPr>
                <w:rFonts w:ascii="Times New Roman"/>
                <w:sz w:val="21"/>
              </w:rPr>
              <w:t>1.5</w:t>
            </w:r>
          </w:p>
        </w:tc>
        <w:tc>
          <w:tcPr>
            <w:tcW w:w="3601" w:type="dxa"/>
          </w:tcPr>
          <w:p>
            <w:pPr>
              <w:pStyle w:val="TableParagraph"/>
              <w:spacing w:before="1"/>
              <w:ind w:left="98" w:right="93"/>
              <w:rPr>
                <w:sz w:val="21"/>
              </w:rPr>
            </w:pPr>
            <w:r>
              <w:rPr>
                <w:sz w:val="21"/>
              </w:rPr>
              <w:t>固体废物铅和镉的测定石墨炉原子吸</w:t>
            </w:r>
          </w:p>
          <w:p>
            <w:pPr>
              <w:pStyle w:val="TableParagraph"/>
              <w:spacing w:line="253" w:lineRule="exact" w:before="2"/>
              <w:ind w:left="98" w:right="87"/>
              <w:rPr>
                <w:rFonts w:ascii="Times New Roman" w:eastAsia="Times New Roman"/>
                <w:sz w:val="21"/>
              </w:rPr>
            </w:pPr>
            <w:r>
              <w:rPr>
                <w:sz w:val="21"/>
              </w:rPr>
              <w:t>收分光光度法 </w:t>
            </w:r>
            <w:r>
              <w:rPr>
                <w:rFonts w:ascii="Times New Roman" w:eastAsia="Times New Roman"/>
                <w:sz w:val="21"/>
              </w:rPr>
              <w:t>HJ 787-2016</w:t>
            </w:r>
          </w:p>
        </w:tc>
      </w:tr>
      <w:tr>
        <w:trPr>
          <w:trHeight w:val="543" w:hRule="atLeast"/>
        </w:trPr>
        <w:tc>
          <w:tcPr>
            <w:tcW w:w="1811" w:type="dxa"/>
            <w:gridSpan w:val="2"/>
          </w:tcPr>
          <w:p>
            <w:pPr>
              <w:pStyle w:val="TableParagraph"/>
              <w:spacing w:before="135"/>
              <w:ind w:left="151"/>
              <w:jc w:val="left"/>
              <w:rPr>
                <w:sz w:val="21"/>
              </w:rPr>
            </w:pPr>
            <w:r>
              <w:rPr>
                <w:sz w:val="21"/>
              </w:rPr>
              <w:t>六价铬（</w:t>
            </w:r>
            <w:r>
              <w:rPr>
                <w:rFonts w:ascii="Times New Roman" w:eastAsia="Times New Roman"/>
                <w:sz w:val="21"/>
              </w:rPr>
              <w:t>mg/L</w:t>
            </w:r>
            <w:r>
              <w:rPr>
                <w:sz w:val="21"/>
              </w:rPr>
              <w:t>）</w:t>
            </w:r>
          </w:p>
        </w:tc>
        <w:tc>
          <w:tcPr>
            <w:tcW w:w="890" w:type="dxa"/>
          </w:tcPr>
          <w:p>
            <w:pPr>
              <w:pStyle w:val="TableParagraph"/>
              <w:spacing w:before="151"/>
              <w:ind w:right="135"/>
              <w:jc w:val="right"/>
              <w:rPr>
                <w:rFonts w:ascii="Times New Roman"/>
                <w:sz w:val="21"/>
              </w:rPr>
            </w:pPr>
            <w:r>
              <w:rPr>
                <w:rFonts w:ascii="Times New Roman"/>
                <w:w w:val="95"/>
                <w:sz w:val="21"/>
              </w:rPr>
              <w:t>&lt;0.004</w:t>
            </w:r>
          </w:p>
        </w:tc>
        <w:tc>
          <w:tcPr>
            <w:tcW w:w="2316" w:type="dxa"/>
          </w:tcPr>
          <w:p>
            <w:pPr>
              <w:pStyle w:val="TableParagraph"/>
              <w:spacing w:before="151"/>
              <w:ind w:left="1026"/>
              <w:jc w:val="left"/>
              <w:rPr>
                <w:rFonts w:ascii="Times New Roman"/>
                <w:sz w:val="21"/>
              </w:rPr>
            </w:pPr>
            <w:r>
              <w:rPr>
                <w:rFonts w:ascii="Times New Roman"/>
                <w:sz w:val="21"/>
              </w:rPr>
              <w:t>0.5</w:t>
            </w:r>
          </w:p>
        </w:tc>
        <w:tc>
          <w:tcPr>
            <w:tcW w:w="3601" w:type="dxa"/>
          </w:tcPr>
          <w:p>
            <w:pPr>
              <w:pStyle w:val="TableParagraph"/>
              <w:ind w:left="98" w:right="93"/>
              <w:rPr>
                <w:sz w:val="21"/>
              </w:rPr>
            </w:pPr>
            <w:r>
              <w:rPr>
                <w:sz w:val="21"/>
              </w:rPr>
              <w:t>固体废物六价铬的测定二苯碳酰二肼</w:t>
            </w:r>
          </w:p>
          <w:p>
            <w:pPr>
              <w:pStyle w:val="TableParagraph"/>
              <w:spacing w:line="252" w:lineRule="exact" w:before="2"/>
              <w:ind w:left="98" w:right="87"/>
              <w:rPr>
                <w:rFonts w:ascii="Times New Roman" w:eastAsia="Times New Roman"/>
                <w:sz w:val="21"/>
              </w:rPr>
            </w:pPr>
            <w:r>
              <w:rPr>
                <w:sz w:val="21"/>
              </w:rPr>
              <w:t>分光光度法 </w:t>
            </w:r>
            <w:r>
              <w:rPr>
                <w:rFonts w:ascii="Times New Roman" w:eastAsia="Times New Roman"/>
                <w:sz w:val="21"/>
              </w:rPr>
              <w:t>GB/T 15555.4-1995</w:t>
            </w:r>
          </w:p>
        </w:tc>
      </w:tr>
      <w:tr>
        <w:trPr>
          <w:trHeight w:val="545" w:hRule="atLeast"/>
        </w:trPr>
        <w:tc>
          <w:tcPr>
            <w:tcW w:w="1811" w:type="dxa"/>
            <w:gridSpan w:val="2"/>
          </w:tcPr>
          <w:p>
            <w:pPr>
              <w:pStyle w:val="TableParagraph"/>
              <w:spacing w:before="135"/>
              <w:ind w:left="283"/>
              <w:jc w:val="left"/>
              <w:rPr>
                <w:sz w:val="21"/>
              </w:rPr>
            </w:pPr>
            <w:r>
              <w:rPr>
                <w:sz w:val="21"/>
              </w:rPr>
              <w:t>总铅（</w:t>
            </w:r>
            <w:r>
              <w:rPr>
                <w:rFonts w:ascii="Times New Roman" w:hAnsi="Times New Roman" w:eastAsia="Times New Roman"/>
                <w:sz w:val="21"/>
              </w:rPr>
              <w:t>μg/L</w:t>
            </w:r>
            <w:r>
              <w:rPr>
                <w:sz w:val="21"/>
              </w:rPr>
              <w:t>）</w:t>
            </w:r>
          </w:p>
        </w:tc>
        <w:tc>
          <w:tcPr>
            <w:tcW w:w="890" w:type="dxa"/>
          </w:tcPr>
          <w:p>
            <w:pPr>
              <w:pStyle w:val="TableParagraph"/>
              <w:spacing w:before="154"/>
              <w:ind w:left="253"/>
              <w:jc w:val="left"/>
              <w:rPr>
                <w:rFonts w:ascii="Times New Roman"/>
                <w:sz w:val="21"/>
              </w:rPr>
            </w:pPr>
            <w:bookmarkStart w:name="&lt;0.9" w:id="604"/>
            <w:bookmarkEnd w:id="604"/>
            <w:r>
              <w:rPr/>
            </w:r>
            <w:r>
              <w:rPr>
                <w:rFonts w:ascii="Times New Roman"/>
                <w:sz w:val="21"/>
              </w:rPr>
              <w:t>&lt;0.9</w:t>
            </w:r>
          </w:p>
        </w:tc>
        <w:tc>
          <w:tcPr>
            <w:tcW w:w="2316" w:type="dxa"/>
          </w:tcPr>
          <w:p>
            <w:pPr>
              <w:pStyle w:val="TableParagraph"/>
              <w:spacing w:before="151"/>
              <w:ind w:left="1026"/>
              <w:jc w:val="left"/>
              <w:rPr>
                <w:rFonts w:ascii="Times New Roman"/>
                <w:sz w:val="21"/>
              </w:rPr>
            </w:pPr>
            <w:r>
              <w:rPr>
                <w:rFonts w:ascii="Times New Roman"/>
                <w:sz w:val="21"/>
              </w:rPr>
              <w:t>0.5</w:t>
            </w:r>
          </w:p>
        </w:tc>
        <w:tc>
          <w:tcPr>
            <w:tcW w:w="3601" w:type="dxa"/>
          </w:tcPr>
          <w:p>
            <w:pPr>
              <w:pStyle w:val="TableParagraph"/>
              <w:spacing w:before="1"/>
              <w:ind w:left="98" w:right="93"/>
              <w:rPr>
                <w:sz w:val="21"/>
              </w:rPr>
            </w:pPr>
            <w:r>
              <w:rPr>
                <w:sz w:val="21"/>
              </w:rPr>
              <w:t>固体废物铅和镉的测定石墨炉原子吸</w:t>
            </w:r>
          </w:p>
          <w:p>
            <w:pPr>
              <w:pStyle w:val="TableParagraph"/>
              <w:spacing w:line="253" w:lineRule="exact" w:before="2"/>
              <w:ind w:left="98" w:right="87"/>
              <w:rPr>
                <w:rFonts w:ascii="Times New Roman" w:eastAsia="Times New Roman"/>
                <w:sz w:val="21"/>
              </w:rPr>
            </w:pPr>
            <w:r>
              <w:rPr>
                <w:sz w:val="21"/>
              </w:rPr>
              <w:t>收分光光度法 </w:t>
            </w:r>
            <w:r>
              <w:rPr>
                <w:rFonts w:ascii="Times New Roman" w:eastAsia="Times New Roman"/>
                <w:sz w:val="21"/>
              </w:rPr>
              <w:t>HJ 787-2016</w:t>
            </w:r>
          </w:p>
        </w:tc>
      </w:tr>
      <w:tr>
        <w:trPr>
          <w:trHeight w:val="816" w:hRule="atLeast"/>
        </w:trPr>
        <w:tc>
          <w:tcPr>
            <w:tcW w:w="1811" w:type="dxa"/>
            <w:gridSpan w:val="2"/>
          </w:tcPr>
          <w:p>
            <w:pPr>
              <w:pStyle w:val="TableParagraph"/>
              <w:spacing w:before="4"/>
              <w:jc w:val="left"/>
              <w:rPr>
                <w:b/>
                <w:sz w:val="21"/>
              </w:rPr>
            </w:pPr>
          </w:p>
          <w:p>
            <w:pPr>
              <w:pStyle w:val="TableParagraph"/>
              <w:ind w:left="283"/>
              <w:jc w:val="left"/>
              <w:rPr>
                <w:sz w:val="21"/>
              </w:rPr>
            </w:pPr>
            <w:r>
              <w:rPr>
                <w:sz w:val="21"/>
              </w:rPr>
              <w:t>总砷（</w:t>
            </w:r>
            <w:r>
              <w:rPr>
                <w:rFonts w:ascii="Times New Roman" w:hAnsi="Times New Roman" w:eastAsia="Times New Roman"/>
                <w:sz w:val="21"/>
              </w:rPr>
              <w:t>μg/L</w:t>
            </w:r>
            <w:r>
              <w:rPr>
                <w:sz w:val="21"/>
              </w:rPr>
              <w:t>）</w:t>
            </w:r>
          </w:p>
        </w:tc>
        <w:tc>
          <w:tcPr>
            <w:tcW w:w="890" w:type="dxa"/>
          </w:tcPr>
          <w:p>
            <w:pPr>
              <w:pStyle w:val="TableParagraph"/>
              <w:spacing w:before="8"/>
              <w:jc w:val="left"/>
              <w:rPr>
                <w:b/>
                <w:sz w:val="22"/>
              </w:rPr>
            </w:pPr>
          </w:p>
          <w:p>
            <w:pPr>
              <w:pStyle w:val="TableParagraph"/>
              <w:ind w:left="253"/>
              <w:jc w:val="left"/>
              <w:rPr>
                <w:rFonts w:ascii="Times New Roman"/>
                <w:sz w:val="21"/>
              </w:rPr>
            </w:pPr>
            <w:bookmarkStart w:name="&lt;0.1" w:id="605"/>
            <w:bookmarkEnd w:id="605"/>
            <w:r>
              <w:rPr/>
            </w:r>
            <w:r>
              <w:rPr>
                <w:rFonts w:ascii="Times New Roman"/>
                <w:sz w:val="21"/>
              </w:rPr>
              <w:t>&lt;0.1</w:t>
            </w:r>
          </w:p>
        </w:tc>
        <w:tc>
          <w:tcPr>
            <w:tcW w:w="2316" w:type="dxa"/>
          </w:tcPr>
          <w:p>
            <w:pPr>
              <w:pStyle w:val="TableParagraph"/>
              <w:spacing w:before="5"/>
              <w:jc w:val="left"/>
              <w:rPr>
                <w:b/>
                <w:sz w:val="22"/>
              </w:rPr>
            </w:pPr>
          </w:p>
          <w:p>
            <w:pPr>
              <w:pStyle w:val="TableParagraph"/>
              <w:spacing w:before="1"/>
              <w:ind w:left="1026"/>
              <w:jc w:val="left"/>
              <w:rPr>
                <w:rFonts w:ascii="Times New Roman"/>
                <w:sz w:val="21"/>
              </w:rPr>
            </w:pPr>
            <w:r>
              <w:rPr>
                <w:rFonts w:ascii="Times New Roman"/>
                <w:sz w:val="21"/>
              </w:rPr>
              <w:t>0.5</w:t>
            </w:r>
          </w:p>
        </w:tc>
        <w:tc>
          <w:tcPr>
            <w:tcW w:w="3601" w:type="dxa"/>
          </w:tcPr>
          <w:p>
            <w:pPr>
              <w:pStyle w:val="TableParagraph"/>
              <w:ind w:left="107" w:firstLine="12"/>
              <w:jc w:val="left"/>
              <w:rPr>
                <w:sz w:val="21"/>
              </w:rPr>
            </w:pPr>
            <w:r>
              <w:rPr>
                <w:sz w:val="21"/>
              </w:rPr>
              <w:t>危险废物鉴别标准浸出毒性鉴别（附</w:t>
            </w:r>
          </w:p>
          <w:p>
            <w:pPr>
              <w:pStyle w:val="TableParagraph"/>
              <w:spacing w:line="270" w:lineRule="atLeast" w:before="3"/>
              <w:ind w:left="465" w:right="99" w:hanging="358"/>
              <w:jc w:val="left"/>
              <w:rPr>
                <w:rFonts w:ascii="Times New Roman" w:eastAsia="Times New Roman"/>
                <w:sz w:val="21"/>
              </w:rPr>
            </w:pPr>
            <w:r>
              <w:rPr>
                <w:spacing w:val="-28"/>
                <w:sz w:val="21"/>
              </w:rPr>
              <w:t>录 </w:t>
            </w:r>
            <w:r>
              <w:rPr>
                <w:rFonts w:ascii="Times New Roman" w:eastAsia="Times New Roman"/>
                <w:sz w:val="21"/>
              </w:rPr>
              <w:t>E </w:t>
            </w:r>
            <w:r>
              <w:rPr>
                <w:spacing w:val="-8"/>
                <w:sz w:val="21"/>
              </w:rPr>
              <w:t>固体废物砷、锑、铋、硒的测定</w:t>
            </w:r>
            <w:r>
              <w:rPr>
                <w:sz w:val="21"/>
              </w:rPr>
              <w:t>原子荧光法）</w:t>
            </w:r>
            <w:r>
              <w:rPr>
                <w:rFonts w:ascii="Times New Roman" w:eastAsia="Times New Roman"/>
                <w:sz w:val="21"/>
              </w:rPr>
              <w:t>GB 5085.3-2007</w:t>
            </w:r>
          </w:p>
        </w:tc>
      </w:tr>
      <w:tr>
        <w:trPr>
          <w:trHeight w:val="545" w:hRule="atLeast"/>
        </w:trPr>
        <w:tc>
          <w:tcPr>
            <w:tcW w:w="1811" w:type="dxa"/>
            <w:gridSpan w:val="2"/>
          </w:tcPr>
          <w:p>
            <w:pPr>
              <w:pStyle w:val="TableParagraph"/>
              <w:spacing w:before="135"/>
              <w:ind w:left="257"/>
              <w:jc w:val="left"/>
              <w:rPr>
                <w:sz w:val="21"/>
              </w:rPr>
            </w:pPr>
            <w:r>
              <w:rPr>
                <w:sz w:val="21"/>
              </w:rPr>
              <w:t>总锌（</w:t>
            </w:r>
            <w:r>
              <w:rPr>
                <w:rFonts w:ascii="Times New Roman" w:eastAsia="Times New Roman"/>
                <w:sz w:val="21"/>
              </w:rPr>
              <w:t>mg/L</w:t>
            </w:r>
            <w:r>
              <w:rPr>
                <w:sz w:val="21"/>
              </w:rPr>
              <w:t>）</w:t>
            </w:r>
          </w:p>
        </w:tc>
        <w:tc>
          <w:tcPr>
            <w:tcW w:w="890" w:type="dxa"/>
          </w:tcPr>
          <w:p>
            <w:pPr>
              <w:pStyle w:val="TableParagraph"/>
              <w:spacing w:before="154"/>
              <w:ind w:left="260"/>
              <w:jc w:val="left"/>
              <w:rPr>
                <w:rFonts w:ascii="Times New Roman"/>
                <w:sz w:val="21"/>
              </w:rPr>
            </w:pPr>
            <w:bookmarkStart w:name="0.06" w:id="606"/>
            <w:bookmarkEnd w:id="606"/>
            <w:r>
              <w:rPr/>
            </w:r>
            <w:r>
              <w:rPr>
                <w:rFonts w:ascii="Times New Roman"/>
                <w:sz w:val="21"/>
              </w:rPr>
              <w:t>0.06</w:t>
            </w:r>
          </w:p>
        </w:tc>
        <w:tc>
          <w:tcPr>
            <w:tcW w:w="2316" w:type="dxa"/>
          </w:tcPr>
          <w:p>
            <w:pPr>
              <w:pStyle w:val="TableParagraph"/>
              <w:spacing w:before="152"/>
              <w:ind w:left="1026"/>
              <w:jc w:val="left"/>
              <w:rPr>
                <w:rFonts w:ascii="Times New Roman"/>
                <w:sz w:val="21"/>
              </w:rPr>
            </w:pPr>
            <w:r>
              <w:rPr>
                <w:rFonts w:ascii="Times New Roman"/>
                <w:sz w:val="21"/>
              </w:rPr>
              <w:t>2.0</w:t>
            </w:r>
          </w:p>
        </w:tc>
        <w:tc>
          <w:tcPr>
            <w:tcW w:w="3601" w:type="dxa"/>
          </w:tcPr>
          <w:p>
            <w:pPr>
              <w:pStyle w:val="TableParagraph"/>
              <w:spacing w:before="1"/>
              <w:ind w:left="98" w:right="93"/>
              <w:rPr>
                <w:sz w:val="21"/>
              </w:rPr>
            </w:pPr>
            <w:r>
              <w:rPr>
                <w:sz w:val="21"/>
              </w:rPr>
              <w:t>固体废物铅、锌和镉的测定火焰原子</w:t>
            </w:r>
          </w:p>
          <w:p>
            <w:pPr>
              <w:pStyle w:val="TableParagraph"/>
              <w:spacing w:line="253" w:lineRule="exact" w:before="2"/>
              <w:ind w:left="98" w:right="87"/>
              <w:rPr>
                <w:rFonts w:ascii="Times New Roman" w:eastAsia="Times New Roman"/>
                <w:sz w:val="21"/>
              </w:rPr>
            </w:pPr>
            <w:r>
              <w:rPr>
                <w:sz w:val="21"/>
              </w:rPr>
              <w:t>吸收分光光度法 </w:t>
            </w:r>
            <w:r>
              <w:rPr>
                <w:rFonts w:ascii="Times New Roman" w:eastAsia="Times New Roman"/>
                <w:sz w:val="21"/>
              </w:rPr>
              <w:t>HJ 786-2016</w:t>
            </w:r>
          </w:p>
        </w:tc>
      </w:tr>
      <w:tr>
        <w:trPr>
          <w:trHeight w:val="544" w:hRule="atLeast"/>
        </w:trPr>
        <w:tc>
          <w:tcPr>
            <w:tcW w:w="1811" w:type="dxa"/>
            <w:gridSpan w:val="2"/>
          </w:tcPr>
          <w:p>
            <w:pPr>
              <w:pStyle w:val="TableParagraph"/>
              <w:spacing w:before="135"/>
              <w:ind w:left="151"/>
              <w:jc w:val="left"/>
              <w:rPr>
                <w:sz w:val="21"/>
              </w:rPr>
            </w:pPr>
            <w:r>
              <w:rPr>
                <w:sz w:val="21"/>
              </w:rPr>
              <w:t>氟化物（</w:t>
            </w:r>
            <w:r>
              <w:rPr>
                <w:rFonts w:ascii="Times New Roman" w:eastAsia="Times New Roman"/>
                <w:sz w:val="21"/>
              </w:rPr>
              <w:t>mg/L</w:t>
            </w:r>
            <w:r>
              <w:rPr>
                <w:sz w:val="21"/>
              </w:rPr>
              <w:t>）</w:t>
            </w:r>
          </w:p>
        </w:tc>
        <w:tc>
          <w:tcPr>
            <w:tcW w:w="890" w:type="dxa"/>
          </w:tcPr>
          <w:p>
            <w:pPr>
              <w:pStyle w:val="TableParagraph"/>
              <w:spacing w:before="153"/>
              <w:ind w:right="191"/>
              <w:jc w:val="right"/>
              <w:rPr>
                <w:rFonts w:ascii="Times New Roman"/>
                <w:sz w:val="21"/>
              </w:rPr>
            </w:pPr>
            <w:bookmarkStart w:name="&lt;0.05" w:id="607"/>
            <w:bookmarkEnd w:id="607"/>
            <w:r>
              <w:rPr/>
            </w:r>
            <w:r>
              <w:rPr>
                <w:rFonts w:ascii="Times New Roman"/>
                <w:w w:val="95"/>
                <w:sz w:val="21"/>
              </w:rPr>
              <w:t>&lt;0.05</w:t>
            </w:r>
          </w:p>
        </w:tc>
        <w:tc>
          <w:tcPr>
            <w:tcW w:w="2316" w:type="dxa"/>
          </w:tcPr>
          <w:p>
            <w:pPr>
              <w:pStyle w:val="TableParagraph"/>
              <w:spacing w:before="149"/>
              <w:ind w:left="1053"/>
              <w:jc w:val="left"/>
              <w:rPr>
                <w:rFonts w:ascii="Times New Roman"/>
                <w:sz w:val="21"/>
              </w:rPr>
            </w:pPr>
            <w:r>
              <w:rPr>
                <w:rFonts w:ascii="Times New Roman"/>
                <w:sz w:val="21"/>
              </w:rPr>
              <w:t>10</w:t>
            </w:r>
          </w:p>
        </w:tc>
        <w:tc>
          <w:tcPr>
            <w:tcW w:w="3601" w:type="dxa"/>
          </w:tcPr>
          <w:p>
            <w:pPr>
              <w:pStyle w:val="TableParagraph"/>
              <w:ind w:left="98" w:right="93"/>
              <w:rPr>
                <w:sz w:val="21"/>
              </w:rPr>
            </w:pPr>
            <w:r>
              <w:rPr>
                <w:sz w:val="21"/>
              </w:rPr>
              <w:t>固体废物氟化物的测定离子选择性电</w:t>
            </w:r>
          </w:p>
          <w:p>
            <w:pPr>
              <w:pStyle w:val="TableParagraph"/>
              <w:spacing w:line="252" w:lineRule="exact" w:before="2"/>
              <w:ind w:left="98" w:right="87"/>
              <w:rPr>
                <w:rFonts w:ascii="Times New Roman" w:eastAsia="Times New Roman"/>
                <w:sz w:val="21"/>
              </w:rPr>
            </w:pPr>
            <w:r>
              <w:rPr>
                <w:sz w:val="21"/>
              </w:rPr>
              <w:t>极法 </w:t>
            </w:r>
            <w:r>
              <w:rPr>
                <w:rFonts w:ascii="Times New Roman" w:eastAsia="Times New Roman"/>
                <w:sz w:val="21"/>
              </w:rPr>
              <w:t>GB/T15555.11-1995</w:t>
            </w:r>
          </w:p>
        </w:tc>
      </w:tr>
      <w:tr>
        <w:trPr>
          <w:trHeight w:val="544" w:hRule="atLeast"/>
        </w:trPr>
        <w:tc>
          <w:tcPr>
            <w:tcW w:w="1811" w:type="dxa"/>
            <w:gridSpan w:val="2"/>
          </w:tcPr>
          <w:p>
            <w:pPr>
              <w:pStyle w:val="TableParagraph"/>
              <w:spacing w:before="135"/>
              <w:ind w:left="257"/>
              <w:jc w:val="left"/>
              <w:rPr>
                <w:sz w:val="21"/>
              </w:rPr>
            </w:pPr>
            <w:r>
              <w:rPr>
                <w:sz w:val="21"/>
              </w:rPr>
              <w:t>总铜（</w:t>
            </w:r>
            <w:r>
              <w:rPr>
                <w:rFonts w:ascii="Times New Roman" w:eastAsia="Times New Roman"/>
                <w:sz w:val="21"/>
              </w:rPr>
              <w:t>mg/L</w:t>
            </w:r>
            <w:r>
              <w:rPr>
                <w:sz w:val="21"/>
              </w:rPr>
              <w:t>）</w:t>
            </w:r>
          </w:p>
        </w:tc>
        <w:tc>
          <w:tcPr>
            <w:tcW w:w="890" w:type="dxa"/>
          </w:tcPr>
          <w:p>
            <w:pPr>
              <w:pStyle w:val="TableParagraph"/>
              <w:spacing w:before="154"/>
              <w:ind w:right="191"/>
              <w:jc w:val="right"/>
              <w:rPr>
                <w:rFonts w:ascii="Times New Roman"/>
                <w:sz w:val="21"/>
              </w:rPr>
            </w:pPr>
            <w:bookmarkStart w:name="&lt;0.02" w:id="608"/>
            <w:bookmarkEnd w:id="608"/>
            <w:r>
              <w:rPr/>
            </w:r>
            <w:r>
              <w:rPr>
                <w:rFonts w:ascii="Times New Roman"/>
                <w:w w:val="95"/>
                <w:sz w:val="21"/>
              </w:rPr>
              <w:t>&lt;0.02</w:t>
            </w:r>
          </w:p>
        </w:tc>
        <w:tc>
          <w:tcPr>
            <w:tcW w:w="2316" w:type="dxa"/>
          </w:tcPr>
          <w:p>
            <w:pPr>
              <w:pStyle w:val="TableParagraph"/>
              <w:spacing w:before="151"/>
              <w:ind w:left="7"/>
              <w:rPr>
                <w:rFonts w:ascii="Times New Roman"/>
                <w:sz w:val="21"/>
              </w:rPr>
            </w:pPr>
            <w:r>
              <w:rPr>
                <w:rFonts w:ascii="Times New Roman"/>
                <w:w w:val="99"/>
                <w:sz w:val="21"/>
              </w:rPr>
              <w:t>/</w:t>
            </w:r>
          </w:p>
        </w:tc>
        <w:tc>
          <w:tcPr>
            <w:tcW w:w="3601" w:type="dxa"/>
          </w:tcPr>
          <w:p>
            <w:pPr>
              <w:pStyle w:val="TableParagraph"/>
              <w:spacing w:before="1"/>
              <w:ind w:left="98" w:right="93"/>
              <w:rPr>
                <w:sz w:val="21"/>
              </w:rPr>
            </w:pPr>
            <w:r>
              <w:rPr>
                <w:sz w:val="21"/>
              </w:rPr>
              <w:t>固体废物镍和铜的测定火焰原子吸收</w:t>
            </w:r>
          </w:p>
          <w:p>
            <w:pPr>
              <w:pStyle w:val="TableParagraph"/>
              <w:spacing w:line="253" w:lineRule="exact" w:before="2"/>
              <w:ind w:left="98" w:right="87"/>
              <w:rPr>
                <w:rFonts w:ascii="Times New Roman" w:eastAsia="Times New Roman"/>
                <w:sz w:val="21"/>
              </w:rPr>
            </w:pPr>
            <w:r>
              <w:rPr>
                <w:sz w:val="21"/>
              </w:rPr>
              <w:t>分光光度法 </w:t>
            </w:r>
            <w:r>
              <w:rPr>
                <w:rFonts w:ascii="Times New Roman" w:eastAsia="Times New Roman"/>
                <w:sz w:val="21"/>
              </w:rPr>
              <w:t>HJ 751-2015</w:t>
            </w:r>
          </w:p>
        </w:tc>
      </w:tr>
      <w:tr>
        <w:trPr>
          <w:trHeight w:val="272" w:hRule="atLeast"/>
        </w:trPr>
        <w:tc>
          <w:tcPr>
            <w:tcW w:w="929" w:type="dxa"/>
            <w:vMerge w:val="restart"/>
          </w:tcPr>
          <w:p>
            <w:pPr>
              <w:pStyle w:val="TableParagraph"/>
              <w:spacing w:before="5"/>
              <w:ind w:left="149"/>
              <w:jc w:val="left"/>
              <w:rPr>
                <w:sz w:val="21"/>
              </w:rPr>
            </w:pPr>
            <w:r>
              <w:rPr>
                <w:sz w:val="21"/>
              </w:rPr>
              <w:t>烷基汞</w:t>
            </w:r>
          </w:p>
          <w:p>
            <w:pPr>
              <w:pStyle w:val="TableParagraph"/>
              <w:spacing w:line="259" w:lineRule="exact" w:before="2"/>
              <w:ind w:left="108" w:right="-15"/>
              <w:jc w:val="left"/>
              <w:rPr>
                <w:sz w:val="21"/>
              </w:rPr>
            </w:pPr>
            <w:r>
              <w:rPr>
                <w:sz w:val="21"/>
              </w:rPr>
              <w:t>（</w:t>
            </w:r>
            <w:r>
              <w:rPr>
                <w:rFonts w:ascii="Times New Roman" w:eastAsia="Times New Roman"/>
                <w:sz w:val="21"/>
              </w:rPr>
              <w:t>ng/L</w:t>
            </w:r>
            <w:r>
              <w:rPr>
                <w:sz w:val="21"/>
              </w:rPr>
              <w:t>）</w:t>
            </w:r>
          </w:p>
        </w:tc>
        <w:tc>
          <w:tcPr>
            <w:tcW w:w="882" w:type="dxa"/>
          </w:tcPr>
          <w:p>
            <w:pPr>
              <w:pStyle w:val="TableParagraph"/>
              <w:spacing w:line="252" w:lineRule="exact"/>
              <w:ind w:left="125"/>
              <w:jc w:val="left"/>
              <w:rPr>
                <w:sz w:val="21"/>
              </w:rPr>
            </w:pPr>
            <w:r>
              <w:rPr>
                <w:sz w:val="21"/>
              </w:rPr>
              <w:t>甲基汞</w:t>
            </w:r>
          </w:p>
        </w:tc>
        <w:tc>
          <w:tcPr>
            <w:tcW w:w="890" w:type="dxa"/>
          </w:tcPr>
          <w:p>
            <w:pPr>
              <w:pStyle w:val="TableParagraph"/>
              <w:spacing w:line="233" w:lineRule="exact" w:before="19"/>
              <w:ind w:left="279"/>
              <w:jc w:val="left"/>
              <w:rPr>
                <w:rFonts w:ascii="Times New Roman"/>
                <w:sz w:val="21"/>
              </w:rPr>
            </w:pPr>
            <w:bookmarkStart w:name="&lt;10" w:id="609"/>
            <w:bookmarkEnd w:id="609"/>
            <w:r>
              <w:rPr/>
            </w:r>
            <w:r>
              <w:rPr>
                <w:rFonts w:ascii="Times New Roman"/>
                <w:sz w:val="21"/>
              </w:rPr>
              <w:t>&lt;10</w:t>
            </w:r>
          </w:p>
        </w:tc>
        <w:tc>
          <w:tcPr>
            <w:tcW w:w="2316" w:type="dxa"/>
          </w:tcPr>
          <w:p>
            <w:pPr>
              <w:pStyle w:val="TableParagraph"/>
              <w:spacing w:line="238" w:lineRule="exact" w:before="14"/>
              <w:ind w:left="7"/>
              <w:rPr>
                <w:rFonts w:ascii="Times New Roman"/>
                <w:sz w:val="21"/>
              </w:rPr>
            </w:pPr>
            <w:r>
              <w:rPr>
                <w:rFonts w:ascii="Times New Roman"/>
                <w:w w:val="99"/>
                <w:sz w:val="21"/>
              </w:rPr>
              <w:t>/</w:t>
            </w:r>
          </w:p>
        </w:tc>
        <w:tc>
          <w:tcPr>
            <w:tcW w:w="3601" w:type="dxa"/>
            <w:vMerge w:val="restart"/>
          </w:tcPr>
          <w:p>
            <w:pPr>
              <w:pStyle w:val="TableParagraph"/>
              <w:spacing w:before="22"/>
              <w:ind w:left="98" w:right="93"/>
              <w:rPr>
                <w:sz w:val="21"/>
              </w:rPr>
            </w:pPr>
            <w:r>
              <w:rPr>
                <w:sz w:val="21"/>
              </w:rPr>
              <w:t>水质烷基汞的测定气相色谱法</w:t>
            </w:r>
          </w:p>
          <w:p>
            <w:pPr>
              <w:pStyle w:val="TableParagraph"/>
              <w:spacing w:before="1"/>
              <w:ind w:left="98" w:right="87"/>
              <w:rPr>
                <w:rFonts w:ascii="Times New Roman"/>
                <w:sz w:val="21"/>
              </w:rPr>
            </w:pPr>
            <w:r>
              <w:rPr>
                <w:rFonts w:ascii="Times New Roman"/>
                <w:sz w:val="21"/>
              </w:rPr>
              <w:t>GB/T 14204-1993</w:t>
            </w:r>
          </w:p>
        </w:tc>
      </w:tr>
      <w:tr>
        <w:trPr>
          <w:trHeight w:val="272" w:hRule="atLeast"/>
        </w:trPr>
        <w:tc>
          <w:tcPr>
            <w:tcW w:w="929" w:type="dxa"/>
            <w:vMerge/>
            <w:tcBorders>
              <w:top w:val="nil"/>
            </w:tcBorders>
          </w:tcPr>
          <w:p>
            <w:pPr>
              <w:rPr>
                <w:sz w:val="2"/>
                <w:szCs w:val="2"/>
              </w:rPr>
            </w:pPr>
          </w:p>
        </w:tc>
        <w:tc>
          <w:tcPr>
            <w:tcW w:w="882" w:type="dxa"/>
          </w:tcPr>
          <w:p>
            <w:pPr>
              <w:pStyle w:val="TableParagraph"/>
              <w:spacing w:line="251" w:lineRule="exact" w:before="1"/>
              <w:ind w:left="125"/>
              <w:jc w:val="left"/>
              <w:rPr>
                <w:sz w:val="21"/>
              </w:rPr>
            </w:pPr>
            <w:r>
              <w:rPr>
                <w:sz w:val="21"/>
              </w:rPr>
              <w:t>乙基汞</w:t>
            </w:r>
          </w:p>
        </w:tc>
        <w:tc>
          <w:tcPr>
            <w:tcW w:w="890" w:type="dxa"/>
          </w:tcPr>
          <w:p>
            <w:pPr>
              <w:pStyle w:val="TableParagraph"/>
              <w:spacing w:line="237" w:lineRule="exact" w:before="15"/>
              <w:ind w:left="279"/>
              <w:jc w:val="left"/>
              <w:rPr>
                <w:rFonts w:ascii="Times New Roman"/>
                <w:sz w:val="21"/>
              </w:rPr>
            </w:pPr>
            <w:r>
              <w:rPr>
                <w:rFonts w:ascii="Times New Roman"/>
                <w:sz w:val="21"/>
              </w:rPr>
              <w:t>&lt;20</w:t>
            </w:r>
          </w:p>
        </w:tc>
        <w:tc>
          <w:tcPr>
            <w:tcW w:w="2316" w:type="dxa"/>
          </w:tcPr>
          <w:p>
            <w:pPr>
              <w:pStyle w:val="TableParagraph"/>
              <w:spacing w:line="237" w:lineRule="exact" w:before="15"/>
              <w:ind w:left="7"/>
              <w:rPr>
                <w:rFonts w:ascii="Times New Roman"/>
                <w:sz w:val="21"/>
              </w:rPr>
            </w:pPr>
            <w:r>
              <w:rPr>
                <w:rFonts w:ascii="Times New Roman"/>
                <w:w w:val="99"/>
                <w:sz w:val="21"/>
              </w:rPr>
              <w:t>/</w:t>
            </w:r>
          </w:p>
        </w:tc>
        <w:tc>
          <w:tcPr>
            <w:tcW w:w="3601" w:type="dxa"/>
            <w:vMerge/>
            <w:tcBorders>
              <w:top w:val="nil"/>
            </w:tcBorders>
          </w:tcPr>
          <w:p>
            <w:pPr>
              <w:rPr>
                <w:sz w:val="2"/>
                <w:szCs w:val="2"/>
              </w:rPr>
            </w:pPr>
          </w:p>
        </w:tc>
      </w:tr>
      <w:tr>
        <w:trPr>
          <w:trHeight w:val="545" w:hRule="atLeast"/>
        </w:trPr>
        <w:tc>
          <w:tcPr>
            <w:tcW w:w="1811" w:type="dxa"/>
            <w:gridSpan w:val="2"/>
          </w:tcPr>
          <w:p>
            <w:pPr>
              <w:pStyle w:val="TableParagraph"/>
              <w:spacing w:before="136"/>
              <w:ind w:left="283"/>
              <w:jc w:val="left"/>
              <w:rPr>
                <w:sz w:val="21"/>
              </w:rPr>
            </w:pPr>
            <w:r>
              <w:rPr>
                <w:sz w:val="21"/>
              </w:rPr>
              <w:t>总铍（</w:t>
            </w:r>
            <w:r>
              <w:rPr>
                <w:rFonts w:ascii="Times New Roman" w:hAnsi="Times New Roman" w:eastAsia="Times New Roman"/>
                <w:sz w:val="21"/>
              </w:rPr>
              <w:t>μg/L</w:t>
            </w:r>
            <w:r>
              <w:rPr>
                <w:sz w:val="21"/>
              </w:rPr>
              <w:t>）</w:t>
            </w:r>
          </w:p>
        </w:tc>
        <w:tc>
          <w:tcPr>
            <w:tcW w:w="890" w:type="dxa"/>
          </w:tcPr>
          <w:p>
            <w:pPr>
              <w:pStyle w:val="TableParagraph"/>
              <w:spacing w:before="152"/>
              <w:ind w:left="253"/>
              <w:jc w:val="left"/>
              <w:rPr>
                <w:rFonts w:ascii="Times New Roman"/>
                <w:sz w:val="21"/>
              </w:rPr>
            </w:pPr>
            <w:bookmarkStart w:name="&lt;0.1" w:id="610"/>
            <w:bookmarkEnd w:id="610"/>
            <w:r>
              <w:rPr/>
            </w:r>
            <w:r>
              <w:rPr>
                <w:rFonts w:ascii="Times New Roman"/>
                <w:sz w:val="21"/>
              </w:rPr>
              <w:t>&lt;0.1</w:t>
            </w:r>
          </w:p>
        </w:tc>
        <w:tc>
          <w:tcPr>
            <w:tcW w:w="2316" w:type="dxa"/>
          </w:tcPr>
          <w:p>
            <w:pPr>
              <w:pStyle w:val="TableParagraph"/>
              <w:spacing w:before="150"/>
              <w:ind w:left="7"/>
              <w:rPr>
                <w:rFonts w:ascii="Times New Roman"/>
                <w:sz w:val="21"/>
              </w:rPr>
            </w:pPr>
            <w:r>
              <w:rPr>
                <w:rFonts w:ascii="Times New Roman"/>
                <w:w w:val="99"/>
                <w:sz w:val="21"/>
              </w:rPr>
              <w:t>/</w:t>
            </w:r>
          </w:p>
        </w:tc>
        <w:tc>
          <w:tcPr>
            <w:tcW w:w="3601" w:type="dxa"/>
          </w:tcPr>
          <w:p>
            <w:pPr>
              <w:pStyle w:val="TableParagraph"/>
              <w:spacing w:line="268" w:lineRule="exact"/>
              <w:ind w:left="119"/>
              <w:jc w:val="left"/>
              <w:rPr>
                <w:sz w:val="21"/>
              </w:rPr>
            </w:pPr>
            <w:r>
              <w:rPr>
                <w:sz w:val="21"/>
              </w:rPr>
              <w:t>固体废物铍、镍、铜和钼的测定石墨</w:t>
            </w:r>
          </w:p>
          <w:p>
            <w:pPr>
              <w:pStyle w:val="TableParagraph"/>
              <w:spacing w:line="252" w:lineRule="exact" w:before="4"/>
              <w:ind w:left="179"/>
              <w:jc w:val="left"/>
              <w:rPr>
                <w:rFonts w:ascii="Times New Roman" w:eastAsia="Times New Roman"/>
                <w:sz w:val="21"/>
              </w:rPr>
            </w:pPr>
            <w:r>
              <w:rPr>
                <w:sz w:val="21"/>
              </w:rPr>
              <w:t>炉原子吸收分光光度法 </w:t>
            </w:r>
            <w:r>
              <w:rPr>
                <w:rFonts w:ascii="Times New Roman" w:eastAsia="Times New Roman"/>
                <w:sz w:val="21"/>
              </w:rPr>
              <w:t>HJ 752-2015</w:t>
            </w:r>
          </w:p>
        </w:tc>
      </w:tr>
      <w:tr>
        <w:trPr>
          <w:trHeight w:val="544" w:hRule="atLeast"/>
        </w:trPr>
        <w:tc>
          <w:tcPr>
            <w:tcW w:w="1811" w:type="dxa"/>
            <w:gridSpan w:val="2"/>
          </w:tcPr>
          <w:p>
            <w:pPr>
              <w:pStyle w:val="TableParagraph"/>
              <w:spacing w:before="135"/>
              <w:ind w:left="257"/>
              <w:jc w:val="left"/>
              <w:rPr>
                <w:sz w:val="21"/>
              </w:rPr>
            </w:pPr>
            <w:r>
              <w:rPr>
                <w:sz w:val="21"/>
              </w:rPr>
              <w:t>总镍（</w:t>
            </w:r>
            <w:r>
              <w:rPr>
                <w:rFonts w:ascii="Times New Roman" w:eastAsia="Times New Roman"/>
                <w:sz w:val="21"/>
              </w:rPr>
              <w:t>mg/L</w:t>
            </w:r>
            <w:r>
              <w:rPr>
                <w:sz w:val="21"/>
              </w:rPr>
              <w:t>）</w:t>
            </w:r>
          </w:p>
        </w:tc>
        <w:tc>
          <w:tcPr>
            <w:tcW w:w="890" w:type="dxa"/>
          </w:tcPr>
          <w:p>
            <w:pPr>
              <w:pStyle w:val="TableParagraph"/>
              <w:spacing w:before="152"/>
              <w:ind w:right="191"/>
              <w:jc w:val="right"/>
              <w:rPr>
                <w:rFonts w:ascii="Times New Roman"/>
                <w:sz w:val="21"/>
              </w:rPr>
            </w:pPr>
            <w:bookmarkStart w:name="&lt;0.03" w:id="611"/>
            <w:bookmarkEnd w:id="611"/>
            <w:r>
              <w:rPr/>
            </w:r>
            <w:r>
              <w:rPr>
                <w:rFonts w:ascii="Times New Roman"/>
                <w:w w:val="95"/>
                <w:sz w:val="21"/>
              </w:rPr>
              <w:t>&lt;0.03</w:t>
            </w:r>
          </w:p>
        </w:tc>
        <w:tc>
          <w:tcPr>
            <w:tcW w:w="2316" w:type="dxa"/>
          </w:tcPr>
          <w:p>
            <w:pPr>
              <w:pStyle w:val="TableParagraph"/>
              <w:spacing w:before="149"/>
              <w:ind w:left="7"/>
              <w:rPr>
                <w:rFonts w:ascii="Times New Roman"/>
                <w:sz w:val="21"/>
              </w:rPr>
            </w:pPr>
            <w:r>
              <w:rPr>
                <w:rFonts w:ascii="Times New Roman"/>
                <w:w w:val="99"/>
                <w:sz w:val="21"/>
              </w:rPr>
              <w:t>/</w:t>
            </w:r>
          </w:p>
        </w:tc>
        <w:tc>
          <w:tcPr>
            <w:tcW w:w="3601" w:type="dxa"/>
          </w:tcPr>
          <w:p>
            <w:pPr>
              <w:pStyle w:val="TableParagraph"/>
              <w:spacing w:before="1"/>
              <w:ind w:left="98" w:right="93"/>
              <w:rPr>
                <w:sz w:val="21"/>
              </w:rPr>
            </w:pPr>
            <w:r>
              <w:rPr>
                <w:sz w:val="21"/>
              </w:rPr>
              <w:t>固体废物镍和铜的测定火焰原子吸收</w:t>
            </w:r>
          </w:p>
          <w:p>
            <w:pPr>
              <w:pStyle w:val="TableParagraph"/>
              <w:spacing w:line="252" w:lineRule="exact" w:before="2"/>
              <w:ind w:left="98" w:right="87"/>
              <w:rPr>
                <w:rFonts w:ascii="Times New Roman" w:eastAsia="Times New Roman"/>
                <w:sz w:val="21"/>
              </w:rPr>
            </w:pPr>
            <w:r>
              <w:rPr>
                <w:sz w:val="21"/>
              </w:rPr>
              <w:t>分光光度法 </w:t>
            </w:r>
            <w:r>
              <w:rPr>
                <w:rFonts w:ascii="Times New Roman" w:eastAsia="Times New Roman"/>
                <w:sz w:val="21"/>
              </w:rPr>
              <w:t>HJ 751-2015</w:t>
            </w:r>
          </w:p>
        </w:tc>
      </w:tr>
      <w:tr>
        <w:trPr>
          <w:trHeight w:val="817" w:hRule="atLeast"/>
        </w:trPr>
        <w:tc>
          <w:tcPr>
            <w:tcW w:w="1811" w:type="dxa"/>
            <w:gridSpan w:val="2"/>
          </w:tcPr>
          <w:p>
            <w:pPr>
              <w:pStyle w:val="TableParagraph"/>
              <w:spacing w:before="3"/>
              <w:jc w:val="left"/>
              <w:rPr>
                <w:b/>
                <w:sz w:val="21"/>
              </w:rPr>
            </w:pPr>
          </w:p>
          <w:p>
            <w:pPr>
              <w:pStyle w:val="TableParagraph"/>
              <w:ind w:left="257"/>
              <w:jc w:val="left"/>
              <w:rPr>
                <w:sz w:val="21"/>
              </w:rPr>
            </w:pPr>
            <w:r>
              <w:rPr>
                <w:sz w:val="21"/>
              </w:rPr>
              <w:t>总银（</w:t>
            </w:r>
            <w:r>
              <w:rPr>
                <w:rFonts w:ascii="Times New Roman" w:eastAsia="Times New Roman"/>
                <w:sz w:val="21"/>
              </w:rPr>
              <w:t>mg/L</w:t>
            </w:r>
            <w:r>
              <w:rPr>
                <w:sz w:val="21"/>
              </w:rPr>
              <w:t>）</w:t>
            </w:r>
          </w:p>
        </w:tc>
        <w:tc>
          <w:tcPr>
            <w:tcW w:w="890" w:type="dxa"/>
          </w:tcPr>
          <w:p>
            <w:pPr>
              <w:pStyle w:val="TableParagraph"/>
              <w:spacing w:before="7"/>
              <w:jc w:val="left"/>
              <w:rPr>
                <w:b/>
                <w:sz w:val="22"/>
              </w:rPr>
            </w:pPr>
          </w:p>
          <w:p>
            <w:pPr>
              <w:pStyle w:val="TableParagraph"/>
              <w:ind w:right="191"/>
              <w:jc w:val="right"/>
              <w:rPr>
                <w:rFonts w:ascii="Times New Roman"/>
                <w:sz w:val="21"/>
              </w:rPr>
            </w:pPr>
            <w:bookmarkStart w:name="&lt;0.01" w:id="612"/>
            <w:bookmarkEnd w:id="612"/>
            <w:r>
              <w:rPr/>
            </w:r>
            <w:r>
              <w:rPr>
                <w:rFonts w:ascii="Times New Roman"/>
                <w:w w:val="95"/>
                <w:sz w:val="21"/>
              </w:rPr>
              <w:t>&lt;0.01</w:t>
            </w:r>
          </w:p>
        </w:tc>
        <w:tc>
          <w:tcPr>
            <w:tcW w:w="2316" w:type="dxa"/>
          </w:tcPr>
          <w:p>
            <w:pPr>
              <w:pStyle w:val="TableParagraph"/>
              <w:spacing w:before="4"/>
              <w:jc w:val="left"/>
              <w:rPr>
                <w:b/>
                <w:sz w:val="22"/>
              </w:rPr>
            </w:pPr>
          </w:p>
          <w:p>
            <w:pPr>
              <w:pStyle w:val="TableParagraph"/>
              <w:spacing w:before="1"/>
              <w:ind w:left="7"/>
              <w:rPr>
                <w:rFonts w:ascii="Times New Roman"/>
                <w:sz w:val="21"/>
              </w:rPr>
            </w:pPr>
            <w:r>
              <w:rPr>
                <w:rFonts w:ascii="Times New Roman"/>
                <w:w w:val="99"/>
                <w:sz w:val="21"/>
              </w:rPr>
              <w:t>/</w:t>
            </w:r>
          </w:p>
        </w:tc>
        <w:tc>
          <w:tcPr>
            <w:tcW w:w="3601" w:type="dxa"/>
          </w:tcPr>
          <w:p>
            <w:pPr>
              <w:pStyle w:val="TableParagraph"/>
              <w:spacing w:before="1"/>
              <w:ind w:left="174" w:hanging="56"/>
              <w:jc w:val="left"/>
              <w:rPr>
                <w:sz w:val="21"/>
              </w:rPr>
            </w:pPr>
            <w:r>
              <w:rPr>
                <w:sz w:val="21"/>
              </w:rPr>
              <w:t>危险废物鉴别标准浸出毒性鉴别（附</w:t>
            </w:r>
          </w:p>
          <w:p>
            <w:pPr>
              <w:pStyle w:val="TableParagraph"/>
              <w:spacing w:line="270" w:lineRule="atLeast" w:before="1"/>
              <w:ind w:left="256" w:right="164" w:hanging="82"/>
              <w:jc w:val="left"/>
              <w:rPr>
                <w:rFonts w:ascii="Times New Roman" w:eastAsia="Times New Roman"/>
                <w:sz w:val="21"/>
              </w:rPr>
            </w:pPr>
            <w:r>
              <w:rPr>
                <w:sz w:val="21"/>
              </w:rPr>
              <w:t>录 </w:t>
            </w:r>
            <w:r>
              <w:rPr>
                <w:rFonts w:ascii="Times New Roman" w:eastAsia="Times New Roman"/>
                <w:sz w:val="21"/>
              </w:rPr>
              <w:t>D </w:t>
            </w:r>
            <w:r>
              <w:rPr>
                <w:sz w:val="21"/>
              </w:rPr>
              <w:t>固体废物金属元素的测定火焰原子吸收光谱法）</w:t>
            </w:r>
            <w:r>
              <w:rPr>
                <w:rFonts w:ascii="Times New Roman" w:eastAsia="Times New Roman"/>
                <w:sz w:val="21"/>
              </w:rPr>
              <w:t>GB 5085.3-2007</w:t>
            </w:r>
          </w:p>
        </w:tc>
      </w:tr>
      <w:tr>
        <w:trPr>
          <w:trHeight w:val="817" w:hRule="atLeast"/>
        </w:trPr>
        <w:tc>
          <w:tcPr>
            <w:tcW w:w="1811" w:type="dxa"/>
            <w:gridSpan w:val="2"/>
          </w:tcPr>
          <w:p>
            <w:pPr>
              <w:pStyle w:val="TableParagraph"/>
              <w:spacing w:before="4"/>
              <w:jc w:val="left"/>
              <w:rPr>
                <w:b/>
                <w:sz w:val="21"/>
              </w:rPr>
            </w:pPr>
          </w:p>
          <w:p>
            <w:pPr>
              <w:pStyle w:val="TableParagraph"/>
              <w:ind w:left="283"/>
              <w:jc w:val="left"/>
              <w:rPr>
                <w:sz w:val="21"/>
              </w:rPr>
            </w:pPr>
            <w:r>
              <w:rPr>
                <w:sz w:val="21"/>
              </w:rPr>
              <w:t>总硒（</w:t>
            </w:r>
            <w:r>
              <w:rPr>
                <w:rFonts w:ascii="Times New Roman" w:hAnsi="Times New Roman" w:eastAsia="Times New Roman"/>
                <w:sz w:val="21"/>
              </w:rPr>
              <w:t>μg/L</w:t>
            </w:r>
            <w:r>
              <w:rPr>
                <w:sz w:val="21"/>
              </w:rPr>
              <w:t>）</w:t>
            </w:r>
          </w:p>
        </w:tc>
        <w:tc>
          <w:tcPr>
            <w:tcW w:w="890" w:type="dxa"/>
          </w:tcPr>
          <w:p>
            <w:pPr>
              <w:pStyle w:val="TableParagraph"/>
              <w:spacing w:before="8"/>
              <w:jc w:val="left"/>
              <w:rPr>
                <w:b/>
                <w:sz w:val="22"/>
              </w:rPr>
            </w:pPr>
          </w:p>
          <w:p>
            <w:pPr>
              <w:pStyle w:val="TableParagraph"/>
              <w:ind w:left="253"/>
              <w:jc w:val="left"/>
              <w:rPr>
                <w:rFonts w:ascii="Times New Roman"/>
                <w:sz w:val="21"/>
              </w:rPr>
            </w:pPr>
            <w:bookmarkStart w:name="&lt;0.2" w:id="613"/>
            <w:bookmarkEnd w:id="613"/>
            <w:r>
              <w:rPr/>
            </w:r>
            <w:r>
              <w:rPr>
                <w:rFonts w:ascii="Times New Roman"/>
                <w:sz w:val="21"/>
              </w:rPr>
              <w:t>&lt;0.2</w:t>
            </w:r>
          </w:p>
        </w:tc>
        <w:tc>
          <w:tcPr>
            <w:tcW w:w="2316" w:type="dxa"/>
          </w:tcPr>
          <w:p>
            <w:pPr>
              <w:pStyle w:val="TableParagraph"/>
              <w:spacing w:before="5"/>
              <w:jc w:val="left"/>
              <w:rPr>
                <w:b/>
                <w:sz w:val="22"/>
              </w:rPr>
            </w:pPr>
          </w:p>
          <w:p>
            <w:pPr>
              <w:pStyle w:val="TableParagraph"/>
              <w:spacing w:before="1"/>
              <w:ind w:left="7"/>
              <w:rPr>
                <w:rFonts w:ascii="Times New Roman"/>
                <w:sz w:val="21"/>
              </w:rPr>
            </w:pPr>
            <w:r>
              <w:rPr>
                <w:rFonts w:ascii="Times New Roman"/>
                <w:w w:val="99"/>
                <w:sz w:val="21"/>
              </w:rPr>
              <w:t>/</w:t>
            </w:r>
          </w:p>
        </w:tc>
        <w:tc>
          <w:tcPr>
            <w:tcW w:w="3601" w:type="dxa"/>
          </w:tcPr>
          <w:p>
            <w:pPr>
              <w:pStyle w:val="TableParagraph"/>
              <w:ind w:left="107" w:firstLine="12"/>
              <w:jc w:val="left"/>
              <w:rPr>
                <w:sz w:val="21"/>
              </w:rPr>
            </w:pPr>
            <w:r>
              <w:rPr>
                <w:sz w:val="21"/>
              </w:rPr>
              <w:t>危险废物鉴别标准浸出毒性鉴别（附</w:t>
            </w:r>
          </w:p>
          <w:p>
            <w:pPr>
              <w:pStyle w:val="TableParagraph"/>
              <w:spacing w:line="270" w:lineRule="atLeast" w:before="4"/>
              <w:ind w:left="465" w:right="99" w:hanging="358"/>
              <w:jc w:val="left"/>
              <w:rPr>
                <w:rFonts w:ascii="Times New Roman" w:eastAsia="Times New Roman"/>
                <w:sz w:val="21"/>
              </w:rPr>
            </w:pPr>
            <w:r>
              <w:rPr>
                <w:spacing w:val="-28"/>
                <w:sz w:val="21"/>
              </w:rPr>
              <w:t>录 </w:t>
            </w:r>
            <w:r>
              <w:rPr>
                <w:rFonts w:ascii="Times New Roman" w:eastAsia="Times New Roman"/>
                <w:sz w:val="21"/>
              </w:rPr>
              <w:t>E </w:t>
            </w:r>
            <w:r>
              <w:rPr>
                <w:spacing w:val="-8"/>
                <w:sz w:val="21"/>
              </w:rPr>
              <w:t>固体废物砷、锑、铋、硒的测定</w:t>
            </w:r>
            <w:r>
              <w:rPr>
                <w:sz w:val="21"/>
              </w:rPr>
              <w:t>原子荧光法）</w:t>
            </w:r>
            <w:r>
              <w:rPr>
                <w:rFonts w:ascii="Times New Roman" w:eastAsia="Times New Roman"/>
                <w:sz w:val="21"/>
              </w:rPr>
              <w:t>GB 5085.3-2007</w:t>
            </w:r>
          </w:p>
        </w:tc>
      </w:tr>
    </w:tbl>
    <w:p>
      <w:pPr>
        <w:spacing w:before="1"/>
        <w:ind w:left="856" w:right="0" w:firstLine="0"/>
        <w:jc w:val="left"/>
        <w:rPr>
          <w:sz w:val="21"/>
        </w:rPr>
      </w:pPr>
      <w:r>
        <w:rPr>
          <w:sz w:val="21"/>
        </w:rPr>
        <w:t>注：“</w:t>
      </w:r>
      <w:r>
        <w:rPr>
          <w:rFonts w:ascii="Times New Roman" w:hAnsi="Times New Roman" w:eastAsia="Times New Roman"/>
          <w:sz w:val="21"/>
        </w:rPr>
        <w:t>&lt;</w:t>
      </w:r>
      <w:r>
        <w:rPr>
          <w:sz w:val="21"/>
        </w:rPr>
        <w:t>”表示低于检出限</w:t>
      </w:r>
    </w:p>
    <w:p>
      <w:pPr>
        <w:pStyle w:val="BodyText"/>
        <w:spacing w:before="7"/>
        <w:rPr>
          <w:sz w:val="19"/>
        </w:rPr>
      </w:pPr>
    </w:p>
    <w:p>
      <w:pPr>
        <w:pStyle w:val="BodyText"/>
        <w:spacing w:line="343" w:lineRule="auto"/>
        <w:ind w:left="375" w:right="751" w:firstLine="480"/>
      </w:pPr>
      <w:r>
        <w:rPr>
          <w:spacing w:val="-16"/>
        </w:rPr>
        <w:t>根据表 </w:t>
      </w:r>
      <w:r>
        <w:rPr>
          <w:rFonts w:ascii="Times New Roman" w:hAnsi="Times New Roman" w:eastAsia="Times New Roman"/>
        </w:rPr>
        <w:t>10.3-1 </w:t>
      </w:r>
      <w:r>
        <w:rPr>
          <w:spacing w:val="-9"/>
        </w:rPr>
        <w:t>的监测结果与 </w:t>
      </w:r>
      <w:r>
        <w:rPr>
          <w:rFonts w:ascii="Times New Roman" w:hAnsi="Times New Roman" w:eastAsia="Times New Roman"/>
        </w:rPr>
        <w:t>GB2085.3-2007 </w:t>
      </w:r>
      <w:r>
        <w:rPr>
          <w:spacing w:val="-1"/>
        </w:rPr>
        <w:t>最高允许排放浓度对比结果可以看出， </w:t>
      </w:r>
      <w:r>
        <w:rPr>
          <w:spacing w:val="-5"/>
        </w:rPr>
        <w:t>本项目矸石不属于危废。根据监测结果，各监测因子均能达到 </w:t>
      </w:r>
      <w:r>
        <w:rPr>
          <w:rFonts w:ascii="Times New Roman" w:hAnsi="Times New Roman" w:eastAsia="Times New Roman"/>
        </w:rPr>
        <w:t>GB/T8978-1996 </w:t>
      </w:r>
      <w:r>
        <w:rPr/>
        <w:t>中Ⅰ类排</w:t>
      </w:r>
    </w:p>
    <w:p>
      <w:pPr>
        <w:spacing w:after="0" w:line="343" w:lineRule="auto"/>
        <w:sectPr>
          <w:pgSz w:w="11910" w:h="16840"/>
          <w:pgMar w:header="0" w:footer="1169" w:top="1540" w:bottom="1360" w:left="1040" w:right="600"/>
        </w:sectPr>
      </w:pPr>
    </w:p>
    <w:p>
      <w:pPr>
        <w:pStyle w:val="BodyText"/>
        <w:spacing w:before="116"/>
        <w:ind w:left="375"/>
      </w:pPr>
      <w:r>
        <w:rPr/>
        <w:t>放要求，东盛煤矿矸石属于Ⅰ类工业固体废物。</w:t>
      </w:r>
    </w:p>
    <w:p>
      <w:pPr>
        <w:pStyle w:val="BodyText"/>
        <w:spacing w:line="343" w:lineRule="auto" w:before="132"/>
        <w:ind w:left="375" w:right="638" w:firstLine="480"/>
      </w:pPr>
      <w:r>
        <w:rPr>
          <w:spacing w:val="-21"/>
        </w:rPr>
        <w:t>由表 </w:t>
      </w:r>
      <w:r>
        <w:rPr>
          <w:rFonts w:ascii="Times New Roman" w:hAnsi="Times New Roman" w:eastAsia="Times New Roman"/>
        </w:rPr>
        <w:t>10.3-1 </w:t>
      </w:r>
      <w:r>
        <w:rPr>
          <w:spacing w:val="-13"/>
        </w:rPr>
        <w:t>可以看出，矸石水浸出液的各项分析指标相对于《地下水环境质量标准》</w:t>
      </w:r>
      <w:r>
        <w:rPr>
          <w:spacing w:val="-11"/>
        </w:rPr>
        <w:t>Ⅲ类标准来说，均满足《地下水环境质量标准》Ⅲ类水质要求。在上述矸石淋溶试验中， </w:t>
      </w:r>
      <w:r>
        <w:rPr/>
        <w:t>矸石的淋溶是在矸石被充分浸泡的状态下进行的，是矸石成分最大限度的浸出状态。本项目矸石直接回填井下，矸石自然淋溶后一般达不到充分浸泡的状态，污染物浓度值要比试验值小得多，淋溶水下渗的速度也较慢，因此矸石自然淋溶将不会对周围水体有影</w:t>
      </w:r>
    </w:p>
    <w:p>
      <w:pPr>
        <w:pStyle w:val="BodyText"/>
        <w:spacing w:before="2"/>
        <w:ind w:left="375"/>
      </w:pPr>
      <w:r>
        <w:rPr/>
        <w:t>响，矸石淋溶水对地下水的影响很小。</w:t>
      </w:r>
    </w:p>
    <w:p>
      <w:pPr>
        <w:pStyle w:val="Heading3"/>
        <w:numPr>
          <w:ilvl w:val="2"/>
          <w:numId w:val="65"/>
        </w:numPr>
        <w:tabs>
          <w:tab w:pos="1216" w:val="left" w:leader="none"/>
        </w:tabs>
        <w:spacing w:line="240" w:lineRule="auto" w:before="22" w:after="0"/>
        <w:ind w:left="1216" w:right="0" w:hanging="841"/>
        <w:jc w:val="left"/>
      </w:pPr>
      <w:bookmarkStart w:name="10.3.2 其它固体废物环境影响分析" w:id="614"/>
      <w:bookmarkEnd w:id="614"/>
      <w:r>
        <w:rPr>
          <w:b w:val="0"/>
        </w:rPr>
      </w:r>
      <w:bookmarkStart w:name="10.3.2 其它固体废物环境影响分析" w:id="615"/>
      <w:bookmarkEnd w:id="615"/>
      <w:r>
        <w:rPr/>
        <w:t>其它固体废物环境影响分析</w:t>
      </w:r>
    </w:p>
    <w:p>
      <w:pPr>
        <w:pStyle w:val="BodyText"/>
        <w:spacing w:line="362" w:lineRule="auto" w:before="186"/>
        <w:ind w:left="858" w:right="1485"/>
      </w:pPr>
      <w:r>
        <w:rPr/>
        <w:t>本项目产生生活垃圾及污水处理站污泥集中收集按环卫部门要求统一处理； 矸石可用于平整工业场地、公路的路基石料、或用于填沟造田等；</w:t>
      </w:r>
    </w:p>
    <w:p>
      <w:pPr>
        <w:pStyle w:val="BodyText"/>
        <w:spacing w:line="364" w:lineRule="auto" w:before="4"/>
        <w:ind w:left="858" w:right="6045"/>
      </w:pPr>
      <w:r>
        <w:rPr/>
        <w:t>废机油委托有资质的单位处理； 锅炉灰渣作为农肥原料外售；</w:t>
      </w:r>
    </w:p>
    <w:p>
      <w:pPr>
        <w:pStyle w:val="BodyText"/>
        <w:spacing w:line="306" w:lineRule="exact"/>
        <w:ind w:left="858"/>
      </w:pPr>
      <w:r>
        <w:rPr/>
        <w:t>本项目服务期固体废物处理率达 </w:t>
      </w:r>
      <w:r>
        <w:rPr>
          <w:rFonts w:ascii="Times New Roman" w:eastAsia="Times New Roman"/>
        </w:rPr>
        <w:t>100%</w:t>
      </w:r>
      <w:r>
        <w:rPr/>
        <w:t>，对外环境影响较小。</w:t>
      </w:r>
    </w:p>
    <w:p>
      <w:pPr>
        <w:pStyle w:val="Heading2"/>
        <w:numPr>
          <w:ilvl w:val="1"/>
          <w:numId w:val="63"/>
        </w:numPr>
        <w:tabs>
          <w:tab w:pos="1053" w:val="left" w:leader="none"/>
        </w:tabs>
        <w:spacing w:line="240" w:lineRule="auto" w:before="161" w:after="0"/>
        <w:ind w:left="1052" w:right="0" w:hanging="678"/>
        <w:jc w:val="left"/>
        <w:rPr>
          <w:rFonts w:ascii="Times New Roman" w:eastAsia="Times New Roman"/>
        </w:rPr>
      </w:pPr>
      <w:bookmarkStart w:name="10.4 排矸场污染防治和复垦措施" w:id="616"/>
      <w:bookmarkEnd w:id="616"/>
      <w:r>
        <w:rPr>
          <w:b w:val="0"/>
        </w:rPr>
      </w:r>
      <w:bookmarkStart w:name="_bookmark56" w:id="617"/>
      <w:bookmarkEnd w:id="617"/>
      <w:r>
        <w:rPr>
          <w:b w:val="0"/>
        </w:rPr>
      </w:r>
      <w:bookmarkStart w:name="_bookmark56" w:id="618"/>
      <w:bookmarkEnd w:id="618"/>
      <w:r>
        <w:rPr/>
        <w:t>排矸场污染防治和复垦措施</w:t>
      </w:r>
    </w:p>
    <w:p>
      <w:pPr>
        <w:pStyle w:val="BodyText"/>
        <w:spacing w:line="364" w:lineRule="auto" w:before="199"/>
        <w:ind w:left="375" w:right="617" w:firstLine="480"/>
      </w:pPr>
      <w:r>
        <w:rPr/>
        <w:t>本项目设置矸石临时堆放场地，服务期矸石堆放在矸石临时堆放场地，用于平整工业场地、公路的路基石料、或用于填沟造田等。矸石临时堆放场地占地面积约 </w:t>
      </w:r>
      <w:r>
        <w:rPr>
          <w:rFonts w:ascii="Times New Roman" w:eastAsia="Times New Roman"/>
        </w:rPr>
        <w:t>1313m</w:t>
      </w:r>
      <w:r>
        <w:rPr>
          <w:rFonts w:ascii="Times New Roman" w:eastAsia="Times New Roman"/>
          <w:position w:val="8"/>
          <w:sz w:val="15"/>
        </w:rPr>
        <w:t>2</w:t>
      </w:r>
      <w:r>
        <w:rPr/>
        <w:t>， 周围设置拦矸坝和截流沟。采取洒水喷淋措施抑尘，可有效控制扬尘等污染。</w:t>
      </w:r>
    </w:p>
    <w:p>
      <w:pPr>
        <w:pStyle w:val="BodyText"/>
        <w:spacing w:line="364" w:lineRule="auto"/>
        <w:ind w:left="375" w:right="760" w:firstLine="482"/>
        <w:jc w:val="both"/>
      </w:pPr>
      <w:r>
        <w:rPr/>
        <w:t>服务期满后，工业场地内地面设施都应该全部清理干净，地面建筑物拆除产生的建筑垃圾应运往指定地点，否则既影响区内景观，也会产生不同程度的水土流失。矸石临时堆放场地需清运场内残余矸石，同时拆除其它辅助设施，恢复地表植被。</w:t>
      </w:r>
    </w:p>
    <w:p>
      <w:pPr>
        <w:spacing w:after="0" w:line="364" w:lineRule="auto"/>
        <w:jc w:val="both"/>
        <w:sectPr>
          <w:pgSz w:w="11910" w:h="16840"/>
          <w:pgMar w:header="0" w:footer="1169" w:top="1580" w:bottom="1360" w:left="1040" w:right="600"/>
        </w:sectPr>
      </w:pPr>
    </w:p>
    <w:p>
      <w:pPr>
        <w:pStyle w:val="BodyText"/>
        <w:rPr>
          <w:sz w:val="32"/>
        </w:rPr>
      </w:pPr>
    </w:p>
    <w:p>
      <w:pPr>
        <w:pStyle w:val="BodyText"/>
        <w:spacing w:before="3"/>
        <w:rPr>
          <w:sz w:val="26"/>
        </w:rPr>
      </w:pPr>
    </w:p>
    <w:p>
      <w:pPr>
        <w:pStyle w:val="Heading2"/>
        <w:numPr>
          <w:ilvl w:val="1"/>
          <w:numId w:val="66"/>
        </w:numPr>
        <w:tabs>
          <w:tab w:pos="1036" w:val="left" w:leader="none"/>
        </w:tabs>
        <w:spacing w:line="240" w:lineRule="auto" w:before="1" w:after="0"/>
        <w:ind w:left="1036" w:right="0" w:hanging="661"/>
        <w:jc w:val="left"/>
      </w:pPr>
      <w:bookmarkStart w:name="11.1 概述" w:id="619"/>
      <w:bookmarkEnd w:id="619"/>
      <w:r>
        <w:rPr>
          <w:b w:val="0"/>
        </w:rPr>
      </w:r>
      <w:bookmarkStart w:name="_bookmark57" w:id="620"/>
      <w:bookmarkEnd w:id="620"/>
      <w:r>
        <w:rPr>
          <w:b w:val="0"/>
        </w:rPr>
      </w:r>
      <w:bookmarkStart w:name="_bookmark57" w:id="621"/>
      <w:bookmarkEnd w:id="621"/>
      <w:r>
        <w:rPr/>
        <w:t>概述</w:t>
      </w:r>
    </w:p>
    <w:p>
      <w:pPr>
        <w:pStyle w:val="Heading1"/>
        <w:numPr>
          <w:ilvl w:val="1"/>
          <w:numId w:val="49"/>
        </w:numPr>
        <w:tabs>
          <w:tab w:pos="827" w:val="left" w:leader="none"/>
        </w:tabs>
        <w:spacing w:line="240" w:lineRule="auto" w:before="46" w:after="0"/>
        <w:ind w:left="827" w:right="0" w:hanging="451"/>
        <w:jc w:val="left"/>
      </w:pPr>
      <w:bookmarkStart w:name="11.土壤环境影响评价 " w:id="622"/>
      <w:bookmarkEnd w:id="622"/>
      <w:r>
        <w:rPr>
          <w:b w:val="0"/>
        </w:rPr>
      </w:r>
      <w:bookmarkStart w:name="_bookmark58" w:id="623"/>
      <w:bookmarkEnd w:id="623"/>
      <w:r>
        <w:rPr>
          <w:b w:val="0"/>
        </w:rPr>
      </w:r>
      <w:bookmarkStart w:name="_bookmark58" w:id="624"/>
      <w:bookmarkEnd w:id="624"/>
      <w:r>
        <w:rPr>
          <w:spacing w:val="2"/>
          <w:w w:val="99"/>
        </w:rPr>
        <w:br w:type="column"/>
      </w:r>
      <w:r>
        <w:rPr/>
        <w:t>土壤环境影响评价</w:t>
      </w:r>
    </w:p>
    <w:p>
      <w:pPr>
        <w:spacing w:after="0" w:line="240" w:lineRule="auto"/>
        <w:jc w:val="left"/>
        <w:sectPr>
          <w:footerReference w:type="default" r:id="rId57"/>
          <w:pgSz w:w="11910" w:h="16840"/>
          <w:pgMar w:footer="1089" w:header="0" w:top="1540" w:bottom="1280" w:left="1040" w:right="600"/>
          <w:pgNumType w:start="140"/>
          <w:cols w:num="2" w:equalWidth="0">
            <w:col w:w="1677" w:space="1220"/>
            <w:col w:w="7373"/>
          </w:cols>
        </w:sectPr>
      </w:pPr>
    </w:p>
    <w:p>
      <w:pPr>
        <w:pStyle w:val="BodyText"/>
        <w:spacing w:before="7"/>
        <w:rPr>
          <w:b/>
          <w:sz w:val="9"/>
        </w:rPr>
      </w:pPr>
    </w:p>
    <w:p>
      <w:pPr>
        <w:pStyle w:val="BodyText"/>
        <w:spacing w:line="364" w:lineRule="auto" w:before="74"/>
        <w:ind w:left="375" w:right="751" w:firstLine="480"/>
        <w:jc w:val="both"/>
      </w:pPr>
      <w:r>
        <w:rPr>
          <w:spacing w:val="-4"/>
        </w:rPr>
        <w:t>本次评价按照《环境影响评价技术导则 土壤环境</w:t>
      </w:r>
      <w:r>
        <w:rPr/>
        <w:t>（试行</w:t>
      </w:r>
      <w:r>
        <w:rPr>
          <w:spacing w:val="-15"/>
        </w:rPr>
        <w:t>）</w:t>
      </w:r>
      <w:r>
        <w:rPr>
          <w:spacing w:val="-27"/>
        </w:rPr>
        <w:t>》</w:t>
      </w:r>
      <w:r>
        <w:rPr>
          <w:spacing w:val="-3"/>
        </w:rPr>
        <w:t>（</w:t>
      </w:r>
      <w:r>
        <w:rPr>
          <w:rFonts w:ascii="Times New Roman" w:eastAsia="Times New Roman"/>
          <w:spacing w:val="-3"/>
        </w:rPr>
        <w:t>HJ964-2018</w:t>
      </w:r>
      <w:r>
        <w:rPr>
          <w:spacing w:val="-3"/>
        </w:rPr>
        <w:t>）</w:t>
      </w:r>
      <w:r>
        <w:rPr>
          <w:spacing w:val="-6"/>
        </w:rPr>
        <w:t>，对井</w:t>
      </w:r>
      <w:r>
        <w:rPr/>
        <w:t>田开采区、工业场地及矸石周转场土壤环境进行了现状调查，并在调查基础上，进行了土壤环境的预测与评价并提出了保护措施。</w:t>
      </w:r>
    </w:p>
    <w:p>
      <w:pPr>
        <w:pStyle w:val="Heading3"/>
        <w:numPr>
          <w:ilvl w:val="2"/>
          <w:numId w:val="66"/>
        </w:numPr>
        <w:tabs>
          <w:tab w:pos="1202" w:val="left" w:leader="none"/>
        </w:tabs>
        <w:spacing w:line="240" w:lineRule="auto" w:before="0" w:after="0"/>
        <w:ind w:left="1201" w:right="0" w:hanging="827"/>
        <w:jc w:val="left"/>
      </w:pPr>
      <w:bookmarkStart w:name="11.1.1 土壤环境影响识别" w:id="625"/>
      <w:bookmarkEnd w:id="625"/>
      <w:r>
        <w:rPr>
          <w:b w:val="0"/>
        </w:rPr>
      </w:r>
      <w:bookmarkStart w:name="11.1.1 土壤环境影响识别" w:id="626"/>
      <w:bookmarkEnd w:id="626"/>
      <w:r>
        <w:rPr/>
        <w:t>土壤环境影响识别</w:t>
      </w:r>
    </w:p>
    <w:p>
      <w:pPr>
        <w:pStyle w:val="BodyText"/>
        <w:spacing w:before="185"/>
        <w:ind w:left="856"/>
      </w:pPr>
      <w:r>
        <w:rPr/>
        <w:t>本项目为采矿业中的煤炭采选项目，根据《环境影响评价技术导则土壤环境》附录</w:t>
      </w:r>
    </w:p>
    <w:p>
      <w:pPr>
        <w:pStyle w:val="BodyText"/>
        <w:spacing w:before="161"/>
        <w:ind w:left="375"/>
      </w:pPr>
      <w:r>
        <w:rPr>
          <w:rFonts w:ascii="Times New Roman" w:hAnsi="Times New Roman" w:eastAsia="Times New Roman"/>
        </w:rPr>
        <w:t>A</w:t>
      </w:r>
      <w:r>
        <w:rPr/>
        <w:t>，本项目属于Ⅱ类行业，兼具污染影响与生态影响特征。</w:t>
      </w:r>
    </w:p>
    <w:p>
      <w:pPr>
        <w:pStyle w:val="Heading4"/>
        <w:numPr>
          <w:ilvl w:val="3"/>
          <w:numId w:val="66"/>
        </w:numPr>
        <w:tabs>
          <w:tab w:pos="1204" w:val="left" w:leader="none"/>
        </w:tabs>
        <w:spacing w:line="240" w:lineRule="auto" w:before="158" w:after="0"/>
        <w:ind w:left="1204" w:right="0" w:hanging="829"/>
        <w:jc w:val="left"/>
      </w:pPr>
      <w:bookmarkStart w:name="11.1.1.1生态影响型影响识别" w:id="627"/>
      <w:bookmarkEnd w:id="627"/>
      <w:r>
        <w:rPr>
          <w:b w:val="0"/>
        </w:rPr>
      </w:r>
      <w:bookmarkStart w:name="11.1.1.1生态影响型影响识别" w:id="628"/>
      <w:bookmarkEnd w:id="628"/>
      <w:r>
        <w:rPr/>
        <w:t>生态影响型影响识别</w:t>
      </w:r>
    </w:p>
    <w:p>
      <w:pPr>
        <w:pStyle w:val="BodyText"/>
        <w:spacing w:line="362" w:lineRule="auto" w:before="160"/>
        <w:ind w:left="375" w:right="760" w:firstLine="480"/>
      </w:pPr>
      <w:r>
        <w:rPr/>
        <w:t>该区对酸化以及碱化不敏感，井田开采不会造成土壤酸化以及碱化，影响识别见下表。</w:t>
      </w:r>
    </w:p>
    <w:p>
      <w:pPr>
        <w:spacing w:before="4"/>
        <w:ind w:left="0" w:right="368" w:firstLine="0"/>
        <w:jc w:val="center"/>
        <w:rPr>
          <w:b/>
          <w:sz w:val="21"/>
        </w:rPr>
      </w:pPr>
      <w:r>
        <w:rPr>
          <w:b/>
          <w:spacing w:val="-26"/>
          <w:sz w:val="21"/>
        </w:rPr>
        <w:t>表 </w:t>
      </w:r>
      <w:r>
        <w:rPr>
          <w:rFonts w:ascii="Times New Roman" w:eastAsia="Times New Roman"/>
          <w:b/>
          <w:sz w:val="21"/>
        </w:rPr>
        <w:t>11.1.1</w:t>
      </w:r>
      <w:r>
        <w:rPr>
          <w:rFonts w:ascii="Times New Roman" w:eastAsia="Times New Roman"/>
          <w:b/>
          <w:spacing w:val="51"/>
          <w:sz w:val="21"/>
        </w:rPr>
        <w:t> </w:t>
      </w:r>
      <w:r>
        <w:rPr>
          <w:b/>
          <w:sz w:val="21"/>
        </w:rPr>
        <w:t>生态影响型土壤环境影响源及影响因子识别表</w:t>
      </w:r>
    </w:p>
    <w:p>
      <w:pPr>
        <w:pStyle w:val="BodyText"/>
        <w:spacing w:before="10" w:after="1"/>
        <w:rPr>
          <w:b/>
          <w:sz w:val="10"/>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9"/>
        <w:gridCol w:w="1840"/>
        <w:gridCol w:w="3946"/>
        <w:gridCol w:w="2181"/>
      </w:tblGrid>
      <w:tr>
        <w:trPr>
          <w:trHeight w:val="397" w:hRule="atLeast"/>
        </w:trPr>
        <w:tc>
          <w:tcPr>
            <w:tcW w:w="1319" w:type="dxa"/>
          </w:tcPr>
          <w:p>
            <w:pPr>
              <w:pStyle w:val="TableParagraph"/>
              <w:spacing w:before="62"/>
              <w:ind w:left="238"/>
              <w:jc w:val="left"/>
              <w:rPr>
                <w:sz w:val="21"/>
              </w:rPr>
            </w:pPr>
            <w:r>
              <w:rPr>
                <w:sz w:val="21"/>
              </w:rPr>
              <w:t>影响结果</w:t>
            </w:r>
          </w:p>
        </w:tc>
        <w:tc>
          <w:tcPr>
            <w:tcW w:w="1840" w:type="dxa"/>
          </w:tcPr>
          <w:p>
            <w:pPr>
              <w:pStyle w:val="TableParagraph"/>
              <w:spacing w:before="62"/>
              <w:ind w:left="236" w:right="231"/>
              <w:rPr>
                <w:sz w:val="21"/>
              </w:rPr>
            </w:pPr>
            <w:r>
              <w:rPr>
                <w:sz w:val="21"/>
              </w:rPr>
              <w:t>影响途径</w:t>
            </w:r>
          </w:p>
        </w:tc>
        <w:tc>
          <w:tcPr>
            <w:tcW w:w="3946" w:type="dxa"/>
          </w:tcPr>
          <w:p>
            <w:pPr>
              <w:pStyle w:val="TableParagraph"/>
              <w:spacing w:before="62"/>
              <w:ind w:left="55" w:right="47"/>
              <w:rPr>
                <w:sz w:val="21"/>
              </w:rPr>
            </w:pPr>
            <w:r>
              <w:rPr>
                <w:sz w:val="21"/>
              </w:rPr>
              <w:t>具体指标</w:t>
            </w:r>
          </w:p>
        </w:tc>
        <w:tc>
          <w:tcPr>
            <w:tcW w:w="2181" w:type="dxa"/>
          </w:tcPr>
          <w:p>
            <w:pPr>
              <w:pStyle w:val="TableParagraph"/>
              <w:spacing w:before="62"/>
              <w:ind w:left="228" w:right="222"/>
              <w:rPr>
                <w:sz w:val="21"/>
              </w:rPr>
            </w:pPr>
            <w:r>
              <w:rPr>
                <w:sz w:val="21"/>
              </w:rPr>
              <w:t>土壤环境敏感目标</w:t>
            </w:r>
          </w:p>
        </w:tc>
      </w:tr>
      <w:tr>
        <w:trPr>
          <w:trHeight w:val="396" w:hRule="atLeast"/>
        </w:trPr>
        <w:tc>
          <w:tcPr>
            <w:tcW w:w="1319" w:type="dxa"/>
            <w:vMerge w:val="restart"/>
          </w:tcPr>
          <w:p>
            <w:pPr>
              <w:pStyle w:val="TableParagraph"/>
              <w:spacing w:before="6"/>
              <w:jc w:val="left"/>
              <w:rPr>
                <w:b/>
                <w:sz w:val="26"/>
              </w:rPr>
            </w:pPr>
          </w:p>
          <w:p>
            <w:pPr>
              <w:pStyle w:val="TableParagraph"/>
              <w:spacing w:line="244" w:lineRule="auto"/>
              <w:ind w:left="209" w:right="170"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w:t>
            </w:r>
            <w:r>
              <w:rPr>
                <w:sz w:val="21"/>
              </w:rPr>
              <w:t>碱化</w:t>
            </w:r>
            <w:r>
              <w:rPr>
                <w:rFonts w:ascii="Times New Roman" w:eastAsia="Times New Roman"/>
                <w:sz w:val="21"/>
              </w:rPr>
              <w:t>/</w:t>
            </w:r>
            <w:r>
              <w:rPr>
                <w:sz w:val="21"/>
              </w:rPr>
              <w:t>其他</w:t>
            </w:r>
          </w:p>
        </w:tc>
        <w:tc>
          <w:tcPr>
            <w:tcW w:w="1840" w:type="dxa"/>
          </w:tcPr>
          <w:p>
            <w:pPr>
              <w:pStyle w:val="TableParagraph"/>
              <w:spacing w:before="63"/>
              <w:ind w:left="239" w:right="231"/>
              <w:rPr>
                <w:sz w:val="21"/>
              </w:rPr>
            </w:pPr>
            <w:r>
              <w:rPr>
                <w:sz w:val="21"/>
              </w:rPr>
              <w:t>物质输入</w:t>
            </w:r>
            <w:r>
              <w:rPr>
                <w:rFonts w:ascii="Times New Roman" w:eastAsia="Times New Roman"/>
                <w:sz w:val="21"/>
              </w:rPr>
              <w:t>/</w:t>
            </w:r>
            <w:r>
              <w:rPr>
                <w:sz w:val="21"/>
              </w:rPr>
              <w:t>运移</w:t>
            </w:r>
          </w:p>
        </w:tc>
        <w:tc>
          <w:tcPr>
            <w:tcW w:w="3946" w:type="dxa"/>
          </w:tcPr>
          <w:p>
            <w:pPr>
              <w:pStyle w:val="TableParagraph"/>
              <w:spacing w:before="63"/>
              <w:ind w:left="8"/>
              <w:rPr>
                <w:sz w:val="21"/>
              </w:rPr>
            </w:pPr>
            <w:r>
              <w:rPr>
                <w:w w:val="99"/>
                <w:sz w:val="21"/>
              </w:rPr>
              <w:t>━</w:t>
            </w:r>
          </w:p>
        </w:tc>
        <w:tc>
          <w:tcPr>
            <w:tcW w:w="2181" w:type="dxa"/>
          </w:tcPr>
          <w:p>
            <w:pPr>
              <w:pStyle w:val="TableParagraph"/>
              <w:spacing w:before="63"/>
              <w:ind w:left="6"/>
              <w:rPr>
                <w:sz w:val="21"/>
              </w:rPr>
            </w:pPr>
            <w:r>
              <w:rPr>
                <w:w w:val="99"/>
                <w:sz w:val="21"/>
              </w:rPr>
              <w:t>━</w:t>
            </w:r>
          </w:p>
        </w:tc>
      </w:tr>
      <w:tr>
        <w:trPr>
          <w:trHeight w:val="817" w:hRule="atLeast"/>
        </w:trPr>
        <w:tc>
          <w:tcPr>
            <w:tcW w:w="1319" w:type="dxa"/>
            <w:vMerge/>
            <w:tcBorders>
              <w:top w:val="nil"/>
            </w:tcBorders>
          </w:tcPr>
          <w:p>
            <w:pPr>
              <w:rPr>
                <w:sz w:val="2"/>
                <w:szCs w:val="2"/>
              </w:rPr>
            </w:pPr>
          </w:p>
        </w:tc>
        <w:tc>
          <w:tcPr>
            <w:tcW w:w="1840" w:type="dxa"/>
          </w:tcPr>
          <w:p>
            <w:pPr>
              <w:pStyle w:val="TableParagraph"/>
              <w:spacing w:before="4"/>
              <w:jc w:val="left"/>
              <w:rPr>
                <w:b/>
                <w:sz w:val="21"/>
              </w:rPr>
            </w:pPr>
          </w:p>
          <w:p>
            <w:pPr>
              <w:pStyle w:val="TableParagraph"/>
              <w:ind w:left="236" w:right="231"/>
              <w:rPr>
                <w:sz w:val="21"/>
              </w:rPr>
            </w:pPr>
            <w:r>
              <w:rPr>
                <w:sz w:val="21"/>
              </w:rPr>
              <w:t>水位变化</w:t>
            </w:r>
          </w:p>
        </w:tc>
        <w:tc>
          <w:tcPr>
            <w:tcW w:w="3946" w:type="dxa"/>
          </w:tcPr>
          <w:p>
            <w:pPr>
              <w:pStyle w:val="TableParagraph"/>
              <w:spacing w:line="270" w:lineRule="atLeast" w:before="1"/>
              <w:ind w:left="108" w:right="47"/>
              <w:rPr>
                <w:sz w:val="21"/>
              </w:rPr>
            </w:pPr>
            <w:r>
              <w:rPr>
                <w:w w:val="95"/>
                <w:sz w:val="21"/>
              </w:rPr>
              <w:t>由于地表沉陷造成第四系水位埋深降低， </w:t>
            </w:r>
            <w:r>
              <w:rPr>
                <w:sz w:val="21"/>
              </w:rPr>
              <w:t>导致蒸发加剧，盐分在地表集聚，可能在局部地区造成次生盐渍化</w:t>
            </w:r>
          </w:p>
        </w:tc>
        <w:tc>
          <w:tcPr>
            <w:tcW w:w="2181" w:type="dxa"/>
          </w:tcPr>
          <w:p>
            <w:pPr>
              <w:pStyle w:val="TableParagraph"/>
              <w:spacing w:before="4"/>
              <w:jc w:val="left"/>
              <w:rPr>
                <w:b/>
                <w:sz w:val="21"/>
              </w:rPr>
            </w:pPr>
          </w:p>
          <w:p>
            <w:pPr>
              <w:pStyle w:val="TableParagraph"/>
              <w:ind w:left="6"/>
              <w:rPr>
                <w:sz w:val="21"/>
              </w:rPr>
            </w:pPr>
            <w:r>
              <w:rPr>
                <w:w w:val="99"/>
                <w:sz w:val="21"/>
              </w:rPr>
              <w:t>━</w:t>
            </w:r>
          </w:p>
        </w:tc>
      </w:tr>
    </w:tbl>
    <w:p>
      <w:pPr>
        <w:pStyle w:val="Heading4"/>
        <w:numPr>
          <w:ilvl w:val="3"/>
          <w:numId w:val="66"/>
        </w:numPr>
        <w:tabs>
          <w:tab w:pos="1204" w:val="left" w:leader="none"/>
        </w:tabs>
        <w:spacing w:line="240" w:lineRule="auto" w:before="2" w:after="0"/>
        <w:ind w:left="1204" w:right="0" w:hanging="829"/>
        <w:jc w:val="left"/>
      </w:pPr>
      <w:bookmarkStart w:name="11.1.1.2污染影响型影响识别" w:id="629"/>
      <w:bookmarkEnd w:id="629"/>
      <w:r>
        <w:rPr>
          <w:b w:val="0"/>
        </w:rPr>
      </w:r>
      <w:bookmarkStart w:name="11.1.1.2污染影响型影响识别" w:id="630"/>
      <w:bookmarkEnd w:id="630"/>
      <w:r>
        <w:rPr/>
        <w:t>污染影响型影响识别</w:t>
      </w:r>
    </w:p>
    <w:p>
      <w:pPr>
        <w:pStyle w:val="BodyText"/>
        <w:spacing w:line="362" w:lineRule="auto" w:before="160"/>
        <w:ind w:left="375" w:right="760" w:firstLine="480"/>
      </w:pPr>
      <w:r>
        <w:rPr/>
        <w:t>本次评价根据各场地主要建构筑物布置情况，对土壤污染源及影响因子识别，具体见下表</w:t>
      </w:r>
    </w:p>
    <w:p>
      <w:pPr>
        <w:spacing w:before="4"/>
        <w:ind w:left="0" w:right="368" w:firstLine="0"/>
        <w:jc w:val="center"/>
        <w:rPr>
          <w:b/>
          <w:sz w:val="21"/>
        </w:rPr>
      </w:pPr>
      <w:r>
        <w:rPr>
          <w:b/>
          <w:spacing w:val="-26"/>
          <w:sz w:val="21"/>
        </w:rPr>
        <w:t>表 </w:t>
      </w:r>
      <w:r>
        <w:rPr>
          <w:rFonts w:ascii="Times New Roman" w:eastAsia="Times New Roman"/>
          <w:b/>
          <w:sz w:val="21"/>
        </w:rPr>
        <w:t>11.1-2</w:t>
      </w:r>
      <w:r>
        <w:rPr>
          <w:rFonts w:ascii="Times New Roman" w:eastAsia="Times New Roman"/>
          <w:b/>
          <w:spacing w:val="51"/>
          <w:sz w:val="21"/>
        </w:rPr>
        <w:t> </w:t>
      </w:r>
      <w:r>
        <w:rPr>
          <w:b/>
          <w:sz w:val="21"/>
        </w:rPr>
        <w:t>污染影响型土壤环境影响源及影响因子识别表</w:t>
      </w:r>
    </w:p>
    <w:p>
      <w:pPr>
        <w:pStyle w:val="BodyText"/>
        <w:spacing w:before="10"/>
        <w:rPr>
          <w:b/>
          <w:sz w:val="10"/>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1"/>
        <w:gridCol w:w="623"/>
        <w:gridCol w:w="1994"/>
        <w:gridCol w:w="1149"/>
        <w:gridCol w:w="1753"/>
        <w:gridCol w:w="1548"/>
        <w:gridCol w:w="1548"/>
      </w:tblGrid>
      <w:tr>
        <w:trPr>
          <w:trHeight w:val="396" w:hRule="atLeast"/>
        </w:trPr>
        <w:tc>
          <w:tcPr>
            <w:tcW w:w="671" w:type="dxa"/>
          </w:tcPr>
          <w:p>
            <w:pPr>
              <w:pStyle w:val="TableParagraph"/>
              <w:spacing w:before="63"/>
              <w:ind w:left="102" w:right="99"/>
              <w:rPr>
                <w:sz w:val="21"/>
              </w:rPr>
            </w:pPr>
            <w:r>
              <w:rPr>
                <w:sz w:val="21"/>
              </w:rPr>
              <w:t>序号</w:t>
            </w:r>
          </w:p>
        </w:tc>
        <w:tc>
          <w:tcPr>
            <w:tcW w:w="2617" w:type="dxa"/>
            <w:gridSpan w:val="2"/>
          </w:tcPr>
          <w:p>
            <w:pPr>
              <w:pStyle w:val="TableParagraph"/>
              <w:spacing w:before="63"/>
              <w:ind w:left="972" w:right="964"/>
              <w:rPr>
                <w:sz w:val="21"/>
              </w:rPr>
            </w:pPr>
            <w:r>
              <w:rPr>
                <w:sz w:val="21"/>
              </w:rPr>
              <w:t>污染源</w:t>
            </w:r>
          </w:p>
        </w:tc>
        <w:tc>
          <w:tcPr>
            <w:tcW w:w="1149" w:type="dxa"/>
          </w:tcPr>
          <w:p>
            <w:pPr>
              <w:pStyle w:val="TableParagraph"/>
              <w:spacing w:before="63"/>
              <w:ind w:left="133" w:right="125"/>
              <w:rPr>
                <w:sz w:val="21"/>
              </w:rPr>
            </w:pPr>
            <w:r>
              <w:rPr>
                <w:sz w:val="21"/>
              </w:rPr>
              <w:t>污染途径</w:t>
            </w:r>
          </w:p>
        </w:tc>
        <w:tc>
          <w:tcPr>
            <w:tcW w:w="1753" w:type="dxa"/>
          </w:tcPr>
          <w:p>
            <w:pPr>
              <w:pStyle w:val="TableParagraph"/>
              <w:spacing w:before="63"/>
              <w:ind w:left="57" w:right="50"/>
              <w:rPr>
                <w:sz w:val="21"/>
              </w:rPr>
            </w:pPr>
            <w:r>
              <w:rPr>
                <w:sz w:val="21"/>
              </w:rPr>
              <w:t>全部污染物指标</w:t>
            </w:r>
          </w:p>
        </w:tc>
        <w:tc>
          <w:tcPr>
            <w:tcW w:w="1548" w:type="dxa"/>
          </w:tcPr>
          <w:p>
            <w:pPr>
              <w:pStyle w:val="TableParagraph"/>
              <w:spacing w:before="63"/>
              <w:ind w:left="34" w:right="28"/>
              <w:rPr>
                <w:sz w:val="21"/>
              </w:rPr>
            </w:pPr>
            <w:r>
              <w:rPr>
                <w:sz w:val="21"/>
              </w:rPr>
              <w:t>特征因子</w:t>
            </w:r>
          </w:p>
        </w:tc>
        <w:tc>
          <w:tcPr>
            <w:tcW w:w="1548" w:type="dxa"/>
          </w:tcPr>
          <w:p>
            <w:pPr>
              <w:pStyle w:val="TableParagraph"/>
              <w:spacing w:before="63"/>
              <w:ind w:left="37" w:right="28"/>
              <w:rPr>
                <w:sz w:val="21"/>
              </w:rPr>
            </w:pPr>
            <w:r>
              <w:rPr>
                <w:sz w:val="21"/>
              </w:rPr>
              <w:t>备注</w:t>
            </w:r>
          </w:p>
        </w:tc>
      </w:tr>
      <w:tr>
        <w:trPr>
          <w:trHeight w:val="545" w:hRule="atLeast"/>
        </w:trPr>
        <w:tc>
          <w:tcPr>
            <w:tcW w:w="671" w:type="dxa"/>
          </w:tcPr>
          <w:p>
            <w:pPr>
              <w:pStyle w:val="TableParagraph"/>
              <w:spacing w:before="150"/>
              <w:ind w:left="7"/>
              <w:rPr>
                <w:rFonts w:ascii="Times New Roman"/>
                <w:sz w:val="21"/>
              </w:rPr>
            </w:pPr>
            <w:r>
              <w:rPr>
                <w:rFonts w:ascii="Times New Roman"/>
                <w:w w:val="99"/>
                <w:sz w:val="21"/>
              </w:rPr>
              <w:t>1</w:t>
            </w:r>
          </w:p>
        </w:tc>
        <w:tc>
          <w:tcPr>
            <w:tcW w:w="623"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42" w:lineRule="auto" w:before="130"/>
              <w:ind w:left="206" w:right="195"/>
              <w:jc w:val="both"/>
              <w:rPr>
                <w:sz w:val="21"/>
              </w:rPr>
            </w:pPr>
            <w:r>
              <w:rPr>
                <w:sz w:val="21"/>
              </w:rPr>
              <w:t>工业场地</w:t>
            </w:r>
          </w:p>
        </w:tc>
        <w:tc>
          <w:tcPr>
            <w:tcW w:w="1994" w:type="dxa"/>
          </w:tcPr>
          <w:p>
            <w:pPr>
              <w:pStyle w:val="TableParagraph"/>
              <w:spacing w:before="136"/>
              <w:ind w:left="132" w:right="128"/>
              <w:rPr>
                <w:sz w:val="21"/>
              </w:rPr>
            </w:pPr>
            <w:r>
              <w:rPr>
                <w:sz w:val="21"/>
              </w:rPr>
              <w:t>矿井水处理站</w:t>
            </w:r>
          </w:p>
        </w:tc>
        <w:tc>
          <w:tcPr>
            <w:tcW w:w="1149" w:type="dxa"/>
          </w:tcPr>
          <w:p>
            <w:pPr>
              <w:pStyle w:val="TableParagraph"/>
              <w:spacing w:before="136"/>
              <w:ind w:left="133" w:right="125"/>
              <w:rPr>
                <w:sz w:val="21"/>
              </w:rPr>
            </w:pPr>
            <w:r>
              <w:rPr>
                <w:sz w:val="21"/>
              </w:rPr>
              <w:t>垂直入渗</w:t>
            </w:r>
          </w:p>
        </w:tc>
        <w:tc>
          <w:tcPr>
            <w:tcW w:w="1753" w:type="dxa"/>
          </w:tcPr>
          <w:p>
            <w:pPr>
              <w:pStyle w:val="TableParagraph"/>
              <w:spacing w:before="2"/>
              <w:ind w:left="60" w:right="50"/>
              <w:rPr>
                <w:sz w:val="21"/>
              </w:rPr>
            </w:pPr>
            <w:r>
              <w:rPr>
                <w:rFonts w:ascii="Times New Roman" w:eastAsia="Times New Roman"/>
                <w:sz w:val="21"/>
              </w:rPr>
              <w:t>pH </w:t>
            </w:r>
            <w:r>
              <w:rPr>
                <w:sz w:val="21"/>
              </w:rPr>
              <w:t>值、</w:t>
            </w:r>
            <w:r>
              <w:rPr>
                <w:rFonts w:ascii="Times New Roman" w:eastAsia="Times New Roman"/>
                <w:sz w:val="21"/>
              </w:rPr>
              <w:t>COD</w:t>
            </w:r>
            <w:r>
              <w:rPr>
                <w:sz w:val="21"/>
              </w:rPr>
              <w:t>、氨</w:t>
            </w:r>
          </w:p>
          <w:p>
            <w:pPr>
              <w:pStyle w:val="TableParagraph"/>
              <w:spacing w:line="252" w:lineRule="exact" w:before="2"/>
              <w:ind w:left="5"/>
              <w:rPr>
                <w:sz w:val="21"/>
              </w:rPr>
            </w:pPr>
            <w:r>
              <w:rPr>
                <w:w w:val="99"/>
                <w:sz w:val="21"/>
              </w:rPr>
              <w:t>氮</w:t>
            </w:r>
          </w:p>
        </w:tc>
        <w:tc>
          <w:tcPr>
            <w:tcW w:w="1548" w:type="dxa"/>
          </w:tcPr>
          <w:p>
            <w:pPr>
              <w:pStyle w:val="TableParagraph"/>
              <w:spacing w:before="2"/>
              <w:ind w:left="87" w:right="28"/>
              <w:rPr>
                <w:sz w:val="21"/>
              </w:rPr>
            </w:pPr>
            <w:r>
              <w:rPr>
                <w:rFonts w:ascii="Times New Roman" w:eastAsia="Times New Roman"/>
                <w:sz w:val="21"/>
              </w:rPr>
              <w:t>pH </w:t>
            </w:r>
            <w:r>
              <w:rPr>
                <w:sz w:val="21"/>
              </w:rPr>
              <w:t>值、</w:t>
            </w:r>
            <w:r>
              <w:rPr>
                <w:rFonts w:ascii="Times New Roman" w:eastAsia="Times New Roman"/>
                <w:sz w:val="21"/>
              </w:rPr>
              <w:t>COD</w:t>
            </w:r>
            <w:r>
              <w:rPr>
                <w:sz w:val="21"/>
              </w:rPr>
              <w:t>、</w:t>
            </w:r>
          </w:p>
          <w:p>
            <w:pPr>
              <w:pStyle w:val="TableParagraph"/>
              <w:spacing w:line="252" w:lineRule="exact" w:before="2"/>
              <w:ind w:left="37" w:right="28"/>
              <w:rPr>
                <w:sz w:val="21"/>
              </w:rPr>
            </w:pPr>
            <w:r>
              <w:rPr>
                <w:sz w:val="21"/>
              </w:rPr>
              <w:t>氨氮</w:t>
            </w:r>
          </w:p>
        </w:tc>
        <w:tc>
          <w:tcPr>
            <w:tcW w:w="1548" w:type="dxa"/>
          </w:tcPr>
          <w:p>
            <w:pPr>
              <w:pStyle w:val="TableParagraph"/>
              <w:spacing w:before="136"/>
              <w:ind w:left="34" w:right="28"/>
              <w:rPr>
                <w:sz w:val="21"/>
              </w:rPr>
            </w:pPr>
            <w:r>
              <w:rPr>
                <w:sz w:val="21"/>
              </w:rPr>
              <w:t>间断、事故</w:t>
            </w:r>
          </w:p>
        </w:tc>
      </w:tr>
      <w:tr>
        <w:trPr>
          <w:trHeight w:val="817" w:hRule="atLeast"/>
        </w:trPr>
        <w:tc>
          <w:tcPr>
            <w:tcW w:w="671" w:type="dxa"/>
          </w:tcPr>
          <w:p>
            <w:pPr>
              <w:pStyle w:val="TableParagraph"/>
              <w:spacing w:before="4"/>
              <w:jc w:val="left"/>
              <w:rPr>
                <w:b/>
                <w:sz w:val="22"/>
              </w:rPr>
            </w:pPr>
          </w:p>
          <w:p>
            <w:pPr>
              <w:pStyle w:val="TableParagraph"/>
              <w:ind w:left="7"/>
              <w:rPr>
                <w:rFonts w:ascii="Times New Roman"/>
                <w:sz w:val="21"/>
              </w:rPr>
            </w:pPr>
            <w:r>
              <w:rPr>
                <w:rFonts w:ascii="Times New Roman"/>
                <w:w w:val="99"/>
                <w:sz w:val="21"/>
              </w:rPr>
              <w:t>2</w:t>
            </w:r>
          </w:p>
        </w:tc>
        <w:tc>
          <w:tcPr>
            <w:tcW w:w="623" w:type="dxa"/>
            <w:vMerge/>
            <w:tcBorders>
              <w:top w:val="nil"/>
            </w:tcBorders>
          </w:tcPr>
          <w:p>
            <w:pPr>
              <w:rPr>
                <w:sz w:val="2"/>
                <w:szCs w:val="2"/>
              </w:rPr>
            </w:pPr>
          </w:p>
        </w:tc>
        <w:tc>
          <w:tcPr>
            <w:tcW w:w="1994" w:type="dxa"/>
          </w:tcPr>
          <w:p>
            <w:pPr>
              <w:pStyle w:val="TableParagraph"/>
              <w:spacing w:before="3"/>
              <w:jc w:val="left"/>
              <w:rPr>
                <w:b/>
                <w:sz w:val="21"/>
              </w:rPr>
            </w:pPr>
          </w:p>
          <w:p>
            <w:pPr>
              <w:pStyle w:val="TableParagraph"/>
              <w:ind w:left="135" w:right="128"/>
              <w:rPr>
                <w:sz w:val="21"/>
              </w:rPr>
            </w:pPr>
            <w:r>
              <w:rPr>
                <w:sz w:val="21"/>
              </w:rPr>
              <w:t>污水处理站</w:t>
            </w:r>
          </w:p>
        </w:tc>
        <w:tc>
          <w:tcPr>
            <w:tcW w:w="1149" w:type="dxa"/>
          </w:tcPr>
          <w:p>
            <w:pPr>
              <w:pStyle w:val="TableParagraph"/>
              <w:spacing w:before="3"/>
              <w:jc w:val="left"/>
              <w:rPr>
                <w:b/>
                <w:sz w:val="21"/>
              </w:rPr>
            </w:pPr>
          </w:p>
          <w:p>
            <w:pPr>
              <w:pStyle w:val="TableParagraph"/>
              <w:ind w:left="133" w:right="125"/>
              <w:rPr>
                <w:sz w:val="21"/>
              </w:rPr>
            </w:pPr>
            <w:r>
              <w:rPr>
                <w:sz w:val="21"/>
              </w:rPr>
              <w:t>垂直入渗</w:t>
            </w:r>
          </w:p>
        </w:tc>
        <w:tc>
          <w:tcPr>
            <w:tcW w:w="1753" w:type="dxa"/>
          </w:tcPr>
          <w:p>
            <w:pPr>
              <w:pStyle w:val="TableParagraph"/>
              <w:spacing w:line="269" w:lineRule="exact" w:before="1"/>
              <w:ind w:left="109" w:right="-15"/>
              <w:jc w:val="left"/>
              <w:rPr>
                <w:sz w:val="21"/>
              </w:rPr>
            </w:pPr>
            <w:r>
              <w:rPr>
                <w:rFonts w:ascii="Times New Roman" w:eastAsia="Times New Roman"/>
                <w:sz w:val="21"/>
              </w:rPr>
              <w:t>pH</w:t>
            </w:r>
            <w:r>
              <w:rPr>
                <w:rFonts w:ascii="Times New Roman" w:eastAsia="Times New Roman"/>
                <w:spacing w:val="-7"/>
                <w:sz w:val="21"/>
              </w:rPr>
              <w:t> </w:t>
            </w:r>
            <w:r>
              <w:rPr>
                <w:spacing w:val="-46"/>
                <w:sz w:val="21"/>
              </w:rPr>
              <w:t>值、</w:t>
            </w:r>
            <w:r>
              <w:rPr>
                <w:rFonts w:ascii="Times New Roman" w:eastAsia="Times New Roman"/>
                <w:sz w:val="21"/>
              </w:rPr>
              <w:t>SS</w:t>
            </w:r>
            <w:r>
              <w:rPr>
                <w:spacing w:val="-89"/>
                <w:sz w:val="21"/>
              </w:rPr>
              <w:t>、</w:t>
            </w:r>
            <w:r>
              <w:rPr>
                <w:rFonts w:ascii="Times New Roman" w:eastAsia="Times New Roman"/>
                <w:sz w:val="21"/>
              </w:rPr>
              <w:t>COD</w:t>
            </w:r>
            <w:r>
              <w:rPr>
                <w:sz w:val="21"/>
              </w:rPr>
              <w:t>、</w:t>
            </w:r>
          </w:p>
          <w:p>
            <w:pPr>
              <w:pStyle w:val="TableParagraph"/>
              <w:spacing w:line="254" w:lineRule="exact" w:before="26"/>
              <w:ind w:left="560" w:right="45"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548" w:type="dxa"/>
          </w:tcPr>
          <w:p>
            <w:pPr>
              <w:pStyle w:val="TableParagraph"/>
              <w:spacing w:before="3"/>
              <w:jc w:val="left"/>
              <w:rPr>
                <w:b/>
                <w:sz w:val="21"/>
              </w:rPr>
            </w:pPr>
          </w:p>
          <w:p>
            <w:pPr>
              <w:pStyle w:val="TableParagraph"/>
              <w:ind w:left="37" w:right="28"/>
              <w:rPr>
                <w:sz w:val="21"/>
              </w:rPr>
            </w:pPr>
            <w:r>
              <w:rPr>
                <w:rFonts w:ascii="Times New Roman" w:eastAsia="Times New Roman"/>
                <w:sz w:val="21"/>
              </w:rPr>
              <w:t>COD</w:t>
            </w:r>
            <w:r>
              <w:rPr>
                <w:sz w:val="21"/>
              </w:rPr>
              <w:t>、氨氮</w:t>
            </w:r>
          </w:p>
        </w:tc>
        <w:tc>
          <w:tcPr>
            <w:tcW w:w="1548" w:type="dxa"/>
          </w:tcPr>
          <w:p>
            <w:pPr>
              <w:pStyle w:val="TableParagraph"/>
              <w:spacing w:before="3"/>
              <w:jc w:val="left"/>
              <w:rPr>
                <w:b/>
                <w:sz w:val="21"/>
              </w:rPr>
            </w:pPr>
          </w:p>
          <w:p>
            <w:pPr>
              <w:pStyle w:val="TableParagraph"/>
              <w:ind w:left="34" w:right="28"/>
              <w:rPr>
                <w:sz w:val="21"/>
              </w:rPr>
            </w:pPr>
            <w:r>
              <w:rPr>
                <w:sz w:val="21"/>
              </w:rPr>
              <w:t>间断、事故</w:t>
            </w:r>
          </w:p>
        </w:tc>
      </w:tr>
      <w:tr>
        <w:trPr>
          <w:trHeight w:val="545" w:hRule="atLeast"/>
        </w:trPr>
        <w:tc>
          <w:tcPr>
            <w:tcW w:w="671" w:type="dxa"/>
          </w:tcPr>
          <w:p>
            <w:pPr>
              <w:pStyle w:val="TableParagraph"/>
              <w:spacing w:before="150"/>
              <w:ind w:left="7"/>
              <w:rPr>
                <w:rFonts w:ascii="Times New Roman"/>
                <w:sz w:val="21"/>
              </w:rPr>
            </w:pPr>
            <w:r>
              <w:rPr>
                <w:rFonts w:ascii="Times New Roman"/>
                <w:w w:val="99"/>
                <w:sz w:val="21"/>
              </w:rPr>
              <w:t>3</w:t>
            </w:r>
          </w:p>
        </w:tc>
        <w:tc>
          <w:tcPr>
            <w:tcW w:w="623" w:type="dxa"/>
            <w:vMerge/>
            <w:tcBorders>
              <w:top w:val="nil"/>
            </w:tcBorders>
          </w:tcPr>
          <w:p>
            <w:pPr>
              <w:rPr>
                <w:sz w:val="2"/>
                <w:szCs w:val="2"/>
              </w:rPr>
            </w:pPr>
          </w:p>
        </w:tc>
        <w:tc>
          <w:tcPr>
            <w:tcW w:w="1994" w:type="dxa"/>
          </w:tcPr>
          <w:p>
            <w:pPr>
              <w:pStyle w:val="TableParagraph"/>
              <w:spacing w:before="136"/>
              <w:ind w:left="135" w:right="128"/>
              <w:rPr>
                <w:sz w:val="21"/>
              </w:rPr>
            </w:pPr>
            <w:r>
              <w:rPr>
                <w:sz w:val="21"/>
              </w:rPr>
              <w:t>机修车间</w:t>
            </w:r>
          </w:p>
        </w:tc>
        <w:tc>
          <w:tcPr>
            <w:tcW w:w="1149" w:type="dxa"/>
          </w:tcPr>
          <w:p>
            <w:pPr>
              <w:pStyle w:val="TableParagraph"/>
              <w:spacing w:before="136"/>
              <w:ind w:left="133" w:right="125"/>
              <w:rPr>
                <w:sz w:val="21"/>
              </w:rPr>
            </w:pPr>
            <w:r>
              <w:rPr>
                <w:sz w:val="21"/>
              </w:rPr>
              <w:t>垂直入渗</w:t>
            </w:r>
          </w:p>
        </w:tc>
        <w:tc>
          <w:tcPr>
            <w:tcW w:w="1753" w:type="dxa"/>
          </w:tcPr>
          <w:p>
            <w:pPr>
              <w:pStyle w:val="TableParagraph"/>
              <w:spacing w:line="272" w:lineRule="exact"/>
              <w:ind w:left="188"/>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TableParagraph"/>
              <w:spacing w:line="253" w:lineRule="exact"/>
              <w:ind w:left="160"/>
              <w:jc w:val="left"/>
              <w:rPr>
                <w:sz w:val="21"/>
              </w:rPr>
            </w:pPr>
            <w:r>
              <w:rPr>
                <w:rFonts w:ascii="Times New Roman" w:eastAsia="Times New Roman"/>
                <w:spacing w:val="-1"/>
                <w:position w:val="2"/>
                <w:sz w:val="21"/>
              </w:rPr>
              <w:t>NH</w:t>
            </w:r>
            <w:r>
              <w:rPr>
                <w:rFonts w:ascii="Times New Roman" w:eastAsia="Times New Roman"/>
                <w:spacing w:val="-1"/>
                <w:position w:val="2"/>
                <w:sz w:val="21"/>
                <w:vertAlign w:val="subscript"/>
              </w:rPr>
              <w:t>3</w:t>
            </w:r>
            <w:r>
              <w:rPr>
                <w:rFonts w:ascii="Times New Roman" w:eastAsia="Times New Roman"/>
                <w:spacing w:val="-1"/>
                <w:position w:val="2"/>
                <w:sz w:val="21"/>
                <w:vertAlign w:val="baseline"/>
              </w:rPr>
              <w:t>-N</w:t>
            </w:r>
            <w:r>
              <w:rPr>
                <w:position w:val="2"/>
                <w:sz w:val="21"/>
                <w:vertAlign w:val="baseline"/>
              </w:rPr>
              <w:t>、石油类</w:t>
            </w:r>
          </w:p>
        </w:tc>
        <w:tc>
          <w:tcPr>
            <w:tcW w:w="1548" w:type="dxa"/>
          </w:tcPr>
          <w:p>
            <w:pPr>
              <w:pStyle w:val="TableParagraph"/>
              <w:spacing w:before="136"/>
              <w:ind w:left="37" w:right="28"/>
              <w:rPr>
                <w:sz w:val="21"/>
              </w:rPr>
            </w:pPr>
            <w:r>
              <w:rPr>
                <w:sz w:val="21"/>
              </w:rPr>
              <w:t>石油类</w:t>
            </w:r>
          </w:p>
        </w:tc>
        <w:tc>
          <w:tcPr>
            <w:tcW w:w="1548" w:type="dxa"/>
          </w:tcPr>
          <w:p>
            <w:pPr>
              <w:pStyle w:val="TableParagraph"/>
              <w:spacing w:before="136"/>
              <w:ind w:left="34" w:right="28"/>
              <w:rPr>
                <w:sz w:val="21"/>
              </w:rPr>
            </w:pPr>
            <w:r>
              <w:rPr>
                <w:sz w:val="21"/>
              </w:rPr>
              <w:t>间断、事故</w:t>
            </w:r>
          </w:p>
        </w:tc>
      </w:tr>
      <w:tr>
        <w:trPr>
          <w:trHeight w:val="397" w:hRule="atLeast"/>
        </w:trPr>
        <w:tc>
          <w:tcPr>
            <w:tcW w:w="671" w:type="dxa"/>
          </w:tcPr>
          <w:p>
            <w:pPr>
              <w:pStyle w:val="TableParagraph"/>
              <w:spacing w:before="75"/>
              <w:ind w:left="7"/>
              <w:rPr>
                <w:rFonts w:ascii="Times New Roman"/>
                <w:sz w:val="21"/>
              </w:rPr>
            </w:pPr>
            <w:r>
              <w:rPr>
                <w:rFonts w:ascii="Times New Roman"/>
                <w:w w:val="99"/>
                <w:sz w:val="21"/>
              </w:rPr>
              <w:t>4</w:t>
            </w:r>
          </w:p>
        </w:tc>
        <w:tc>
          <w:tcPr>
            <w:tcW w:w="623" w:type="dxa"/>
            <w:vMerge/>
            <w:tcBorders>
              <w:top w:val="nil"/>
            </w:tcBorders>
          </w:tcPr>
          <w:p>
            <w:pPr>
              <w:rPr>
                <w:sz w:val="2"/>
                <w:szCs w:val="2"/>
              </w:rPr>
            </w:pPr>
          </w:p>
        </w:tc>
        <w:tc>
          <w:tcPr>
            <w:tcW w:w="1994" w:type="dxa"/>
          </w:tcPr>
          <w:p>
            <w:pPr>
              <w:pStyle w:val="TableParagraph"/>
              <w:spacing w:before="61"/>
              <w:ind w:left="135" w:right="126"/>
              <w:rPr>
                <w:sz w:val="21"/>
              </w:rPr>
            </w:pPr>
            <w:r>
              <w:rPr>
                <w:sz w:val="21"/>
              </w:rPr>
              <w:t>危险废物暂存间</w:t>
            </w:r>
          </w:p>
        </w:tc>
        <w:tc>
          <w:tcPr>
            <w:tcW w:w="1149" w:type="dxa"/>
          </w:tcPr>
          <w:p>
            <w:pPr>
              <w:pStyle w:val="TableParagraph"/>
              <w:spacing w:before="61"/>
              <w:ind w:left="133" w:right="125"/>
              <w:rPr>
                <w:sz w:val="21"/>
              </w:rPr>
            </w:pPr>
            <w:r>
              <w:rPr>
                <w:sz w:val="21"/>
              </w:rPr>
              <w:t>垂直入渗</w:t>
            </w:r>
          </w:p>
        </w:tc>
        <w:tc>
          <w:tcPr>
            <w:tcW w:w="1753" w:type="dxa"/>
          </w:tcPr>
          <w:p>
            <w:pPr>
              <w:pStyle w:val="TableParagraph"/>
              <w:spacing w:before="61"/>
              <w:ind w:left="57" w:right="50"/>
              <w:rPr>
                <w:sz w:val="21"/>
              </w:rPr>
            </w:pPr>
            <w:r>
              <w:rPr>
                <w:sz w:val="21"/>
              </w:rPr>
              <w:t>石油类</w:t>
            </w:r>
          </w:p>
        </w:tc>
        <w:tc>
          <w:tcPr>
            <w:tcW w:w="1548" w:type="dxa"/>
          </w:tcPr>
          <w:p>
            <w:pPr>
              <w:pStyle w:val="TableParagraph"/>
              <w:spacing w:before="61"/>
              <w:ind w:left="37" w:right="28"/>
              <w:rPr>
                <w:sz w:val="21"/>
              </w:rPr>
            </w:pPr>
            <w:r>
              <w:rPr>
                <w:sz w:val="21"/>
              </w:rPr>
              <w:t>石油类</w:t>
            </w:r>
          </w:p>
        </w:tc>
        <w:tc>
          <w:tcPr>
            <w:tcW w:w="1548" w:type="dxa"/>
          </w:tcPr>
          <w:p>
            <w:pPr>
              <w:pStyle w:val="TableParagraph"/>
              <w:spacing w:before="61"/>
              <w:ind w:left="37" w:right="28"/>
              <w:rPr>
                <w:sz w:val="21"/>
              </w:rPr>
            </w:pPr>
            <w:r>
              <w:rPr>
                <w:sz w:val="21"/>
              </w:rPr>
              <w:t>事故</w:t>
            </w:r>
          </w:p>
        </w:tc>
      </w:tr>
      <w:tr>
        <w:trPr>
          <w:trHeight w:val="544" w:hRule="atLeast"/>
        </w:trPr>
        <w:tc>
          <w:tcPr>
            <w:tcW w:w="671" w:type="dxa"/>
          </w:tcPr>
          <w:p>
            <w:pPr>
              <w:pStyle w:val="TableParagraph"/>
              <w:spacing w:before="151"/>
              <w:ind w:left="7"/>
              <w:rPr>
                <w:rFonts w:ascii="Times New Roman"/>
                <w:sz w:val="21"/>
              </w:rPr>
            </w:pPr>
            <w:r>
              <w:rPr>
                <w:rFonts w:ascii="Times New Roman"/>
                <w:w w:val="99"/>
                <w:sz w:val="21"/>
              </w:rPr>
              <w:t>5</w:t>
            </w:r>
          </w:p>
        </w:tc>
        <w:tc>
          <w:tcPr>
            <w:tcW w:w="623" w:type="dxa"/>
            <w:vMerge/>
            <w:tcBorders>
              <w:top w:val="nil"/>
            </w:tcBorders>
          </w:tcPr>
          <w:p>
            <w:pPr>
              <w:rPr>
                <w:sz w:val="2"/>
                <w:szCs w:val="2"/>
              </w:rPr>
            </w:pPr>
          </w:p>
        </w:tc>
        <w:tc>
          <w:tcPr>
            <w:tcW w:w="1994" w:type="dxa"/>
          </w:tcPr>
          <w:p>
            <w:pPr>
              <w:pStyle w:val="TableParagraph"/>
              <w:spacing w:before="134"/>
              <w:ind w:left="135" w:right="128"/>
              <w:rPr>
                <w:sz w:val="21"/>
              </w:rPr>
            </w:pPr>
            <w:r>
              <w:rPr>
                <w:sz w:val="21"/>
              </w:rPr>
              <w:t>矸石临时堆放场地</w:t>
            </w:r>
          </w:p>
        </w:tc>
        <w:tc>
          <w:tcPr>
            <w:tcW w:w="1149" w:type="dxa"/>
          </w:tcPr>
          <w:p>
            <w:pPr>
              <w:pStyle w:val="TableParagraph"/>
              <w:spacing w:before="134"/>
              <w:ind w:left="133" w:right="125"/>
              <w:rPr>
                <w:sz w:val="21"/>
              </w:rPr>
            </w:pPr>
            <w:r>
              <w:rPr>
                <w:sz w:val="21"/>
              </w:rPr>
              <w:t>垂直入渗</w:t>
            </w:r>
          </w:p>
        </w:tc>
        <w:tc>
          <w:tcPr>
            <w:tcW w:w="1753" w:type="dxa"/>
          </w:tcPr>
          <w:p>
            <w:pPr>
              <w:pStyle w:val="TableParagraph"/>
              <w:ind w:left="107" w:right="-15"/>
              <w:jc w:val="left"/>
              <w:rPr>
                <w:sz w:val="21"/>
              </w:rPr>
            </w:pPr>
            <w:r>
              <w:rPr>
                <w:spacing w:val="-7"/>
                <w:sz w:val="21"/>
              </w:rPr>
              <w:t>镉、汞、砷、铅、</w:t>
            </w:r>
          </w:p>
          <w:p>
            <w:pPr>
              <w:pStyle w:val="TableParagraph"/>
              <w:spacing w:line="253" w:lineRule="exact" w:before="2"/>
              <w:ind w:left="140"/>
              <w:jc w:val="left"/>
              <w:rPr>
                <w:sz w:val="21"/>
              </w:rPr>
            </w:pPr>
            <w:r>
              <w:rPr>
                <w:sz w:val="21"/>
              </w:rPr>
              <w:t>铬、铜、镍、锌</w:t>
            </w:r>
          </w:p>
        </w:tc>
        <w:tc>
          <w:tcPr>
            <w:tcW w:w="1548" w:type="dxa"/>
          </w:tcPr>
          <w:p>
            <w:pPr>
              <w:pStyle w:val="TableParagraph"/>
              <w:spacing w:before="151"/>
              <w:ind w:left="9"/>
              <w:rPr>
                <w:rFonts w:ascii="Times New Roman"/>
                <w:sz w:val="21"/>
              </w:rPr>
            </w:pPr>
            <w:r>
              <w:rPr>
                <w:rFonts w:ascii="Times New Roman"/>
                <w:w w:val="99"/>
                <w:sz w:val="21"/>
              </w:rPr>
              <w:t>/</w:t>
            </w:r>
          </w:p>
        </w:tc>
        <w:tc>
          <w:tcPr>
            <w:tcW w:w="1548" w:type="dxa"/>
          </w:tcPr>
          <w:p>
            <w:pPr>
              <w:pStyle w:val="TableParagraph"/>
              <w:spacing w:before="134"/>
              <w:ind w:left="37" w:right="28"/>
              <w:rPr>
                <w:sz w:val="21"/>
              </w:rPr>
            </w:pPr>
            <w:r>
              <w:rPr>
                <w:sz w:val="21"/>
              </w:rPr>
              <w:t>连续</w:t>
            </w:r>
          </w:p>
        </w:tc>
      </w:tr>
    </w:tbl>
    <w:p>
      <w:pPr>
        <w:pStyle w:val="Heading2"/>
        <w:numPr>
          <w:ilvl w:val="1"/>
          <w:numId w:val="66"/>
        </w:numPr>
        <w:tabs>
          <w:tab w:pos="1036" w:val="left" w:leader="none"/>
        </w:tabs>
        <w:spacing w:line="240" w:lineRule="auto" w:before="4" w:after="0"/>
        <w:ind w:left="1036" w:right="0" w:hanging="661"/>
        <w:jc w:val="left"/>
      </w:pPr>
      <w:bookmarkStart w:name="11.2 土壤环境评价等级、评价范围确定及敏感目标" w:id="631"/>
      <w:bookmarkEnd w:id="631"/>
      <w:r>
        <w:rPr>
          <w:b w:val="0"/>
        </w:rPr>
      </w:r>
      <w:bookmarkStart w:name="_bookmark59" w:id="632"/>
      <w:bookmarkEnd w:id="632"/>
      <w:r>
        <w:rPr>
          <w:b w:val="0"/>
        </w:rPr>
      </w:r>
      <w:bookmarkStart w:name="_bookmark59" w:id="633"/>
      <w:bookmarkEnd w:id="633"/>
      <w:r>
        <w:rPr/>
        <w:t>土壤环境评价等级、评价范围确定及敏感目标</w:t>
      </w:r>
    </w:p>
    <w:p>
      <w:pPr>
        <w:spacing w:after="0" w:line="240" w:lineRule="auto"/>
        <w:jc w:val="left"/>
        <w:sectPr>
          <w:type w:val="continuous"/>
          <w:pgSz w:w="11910" w:h="16840"/>
          <w:pgMar w:top="1580" w:bottom="280" w:left="1040" w:right="600"/>
        </w:sectPr>
      </w:pPr>
    </w:p>
    <w:p>
      <w:pPr>
        <w:pStyle w:val="Heading3"/>
        <w:numPr>
          <w:ilvl w:val="2"/>
          <w:numId w:val="66"/>
        </w:numPr>
        <w:tabs>
          <w:tab w:pos="1202" w:val="left" w:leader="none"/>
        </w:tabs>
        <w:spacing w:line="240" w:lineRule="auto" w:before="47" w:after="0"/>
        <w:ind w:left="1201" w:right="0" w:hanging="827"/>
        <w:jc w:val="both"/>
      </w:pPr>
      <w:bookmarkStart w:name="11.2.1 评价等级确定" w:id="634"/>
      <w:bookmarkEnd w:id="634"/>
      <w:r>
        <w:rPr>
          <w:b w:val="0"/>
        </w:rPr>
      </w:r>
      <w:bookmarkStart w:name="11.2.1 评价等级确定" w:id="635"/>
      <w:bookmarkEnd w:id="635"/>
      <w:r>
        <w:rPr/>
        <w:t>评价等级确定</w:t>
      </w:r>
    </w:p>
    <w:p>
      <w:pPr>
        <w:pStyle w:val="BodyText"/>
        <w:spacing w:line="364" w:lineRule="auto" w:before="185"/>
        <w:ind w:left="375" w:right="753" w:firstLine="480"/>
        <w:jc w:val="both"/>
      </w:pPr>
      <w:r>
        <w:rPr/>
        <w:t>井田开采区属于生态影响类，工业场地及矸石周转场地属于污染影响型。按照导则</w:t>
      </w:r>
      <w:r>
        <w:rPr>
          <w:spacing w:val="7"/>
        </w:rPr>
        <w:t>要求， 分别判定评价工作等级。井田开采区为Ⅱ 类项目， 土壤含盐量</w:t>
      </w:r>
      <w:r>
        <w:rPr>
          <w:rFonts w:ascii="Times New Roman" w:hAnsi="Times New Roman" w:eastAsia="Times New Roman"/>
        </w:rPr>
        <w:t>≤2g/kg </w:t>
      </w:r>
      <w:r>
        <w:rPr/>
        <w:t>， </w:t>
      </w:r>
      <w:r>
        <w:rPr>
          <w:rFonts w:ascii="Times New Roman" w:hAnsi="Times New Roman" w:eastAsia="Times New Roman"/>
        </w:rPr>
        <w:t>5.50≤pH≤8.50</w:t>
      </w:r>
      <w:r>
        <w:rPr>
          <w:spacing w:val="-8"/>
        </w:rPr>
        <w:t>，属于不敏感区，评价等级为三级；工业场地占地面积约为 </w:t>
      </w:r>
      <w:r>
        <w:rPr>
          <w:rFonts w:ascii="Times New Roman" w:hAnsi="Times New Roman" w:eastAsia="Times New Roman"/>
          <w:spacing w:val="-3"/>
        </w:rPr>
        <w:t>2.34hm</w:t>
      </w:r>
      <w:r>
        <w:rPr>
          <w:rFonts w:ascii="Times New Roman" w:hAnsi="Times New Roman" w:eastAsia="Times New Roman"/>
          <w:spacing w:val="-3"/>
          <w:position w:val="8"/>
          <w:sz w:val="15"/>
        </w:rPr>
        <w:t>2</w:t>
      </w:r>
      <w:r>
        <w:rPr>
          <w:spacing w:val="-6"/>
        </w:rPr>
        <w:t>，环境</w:t>
      </w:r>
      <w:r>
        <w:rPr>
          <w:spacing w:val="-3"/>
        </w:rPr>
        <w:t>敏感，评价等级为二级。本项目土壤环境评价等级及范围详见 </w:t>
      </w:r>
      <w:r>
        <w:rPr>
          <w:rFonts w:ascii="Times New Roman" w:hAnsi="Times New Roman" w:eastAsia="Times New Roman"/>
        </w:rPr>
        <w:t>2.4.5 </w:t>
      </w:r>
      <w:r>
        <w:rPr>
          <w:spacing w:val="-30"/>
        </w:rPr>
        <w:t>及 </w:t>
      </w:r>
      <w:r>
        <w:rPr>
          <w:rFonts w:ascii="Times New Roman" w:hAnsi="Times New Roman" w:eastAsia="Times New Roman"/>
        </w:rPr>
        <w:t>2.5.6 </w:t>
      </w:r>
      <w:r>
        <w:rPr/>
        <w:t>章节。</w:t>
      </w:r>
    </w:p>
    <w:p>
      <w:pPr>
        <w:pStyle w:val="Heading3"/>
        <w:numPr>
          <w:ilvl w:val="2"/>
          <w:numId w:val="66"/>
        </w:numPr>
        <w:tabs>
          <w:tab w:pos="1202" w:val="left" w:leader="none"/>
        </w:tabs>
        <w:spacing w:line="357" w:lineRule="exact" w:before="0" w:after="0"/>
        <w:ind w:left="1201" w:right="0" w:hanging="827"/>
        <w:jc w:val="both"/>
      </w:pPr>
      <w:bookmarkStart w:name="11.2.2 评价范围及敏感目标分布" w:id="636"/>
      <w:bookmarkEnd w:id="636"/>
      <w:r>
        <w:rPr>
          <w:b w:val="0"/>
        </w:rPr>
      </w:r>
      <w:bookmarkStart w:name="11.2.2 评价范围及敏感目标分布" w:id="637"/>
      <w:bookmarkEnd w:id="637"/>
      <w:r>
        <w:rPr/>
        <w:t>评价范围及敏感目标分布</w:t>
      </w:r>
    </w:p>
    <w:p>
      <w:pPr>
        <w:pStyle w:val="BodyText"/>
        <w:spacing w:before="185"/>
        <w:ind w:left="856"/>
        <w:rPr>
          <w:rFonts w:ascii="Times New Roman" w:eastAsia="Times New Roman"/>
        </w:rPr>
      </w:pPr>
      <w:r>
        <w:rPr/>
        <w:t>井田开采区以井田范围外扩 </w:t>
      </w:r>
      <w:r>
        <w:rPr>
          <w:rFonts w:ascii="Times New Roman" w:eastAsia="Times New Roman"/>
        </w:rPr>
        <w:t>1km </w:t>
      </w:r>
      <w:r>
        <w:rPr/>
        <w:t>为评价范围；工业场地评价范围以场地外扩 </w:t>
      </w:r>
      <w:r>
        <w:rPr>
          <w:rFonts w:ascii="Times New Roman" w:eastAsia="Times New Roman"/>
        </w:rPr>
        <w:t>0.05km</w:t>
      </w:r>
    </w:p>
    <w:p>
      <w:pPr>
        <w:pStyle w:val="BodyText"/>
        <w:spacing w:before="158"/>
        <w:ind w:left="375"/>
      </w:pPr>
      <w:r>
        <w:rPr/>
        <w:t>为评价范围。</w:t>
      </w:r>
    </w:p>
    <w:p>
      <w:pPr>
        <w:pStyle w:val="Heading2"/>
        <w:numPr>
          <w:ilvl w:val="1"/>
          <w:numId w:val="66"/>
        </w:numPr>
        <w:tabs>
          <w:tab w:pos="960" w:val="left" w:leader="none"/>
        </w:tabs>
        <w:spacing w:line="240" w:lineRule="auto" w:before="161" w:after="0"/>
        <w:ind w:left="959" w:right="0" w:hanging="585"/>
        <w:jc w:val="left"/>
      </w:pPr>
      <w:bookmarkStart w:name="11.3土壤环境质量现状监测与评价" w:id="638"/>
      <w:bookmarkEnd w:id="638"/>
      <w:r>
        <w:rPr>
          <w:b w:val="0"/>
        </w:rPr>
      </w:r>
      <w:bookmarkStart w:name="_bookmark60" w:id="639"/>
      <w:bookmarkEnd w:id="639"/>
      <w:r>
        <w:rPr>
          <w:b w:val="0"/>
        </w:rPr>
      </w:r>
      <w:bookmarkStart w:name="_bookmark60" w:id="640"/>
      <w:bookmarkEnd w:id="640"/>
      <w:r>
        <w:rPr/>
        <w:t>土壤环境质量现状监测与评价</w:t>
      </w:r>
    </w:p>
    <w:p>
      <w:pPr>
        <w:pStyle w:val="Heading3"/>
        <w:numPr>
          <w:ilvl w:val="2"/>
          <w:numId w:val="66"/>
        </w:numPr>
        <w:tabs>
          <w:tab w:pos="1132" w:val="left" w:leader="none"/>
        </w:tabs>
        <w:spacing w:line="240" w:lineRule="auto" w:before="199" w:after="0"/>
        <w:ind w:left="1132" w:right="0" w:hanging="757"/>
        <w:jc w:val="left"/>
      </w:pPr>
      <w:bookmarkStart w:name="11.3.1井田开采区土壤环境质量现状监测与评价" w:id="641"/>
      <w:bookmarkEnd w:id="641"/>
      <w:r>
        <w:rPr>
          <w:b w:val="0"/>
        </w:rPr>
      </w:r>
      <w:bookmarkStart w:name="11.3.1井田开采区土壤环境质量现状监测与评价" w:id="642"/>
      <w:bookmarkEnd w:id="642"/>
      <w:r>
        <w:rPr/>
        <w:t>井田开采区土壤环境质量现状监测与评价</w:t>
      </w:r>
    </w:p>
    <w:p>
      <w:pPr>
        <w:pStyle w:val="Heading4"/>
        <w:numPr>
          <w:ilvl w:val="3"/>
          <w:numId w:val="66"/>
        </w:numPr>
        <w:tabs>
          <w:tab w:pos="1204" w:val="left" w:leader="none"/>
        </w:tabs>
        <w:spacing w:line="240" w:lineRule="auto" w:before="186" w:after="0"/>
        <w:ind w:left="1204" w:right="0" w:hanging="829"/>
        <w:jc w:val="left"/>
      </w:pPr>
      <w:r>
        <w:rPr/>
        <w:t>监测点位及监测因子</w:t>
      </w:r>
    </w:p>
    <w:p>
      <w:pPr>
        <w:pStyle w:val="BodyText"/>
        <w:spacing w:line="364" w:lineRule="auto" w:before="158"/>
        <w:ind w:left="856" w:right="1591"/>
      </w:pPr>
      <w:r>
        <w:rPr>
          <w:spacing w:val="-5"/>
        </w:rPr>
        <w:t>监测点位：工业场地范围内 </w:t>
      </w:r>
      <w:r>
        <w:rPr>
          <w:rFonts w:ascii="Times New Roman" w:eastAsia="Times New Roman"/>
        </w:rPr>
        <w:t>1 </w:t>
      </w:r>
      <w:r>
        <w:rPr/>
        <w:t>个表层样</w:t>
      </w:r>
      <w:r>
        <w:rPr>
          <w:rFonts w:ascii="Times New Roman" w:eastAsia="Times New Roman"/>
        </w:rPr>
        <w:t>+</w:t>
      </w:r>
      <w:r>
        <w:rPr>
          <w:spacing w:val="-6"/>
        </w:rPr>
        <w:t>工业场地占地范围外 </w:t>
      </w:r>
      <w:r>
        <w:rPr>
          <w:rFonts w:ascii="Times New Roman" w:eastAsia="Times New Roman"/>
        </w:rPr>
        <w:t>2 </w:t>
      </w:r>
      <w:r>
        <w:rPr>
          <w:spacing w:val="-4"/>
        </w:rPr>
        <w:t>个表层样。</w:t>
      </w:r>
      <w:r>
        <w:rPr/>
        <w:t>监测因子：</w:t>
      </w:r>
    </w:p>
    <w:p>
      <w:pPr>
        <w:pStyle w:val="BodyText"/>
        <w:spacing w:line="364" w:lineRule="auto"/>
        <w:ind w:left="375" w:right="633" w:firstLine="480"/>
      </w:pPr>
      <w:r>
        <w:rPr>
          <w:spacing w:val="-6"/>
        </w:rPr>
        <w:t>工业场地范围内 </w:t>
      </w:r>
      <w:r>
        <w:rPr>
          <w:rFonts w:ascii="Times New Roman" w:eastAsia="Times New Roman"/>
        </w:rPr>
        <w:t>1 </w:t>
      </w:r>
      <w:r>
        <w:rPr>
          <w:spacing w:val="1"/>
        </w:rPr>
        <w:t>个表层样</w:t>
      </w:r>
      <w:r>
        <w:rPr>
          <w:rFonts w:ascii="Times New Roman" w:eastAsia="Times New Roman"/>
          <w:spacing w:val="4"/>
        </w:rPr>
        <w:t>-</w:t>
      </w:r>
      <w:r>
        <w:rPr/>
        <w:t>建设用地：</w:t>
      </w:r>
      <w:r>
        <w:rPr>
          <w:rFonts w:ascii="Times New Roman" w:eastAsia="Times New Roman"/>
        </w:rPr>
        <w:t>pH</w:t>
      </w:r>
      <w:r>
        <w:rP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-1,2- </w:t>
      </w:r>
      <w:r>
        <w:rPr/>
        <w:t>二氯乙烯、反</w:t>
      </w:r>
      <w:r>
        <w:rPr>
          <w:rFonts w:ascii="Times New Roman" w:eastAsia="Times New Roman"/>
        </w:rPr>
        <w:t>-1,2-</w:t>
      </w:r>
      <w:r>
        <w:rPr/>
        <w:t>二氯乙烯、二氯甲烷、</w:t>
      </w:r>
      <w:r>
        <w:rPr>
          <w:rFonts w:ascii="Times New Roman" w:eastAsia="Times New Roman"/>
        </w:rPr>
        <w:t>1,2-</w:t>
      </w:r>
      <w:r>
        <w:rPr/>
        <w:t>二氯丙烷、</w:t>
      </w:r>
      <w:r>
        <w:rPr>
          <w:rFonts w:ascii="Times New Roman" w:eastAsia="Times New Roman"/>
        </w:rPr>
        <w:t>1,1,1,2-</w:t>
      </w:r>
      <w:r>
        <w:rPr/>
        <w:t>四氯乙烷、</w:t>
      </w:r>
      <w:r>
        <w:rPr>
          <w:rFonts w:ascii="Times New Roman" w:eastAsia="Times New Roman"/>
        </w:rPr>
        <w:t>1,1,2,2-</w:t>
      </w:r>
      <w:r>
        <w:rP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rPr/>
        <w:t>二氯苯、</w:t>
      </w:r>
      <w:r>
        <w:rPr>
          <w:rFonts w:ascii="Times New Roman" w:eastAsia="Times New Roman"/>
        </w:rPr>
        <w:t>1,4-</w:t>
      </w:r>
      <w:r>
        <w:rPr/>
        <w:t>二氯苯、乙苯、苯乙烯、甲苯、间二甲苯</w:t>
      </w:r>
      <w:r>
        <w:rPr>
          <w:rFonts w:ascii="Times New Roman" w:eastAsia="Times New Roman"/>
        </w:rPr>
        <w:t>+</w:t>
      </w:r>
      <w:r>
        <w:rPr/>
        <w:t>对二甲苯、邻二甲苯、硝基苯、苯胺、</w:t>
      </w:r>
      <w:r>
        <w:rPr>
          <w:rFonts w:ascii="Times New Roman" w:eastAsia="Times New Roman"/>
        </w:rPr>
        <w:t>2-</w:t>
      </w:r>
      <w:r>
        <w:rPr/>
        <w:t>氯酚、苯并</w:t>
      </w:r>
      <w:r>
        <w:rPr>
          <w:rFonts w:ascii="Times New Roman" w:eastAsia="Times New Roman"/>
        </w:rPr>
        <w:t>[a]</w:t>
      </w:r>
      <w:r>
        <w:rPr/>
        <w:t>蒽、苯并</w:t>
      </w:r>
      <w:r>
        <w:rPr>
          <w:rFonts w:ascii="Times New Roman" w:eastAsia="Times New Roman"/>
        </w:rPr>
        <w:t>[a]</w:t>
      </w:r>
      <w:r>
        <w:rPr/>
        <w:t>芘、苯并</w:t>
      </w:r>
      <w:r>
        <w:rPr>
          <w:rFonts w:ascii="Times New Roman" w:eastAsia="Times New Roman"/>
        </w:rPr>
        <w:t>[b]</w:t>
      </w:r>
      <w:r>
        <w:rPr/>
        <w:t>荧蒽、苯并</w:t>
      </w:r>
      <w:r>
        <w:rPr>
          <w:rFonts w:ascii="Times New Roman" w:eastAsia="Times New Roman"/>
        </w:rPr>
        <w:t>[k]</w:t>
      </w:r>
      <w:r>
        <w:rPr/>
        <w:t>荧蒽、䓛、二苯并</w:t>
      </w:r>
      <w:r>
        <w:rPr>
          <w:rFonts w:ascii="Times New Roman" w:eastAsia="Times New Roman"/>
        </w:rPr>
        <w:t>[a,h]</w:t>
      </w:r>
      <w:r>
        <w:rPr/>
        <w:t>蒽、茚并</w:t>
      </w:r>
      <w:r>
        <w:rPr>
          <w:rFonts w:ascii="Times New Roman" w:eastAsia="Times New Roman"/>
        </w:rPr>
        <w:t>[1,2,3-cd]</w:t>
      </w:r>
      <w:r>
        <w:rPr/>
        <w:t>芘、萘、石油烃（</w:t>
      </w:r>
      <w:r>
        <w:rPr>
          <w:rFonts w:ascii="Times New Roman" w:eastAsia="Times New Roman"/>
        </w:rPr>
        <w:t>C10</w:t>
      </w:r>
      <w:r>
        <w:rPr/>
        <w:t>～</w:t>
      </w:r>
      <w:r>
        <w:rPr>
          <w:rFonts w:ascii="Times New Roman" w:eastAsia="Times New Roman"/>
        </w:rPr>
        <w:t>C40</w:t>
      </w:r>
      <w:r>
        <w:rPr/>
        <w:t>）；</w:t>
      </w:r>
    </w:p>
    <w:p>
      <w:pPr>
        <w:pStyle w:val="BodyText"/>
        <w:spacing w:line="364" w:lineRule="auto"/>
        <w:ind w:left="375" w:right="646" w:firstLine="480"/>
      </w:pPr>
      <w:r>
        <w:rPr/>
        <w:t>工业场地占地范围外 </w:t>
      </w:r>
      <w:r>
        <w:rPr>
          <w:rFonts w:ascii="Times New Roman" w:eastAsia="Times New Roman"/>
        </w:rPr>
        <w:t>2 </w:t>
      </w:r>
      <w:r>
        <w:rPr/>
        <w:t>个表层样农用地：</w:t>
      </w:r>
      <w:r>
        <w:rPr>
          <w:rFonts w:ascii="Times New Roman" w:eastAsia="Times New Roman"/>
        </w:rPr>
        <w:t>pH</w:t>
      </w:r>
      <w:r>
        <w:rPr/>
        <w:t>、含盐量、镉、汞、砷、铅、铬、铜、镍、锌。</w:t>
      </w:r>
    </w:p>
    <w:p>
      <w:pPr>
        <w:pStyle w:val="Heading4"/>
        <w:numPr>
          <w:ilvl w:val="3"/>
          <w:numId w:val="66"/>
        </w:numPr>
        <w:tabs>
          <w:tab w:pos="1204" w:val="left" w:leader="none"/>
        </w:tabs>
        <w:spacing w:line="306" w:lineRule="exact" w:before="0" w:after="0"/>
        <w:ind w:left="1204" w:right="0" w:hanging="829"/>
        <w:jc w:val="left"/>
      </w:pPr>
      <w:r>
        <w:rPr/>
        <w:t>监测采样时间及频率</w:t>
      </w:r>
    </w:p>
    <w:p>
      <w:pPr>
        <w:pStyle w:val="BodyText"/>
        <w:spacing w:before="156"/>
        <w:ind w:left="856"/>
      </w:pPr>
      <w:r>
        <w:rPr>
          <w:rFonts w:ascii="Times New Roman" w:eastAsia="Times New Roman"/>
        </w:rPr>
        <w:t>2020 </w:t>
      </w:r>
      <w:r>
        <w:rPr/>
        <w:t>年 </w:t>
      </w:r>
      <w:r>
        <w:rPr>
          <w:rFonts w:ascii="Times New Roman" w:eastAsia="Times New Roman"/>
        </w:rPr>
        <w:t>06 </w:t>
      </w:r>
      <w:r>
        <w:rPr/>
        <w:t>月 </w:t>
      </w:r>
      <w:r>
        <w:rPr>
          <w:rFonts w:ascii="Times New Roman" w:eastAsia="Times New Roman"/>
        </w:rPr>
        <w:t>18 </w:t>
      </w:r>
      <w:r>
        <w:rPr/>
        <w:t>日，采样 </w:t>
      </w:r>
      <w:r>
        <w:rPr>
          <w:rFonts w:ascii="Times New Roman" w:eastAsia="Times New Roman"/>
        </w:rPr>
        <w:t>1 </w:t>
      </w:r>
      <w:r>
        <w:rPr/>
        <w:t>次。</w:t>
      </w:r>
    </w:p>
    <w:p>
      <w:pPr>
        <w:pStyle w:val="Heading4"/>
        <w:numPr>
          <w:ilvl w:val="3"/>
          <w:numId w:val="66"/>
        </w:numPr>
        <w:tabs>
          <w:tab w:pos="1204" w:val="left" w:leader="none"/>
        </w:tabs>
        <w:spacing w:line="240" w:lineRule="auto" w:before="158" w:after="0"/>
        <w:ind w:left="1204" w:right="0" w:hanging="829"/>
        <w:jc w:val="left"/>
      </w:pPr>
      <w:r>
        <w:rPr/>
        <w:t>监测分析方法</w:t>
      </w:r>
    </w:p>
    <w:p>
      <w:pPr>
        <w:pStyle w:val="BodyText"/>
        <w:spacing w:line="362" w:lineRule="auto" w:before="161"/>
        <w:ind w:left="375" w:right="712" w:firstLine="480"/>
      </w:pPr>
      <w:r>
        <w:rPr/>
        <w:t>按照《土壤环境质量建设用地土壤污染风险管控标准（试行）》（</w:t>
      </w:r>
      <w:r>
        <w:rPr>
          <w:rFonts w:ascii="Times New Roman" w:eastAsia="Times New Roman"/>
        </w:rPr>
        <w:t>GB36600-2018</w:t>
      </w:r>
      <w:r>
        <w:rPr/>
        <w:t>） 中表 </w:t>
      </w:r>
      <w:r>
        <w:rPr>
          <w:rFonts w:ascii="Times New Roman" w:eastAsia="Times New Roman"/>
        </w:rPr>
        <w:t>3 </w:t>
      </w:r>
      <w:r>
        <w:rPr/>
        <w:t>土壤污染物分析方法对本项目污染物进行分析，详见表 </w:t>
      </w:r>
      <w:r>
        <w:rPr>
          <w:rFonts w:ascii="Times New Roman" w:eastAsia="Times New Roman"/>
        </w:rPr>
        <w:t>11.3-1</w:t>
      </w:r>
      <w:r>
        <w:rPr/>
        <w:t>。</w:t>
      </w:r>
    </w:p>
    <w:p>
      <w:pPr>
        <w:pStyle w:val="Heading4"/>
        <w:tabs>
          <w:tab w:pos="4074" w:val="left" w:leader="none"/>
        </w:tabs>
        <w:spacing w:before="5"/>
        <w:ind w:left="2927"/>
      </w:pPr>
      <w:r>
        <w:rPr/>
        <w:t>表</w:t>
      </w:r>
      <w:r>
        <w:rPr>
          <w:spacing w:val="-61"/>
        </w:rPr>
        <w:t> </w:t>
      </w:r>
      <w:r>
        <w:rPr>
          <w:rFonts w:ascii="Times New Roman" w:eastAsia="Times New Roman"/>
          <w:spacing w:val="-3"/>
        </w:rPr>
        <w:t>11.3-1</w:t>
        <w:tab/>
      </w:r>
      <w:r>
        <w:rPr/>
        <w:t>土壤环境质量监测分析方法</w:t>
      </w:r>
    </w:p>
    <w:p>
      <w:pPr>
        <w:spacing w:after="0"/>
        <w:sectPr>
          <w:pgSz w:w="11910" w:h="16840"/>
          <w:pgMar w:header="0" w:footer="1089" w:top="1540" w:bottom="1360" w:left="1040" w:right="600"/>
        </w:sectPr>
      </w:pPr>
    </w:p>
    <w:tbl>
      <w:tblPr>
        <w:tblW w:w="0" w:type="auto"/>
        <w:jc w:val="left"/>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7329"/>
      </w:tblGrid>
      <w:tr>
        <w:trPr>
          <w:trHeight w:val="402" w:hRule="atLeast"/>
        </w:trPr>
        <w:tc>
          <w:tcPr>
            <w:tcW w:w="1711" w:type="dxa"/>
          </w:tcPr>
          <w:p>
            <w:pPr>
              <w:pStyle w:val="TableParagraph"/>
              <w:spacing w:before="65"/>
              <w:ind w:left="435"/>
              <w:jc w:val="left"/>
              <w:rPr>
                <w:b/>
                <w:sz w:val="21"/>
              </w:rPr>
            </w:pPr>
            <w:bookmarkStart w:name="分析项目" w:id="643"/>
            <w:bookmarkEnd w:id="643"/>
            <w:r>
              <w:rPr/>
            </w:r>
            <w:r>
              <w:rPr>
                <w:b/>
                <w:sz w:val="21"/>
              </w:rPr>
              <w:t>分析项目</w:t>
            </w:r>
          </w:p>
        </w:tc>
        <w:tc>
          <w:tcPr>
            <w:tcW w:w="7329" w:type="dxa"/>
          </w:tcPr>
          <w:p>
            <w:pPr>
              <w:pStyle w:val="TableParagraph"/>
              <w:spacing w:before="65"/>
              <w:ind w:left="832" w:right="821"/>
              <w:rPr>
                <w:b/>
                <w:sz w:val="21"/>
              </w:rPr>
            </w:pPr>
            <w:bookmarkStart w:name="分析方法" w:id="644"/>
            <w:bookmarkEnd w:id="644"/>
            <w:r>
              <w:rPr/>
            </w:r>
            <w:r>
              <w:rPr>
                <w:b/>
                <w:sz w:val="21"/>
              </w:rPr>
              <w:t>分析方法</w:t>
            </w:r>
          </w:p>
        </w:tc>
      </w:tr>
      <w:tr>
        <w:trPr>
          <w:trHeight w:val="402" w:hRule="atLeast"/>
        </w:trPr>
        <w:tc>
          <w:tcPr>
            <w:tcW w:w="1711" w:type="dxa"/>
          </w:tcPr>
          <w:p>
            <w:pPr>
              <w:pStyle w:val="TableParagraph"/>
              <w:spacing w:before="65"/>
              <w:ind w:left="574" w:right="566"/>
              <w:rPr>
                <w:sz w:val="21"/>
              </w:rPr>
            </w:pPr>
            <w:bookmarkStart w:name="pH值" w:id="645"/>
            <w:bookmarkEnd w:id="645"/>
            <w:r>
              <w:rPr/>
            </w:r>
            <w:r>
              <w:rPr>
                <w:rFonts w:ascii="Times New Roman" w:eastAsia="Times New Roman"/>
                <w:sz w:val="21"/>
              </w:rPr>
              <w:t>pH </w:t>
            </w:r>
            <w:r>
              <w:rPr>
                <w:sz w:val="21"/>
              </w:rPr>
              <w:t>值</w:t>
            </w:r>
          </w:p>
        </w:tc>
        <w:tc>
          <w:tcPr>
            <w:tcW w:w="7329" w:type="dxa"/>
          </w:tcPr>
          <w:p>
            <w:pPr>
              <w:pStyle w:val="TableParagraph"/>
              <w:spacing w:before="65"/>
              <w:ind w:left="1940"/>
              <w:jc w:val="left"/>
              <w:rPr>
                <w:rFonts w:ascii="Times New Roman" w:eastAsia="Times New Roman"/>
                <w:sz w:val="21"/>
              </w:rPr>
            </w:pPr>
            <w:bookmarkStart w:name="土壤pH值的测定电位法 HJ 962-2018" w:id="646"/>
            <w:bookmarkEnd w:id="646"/>
            <w:r>
              <w:rPr/>
            </w:r>
            <w:r>
              <w:rPr>
                <w:sz w:val="21"/>
              </w:rPr>
              <w:t>土壤 </w:t>
            </w:r>
            <w:r>
              <w:rPr>
                <w:rFonts w:ascii="Times New Roman" w:eastAsia="Times New Roman"/>
                <w:sz w:val="21"/>
              </w:rPr>
              <w:t>pH </w:t>
            </w:r>
            <w:r>
              <w:rPr>
                <w:sz w:val="21"/>
              </w:rPr>
              <w:t>值的测定电位法 </w:t>
            </w:r>
            <w:r>
              <w:rPr>
                <w:rFonts w:ascii="Times New Roman" w:eastAsia="Times New Roman"/>
                <w:sz w:val="21"/>
              </w:rPr>
              <w:t>HJ 962-2018</w:t>
            </w:r>
          </w:p>
        </w:tc>
      </w:tr>
      <w:tr>
        <w:trPr>
          <w:trHeight w:val="402" w:hRule="atLeast"/>
        </w:trPr>
        <w:tc>
          <w:tcPr>
            <w:tcW w:w="1711" w:type="dxa"/>
          </w:tcPr>
          <w:p>
            <w:pPr>
              <w:pStyle w:val="TableParagraph"/>
              <w:spacing w:before="65"/>
              <w:ind w:left="3"/>
              <w:jc w:val="left"/>
              <w:rPr>
                <w:sz w:val="21"/>
              </w:rPr>
            </w:pPr>
            <w:bookmarkStart w:name="水溶性盐（含盐量）" w:id="647"/>
            <w:bookmarkEnd w:id="647"/>
            <w:r>
              <w:rPr/>
            </w:r>
            <w:r>
              <w:rPr>
                <w:sz w:val="21"/>
              </w:rPr>
              <w:t>水溶性盐（含盐量</w:t>
            </w:r>
          </w:p>
        </w:tc>
        <w:tc>
          <w:tcPr>
            <w:tcW w:w="7329" w:type="dxa"/>
          </w:tcPr>
          <w:p>
            <w:pPr>
              <w:pStyle w:val="TableParagraph"/>
              <w:tabs>
                <w:tab w:pos="603" w:val="left" w:leader="none"/>
              </w:tabs>
              <w:spacing w:before="65"/>
              <w:ind w:left="-112"/>
              <w:jc w:val="left"/>
              <w:rPr>
                <w:rFonts w:ascii="Times New Roman" w:eastAsia="Times New Roman"/>
                <w:sz w:val="21"/>
              </w:rPr>
            </w:pPr>
            <w:r>
              <w:rPr>
                <w:sz w:val="21"/>
              </w:rPr>
              <w:t>）</w:t>
              <w:tab/>
            </w:r>
            <w:bookmarkStart w:name="土壤检测第16部分：土壤水溶性盐总量的测定 NY/T 1121.16-2006" w:id="648"/>
            <w:bookmarkEnd w:id="648"/>
            <w:r>
              <w:rPr>
                <w:spacing w:val="-10"/>
                <w:sz w:val="21"/>
              </w:rPr>
              <w:t>土壤检测第 </w:t>
            </w:r>
            <w:r>
              <w:rPr>
                <w:rFonts w:ascii="Times New Roman" w:eastAsia="Times New Roman"/>
                <w:sz w:val="21"/>
              </w:rPr>
              <w:t>16 </w:t>
            </w:r>
            <w:r>
              <w:rPr>
                <w:spacing w:val="-1"/>
                <w:sz w:val="21"/>
              </w:rPr>
              <w:t>部分：土壤水溶性盐总量的测定 </w:t>
            </w:r>
            <w:r>
              <w:rPr>
                <w:rFonts w:ascii="Times New Roman" w:eastAsia="Times New Roman"/>
                <w:sz w:val="21"/>
              </w:rPr>
              <w:t>NY/T</w:t>
            </w:r>
            <w:r>
              <w:rPr>
                <w:rFonts w:ascii="Times New Roman" w:eastAsia="Times New Roman"/>
                <w:spacing w:val="1"/>
                <w:sz w:val="21"/>
              </w:rPr>
              <w:t> </w:t>
            </w:r>
            <w:r>
              <w:rPr>
                <w:rFonts w:ascii="Times New Roman" w:eastAsia="Times New Roman"/>
                <w:sz w:val="21"/>
              </w:rPr>
              <w:t>1121.16-2006</w:t>
            </w:r>
          </w:p>
        </w:tc>
      </w:tr>
      <w:tr>
        <w:trPr>
          <w:trHeight w:val="402" w:hRule="atLeast"/>
        </w:trPr>
        <w:tc>
          <w:tcPr>
            <w:tcW w:w="1711" w:type="dxa"/>
          </w:tcPr>
          <w:p>
            <w:pPr>
              <w:pStyle w:val="TableParagraph"/>
              <w:spacing w:before="86"/>
              <w:ind w:left="7"/>
              <w:rPr>
                <w:sz w:val="21"/>
              </w:rPr>
            </w:pPr>
            <w:bookmarkStart w:name="砷" w:id="649"/>
            <w:bookmarkEnd w:id="649"/>
            <w:r>
              <w:rPr/>
            </w:r>
            <w:r>
              <w:rPr>
                <w:w w:val="99"/>
                <w:sz w:val="21"/>
              </w:rPr>
              <w:t>砷</w:t>
            </w:r>
          </w:p>
        </w:tc>
        <w:tc>
          <w:tcPr>
            <w:tcW w:w="7329" w:type="dxa"/>
          </w:tcPr>
          <w:p>
            <w:pPr>
              <w:pStyle w:val="TableParagraph"/>
              <w:spacing w:before="65"/>
              <w:ind w:left="558"/>
              <w:jc w:val="left"/>
              <w:rPr>
                <w:rFonts w:ascii="Times New Roman" w:eastAsia="Times New Roman"/>
                <w:sz w:val="21"/>
              </w:rPr>
            </w:pPr>
            <w:r>
              <w:rPr>
                <w:sz w:val="21"/>
              </w:rPr>
              <w:t>土壤质量 总汞、总砷、总铅的测定 原子荧光法 </w:t>
            </w:r>
            <w:r>
              <w:rPr>
                <w:rFonts w:ascii="Times New Roman" w:eastAsia="Times New Roman"/>
                <w:sz w:val="21"/>
              </w:rPr>
              <w:t>GB/T 22105.2-2008</w:t>
            </w:r>
          </w:p>
        </w:tc>
      </w:tr>
      <w:tr>
        <w:trPr>
          <w:trHeight w:val="403" w:hRule="atLeast"/>
        </w:trPr>
        <w:tc>
          <w:tcPr>
            <w:tcW w:w="1711" w:type="dxa"/>
          </w:tcPr>
          <w:p>
            <w:pPr>
              <w:pStyle w:val="TableParagraph"/>
              <w:spacing w:before="67"/>
              <w:ind w:left="7"/>
              <w:rPr>
                <w:sz w:val="21"/>
              </w:rPr>
            </w:pPr>
            <w:r>
              <w:rPr>
                <w:w w:val="99"/>
                <w:sz w:val="21"/>
              </w:rPr>
              <w:t>镉</w:t>
            </w:r>
          </w:p>
        </w:tc>
        <w:tc>
          <w:tcPr>
            <w:tcW w:w="7329" w:type="dxa"/>
          </w:tcPr>
          <w:p>
            <w:pPr>
              <w:pStyle w:val="TableParagraph"/>
              <w:spacing w:before="67"/>
              <w:ind w:left="452"/>
              <w:jc w:val="left"/>
              <w:rPr>
                <w:rFonts w:ascii="Times New Roman" w:eastAsia="Times New Roman"/>
                <w:sz w:val="21"/>
              </w:rPr>
            </w:pPr>
            <w:r>
              <w:rPr>
                <w:sz w:val="21"/>
              </w:rPr>
              <w:t>土壤质量 铅、镉的测定 石墨炉原子吸收分光光度法 </w:t>
            </w:r>
            <w:r>
              <w:rPr>
                <w:rFonts w:ascii="Times New Roman" w:eastAsia="Times New Roman"/>
                <w:sz w:val="21"/>
              </w:rPr>
              <w:t>GB/T 17141-1997</w:t>
            </w:r>
          </w:p>
        </w:tc>
      </w:tr>
      <w:tr>
        <w:trPr>
          <w:trHeight w:val="402" w:hRule="atLeast"/>
        </w:trPr>
        <w:tc>
          <w:tcPr>
            <w:tcW w:w="1711" w:type="dxa"/>
          </w:tcPr>
          <w:p>
            <w:pPr>
              <w:pStyle w:val="TableParagraph"/>
              <w:spacing w:before="86"/>
              <w:ind w:left="329"/>
              <w:jc w:val="left"/>
              <w:rPr>
                <w:sz w:val="21"/>
              </w:rPr>
            </w:pPr>
            <w:bookmarkStart w:name="铬（六价）" w:id="650"/>
            <w:bookmarkEnd w:id="650"/>
            <w:r>
              <w:rPr/>
            </w:r>
            <w:r>
              <w:rPr>
                <w:sz w:val="21"/>
              </w:rPr>
              <w:t>铬（六价）</w:t>
            </w:r>
          </w:p>
        </w:tc>
        <w:tc>
          <w:tcPr>
            <w:tcW w:w="7329" w:type="dxa"/>
          </w:tcPr>
          <w:p>
            <w:pPr>
              <w:pStyle w:val="TableParagraph"/>
              <w:spacing w:before="67"/>
              <w:ind w:left="440"/>
              <w:jc w:val="left"/>
              <w:rPr>
                <w:rFonts w:ascii="Times New Roman" w:eastAsia="Times New Roman"/>
                <w:sz w:val="21"/>
              </w:rPr>
            </w:pPr>
            <w:r>
              <w:rPr>
                <w:sz w:val="21"/>
              </w:rPr>
              <w:t>固体废物 六价铬的测定 碱消解</w:t>
            </w:r>
            <w:r>
              <w:rPr>
                <w:rFonts w:ascii="Times New Roman" w:eastAsia="Times New Roman"/>
                <w:sz w:val="21"/>
              </w:rPr>
              <w:t>/</w:t>
            </w:r>
            <w:r>
              <w:rPr>
                <w:sz w:val="21"/>
              </w:rPr>
              <w:t>火焰原子吸收分光光度法 </w:t>
            </w:r>
            <w:r>
              <w:rPr>
                <w:rFonts w:ascii="Times New Roman" w:eastAsia="Times New Roman"/>
                <w:sz w:val="21"/>
              </w:rPr>
              <w:t>HJ 687-2014</w:t>
            </w:r>
          </w:p>
        </w:tc>
      </w:tr>
      <w:tr>
        <w:trPr>
          <w:trHeight w:val="402" w:hRule="atLeast"/>
        </w:trPr>
        <w:tc>
          <w:tcPr>
            <w:tcW w:w="1711" w:type="dxa"/>
          </w:tcPr>
          <w:p>
            <w:pPr>
              <w:pStyle w:val="TableParagraph"/>
              <w:spacing w:before="86"/>
              <w:ind w:left="7"/>
              <w:rPr>
                <w:sz w:val="21"/>
              </w:rPr>
            </w:pPr>
            <w:bookmarkStart w:name="铅" w:id="651"/>
            <w:bookmarkEnd w:id="651"/>
            <w:r>
              <w:rPr/>
            </w:r>
            <w:r>
              <w:rPr>
                <w:w w:val="99"/>
                <w:sz w:val="21"/>
              </w:rPr>
              <w:t>铅</w:t>
            </w:r>
          </w:p>
        </w:tc>
        <w:tc>
          <w:tcPr>
            <w:tcW w:w="7329" w:type="dxa"/>
          </w:tcPr>
          <w:p>
            <w:pPr>
              <w:pStyle w:val="TableParagraph"/>
              <w:spacing w:before="66"/>
              <w:ind w:left="452"/>
              <w:jc w:val="left"/>
              <w:rPr>
                <w:rFonts w:ascii="Times New Roman" w:eastAsia="Times New Roman"/>
                <w:sz w:val="21"/>
              </w:rPr>
            </w:pPr>
            <w:r>
              <w:rPr>
                <w:sz w:val="21"/>
              </w:rPr>
              <w:t>土壤质量 铅、镉的测定 石墨炉原子吸收分光光度法 </w:t>
            </w:r>
            <w:r>
              <w:rPr>
                <w:rFonts w:ascii="Times New Roman" w:eastAsia="Times New Roman"/>
                <w:sz w:val="21"/>
              </w:rPr>
              <w:t>GB/T 17141-1997</w:t>
            </w:r>
          </w:p>
        </w:tc>
      </w:tr>
      <w:tr>
        <w:trPr>
          <w:trHeight w:val="402" w:hRule="atLeast"/>
        </w:trPr>
        <w:tc>
          <w:tcPr>
            <w:tcW w:w="1711" w:type="dxa"/>
          </w:tcPr>
          <w:p>
            <w:pPr>
              <w:pStyle w:val="TableParagraph"/>
              <w:spacing w:before="88"/>
              <w:ind w:left="7"/>
              <w:rPr>
                <w:sz w:val="21"/>
              </w:rPr>
            </w:pPr>
            <w:bookmarkStart w:name="汞" w:id="652"/>
            <w:bookmarkEnd w:id="652"/>
            <w:r>
              <w:rPr/>
            </w:r>
            <w:r>
              <w:rPr>
                <w:w w:val="99"/>
                <w:sz w:val="21"/>
              </w:rPr>
              <w:t>汞</w:t>
            </w:r>
          </w:p>
        </w:tc>
        <w:tc>
          <w:tcPr>
            <w:tcW w:w="7329" w:type="dxa"/>
          </w:tcPr>
          <w:p>
            <w:pPr>
              <w:pStyle w:val="TableParagraph"/>
              <w:spacing w:before="66"/>
              <w:ind w:left="558"/>
              <w:jc w:val="left"/>
              <w:rPr>
                <w:rFonts w:ascii="Times New Roman" w:eastAsia="Times New Roman"/>
                <w:sz w:val="21"/>
              </w:rPr>
            </w:pPr>
            <w:r>
              <w:rPr>
                <w:sz w:val="21"/>
              </w:rPr>
              <w:t>土壤质量 总汞、总砷、总铅的测定 原子荧光法 </w:t>
            </w:r>
            <w:r>
              <w:rPr>
                <w:rFonts w:ascii="Times New Roman" w:eastAsia="Times New Roman"/>
                <w:sz w:val="21"/>
              </w:rPr>
              <w:t>GB/T 22105.1-2008</w:t>
            </w:r>
          </w:p>
        </w:tc>
      </w:tr>
      <w:tr>
        <w:trPr>
          <w:trHeight w:val="402" w:hRule="atLeast"/>
        </w:trPr>
        <w:tc>
          <w:tcPr>
            <w:tcW w:w="1711" w:type="dxa"/>
          </w:tcPr>
          <w:p>
            <w:pPr>
              <w:pStyle w:val="TableParagraph"/>
              <w:spacing w:before="66"/>
              <w:ind w:left="118"/>
              <w:jc w:val="left"/>
              <w:rPr>
                <w:sz w:val="21"/>
              </w:rPr>
            </w:pPr>
            <w:r>
              <w:rPr>
                <w:sz w:val="21"/>
              </w:rPr>
              <w:t>铜、锌、镍、铬</w:t>
            </w:r>
          </w:p>
        </w:tc>
        <w:tc>
          <w:tcPr>
            <w:tcW w:w="7329" w:type="dxa"/>
          </w:tcPr>
          <w:p>
            <w:pPr>
              <w:pStyle w:val="TableParagraph"/>
              <w:spacing w:before="66"/>
              <w:ind w:left="8" w:right="-15"/>
              <w:jc w:val="left"/>
              <w:rPr>
                <w:rFonts w:ascii="Times New Roman" w:eastAsia="Times New Roman"/>
                <w:sz w:val="21"/>
              </w:rPr>
            </w:pPr>
            <w:r>
              <w:rPr>
                <w:spacing w:val="-14"/>
                <w:sz w:val="21"/>
              </w:rPr>
              <w:t>土壤和沉积物 铜、锌、铅、镍、铬的测定 火焰原子吸收分光光度法 </w:t>
            </w:r>
            <w:r>
              <w:rPr>
                <w:rFonts w:ascii="Times New Roman" w:eastAsia="Times New Roman"/>
                <w:sz w:val="21"/>
              </w:rPr>
              <w:t>HJ</w:t>
            </w:r>
            <w:r>
              <w:rPr>
                <w:rFonts w:ascii="Times New Roman" w:eastAsia="Times New Roman"/>
                <w:spacing w:val="-2"/>
                <w:sz w:val="21"/>
              </w:rPr>
              <w:t> </w:t>
            </w:r>
            <w:r>
              <w:rPr>
                <w:rFonts w:ascii="Times New Roman" w:eastAsia="Times New Roman"/>
                <w:sz w:val="21"/>
              </w:rPr>
              <w:t>491-2019</w:t>
            </w:r>
          </w:p>
        </w:tc>
      </w:tr>
      <w:tr>
        <w:trPr>
          <w:trHeight w:val="403" w:hRule="atLeast"/>
        </w:trPr>
        <w:tc>
          <w:tcPr>
            <w:tcW w:w="1711" w:type="dxa"/>
          </w:tcPr>
          <w:p>
            <w:pPr>
              <w:pStyle w:val="TableParagraph"/>
              <w:spacing w:before="66"/>
              <w:ind w:left="435"/>
              <w:jc w:val="left"/>
              <w:rPr>
                <w:sz w:val="21"/>
              </w:rPr>
            </w:pPr>
            <w:r>
              <w:rPr>
                <w:sz w:val="21"/>
              </w:rPr>
              <w:t>四氯化碳</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6"/>
              <w:ind w:left="538"/>
              <w:jc w:val="left"/>
              <w:rPr>
                <w:sz w:val="21"/>
              </w:rPr>
            </w:pPr>
            <w:r>
              <w:rPr>
                <w:sz w:val="21"/>
              </w:rPr>
              <w:t>氯甲烷</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6"/>
              <w:ind w:left="85"/>
              <w:jc w:val="left"/>
              <w:rPr>
                <w:sz w:val="21"/>
              </w:rPr>
            </w:pPr>
            <w:r>
              <w:rPr>
                <w:sz w:val="21"/>
              </w:rPr>
              <w:t>氯仿</w:t>
            </w:r>
            <w:r>
              <w:rPr>
                <w:rFonts w:ascii="Times New Roman" w:eastAsia="Times New Roman"/>
                <w:sz w:val="21"/>
              </w:rPr>
              <w:t>(</w:t>
            </w:r>
            <w:r>
              <w:rPr>
                <w:sz w:val="21"/>
              </w:rPr>
              <w:t>三氯甲烷）</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3" w:hRule="atLeast"/>
        </w:trPr>
        <w:tc>
          <w:tcPr>
            <w:tcW w:w="1711" w:type="dxa"/>
          </w:tcPr>
          <w:p>
            <w:pPr>
              <w:pStyle w:val="TableParagraph"/>
              <w:spacing w:before="65"/>
              <w:ind w:left="269"/>
              <w:jc w:val="left"/>
              <w:rPr>
                <w:sz w:val="21"/>
              </w:rPr>
            </w:pPr>
            <w:bookmarkStart w:name="1,1-二氯乙烷" w:id="653"/>
            <w:bookmarkEnd w:id="653"/>
            <w:r>
              <w:rPr/>
            </w:r>
            <w:r>
              <w:rPr>
                <w:rFonts w:ascii="Times New Roman" w:eastAsia="Times New Roman"/>
                <w:sz w:val="21"/>
              </w:rPr>
              <w:t>1,1-</w:t>
            </w:r>
            <w:r>
              <w:rPr>
                <w:sz w:val="21"/>
              </w:rPr>
              <w:t>二氯乙烷</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269"/>
              <w:jc w:val="left"/>
              <w:rPr>
                <w:sz w:val="21"/>
              </w:rPr>
            </w:pPr>
            <w:bookmarkStart w:name="1,2-二氯乙烷" w:id="654"/>
            <w:bookmarkEnd w:id="654"/>
            <w:r>
              <w:rPr/>
            </w:r>
            <w:r>
              <w:rPr>
                <w:rFonts w:ascii="Times New Roman" w:eastAsia="Times New Roman"/>
                <w:sz w:val="21"/>
              </w:rPr>
              <w:t>1,2-</w:t>
            </w:r>
            <w:r>
              <w:rPr>
                <w:sz w:val="21"/>
              </w:rPr>
              <w:t>二氯乙烷</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269"/>
              <w:jc w:val="left"/>
              <w:rPr>
                <w:sz w:val="21"/>
              </w:rPr>
            </w:pPr>
            <w:bookmarkStart w:name="1,1-二氯乙烯" w:id="655"/>
            <w:bookmarkEnd w:id="655"/>
            <w:r>
              <w:rPr/>
            </w:r>
            <w:r>
              <w:rPr>
                <w:rFonts w:ascii="Times New Roman" w:eastAsia="Times New Roman"/>
                <w:sz w:val="21"/>
              </w:rPr>
              <w:t>1,1-</w:t>
            </w:r>
            <w:r>
              <w:rPr>
                <w:sz w:val="21"/>
              </w:rPr>
              <w:t>二氯乙烯</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3" w:hRule="atLeast"/>
        </w:trPr>
        <w:tc>
          <w:tcPr>
            <w:tcW w:w="1711" w:type="dxa"/>
          </w:tcPr>
          <w:p>
            <w:pPr>
              <w:pStyle w:val="TableParagraph"/>
              <w:spacing w:before="65"/>
              <w:ind w:left="130"/>
              <w:jc w:val="left"/>
              <w:rPr>
                <w:sz w:val="21"/>
              </w:rPr>
            </w:pPr>
            <w:r>
              <w:rPr>
                <w:sz w:val="21"/>
              </w:rPr>
              <w:t>顺</w:t>
            </w:r>
            <w:r>
              <w:rPr>
                <w:rFonts w:ascii="Times New Roman" w:eastAsia="Times New Roman"/>
                <w:sz w:val="21"/>
              </w:rPr>
              <w:t>-1,2-</w:t>
            </w:r>
            <w:r>
              <w:rPr>
                <w:sz w:val="21"/>
              </w:rPr>
              <w:t>二氯乙烯</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7"/>
              <w:ind w:left="130"/>
              <w:jc w:val="left"/>
              <w:rPr>
                <w:sz w:val="21"/>
              </w:rPr>
            </w:pPr>
            <w:r>
              <w:rPr>
                <w:sz w:val="21"/>
              </w:rPr>
              <w:t>反</w:t>
            </w:r>
            <w:r>
              <w:rPr>
                <w:rFonts w:ascii="Times New Roman" w:eastAsia="Times New Roman"/>
                <w:sz w:val="21"/>
              </w:rPr>
              <w:t>-1,2-</w:t>
            </w:r>
            <w:r>
              <w:rPr>
                <w:sz w:val="21"/>
              </w:rPr>
              <w:t>二氯乙烯</w:t>
            </w:r>
          </w:p>
        </w:tc>
        <w:tc>
          <w:tcPr>
            <w:tcW w:w="7329" w:type="dxa"/>
          </w:tcPr>
          <w:p>
            <w:pPr>
              <w:pStyle w:val="TableParagraph"/>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3" w:hRule="atLeast"/>
        </w:trPr>
        <w:tc>
          <w:tcPr>
            <w:tcW w:w="1711" w:type="dxa"/>
          </w:tcPr>
          <w:p>
            <w:pPr>
              <w:pStyle w:val="TableParagraph"/>
              <w:spacing w:before="67"/>
              <w:ind w:left="435"/>
              <w:jc w:val="left"/>
              <w:rPr>
                <w:sz w:val="21"/>
              </w:rPr>
            </w:pPr>
            <w:r>
              <w:rPr>
                <w:sz w:val="21"/>
              </w:rPr>
              <w:t>二氯甲烷</w:t>
            </w:r>
          </w:p>
        </w:tc>
        <w:tc>
          <w:tcPr>
            <w:tcW w:w="7329" w:type="dxa"/>
          </w:tcPr>
          <w:p>
            <w:pPr>
              <w:pStyle w:val="TableParagraph"/>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7"/>
              <w:ind w:left="269"/>
              <w:jc w:val="left"/>
              <w:rPr>
                <w:sz w:val="21"/>
              </w:rPr>
            </w:pPr>
            <w:r>
              <w:rPr>
                <w:rFonts w:ascii="Times New Roman" w:eastAsia="Times New Roman"/>
                <w:sz w:val="21"/>
              </w:rPr>
              <w:t>1,2-</w:t>
            </w:r>
            <w:r>
              <w:rPr>
                <w:sz w:val="21"/>
              </w:rPr>
              <w:t>二氯丙烷</w:t>
            </w:r>
          </w:p>
        </w:tc>
        <w:tc>
          <w:tcPr>
            <w:tcW w:w="7329" w:type="dxa"/>
          </w:tcPr>
          <w:p>
            <w:pPr>
              <w:pStyle w:val="TableParagraph"/>
              <w:spacing w:before="67"/>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6"/>
              <w:ind w:left="111"/>
              <w:jc w:val="left"/>
              <w:rPr>
                <w:sz w:val="21"/>
              </w:rPr>
            </w:pPr>
            <w:r>
              <w:rPr>
                <w:rFonts w:ascii="Times New Roman" w:eastAsia="Times New Roman"/>
                <w:sz w:val="21"/>
              </w:rPr>
              <w:t>1,1,1,2-</w:t>
            </w:r>
            <w:r>
              <w:rPr>
                <w:sz w:val="21"/>
              </w:rPr>
              <w:t>四氯乙烷</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3" w:hRule="atLeast"/>
        </w:trPr>
        <w:tc>
          <w:tcPr>
            <w:tcW w:w="1711" w:type="dxa"/>
          </w:tcPr>
          <w:p>
            <w:pPr>
              <w:pStyle w:val="TableParagraph"/>
              <w:spacing w:before="66"/>
              <w:ind w:left="111"/>
              <w:jc w:val="left"/>
              <w:rPr>
                <w:sz w:val="21"/>
              </w:rPr>
            </w:pPr>
            <w:r>
              <w:rPr>
                <w:rFonts w:ascii="Times New Roman" w:eastAsia="Times New Roman"/>
                <w:sz w:val="21"/>
              </w:rPr>
              <w:t>1,1,2,2-</w:t>
            </w:r>
            <w:r>
              <w:rPr>
                <w:sz w:val="21"/>
              </w:rPr>
              <w:t>四氯乙烷</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6"/>
              <w:ind w:left="435"/>
              <w:jc w:val="left"/>
              <w:rPr>
                <w:sz w:val="21"/>
              </w:rPr>
            </w:pPr>
            <w:r>
              <w:rPr>
                <w:sz w:val="21"/>
              </w:rPr>
              <w:t>四氯乙烯</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6"/>
              <w:ind w:left="190"/>
              <w:jc w:val="left"/>
              <w:rPr>
                <w:sz w:val="21"/>
              </w:rPr>
            </w:pPr>
            <w:r>
              <w:rPr>
                <w:rFonts w:ascii="Times New Roman" w:eastAsia="Times New Roman"/>
                <w:sz w:val="21"/>
              </w:rPr>
              <w:t>1,1,1-</w:t>
            </w:r>
            <w:r>
              <w:rPr>
                <w:sz w:val="21"/>
              </w:rPr>
              <w:t>三氯乙烷</w:t>
            </w:r>
          </w:p>
        </w:tc>
        <w:tc>
          <w:tcPr>
            <w:tcW w:w="7329" w:type="dxa"/>
          </w:tcPr>
          <w:p>
            <w:pPr>
              <w:pStyle w:val="TableParagraph"/>
              <w:spacing w:before="66"/>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3" w:hRule="atLeast"/>
        </w:trPr>
        <w:tc>
          <w:tcPr>
            <w:tcW w:w="1711" w:type="dxa"/>
          </w:tcPr>
          <w:p>
            <w:pPr>
              <w:pStyle w:val="TableParagraph"/>
              <w:spacing w:before="65"/>
              <w:ind w:left="190"/>
              <w:jc w:val="left"/>
              <w:rPr>
                <w:sz w:val="21"/>
              </w:rPr>
            </w:pPr>
            <w:r>
              <w:rPr>
                <w:rFonts w:ascii="Times New Roman" w:eastAsia="Times New Roman"/>
                <w:sz w:val="21"/>
              </w:rPr>
              <w:t>1,1,2-</w:t>
            </w:r>
            <w:r>
              <w:rPr>
                <w:sz w:val="21"/>
              </w:rPr>
              <w:t>三氯乙烷</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435"/>
              <w:jc w:val="left"/>
              <w:rPr>
                <w:sz w:val="21"/>
              </w:rPr>
            </w:pPr>
            <w:r>
              <w:rPr>
                <w:sz w:val="21"/>
              </w:rPr>
              <w:t>三氯乙烯</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190"/>
              <w:jc w:val="left"/>
              <w:rPr>
                <w:sz w:val="21"/>
              </w:rPr>
            </w:pPr>
            <w:r>
              <w:rPr>
                <w:rFonts w:ascii="Times New Roman" w:eastAsia="Times New Roman"/>
                <w:sz w:val="21"/>
              </w:rPr>
              <w:t>1,2,3-</w:t>
            </w:r>
            <w:r>
              <w:rPr>
                <w:sz w:val="21"/>
              </w:rPr>
              <w:t>三氯丙烷</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538"/>
              <w:jc w:val="left"/>
              <w:rPr>
                <w:sz w:val="21"/>
              </w:rPr>
            </w:pPr>
            <w:r>
              <w:rPr>
                <w:sz w:val="21"/>
              </w:rPr>
              <w:t>氯乙烯</w:t>
            </w:r>
          </w:p>
        </w:tc>
        <w:tc>
          <w:tcPr>
            <w:tcW w:w="7329" w:type="dxa"/>
          </w:tcPr>
          <w:p>
            <w:pPr>
              <w:pStyle w:val="TableParagraph"/>
              <w:spacing w:before="65"/>
              <w:ind w:left="483"/>
              <w:jc w:val="left"/>
              <w:rPr>
                <w:rFonts w:ascii="Times New Roman" w:eastAsia="Times New Roman"/>
                <w:sz w:val="21"/>
              </w:rPr>
            </w:pPr>
            <w:r>
              <w:rPr>
                <w:sz w:val="21"/>
              </w:rPr>
              <w:t>土壤和沉积物挥发性卤代烃的测定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HJ736-2015</w:t>
            </w:r>
          </w:p>
        </w:tc>
      </w:tr>
      <w:tr>
        <w:trPr>
          <w:trHeight w:val="402" w:hRule="atLeast"/>
        </w:trPr>
        <w:tc>
          <w:tcPr>
            <w:tcW w:w="1711" w:type="dxa"/>
          </w:tcPr>
          <w:p>
            <w:pPr>
              <w:pStyle w:val="TableParagraph"/>
              <w:spacing w:before="65"/>
              <w:ind w:left="7"/>
              <w:rPr>
                <w:sz w:val="21"/>
              </w:rPr>
            </w:pPr>
            <w:r>
              <w:rPr>
                <w:w w:val="99"/>
                <w:sz w:val="21"/>
              </w:rPr>
              <w:t>苯</w:t>
            </w:r>
          </w:p>
        </w:tc>
        <w:tc>
          <w:tcPr>
            <w:tcW w:w="7329" w:type="dxa"/>
          </w:tcPr>
          <w:p>
            <w:pPr>
              <w:pStyle w:val="TableParagraph"/>
              <w:spacing w:before="65"/>
              <w:ind w:left="728"/>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3" w:hRule="atLeast"/>
        </w:trPr>
        <w:tc>
          <w:tcPr>
            <w:tcW w:w="1711" w:type="dxa"/>
          </w:tcPr>
          <w:p>
            <w:pPr>
              <w:pStyle w:val="TableParagraph"/>
              <w:spacing w:before="69"/>
              <w:ind w:left="571" w:right="566"/>
              <w:rPr>
                <w:sz w:val="21"/>
              </w:rPr>
            </w:pPr>
            <w:r>
              <w:rPr>
                <w:sz w:val="21"/>
              </w:rPr>
              <w:t>氯苯</w:t>
            </w:r>
          </w:p>
        </w:tc>
        <w:tc>
          <w:tcPr>
            <w:tcW w:w="7329" w:type="dxa"/>
          </w:tcPr>
          <w:p>
            <w:pPr>
              <w:pStyle w:val="TableParagraph"/>
              <w:spacing w:before="67"/>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HJ642-2013</w:t>
            </w:r>
          </w:p>
        </w:tc>
      </w:tr>
      <w:tr>
        <w:trPr>
          <w:trHeight w:val="402" w:hRule="atLeast"/>
        </w:trPr>
        <w:tc>
          <w:tcPr>
            <w:tcW w:w="1711" w:type="dxa"/>
          </w:tcPr>
          <w:p>
            <w:pPr>
              <w:pStyle w:val="TableParagraph"/>
              <w:spacing w:before="69"/>
              <w:ind w:left="375"/>
              <w:jc w:val="left"/>
              <w:rPr>
                <w:sz w:val="21"/>
              </w:rPr>
            </w:pPr>
            <w:r>
              <w:rPr>
                <w:rFonts w:ascii="Times New Roman" w:eastAsia="Times New Roman"/>
                <w:sz w:val="21"/>
              </w:rPr>
              <w:t>1,2-</w:t>
            </w:r>
            <w:r>
              <w:rPr>
                <w:sz w:val="21"/>
              </w:rPr>
              <w:t>二氯苯</w:t>
            </w:r>
          </w:p>
        </w:tc>
        <w:tc>
          <w:tcPr>
            <w:tcW w:w="7329" w:type="dxa"/>
          </w:tcPr>
          <w:p>
            <w:pPr>
              <w:pStyle w:val="TableParagraph"/>
              <w:spacing w:before="67"/>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HJ642-2013</w:t>
            </w:r>
          </w:p>
        </w:tc>
      </w:tr>
      <w:tr>
        <w:trPr>
          <w:trHeight w:val="402" w:hRule="atLeast"/>
        </w:trPr>
        <w:tc>
          <w:tcPr>
            <w:tcW w:w="1711" w:type="dxa"/>
          </w:tcPr>
          <w:p>
            <w:pPr>
              <w:pStyle w:val="TableParagraph"/>
              <w:spacing w:before="66"/>
              <w:ind w:left="375"/>
              <w:jc w:val="left"/>
              <w:rPr>
                <w:sz w:val="21"/>
              </w:rPr>
            </w:pPr>
            <w:r>
              <w:rPr>
                <w:rFonts w:ascii="Times New Roman" w:eastAsia="Times New Roman"/>
                <w:sz w:val="21"/>
              </w:rPr>
              <w:t>1,4-</w:t>
            </w:r>
            <w:r>
              <w:rPr>
                <w:sz w:val="21"/>
              </w:rPr>
              <w:t>二氯苯</w:t>
            </w:r>
          </w:p>
        </w:tc>
        <w:tc>
          <w:tcPr>
            <w:tcW w:w="7329" w:type="dxa"/>
          </w:tcPr>
          <w:p>
            <w:pPr>
              <w:pStyle w:val="TableParagraph"/>
              <w:spacing w:before="66"/>
              <w:ind w:left="483"/>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w:t>
            </w:r>
            <w:r>
              <w:rPr>
                <w:rFonts w:ascii="Times New Roman" w:eastAsia="Times New Roman"/>
                <w:sz w:val="21"/>
              </w:rPr>
              <w:t>-</w:t>
            </w:r>
            <w:r>
              <w:rPr>
                <w:sz w:val="21"/>
              </w:rPr>
              <w:t>质谱法 </w:t>
            </w:r>
            <w:r>
              <w:rPr>
                <w:rFonts w:ascii="Times New Roman" w:eastAsia="Times New Roman"/>
                <w:sz w:val="21"/>
              </w:rPr>
              <w:t>HJ642-2013</w:t>
            </w:r>
          </w:p>
        </w:tc>
      </w:tr>
      <w:tr>
        <w:trPr>
          <w:trHeight w:val="402" w:hRule="atLeast"/>
        </w:trPr>
        <w:tc>
          <w:tcPr>
            <w:tcW w:w="1711" w:type="dxa"/>
          </w:tcPr>
          <w:p>
            <w:pPr>
              <w:pStyle w:val="TableParagraph"/>
              <w:spacing w:before="66"/>
              <w:ind w:left="571" w:right="566"/>
              <w:rPr>
                <w:sz w:val="21"/>
              </w:rPr>
            </w:pPr>
            <w:r>
              <w:rPr>
                <w:sz w:val="21"/>
              </w:rPr>
              <w:t>乙苯</w:t>
            </w:r>
          </w:p>
        </w:tc>
        <w:tc>
          <w:tcPr>
            <w:tcW w:w="7329" w:type="dxa"/>
          </w:tcPr>
          <w:p>
            <w:pPr>
              <w:pStyle w:val="TableParagraph"/>
              <w:spacing w:before="66"/>
              <w:ind w:left="728"/>
              <w:jc w:val="left"/>
              <w:rPr>
                <w:rFonts w:ascii="Times New Roman" w:eastAsia="Times New Roman"/>
                <w:sz w:val="21"/>
              </w:rPr>
            </w:pPr>
            <w:r>
              <w:rPr>
                <w:sz w:val="21"/>
              </w:rPr>
              <w:t>土壤和沉积物挥发性有机物的测定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1" w:hRule="atLeast"/>
        </w:trPr>
        <w:tc>
          <w:tcPr>
            <w:tcW w:w="1711" w:type="dxa"/>
          </w:tcPr>
          <w:p>
            <w:pPr>
              <w:pStyle w:val="TableParagraph"/>
              <w:spacing w:before="66"/>
              <w:ind w:left="538"/>
              <w:jc w:val="left"/>
              <w:rPr>
                <w:sz w:val="21"/>
              </w:rPr>
            </w:pPr>
            <w:r>
              <w:rPr>
                <w:sz w:val="21"/>
              </w:rPr>
              <w:t>苯乙烯</w:t>
            </w:r>
          </w:p>
        </w:tc>
        <w:tc>
          <w:tcPr>
            <w:tcW w:w="7329" w:type="dxa"/>
          </w:tcPr>
          <w:p>
            <w:pPr>
              <w:pStyle w:val="TableParagraph"/>
              <w:spacing w:before="66"/>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bl>
    <w:p>
      <w:pPr>
        <w:spacing w:after="0"/>
        <w:jc w:val="left"/>
        <w:rPr>
          <w:rFonts w:ascii="Times New Roman" w:eastAsia="Times New Roman"/>
          <w:sz w:val="21"/>
        </w:rPr>
        <w:sectPr>
          <w:pgSz w:w="11910" w:h="16840"/>
          <w:pgMar w:header="0" w:footer="1089" w:top="1580" w:bottom="1280" w:left="1040" w:right="600"/>
        </w:sectPr>
      </w:pPr>
    </w:p>
    <w:tbl>
      <w:tblPr>
        <w:tblW w:w="0" w:type="auto"/>
        <w:jc w:val="left"/>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7329"/>
      </w:tblGrid>
      <w:tr>
        <w:trPr>
          <w:trHeight w:val="402" w:hRule="atLeast"/>
        </w:trPr>
        <w:tc>
          <w:tcPr>
            <w:tcW w:w="1711" w:type="dxa"/>
          </w:tcPr>
          <w:p>
            <w:pPr>
              <w:pStyle w:val="TableParagraph"/>
              <w:spacing w:before="65"/>
              <w:ind w:left="571" w:right="566"/>
              <w:rPr>
                <w:sz w:val="21"/>
              </w:rPr>
            </w:pPr>
            <w:bookmarkStart w:name="甲苯" w:id="656"/>
            <w:bookmarkEnd w:id="656"/>
            <w:r>
              <w:rPr/>
            </w:r>
            <w:r>
              <w:rPr>
                <w:sz w:val="21"/>
              </w:rPr>
              <w:t>甲苯</w:t>
            </w:r>
          </w:p>
        </w:tc>
        <w:tc>
          <w:tcPr>
            <w:tcW w:w="7329" w:type="dxa"/>
          </w:tcPr>
          <w:p>
            <w:pPr>
              <w:pStyle w:val="TableParagraph"/>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2" w:hRule="atLeast"/>
        </w:trPr>
        <w:tc>
          <w:tcPr>
            <w:tcW w:w="1711" w:type="dxa"/>
          </w:tcPr>
          <w:p>
            <w:pPr>
              <w:pStyle w:val="TableParagraph"/>
              <w:spacing w:before="65"/>
              <w:ind w:left="435"/>
              <w:jc w:val="left"/>
              <w:rPr>
                <w:sz w:val="21"/>
              </w:rPr>
            </w:pPr>
            <w:r>
              <w:rPr>
                <w:sz w:val="21"/>
              </w:rPr>
              <w:t>间二甲苯</w:t>
            </w:r>
          </w:p>
        </w:tc>
        <w:tc>
          <w:tcPr>
            <w:tcW w:w="7329" w:type="dxa"/>
          </w:tcPr>
          <w:p>
            <w:pPr>
              <w:pStyle w:val="TableParagraph"/>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2" w:hRule="atLeast"/>
        </w:trPr>
        <w:tc>
          <w:tcPr>
            <w:tcW w:w="1711" w:type="dxa"/>
          </w:tcPr>
          <w:p>
            <w:pPr>
              <w:pStyle w:val="TableParagraph"/>
              <w:spacing w:before="65"/>
              <w:ind w:left="435"/>
              <w:jc w:val="left"/>
              <w:rPr>
                <w:sz w:val="21"/>
              </w:rPr>
            </w:pPr>
            <w:r>
              <w:rPr>
                <w:sz w:val="21"/>
              </w:rPr>
              <w:t>对二甲苯</w:t>
            </w:r>
          </w:p>
        </w:tc>
        <w:tc>
          <w:tcPr>
            <w:tcW w:w="7329" w:type="dxa"/>
          </w:tcPr>
          <w:p>
            <w:pPr>
              <w:pStyle w:val="TableParagraph"/>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2" w:hRule="atLeast"/>
        </w:trPr>
        <w:tc>
          <w:tcPr>
            <w:tcW w:w="1711" w:type="dxa"/>
          </w:tcPr>
          <w:p>
            <w:pPr>
              <w:pStyle w:val="TableParagraph"/>
              <w:spacing w:before="65"/>
              <w:ind w:left="435"/>
              <w:jc w:val="left"/>
              <w:rPr>
                <w:sz w:val="21"/>
              </w:rPr>
            </w:pPr>
            <w:r>
              <w:rPr>
                <w:sz w:val="21"/>
              </w:rPr>
              <w:t>邻二甲苯</w:t>
            </w:r>
          </w:p>
        </w:tc>
        <w:tc>
          <w:tcPr>
            <w:tcW w:w="7329" w:type="dxa"/>
          </w:tcPr>
          <w:p>
            <w:pPr>
              <w:pStyle w:val="TableParagraph"/>
              <w:spacing w:before="65"/>
              <w:ind w:left="675"/>
              <w:jc w:val="left"/>
              <w:rPr>
                <w:rFonts w:ascii="Times New Roman" w:eastAsia="Times New Roman"/>
                <w:sz w:val="21"/>
              </w:rPr>
            </w:pPr>
            <w:r>
              <w:rPr>
                <w:sz w:val="21"/>
              </w:rPr>
              <w:t>土壤和沉积物 挥发性有机物的测定 顶空</w:t>
            </w:r>
            <w:r>
              <w:rPr>
                <w:rFonts w:ascii="Times New Roman" w:eastAsia="Times New Roman"/>
                <w:sz w:val="21"/>
              </w:rPr>
              <w:t>/</w:t>
            </w:r>
            <w:r>
              <w:rPr>
                <w:sz w:val="21"/>
              </w:rPr>
              <w:t>气相色谱法 </w:t>
            </w:r>
            <w:r>
              <w:rPr>
                <w:rFonts w:ascii="Times New Roman" w:eastAsia="Times New Roman"/>
                <w:sz w:val="21"/>
              </w:rPr>
              <w:t>HJ741-2015</w:t>
            </w:r>
          </w:p>
        </w:tc>
      </w:tr>
      <w:tr>
        <w:trPr>
          <w:trHeight w:val="403" w:hRule="atLeast"/>
        </w:trPr>
        <w:tc>
          <w:tcPr>
            <w:tcW w:w="1711" w:type="dxa"/>
          </w:tcPr>
          <w:p>
            <w:pPr>
              <w:pStyle w:val="TableParagraph"/>
              <w:spacing w:before="67"/>
              <w:ind w:left="538"/>
              <w:jc w:val="left"/>
              <w:rPr>
                <w:sz w:val="21"/>
              </w:rPr>
            </w:pPr>
            <w:r>
              <w:rPr>
                <w:sz w:val="21"/>
              </w:rPr>
              <w:t>硝基苯</w:t>
            </w:r>
          </w:p>
        </w:tc>
        <w:tc>
          <w:tcPr>
            <w:tcW w:w="7329" w:type="dxa"/>
          </w:tcPr>
          <w:p>
            <w:pPr>
              <w:pStyle w:val="TableParagraph"/>
              <w:spacing w:before="67"/>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质谱法 </w:t>
            </w:r>
            <w:r>
              <w:rPr>
                <w:rFonts w:ascii="Times New Roman" w:eastAsia="Times New Roman"/>
                <w:sz w:val="21"/>
              </w:rPr>
              <w:t>HJ834-2017</w:t>
            </w:r>
          </w:p>
        </w:tc>
      </w:tr>
      <w:tr>
        <w:trPr>
          <w:trHeight w:val="402" w:hRule="atLeast"/>
        </w:trPr>
        <w:tc>
          <w:tcPr>
            <w:tcW w:w="1711" w:type="dxa"/>
          </w:tcPr>
          <w:p>
            <w:pPr>
              <w:pStyle w:val="TableParagraph"/>
              <w:spacing w:before="67"/>
              <w:ind w:left="571" w:right="566"/>
              <w:rPr>
                <w:sz w:val="21"/>
              </w:rPr>
            </w:pPr>
            <w:r>
              <w:rPr>
                <w:sz w:val="21"/>
              </w:rPr>
              <w:t>苯胺</w:t>
            </w:r>
          </w:p>
        </w:tc>
        <w:tc>
          <w:tcPr>
            <w:tcW w:w="7329" w:type="dxa"/>
          </w:tcPr>
          <w:p>
            <w:pPr>
              <w:pStyle w:val="TableParagraph"/>
              <w:spacing w:before="67"/>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质谱法 </w:t>
            </w:r>
            <w:r>
              <w:rPr>
                <w:rFonts w:ascii="Times New Roman" w:eastAsia="Times New Roman"/>
                <w:sz w:val="21"/>
              </w:rPr>
              <w:t>HJ834-2017</w:t>
            </w:r>
          </w:p>
        </w:tc>
      </w:tr>
      <w:tr>
        <w:trPr>
          <w:trHeight w:val="402" w:hRule="atLeast"/>
        </w:trPr>
        <w:tc>
          <w:tcPr>
            <w:tcW w:w="1711" w:type="dxa"/>
          </w:tcPr>
          <w:p>
            <w:pPr>
              <w:pStyle w:val="TableParagraph"/>
              <w:spacing w:before="66"/>
              <w:ind w:left="7"/>
              <w:rPr>
                <w:sz w:val="21"/>
              </w:rPr>
            </w:pPr>
            <w:r>
              <w:rPr>
                <w:w w:val="99"/>
                <w:sz w:val="21"/>
              </w:rPr>
              <w:t>萘</w:t>
            </w:r>
          </w:p>
        </w:tc>
        <w:tc>
          <w:tcPr>
            <w:tcW w:w="7329" w:type="dxa"/>
          </w:tcPr>
          <w:p>
            <w:pPr>
              <w:pStyle w:val="TableParagraph"/>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2" w:hRule="atLeast"/>
        </w:trPr>
        <w:tc>
          <w:tcPr>
            <w:tcW w:w="1711" w:type="dxa"/>
          </w:tcPr>
          <w:p>
            <w:pPr>
              <w:pStyle w:val="TableParagraph"/>
              <w:spacing w:before="66"/>
              <w:ind w:left="557"/>
              <w:jc w:val="left"/>
              <w:rPr>
                <w:sz w:val="21"/>
              </w:rPr>
            </w:pPr>
            <w:r>
              <w:rPr>
                <w:rFonts w:ascii="Times New Roman" w:eastAsia="Times New Roman"/>
                <w:sz w:val="21"/>
              </w:rPr>
              <w:t>2-</w:t>
            </w:r>
            <w:r>
              <w:rPr>
                <w:sz w:val="21"/>
              </w:rPr>
              <w:t>氯酚</w:t>
            </w:r>
          </w:p>
        </w:tc>
        <w:tc>
          <w:tcPr>
            <w:tcW w:w="7329" w:type="dxa"/>
          </w:tcPr>
          <w:p>
            <w:pPr>
              <w:pStyle w:val="TableParagraph"/>
              <w:spacing w:before="66"/>
              <w:ind w:right="551"/>
              <w:jc w:val="right"/>
              <w:rPr>
                <w:rFonts w:ascii="Times New Roman" w:eastAsia="Times New Roman"/>
                <w:sz w:val="21"/>
              </w:rPr>
            </w:pPr>
            <w:r>
              <w:rPr>
                <w:sz w:val="21"/>
              </w:rPr>
              <w:t>土壤和沉积物 半挥发性有机物的测定 气相色谱</w:t>
            </w:r>
            <w:r>
              <w:rPr>
                <w:rFonts w:ascii="Times New Roman" w:eastAsia="Times New Roman"/>
                <w:sz w:val="21"/>
              </w:rPr>
              <w:t>-</w:t>
            </w:r>
            <w:r>
              <w:rPr>
                <w:sz w:val="21"/>
              </w:rPr>
              <w:t>质谱法 </w:t>
            </w:r>
            <w:r>
              <w:rPr>
                <w:rFonts w:ascii="Times New Roman" w:eastAsia="Times New Roman"/>
                <w:sz w:val="21"/>
              </w:rPr>
              <w:t>HJ834-2017</w:t>
            </w:r>
          </w:p>
        </w:tc>
      </w:tr>
      <w:tr>
        <w:trPr>
          <w:trHeight w:val="402" w:hRule="atLeast"/>
        </w:trPr>
        <w:tc>
          <w:tcPr>
            <w:tcW w:w="1711" w:type="dxa"/>
          </w:tcPr>
          <w:p>
            <w:pPr>
              <w:pStyle w:val="TableParagraph"/>
              <w:spacing w:before="66"/>
              <w:ind w:left="423"/>
              <w:jc w:val="left"/>
              <w:rPr>
                <w:sz w:val="21"/>
              </w:rPr>
            </w:pPr>
            <w:r>
              <w:rPr>
                <w:sz w:val="21"/>
              </w:rPr>
              <w:t>苯并</w:t>
            </w:r>
            <w:r>
              <w:rPr>
                <w:rFonts w:ascii="Times New Roman" w:eastAsia="Times New Roman"/>
                <w:sz w:val="21"/>
              </w:rPr>
              <w:t>[a]</w:t>
            </w:r>
            <w:r>
              <w:rPr>
                <w:sz w:val="21"/>
              </w:rPr>
              <w:t>蒽</w:t>
            </w:r>
          </w:p>
        </w:tc>
        <w:tc>
          <w:tcPr>
            <w:tcW w:w="7329" w:type="dxa"/>
          </w:tcPr>
          <w:p>
            <w:pPr>
              <w:pStyle w:val="TableParagraph"/>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3" w:hRule="atLeast"/>
        </w:trPr>
        <w:tc>
          <w:tcPr>
            <w:tcW w:w="1711" w:type="dxa"/>
          </w:tcPr>
          <w:p>
            <w:pPr>
              <w:pStyle w:val="TableParagraph"/>
              <w:spacing w:before="66"/>
              <w:ind w:left="423"/>
              <w:jc w:val="left"/>
              <w:rPr>
                <w:sz w:val="21"/>
              </w:rPr>
            </w:pPr>
            <w:bookmarkStart w:name="苯并[a]芘" w:id="657"/>
            <w:bookmarkEnd w:id="657"/>
            <w:r>
              <w:rPr/>
            </w:r>
            <w:r>
              <w:rPr>
                <w:sz w:val="21"/>
              </w:rPr>
              <w:t>苯并</w:t>
            </w:r>
            <w:r>
              <w:rPr>
                <w:rFonts w:ascii="Times New Roman" w:eastAsia="Times New Roman"/>
                <w:sz w:val="21"/>
              </w:rPr>
              <w:t>[a]</w:t>
            </w:r>
            <w:r>
              <w:rPr>
                <w:sz w:val="21"/>
              </w:rPr>
              <w:t>芘</w:t>
            </w:r>
          </w:p>
        </w:tc>
        <w:tc>
          <w:tcPr>
            <w:tcW w:w="7329" w:type="dxa"/>
          </w:tcPr>
          <w:p>
            <w:pPr>
              <w:pStyle w:val="TableParagraph"/>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2" w:hRule="atLeast"/>
        </w:trPr>
        <w:tc>
          <w:tcPr>
            <w:tcW w:w="1711" w:type="dxa"/>
          </w:tcPr>
          <w:p>
            <w:pPr>
              <w:pStyle w:val="TableParagraph"/>
              <w:spacing w:before="66"/>
              <w:ind w:left="313"/>
              <w:jc w:val="left"/>
              <w:rPr>
                <w:sz w:val="21"/>
              </w:rPr>
            </w:pPr>
            <w:bookmarkStart w:name="苯并[b]荧蒽" w:id="658"/>
            <w:bookmarkEnd w:id="658"/>
            <w:r>
              <w:rPr/>
            </w:r>
            <w:r>
              <w:rPr>
                <w:sz w:val="21"/>
              </w:rPr>
              <w:t>苯并</w:t>
            </w:r>
            <w:r>
              <w:rPr>
                <w:rFonts w:ascii="Times New Roman" w:eastAsia="Times New Roman"/>
                <w:sz w:val="21"/>
              </w:rPr>
              <w:t>[b]</w:t>
            </w:r>
            <w:r>
              <w:rPr>
                <w:sz w:val="21"/>
              </w:rPr>
              <w:t>荧蒽</w:t>
            </w:r>
          </w:p>
        </w:tc>
        <w:tc>
          <w:tcPr>
            <w:tcW w:w="7329" w:type="dxa"/>
          </w:tcPr>
          <w:p>
            <w:pPr>
              <w:pStyle w:val="TableParagraph"/>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2" w:hRule="atLeast"/>
        </w:trPr>
        <w:tc>
          <w:tcPr>
            <w:tcW w:w="1711" w:type="dxa"/>
          </w:tcPr>
          <w:p>
            <w:pPr>
              <w:pStyle w:val="TableParagraph"/>
              <w:spacing w:before="66"/>
              <w:ind w:left="313"/>
              <w:jc w:val="left"/>
              <w:rPr>
                <w:sz w:val="21"/>
              </w:rPr>
            </w:pPr>
            <w:bookmarkStart w:name="苯并[k]荧蒽" w:id="659"/>
            <w:bookmarkEnd w:id="659"/>
            <w:r>
              <w:rPr/>
            </w:r>
            <w:r>
              <w:rPr>
                <w:sz w:val="21"/>
              </w:rPr>
              <w:t>苯并</w:t>
            </w:r>
            <w:r>
              <w:rPr>
                <w:rFonts w:ascii="Times New Roman" w:eastAsia="Times New Roman"/>
                <w:sz w:val="21"/>
              </w:rPr>
              <w:t>[k]</w:t>
            </w:r>
            <w:r>
              <w:rPr>
                <w:sz w:val="21"/>
              </w:rPr>
              <w:t>荧蒽</w:t>
            </w:r>
          </w:p>
        </w:tc>
        <w:tc>
          <w:tcPr>
            <w:tcW w:w="7329" w:type="dxa"/>
          </w:tcPr>
          <w:p>
            <w:pPr>
              <w:pStyle w:val="TableParagraph"/>
              <w:spacing w:before="66"/>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3" w:hRule="atLeast"/>
        </w:trPr>
        <w:tc>
          <w:tcPr>
            <w:tcW w:w="1711" w:type="dxa"/>
          </w:tcPr>
          <w:p>
            <w:pPr>
              <w:pStyle w:val="TableParagraph"/>
              <w:spacing w:before="65"/>
              <w:ind w:left="7"/>
              <w:rPr>
                <w:sz w:val="21"/>
              </w:rPr>
            </w:pPr>
            <w:r>
              <w:rPr>
                <w:w w:val="99"/>
                <w:sz w:val="21"/>
              </w:rPr>
              <w:t>䓛</w:t>
            </w:r>
          </w:p>
        </w:tc>
        <w:tc>
          <w:tcPr>
            <w:tcW w:w="7329" w:type="dxa"/>
          </w:tcPr>
          <w:p>
            <w:pPr>
              <w:pStyle w:val="TableParagraph"/>
              <w:spacing w:before="65"/>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2" w:hRule="atLeast"/>
        </w:trPr>
        <w:tc>
          <w:tcPr>
            <w:tcW w:w="1711" w:type="dxa"/>
          </w:tcPr>
          <w:p>
            <w:pPr>
              <w:pStyle w:val="TableParagraph"/>
              <w:spacing w:before="65"/>
              <w:ind w:right="113"/>
              <w:jc w:val="right"/>
              <w:rPr>
                <w:sz w:val="21"/>
              </w:rPr>
            </w:pPr>
            <w:r>
              <w:rPr>
                <w:w w:val="95"/>
                <w:sz w:val="21"/>
              </w:rPr>
              <w:t>茚并</w:t>
            </w:r>
            <w:r>
              <w:rPr>
                <w:rFonts w:ascii="Times New Roman" w:eastAsia="Times New Roman"/>
                <w:w w:val="95"/>
                <w:sz w:val="21"/>
              </w:rPr>
              <w:t>[1,2,3-cd]</w:t>
            </w:r>
            <w:r>
              <w:rPr>
                <w:w w:val="95"/>
                <w:sz w:val="21"/>
              </w:rPr>
              <w:t>芘</w:t>
            </w:r>
          </w:p>
        </w:tc>
        <w:tc>
          <w:tcPr>
            <w:tcW w:w="7329" w:type="dxa"/>
          </w:tcPr>
          <w:p>
            <w:pPr>
              <w:pStyle w:val="TableParagraph"/>
              <w:spacing w:before="65"/>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2" w:hRule="atLeast"/>
        </w:trPr>
        <w:tc>
          <w:tcPr>
            <w:tcW w:w="1711" w:type="dxa"/>
          </w:tcPr>
          <w:p>
            <w:pPr>
              <w:pStyle w:val="TableParagraph"/>
              <w:spacing w:before="65"/>
              <w:ind w:right="149"/>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7329" w:type="dxa"/>
          </w:tcPr>
          <w:p>
            <w:pPr>
              <w:pStyle w:val="TableParagraph"/>
              <w:spacing w:before="65"/>
              <w:ind w:left="833" w:right="821"/>
              <w:rPr>
                <w:rFonts w:ascii="Times New Roman" w:eastAsia="Times New Roman"/>
                <w:sz w:val="21"/>
              </w:rPr>
            </w:pPr>
            <w:r>
              <w:rPr>
                <w:sz w:val="21"/>
              </w:rPr>
              <w:t>土壤和沉积物 多环芳烃的测定 气相色谱</w:t>
            </w:r>
            <w:r>
              <w:rPr>
                <w:rFonts w:ascii="Times New Roman" w:eastAsia="Times New Roman"/>
                <w:sz w:val="21"/>
              </w:rPr>
              <w:t>-</w:t>
            </w:r>
            <w:r>
              <w:rPr>
                <w:sz w:val="21"/>
              </w:rPr>
              <w:t>质谱法 </w:t>
            </w:r>
            <w:r>
              <w:rPr>
                <w:rFonts w:ascii="Times New Roman" w:eastAsia="Times New Roman"/>
                <w:sz w:val="21"/>
              </w:rPr>
              <w:t>HJ805-2016</w:t>
            </w:r>
          </w:p>
        </w:tc>
      </w:tr>
      <w:tr>
        <w:trPr>
          <w:trHeight w:val="403" w:hRule="atLeast"/>
        </w:trPr>
        <w:tc>
          <w:tcPr>
            <w:tcW w:w="1711" w:type="dxa"/>
          </w:tcPr>
          <w:p>
            <w:pPr>
              <w:pStyle w:val="TableParagraph"/>
              <w:spacing w:before="65"/>
              <w:ind w:right="100"/>
              <w:jc w:val="right"/>
              <w:rPr>
                <w:rFonts w:ascii="Times New Roman" w:eastAsia="Times New Roman"/>
                <w:sz w:val="21"/>
              </w:rPr>
            </w:pPr>
            <w:r>
              <w:rPr>
                <w:w w:val="95"/>
                <w:sz w:val="21"/>
              </w:rPr>
              <w:t>石油烃（</w:t>
            </w:r>
            <w:r>
              <w:rPr>
                <w:rFonts w:ascii="Times New Roman" w:eastAsia="Times New Roman"/>
                <w:w w:val="95"/>
                <w:sz w:val="21"/>
              </w:rPr>
              <w:t>C10~C40</w:t>
            </w:r>
          </w:p>
        </w:tc>
        <w:tc>
          <w:tcPr>
            <w:tcW w:w="7329" w:type="dxa"/>
          </w:tcPr>
          <w:p>
            <w:pPr>
              <w:pStyle w:val="TableParagraph"/>
              <w:tabs>
                <w:tab w:pos="656" w:val="left" w:leader="none"/>
              </w:tabs>
              <w:spacing w:before="64"/>
              <w:ind w:left="-112"/>
              <w:jc w:val="left"/>
              <w:rPr>
                <w:rFonts w:ascii="Times New Roman" w:eastAsia="Times New Roman"/>
                <w:sz w:val="21"/>
              </w:rPr>
            </w:pPr>
            <w:r>
              <w:rPr>
                <w:position w:val="2"/>
                <w:sz w:val="21"/>
              </w:rPr>
              <w:t>）</w:t>
              <w:tab/>
              <w:t>土壤和沉积物 石油烃（</w:t>
            </w:r>
            <w:r>
              <w:rPr>
                <w:rFonts w:ascii="Times New Roman" w:eastAsia="Times New Roman"/>
                <w:position w:val="2"/>
                <w:sz w:val="21"/>
              </w:rPr>
              <w:t>C</w:t>
            </w:r>
            <w:r>
              <w:rPr>
                <w:rFonts w:ascii="Times New Roman" w:eastAsia="Times New Roman"/>
                <w:position w:val="2"/>
                <w:sz w:val="21"/>
                <w:vertAlign w:val="subscript"/>
              </w:rPr>
              <w:t>10</w:t>
            </w:r>
            <w:r>
              <w:rPr>
                <w:rFonts w:ascii="Times New Roman" w:eastAsia="Times New Roman"/>
                <w:position w:val="2"/>
                <w:sz w:val="21"/>
                <w:vertAlign w:val="baseline"/>
              </w:rPr>
              <w:t>-C</w:t>
            </w:r>
            <w:r>
              <w:rPr>
                <w:rFonts w:ascii="Times New Roman" w:eastAsia="Times New Roman"/>
                <w:position w:val="2"/>
                <w:sz w:val="21"/>
                <w:vertAlign w:val="subscript"/>
              </w:rPr>
              <w:t>40</w:t>
            </w:r>
            <w:r>
              <w:rPr>
                <w:position w:val="2"/>
                <w:sz w:val="21"/>
                <w:vertAlign w:val="baseline"/>
              </w:rPr>
              <w:t>）</w:t>
            </w:r>
            <w:r>
              <w:rPr>
                <w:spacing w:val="-6"/>
                <w:position w:val="2"/>
                <w:sz w:val="21"/>
                <w:vertAlign w:val="baseline"/>
              </w:rPr>
              <w:t>的测定 气相色谱法 </w:t>
            </w:r>
            <w:r>
              <w:rPr>
                <w:rFonts w:ascii="Times New Roman" w:eastAsia="Times New Roman"/>
                <w:position w:val="2"/>
                <w:sz w:val="21"/>
                <w:vertAlign w:val="baseline"/>
              </w:rPr>
              <w:t>HJ1021-2019</w:t>
            </w:r>
          </w:p>
        </w:tc>
      </w:tr>
    </w:tbl>
    <w:p>
      <w:pPr>
        <w:pStyle w:val="ListParagraph"/>
        <w:numPr>
          <w:ilvl w:val="2"/>
          <w:numId w:val="66"/>
        </w:numPr>
        <w:tabs>
          <w:tab w:pos="1132" w:val="left" w:leader="none"/>
        </w:tabs>
        <w:spacing w:line="240" w:lineRule="auto" w:before="6" w:after="0"/>
        <w:ind w:left="1132" w:right="0" w:hanging="757"/>
        <w:jc w:val="left"/>
        <w:rPr>
          <w:b/>
          <w:sz w:val="28"/>
        </w:rPr>
      </w:pPr>
      <w:bookmarkStart w:name="11.3.2井田开采区土壤环境质量现状评价" w:id="660"/>
      <w:bookmarkEnd w:id="660"/>
      <w:r>
        <w:rPr/>
      </w:r>
      <w:bookmarkStart w:name="11.3.2井田开采区土壤环境质量现状评价" w:id="661"/>
      <w:bookmarkEnd w:id="661"/>
      <w:r>
        <w:rPr>
          <w:b/>
          <w:sz w:val="28"/>
        </w:rPr>
        <w:t>井田开采区土壤环境质量现状评价</w:t>
      </w:r>
    </w:p>
    <w:p>
      <w:pPr>
        <w:pStyle w:val="ListParagraph"/>
        <w:numPr>
          <w:ilvl w:val="3"/>
          <w:numId w:val="66"/>
        </w:numPr>
        <w:tabs>
          <w:tab w:pos="1204" w:val="left" w:leader="none"/>
        </w:tabs>
        <w:spacing w:line="240" w:lineRule="auto" w:before="185" w:after="0"/>
        <w:ind w:left="1204" w:right="0" w:hanging="829"/>
        <w:jc w:val="left"/>
        <w:rPr>
          <w:b/>
          <w:sz w:val="24"/>
        </w:rPr>
      </w:pPr>
      <w:r>
        <w:rPr>
          <w:b/>
          <w:sz w:val="24"/>
        </w:rPr>
        <w:t>评价标准</w:t>
      </w:r>
    </w:p>
    <w:p>
      <w:pPr>
        <w:pStyle w:val="BodyText"/>
        <w:spacing w:before="161"/>
        <w:ind w:left="856"/>
      </w:pPr>
      <w:r>
        <w:rPr/>
        <w:t>占地范围内土壤执行《土壤环境质量 建设用地土壤污染风险管控标准》</w:t>
      </w:r>
    </w:p>
    <w:p>
      <w:pPr>
        <w:pStyle w:val="BodyText"/>
        <w:spacing w:line="364" w:lineRule="auto" w:before="158"/>
        <w:ind w:left="375" w:right="758"/>
      </w:pPr>
      <w:r>
        <w:rPr/>
        <w:t>（</w:t>
      </w:r>
      <w:r>
        <w:rPr>
          <w:rFonts w:ascii="Times New Roman" w:eastAsia="Times New Roman"/>
        </w:rPr>
        <w:t>GB36600-2018</w:t>
      </w:r>
      <w:r>
        <w:rPr/>
        <w:t>）中的第二类用地标准，占地范围外土壤《土壤环境质量 农用地土壤污染风险管控标准（试行）》（</w:t>
      </w:r>
      <w:r>
        <w:rPr>
          <w:rFonts w:ascii="Times New Roman" w:eastAsia="Times New Roman"/>
        </w:rPr>
        <w:t>GB/15618-2018</w:t>
      </w:r>
      <w:r>
        <w:rPr/>
        <w:t>）中的风险筛选值标准。</w:t>
      </w:r>
    </w:p>
    <w:p>
      <w:pPr>
        <w:pStyle w:val="Heading4"/>
        <w:numPr>
          <w:ilvl w:val="3"/>
          <w:numId w:val="66"/>
        </w:numPr>
        <w:tabs>
          <w:tab w:pos="1204" w:val="left" w:leader="none"/>
        </w:tabs>
        <w:spacing w:line="306" w:lineRule="exact" w:before="0" w:after="0"/>
        <w:ind w:left="1204" w:right="0" w:hanging="829"/>
        <w:jc w:val="left"/>
      </w:pPr>
      <w:r>
        <w:rPr/>
        <w:t>评价方法</w:t>
      </w:r>
    </w:p>
    <w:p>
      <w:pPr>
        <w:pStyle w:val="BodyText"/>
        <w:spacing w:line="362" w:lineRule="auto" w:before="160"/>
        <w:ind w:left="375" w:right="758" w:firstLine="480"/>
      </w:pPr>
      <w:r>
        <w:rPr/>
        <w:t>本次土壤环境质量评价采用单因子标准指数法。单项土壤监测因子 </w:t>
      </w:r>
      <w:r>
        <w:rPr>
          <w:rFonts w:ascii="Times New Roman" w:eastAsia="Times New Roman"/>
        </w:rPr>
        <w:t>i </w:t>
      </w:r>
      <w:r>
        <w:rPr/>
        <w:t>在第 </w:t>
      </w:r>
      <w:r>
        <w:rPr>
          <w:rFonts w:ascii="Times New Roman" w:eastAsia="Times New Roman"/>
        </w:rPr>
        <w:t>j </w:t>
      </w:r>
      <w:r>
        <w:rPr/>
        <w:t>点的污染指数。</w:t>
      </w:r>
    </w:p>
    <w:p>
      <w:pPr>
        <w:pStyle w:val="BodyText"/>
        <w:spacing w:before="1"/>
        <w:ind w:left="85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pStyle w:val="BodyText"/>
        <w:spacing w:line="360" w:lineRule="auto" w:before="118"/>
        <w:ind w:left="856" w:right="480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土壤中 </w:t>
      </w:r>
      <w:r>
        <w:rPr>
          <w:rFonts w:ascii="Times New Roman" w:hAnsi="Times New Roman" w:eastAsia="Times New Roman"/>
          <w:position w:val="2"/>
          <w:vertAlign w:val="baseline"/>
        </w:rPr>
        <w:t>i </w:t>
      </w:r>
      <w:r>
        <w:rPr>
          <w:position w:val="2"/>
          <w:vertAlign w:val="baseline"/>
        </w:rPr>
        <w:t>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w:t>
      </w:r>
      <w:r>
        <w:rPr>
          <w:spacing w:val="-30"/>
          <w:position w:val="2"/>
          <w:vertAlign w:val="baseline"/>
        </w:rPr>
        <w:t>第 </w:t>
      </w:r>
      <w:r>
        <w:rPr>
          <w:rFonts w:ascii="Times New Roman" w:hAnsi="Times New Roman" w:eastAsia="Times New Roman"/>
          <w:position w:val="2"/>
          <w:vertAlign w:val="baseline"/>
        </w:rPr>
        <w:t>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BodyText"/>
        <w:spacing w:line="364" w:lineRule="auto" w:before="8"/>
        <w:ind w:left="375" w:right="758" w:firstLine="480"/>
      </w:pPr>
      <w:r>
        <w:rPr/>
        <w:t>土壤污染因子的标准指数大于 </w:t>
      </w:r>
      <w:r>
        <w:rPr>
          <w:rFonts w:ascii="Times New Roman" w:eastAsia="Times New Roman"/>
        </w:rPr>
        <w:t>1</w:t>
      </w:r>
      <w:r>
        <w:rPr/>
        <w:t>，表明该污染物超过了规定的标准限值，标准指数越大，说明超标越严重。</w:t>
      </w:r>
    </w:p>
    <w:p>
      <w:pPr>
        <w:pStyle w:val="Heading4"/>
        <w:numPr>
          <w:ilvl w:val="3"/>
          <w:numId w:val="66"/>
        </w:numPr>
        <w:tabs>
          <w:tab w:pos="1204" w:val="left" w:leader="none"/>
        </w:tabs>
        <w:spacing w:line="306" w:lineRule="exact" w:before="0" w:after="0"/>
        <w:ind w:left="1204" w:right="0" w:hanging="829"/>
        <w:jc w:val="left"/>
      </w:pPr>
      <w:r>
        <w:rPr/>
        <w:t>监测结果与评价</w:t>
      </w:r>
    </w:p>
    <w:p>
      <w:pPr>
        <w:spacing w:after="0" w:line="306" w:lineRule="exact"/>
        <w:jc w:val="left"/>
        <w:sectPr>
          <w:pgSz w:w="11910" w:h="16840"/>
          <w:pgMar w:header="0" w:footer="1089" w:top="1580" w:bottom="1280" w:left="1040" w:right="600"/>
        </w:sectPr>
      </w:pPr>
    </w:p>
    <w:p>
      <w:pPr>
        <w:pStyle w:val="BodyText"/>
        <w:spacing w:before="66"/>
        <w:ind w:left="856"/>
      </w:pPr>
      <w:r>
        <w:rPr/>
        <w:t>土壤环境质量监测结果和土壤环境质量评价结果见表 </w:t>
      </w:r>
      <w:r>
        <w:rPr>
          <w:rFonts w:ascii="Times New Roman" w:eastAsia="Times New Roman"/>
        </w:rPr>
        <w:t>11.3-2~11.3-5</w:t>
      </w:r>
      <w:r>
        <w:rPr/>
        <w:t>。</w:t>
      </w:r>
    </w:p>
    <w:p>
      <w:pPr>
        <w:pStyle w:val="Heading4"/>
        <w:tabs>
          <w:tab w:pos="1147" w:val="left" w:leader="none"/>
        </w:tabs>
        <w:spacing w:before="158" w:after="3"/>
        <w:ind w:right="372"/>
        <w:jc w:val="center"/>
      </w:pPr>
      <w:r>
        <w:rPr/>
        <w:t>表</w:t>
      </w:r>
      <w:r>
        <w:rPr>
          <w:spacing w:val="-61"/>
        </w:rPr>
        <w:t> </w:t>
      </w:r>
      <w:r>
        <w:rPr>
          <w:rFonts w:ascii="Times New Roman" w:eastAsia="Times New Roman"/>
          <w:spacing w:val="-3"/>
        </w:rPr>
        <w:t>11.3-2</w:t>
        <w:tab/>
      </w:r>
      <w:r>
        <w:rPr/>
        <w:t>土壤环境质量监测结果</w:t>
      </w:r>
    </w:p>
    <w:tbl>
      <w:tblPr>
        <w:tblW w:w="0" w:type="auto"/>
        <w:jc w:val="lef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4"/>
        <w:gridCol w:w="1986"/>
        <w:gridCol w:w="3150"/>
        <w:gridCol w:w="1200"/>
      </w:tblGrid>
      <w:tr>
        <w:trPr>
          <w:trHeight w:val="397" w:hRule="atLeast"/>
        </w:trPr>
        <w:tc>
          <w:tcPr>
            <w:tcW w:w="1914" w:type="dxa"/>
            <w:vMerge w:val="restart"/>
          </w:tcPr>
          <w:p>
            <w:pPr>
              <w:pStyle w:val="TableParagraph"/>
              <w:spacing w:before="10"/>
              <w:jc w:val="left"/>
              <w:rPr>
                <w:b/>
                <w:sz w:val="20"/>
              </w:rPr>
            </w:pPr>
          </w:p>
          <w:p>
            <w:pPr>
              <w:pStyle w:val="TableParagraph"/>
              <w:ind w:left="571"/>
              <w:jc w:val="left"/>
              <w:rPr>
                <w:sz w:val="21"/>
              </w:rPr>
            </w:pPr>
            <w:bookmarkStart w:name="检测项目" w:id="662"/>
            <w:bookmarkEnd w:id="662"/>
            <w:r>
              <w:rPr/>
            </w:r>
            <w:r>
              <w:rPr>
                <w:sz w:val="21"/>
              </w:rPr>
              <w:t>检测项目</w:t>
            </w:r>
          </w:p>
        </w:tc>
        <w:tc>
          <w:tcPr>
            <w:tcW w:w="1986" w:type="dxa"/>
            <w:vMerge w:val="restart"/>
          </w:tcPr>
          <w:p>
            <w:pPr>
              <w:pStyle w:val="TableParagraph"/>
              <w:spacing w:before="10"/>
              <w:jc w:val="left"/>
              <w:rPr>
                <w:b/>
                <w:sz w:val="20"/>
              </w:rPr>
            </w:pPr>
          </w:p>
          <w:p>
            <w:pPr>
              <w:pStyle w:val="TableParagraph"/>
              <w:ind w:left="652" w:right="648"/>
              <w:rPr>
                <w:sz w:val="21"/>
              </w:rPr>
            </w:pPr>
            <w:r>
              <w:rPr>
                <w:sz w:val="21"/>
              </w:rPr>
              <w:t>单位</w:t>
            </w:r>
          </w:p>
        </w:tc>
        <w:tc>
          <w:tcPr>
            <w:tcW w:w="3150" w:type="dxa"/>
          </w:tcPr>
          <w:p>
            <w:pPr>
              <w:pStyle w:val="TableParagraph"/>
              <w:spacing w:before="62"/>
              <w:ind w:left="819" w:right="810"/>
              <w:rPr>
                <w:sz w:val="21"/>
              </w:rPr>
            </w:pPr>
            <w:r>
              <w:rPr>
                <w:sz w:val="21"/>
              </w:rPr>
              <w:t>检测值</w:t>
            </w:r>
          </w:p>
        </w:tc>
        <w:tc>
          <w:tcPr>
            <w:tcW w:w="1200" w:type="dxa"/>
            <w:vMerge w:val="restart"/>
          </w:tcPr>
          <w:p>
            <w:pPr>
              <w:pStyle w:val="TableParagraph"/>
              <w:spacing w:before="10"/>
              <w:jc w:val="left"/>
              <w:rPr>
                <w:b/>
                <w:sz w:val="20"/>
              </w:rPr>
            </w:pPr>
          </w:p>
          <w:p>
            <w:pPr>
              <w:pStyle w:val="TableParagraph"/>
              <w:ind w:left="284"/>
              <w:jc w:val="left"/>
              <w:rPr>
                <w:sz w:val="21"/>
              </w:rPr>
            </w:pPr>
            <w:r>
              <w:rPr>
                <w:sz w:val="21"/>
              </w:rPr>
              <w:t>标准值</w:t>
            </w:r>
          </w:p>
        </w:tc>
      </w:tr>
      <w:tr>
        <w:trPr>
          <w:trHeight w:val="396" w:hRule="atLeast"/>
        </w:trPr>
        <w:tc>
          <w:tcPr>
            <w:tcW w:w="1914" w:type="dxa"/>
            <w:vMerge/>
            <w:tcBorders>
              <w:top w:val="nil"/>
            </w:tcBorders>
          </w:tcPr>
          <w:p>
            <w:pPr>
              <w:rPr>
                <w:sz w:val="2"/>
                <w:szCs w:val="2"/>
              </w:rPr>
            </w:pPr>
          </w:p>
        </w:tc>
        <w:tc>
          <w:tcPr>
            <w:tcW w:w="1986" w:type="dxa"/>
            <w:vMerge/>
            <w:tcBorders>
              <w:top w:val="nil"/>
            </w:tcBorders>
          </w:tcPr>
          <w:p>
            <w:pPr>
              <w:rPr>
                <w:sz w:val="2"/>
                <w:szCs w:val="2"/>
              </w:rPr>
            </w:pPr>
          </w:p>
        </w:tc>
        <w:tc>
          <w:tcPr>
            <w:tcW w:w="3150" w:type="dxa"/>
          </w:tcPr>
          <w:p>
            <w:pPr>
              <w:pStyle w:val="TableParagraph"/>
              <w:spacing w:before="64"/>
              <w:ind w:left="819" w:right="810"/>
              <w:rPr>
                <w:sz w:val="21"/>
              </w:rPr>
            </w:pPr>
            <w:r>
              <w:rPr>
                <w:sz w:val="21"/>
              </w:rPr>
              <w:t>工业场地表层样</w:t>
            </w:r>
          </w:p>
        </w:tc>
        <w:tc>
          <w:tcPr>
            <w:tcW w:w="1200" w:type="dxa"/>
            <w:vMerge/>
            <w:tcBorders>
              <w:top w:val="nil"/>
            </w:tcBorders>
          </w:tcPr>
          <w:p>
            <w:pPr>
              <w:rPr>
                <w:sz w:val="2"/>
                <w:szCs w:val="2"/>
              </w:rPr>
            </w:pPr>
          </w:p>
        </w:tc>
      </w:tr>
      <w:tr>
        <w:trPr>
          <w:trHeight w:val="397" w:hRule="atLeast"/>
        </w:trPr>
        <w:tc>
          <w:tcPr>
            <w:tcW w:w="1914" w:type="dxa"/>
          </w:tcPr>
          <w:p>
            <w:pPr>
              <w:pStyle w:val="TableParagraph"/>
              <w:spacing w:before="62"/>
              <w:ind w:left="191" w:right="184"/>
              <w:rPr>
                <w:sz w:val="21"/>
              </w:rPr>
            </w:pPr>
            <w:r>
              <w:rPr>
                <w:rFonts w:ascii="Times New Roman" w:eastAsia="Times New Roman"/>
                <w:sz w:val="21"/>
              </w:rPr>
              <w:t>pH </w:t>
            </w:r>
            <w:r>
              <w:rPr>
                <w:sz w:val="21"/>
              </w:rPr>
              <w:t>值</w:t>
            </w:r>
          </w:p>
        </w:tc>
        <w:tc>
          <w:tcPr>
            <w:tcW w:w="1986" w:type="dxa"/>
          </w:tcPr>
          <w:p>
            <w:pPr>
              <w:pStyle w:val="TableParagraph"/>
              <w:spacing w:before="62"/>
              <w:ind w:left="657" w:right="648"/>
              <w:rPr>
                <w:sz w:val="21"/>
              </w:rPr>
            </w:pPr>
            <w:r>
              <w:rPr>
                <w:sz w:val="21"/>
              </w:rPr>
              <w:t>无量纲</w:t>
            </w:r>
          </w:p>
        </w:tc>
        <w:tc>
          <w:tcPr>
            <w:tcW w:w="3150" w:type="dxa"/>
          </w:tcPr>
          <w:p>
            <w:pPr>
              <w:pStyle w:val="TableParagraph"/>
              <w:spacing w:before="76"/>
              <w:ind w:left="818" w:right="810"/>
              <w:rPr>
                <w:rFonts w:ascii="Times New Roman"/>
                <w:sz w:val="21"/>
              </w:rPr>
            </w:pPr>
            <w:r>
              <w:rPr>
                <w:rFonts w:ascii="Times New Roman"/>
                <w:sz w:val="21"/>
              </w:rPr>
              <w:t>7.03</w:t>
            </w:r>
          </w:p>
        </w:tc>
        <w:tc>
          <w:tcPr>
            <w:tcW w:w="1200" w:type="dxa"/>
          </w:tcPr>
          <w:p>
            <w:pPr>
              <w:pStyle w:val="TableParagraph"/>
              <w:spacing w:before="76"/>
              <w:ind w:left="7"/>
              <w:rPr>
                <w:rFonts w:ascii="Times New Roman" w:hAnsi="Times New Roman"/>
                <w:sz w:val="21"/>
              </w:rPr>
            </w:pPr>
            <w:r>
              <w:rPr>
                <w:rFonts w:ascii="Times New Roman" w:hAnsi="Times New Roman"/>
                <w:w w:val="99"/>
                <w:sz w:val="21"/>
              </w:rPr>
              <w:t>─</w:t>
            </w:r>
          </w:p>
        </w:tc>
      </w:tr>
      <w:tr>
        <w:trPr>
          <w:trHeight w:val="397" w:hRule="atLeast"/>
        </w:trPr>
        <w:tc>
          <w:tcPr>
            <w:tcW w:w="1914" w:type="dxa"/>
          </w:tcPr>
          <w:p>
            <w:pPr>
              <w:pStyle w:val="TableParagraph"/>
              <w:spacing w:before="63"/>
              <w:ind w:left="191" w:right="184"/>
              <w:rPr>
                <w:sz w:val="21"/>
              </w:rPr>
            </w:pPr>
            <w:r>
              <w:rPr>
                <w:sz w:val="21"/>
              </w:rPr>
              <w:t>含盐量</w:t>
            </w:r>
          </w:p>
        </w:tc>
        <w:tc>
          <w:tcPr>
            <w:tcW w:w="1986" w:type="dxa"/>
          </w:tcPr>
          <w:p>
            <w:pPr>
              <w:pStyle w:val="TableParagraph"/>
              <w:spacing w:before="77"/>
              <w:ind w:left="654" w:right="648"/>
              <w:rPr>
                <w:rFonts w:ascii="Times New Roman"/>
                <w:sz w:val="21"/>
              </w:rPr>
            </w:pPr>
            <w:r>
              <w:rPr>
                <w:rFonts w:ascii="Times New Roman"/>
                <w:sz w:val="21"/>
              </w:rPr>
              <w:t>g/kg</w:t>
            </w:r>
          </w:p>
        </w:tc>
        <w:tc>
          <w:tcPr>
            <w:tcW w:w="3150" w:type="dxa"/>
          </w:tcPr>
          <w:p>
            <w:pPr>
              <w:pStyle w:val="TableParagraph"/>
              <w:spacing w:before="77"/>
              <w:ind w:left="818" w:right="810"/>
              <w:rPr>
                <w:rFonts w:ascii="Times New Roman"/>
                <w:sz w:val="21"/>
              </w:rPr>
            </w:pPr>
            <w:r>
              <w:rPr>
                <w:rFonts w:ascii="Times New Roman"/>
                <w:sz w:val="21"/>
              </w:rPr>
              <w:t>1.8</w:t>
            </w:r>
          </w:p>
        </w:tc>
        <w:tc>
          <w:tcPr>
            <w:tcW w:w="1200" w:type="dxa"/>
          </w:tcPr>
          <w:p>
            <w:pPr>
              <w:pStyle w:val="TableParagraph"/>
              <w:jc w:val="left"/>
              <w:rPr>
                <w:rFonts w:ascii="Times New Roman"/>
                <w:sz w:val="20"/>
              </w:rPr>
            </w:pPr>
          </w:p>
        </w:tc>
      </w:tr>
      <w:tr>
        <w:trPr>
          <w:trHeight w:val="397" w:hRule="atLeast"/>
        </w:trPr>
        <w:tc>
          <w:tcPr>
            <w:tcW w:w="1914" w:type="dxa"/>
          </w:tcPr>
          <w:p>
            <w:pPr>
              <w:pStyle w:val="TableParagraph"/>
              <w:spacing w:before="62"/>
              <w:ind w:left="9"/>
              <w:rPr>
                <w:sz w:val="21"/>
              </w:rPr>
            </w:pPr>
            <w:r>
              <w:rPr>
                <w:w w:val="99"/>
                <w:sz w:val="21"/>
              </w:rPr>
              <w:t>砷</w:t>
            </w:r>
          </w:p>
        </w:tc>
        <w:tc>
          <w:tcPr>
            <w:tcW w:w="1986" w:type="dxa"/>
          </w:tcPr>
          <w:p>
            <w:pPr>
              <w:pStyle w:val="TableParagraph"/>
              <w:spacing w:before="97"/>
              <w:ind w:left="654" w:right="648"/>
              <w:rPr>
                <w:rFonts w:ascii="Times New Roman"/>
                <w:sz w:val="21"/>
              </w:rPr>
            </w:pPr>
            <w:bookmarkStart w:name="mg/kg" w:id="663"/>
            <w:bookmarkEnd w:id="663"/>
            <w:r>
              <w:rPr/>
            </w:r>
            <w:r>
              <w:rPr>
                <w:rFonts w:ascii="Times New Roman"/>
                <w:sz w:val="21"/>
              </w:rPr>
              <w:t>mg/kg</w:t>
            </w:r>
          </w:p>
        </w:tc>
        <w:tc>
          <w:tcPr>
            <w:tcW w:w="3150" w:type="dxa"/>
          </w:tcPr>
          <w:p>
            <w:pPr>
              <w:pStyle w:val="TableParagraph"/>
              <w:spacing w:before="76"/>
              <w:ind w:left="818" w:right="810"/>
              <w:rPr>
                <w:rFonts w:ascii="Times New Roman"/>
                <w:sz w:val="21"/>
              </w:rPr>
            </w:pPr>
            <w:r>
              <w:rPr>
                <w:rFonts w:ascii="Times New Roman"/>
                <w:sz w:val="21"/>
              </w:rPr>
              <w:t>10.7</w:t>
            </w:r>
          </w:p>
        </w:tc>
        <w:tc>
          <w:tcPr>
            <w:tcW w:w="1200" w:type="dxa"/>
          </w:tcPr>
          <w:p>
            <w:pPr>
              <w:pStyle w:val="TableParagraph"/>
              <w:spacing w:before="76"/>
              <w:ind w:left="421" w:right="414"/>
              <w:rPr>
                <w:rFonts w:ascii="Times New Roman"/>
                <w:sz w:val="21"/>
              </w:rPr>
            </w:pPr>
            <w:r>
              <w:rPr>
                <w:rFonts w:ascii="Times New Roman"/>
                <w:sz w:val="21"/>
              </w:rPr>
              <w:t>60</w:t>
            </w:r>
          </w:p>
        </w:tc>
      </w:tr>
      <w:tr>
        <w:trPr>
          <w:trHeight w:val="397" w:hRule="atLeast"/>
        </w:trPr>
        <w:tc>
          <w:tcPr>
            <w:tcW w:w="1914" w:type="dxa"/>
          </w:tcPr>
          <w:p>
            <w:pPr>
              <w:pStyle w:val="TableParagraph"/>
              <w:spacing w:before="63"/>
              <w:ind w:left="9"/>
              <w:rPr>
                <w:sz w:val="21"/>
              </w:rPr>
            </w:pPr>
            <w:r>
              <w:rPr>
                <w:w w:val="99"/>
                <w:sz w:val="21"/>
              </w:rPr>
              <w:t>镉</w:t>
            </w:r>
          </w:p>
        </w:tc>
        <w:tc>
          <w:tcPr>
            <w:tcW w:w="1986" w:type="dxa"/>
          </w:tcPr>
          <w:p>
            <w:pPr>
              <w:pStyle w:val="TableParagraph"/>
              <w:spacing w:before="98"/>
              <w:ind w:left="654" w:right="648"/>
              <w:rPr>
                <w:rFonts w:ascii="Times New Roman"/>
                <w:sz w:val="21"/>
              </w:rPr>
            </w:pPr>
            <w:bookmarkStart w:name="mg/kg" w:id="664"/>
            <w:bookmarkEnd w:id="664"/>
            <w:r>
              <w:rPr/>
            </w:r>
            <w:r>
              <w:rPr>
                <w:rFonts w:ascii="Times New Roman"/>
                <w:sz w:val="21"/>
              </w:rPr>
              <w:t>mg/kg</w:t>
            </w:r>
          </w:p>
        </w:tc>
        <w:tc>
          <w:tcPr>
            <w:tcW w:w="3150" w:type="dxa"/>
          </w:tcPr>
          <w:p>
            <w:pPr>
              <w:pStyle w:val="TableParagraph"/>
              <w:spacing w:before="77"/>
              <w:ind w:left="818" w:right="810"/>
              <w:rPr>
                <w:rFonts w:ascii="Times New Roman"/>
                <w:sz w:val="21"/>
              </w:rPr>
            </w:pPr>
            <w:r>
              <w:rPr>
                <w:rFonts w:ascii="Times New Roman"/>
                <w:sz w:val="21"/>
              </w:rPr>
              <w:t>0.10</w:t>
            </w:r>
          </w:p>
        </w:tc>
        <w:tc>
          <w:tcPr>
            <w:tcW w:w="1200" w:type="dxa"/>
          </w:tcPr>
          <w:p>
            <w:pPr>
              <w:pStyle w:val="TableParagraph"/>
              <w:spacing w:before="77"/>
              <w:ind w:left="421" w:right="414"/>
              <w:rPr>
                <w:rFonts w:ascii="Times New Roman"/>
                <w:sz w:val="21"/>
              </w:rPr>
            </w:pPr>
            <w:r>
              <w:rPr>
                <w:rFonts w:ascii="Times New Roman"/>
                <w:sz w:val="21"/>
              </w:rPr>
              <w:t>65</w:t>
            </w:r>
          </w:p>
        </w:tc>
      </w:tr>
      <w:tr>
        <w:trPr>
          <w:trHeight w:val="396" w:hRule="atLeast"/>
        </w:trPr>
        <w:tc>
          <w:tcPr>
            <w:tcW w:w="1914" w:type="dxa"/>
          </w:tcPr>
          <w:p>
            <w:pPr>
              <w:pStyle w:val="TableParagraph"/>
              <w:spacing w:before="64"/>
              <w:ind w:left="191" w:right="184"/>
              <w:rPr>
                <w:sz w:val="21"/>
              </w:rPr>
            </w:pPr>
            <w:r>
              <w:rPr>
                <w:sz w:val="21"/>
              </w:rPr>
              <w:t>六价铬</w:t>
            </w:r>
          </w:p>
        </w:tc>
        <w:tc>
          <w:tcPr>
            <w:tcW w:w="1986" w:type="dxa"/>
          </w:tcPr>
          <w:p>
            <w:pPr>
              <w:pStyle w:val="TableParagraph"/>
              <w:spacing w:before="97"/>
              <w:ind w:left="654" w:right="648"/>
              <w:rPr>
                <w:rFonts w:ascii="Times New Roman"/>
                <w:sz w:val="21"/>
              </w:rPr>
            </w:pPr>
            <w:bookmarkStart w:name="mg/kg" w:id="665"/>
            <w:bookmarkEnd w:id="665"/>
            <w:r>
              <w:rPr/>
            </w:r>
            <w:r>
              <w:rPr>
                <w:rFonts w:ascii="Times New Roman"/>
                <w:sz w:val="21"/>
              </w:rPr>
              <w:t>mg/kg</w:t>
            </w:r>
          </w:p>
        </w:tc>
        <w:tc>
          <w:tcPr>
            <w:tcW w:w="3150" w:type="dxa"/>
          </w:tcPr>
          <w:p>
            <w:pPr>
              <w:pStyle w:val="TableParagraph"/>
              <w:spacing w:before="78"/>
              <w:ind w:left="816" w:right="810"/>
              <w:rPr>
                <w:rFonts w:ascii="Times New Roman"/>
                <w:sz w:val="21"/>
              </w:rPr>
            </w:pPr>
            <w:r>
              <w:rPr>
                <w:rFonts w:ascii="Times New Roman"/>
                <w:sz w:val="21"/>
              </w:rPr>
              <w:t>&lt;2</w:t>
            </w:r>
          </w:p>
        </w:tc>
        <w:tc>
          <w:tcPr>
            <w:tcW w:w="1200" w:type="dxa"/>
          </w:tcPr>
          <w:p>
            <w:pPr>
              <w:pStyle w:val="TableParagraph"/>
              <w:spacing w:before="78"/>
              <w:ind w:left="421" w:right="409"/>
              <w:rPr>
                <w:rFonts w:ascii="Times New Roman"/>
                <w:sz w:val="21"/>
              </w:rPr>
            </w:pPr>
            <w:r>
              <w:rPr>
                <w:rFonts w:ascii="Times New Roman"/>
                <w:sz w:val="21"/>
              </w:rPr>
              <w:t>5.7</w:t>
            </w:r>
          </w:p>
        </w:tc>
      </w:tr>
      <w:tr>
        <w:trPr>
          <w:trHeight w:val="397" w:hRule="atLeast"/>
        </w:trPr>
        <w:tc>
          <w:tcPr>
            <w:tcW w:w="1914" w:type="dxa"/>
          </w:tcPr>
          <w:p>
            <w:pPr>
              <w:pStyle w:val="TableParagraph"/>
              <w:spacing w:before="62"/>
              <w:ind w:left="9"/>
              <w:rPr>
                <w:sz w:val="21"/>
              </w:rPr>
            </w:pPr>
            <w:r>
              <w:rPr>
                <w:w w:val="99"/>
                <w:sz w:val="21"/>
              </w:rPr>
              <w:t>铜</w:t>
            </w:r>
          </w:p>
        </w:tc>
        <w:tc>
          <w:tcPr>
            <w:tcW w:w="1986" w:type="dxa"/>
          </w:tcPr>
          <w:p>
            <w:pPr>
              <w:pStyle w:val="TableParagraph"/>
              <w:spacing w:before="98"/>
              <w:ind w:left="654" w:right="648"/>
              <w:rPr>
                <w:rFonts w:ascii="Times New Roman"/>
                <w:sz w:val="21"/>
              </w:rPr>
            </w:pPr>
            <w:bookmarkStart w:name="mg/kg" w:id="666"/>
            <w:bookmarkEnd w:id="666"/>
            <w:r>
              <w:rPr/>
            </w:r>
            <w:r>
              <w:rPr>
                <w:rFonts w:ascii="Times New Roman"/>
                <w:sz w:val="21"/>
              </w:rPr>
              <w:t>mg/kg</w:t>
            </w:r>
          </w:p>
        </w:tc>
        <w:tc>
          <w:tcPr>
            <w:tcW w:w="3150" w:type="dxa"/>
          </w:tcPr>
          <w:p>
            <w:pPr>
              <w:pStyle w:val="TableParagraph"/>
              <w:spacing w:before="76"/>
              <w:ind w:left="818" w:right="810"/>
              <w:rPr>
                <w:rFonts w:ascii="Times New Roman"/>
                <w:sz w:val="21"/>
              </w:rPr>
            </w:pPr>
            <w:r>
              <w:rPr>
                <w:rFonts w:ascii="Times New Roman"/>
                <w:sz w:val="21"/>
              </w:rPr>
              <w:t>18</w:t>
            </w:r>
          </w:p>
        </w:tc>
        <w:tc>
          <w:tcPr>
            <w:tcW w:w="1200" w:type="dxa"/>
          </w:tcPr>
          <w:p>
            <w:pPr>
              <w:pStyle w:val="TableParagraph"/>
              <w:spacing w:before="76"/>
              <w:ind w:left="337"/>
              <w:jc w:val="left"/>
              <w:rPr>
                <w:rFonts w:ascii="Times New Roman"/>
                <w:sz w:val="21"/>
              </w:rPr>
            </w:pPr>
            <w:r>
              <w:rPr>
                <w:rFonts w:ascii="Times New Roman"/>
                <w:sz w:val="21"/>
              </w:rPr>
              <w:t>18000</w:t>
            </w:r>
          </w:p>
        </w:tc>
      </w:tr>
      <w:tr>
        <w:trPr>
          <w:trHeight w:val="396" w:hRule="atLeast"/>
        </w:trPr>
        <w:tc>
          <w:tcPr>
            <w:tcW w:w="1914" w:type="dxa"/>
          </w:tcPr>
          <w:p>
            <w:pPr>
              <w:pStyle w:val="TableParagraph"/>
              <w:spacing w:before="63"/>
              <w:ind w:left="9"/>
              <w:rPr>
                <w:sz w:val="21"/>
              </w:rPr>
            </w:pPr>
            <w:r>
              <w:rPr>
                <w:w w:val="99"/>
                <w:sz w:val="21"/>
              </w:rPr>
              <w:t>铅</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7"/>
              <w:ind w:left="818" w:right="810"/>
              <w:rPr>
                <w:rFonts w:ascii="Times New Roman"/>
                <w:sz w:val="21"/>
              </w:rPr>
            </w:pPr>
            <w:r>
              <w:rPr>
                <w:rFonts w:ascii="Times New Roman"/>
                <w:sz w:val="21"/>
              </w:rPr>
              <w:t>17.4</w:t>
            </w:r>
          </w:p>
        </w:tc>
        <w:tc>
          <w:tcPr>
            <w:tcW w:w="1200" w:type="dxa"/>
          </w:tcPr>
          <w:p>
            <w:pPr>
              <w:pStyle w:val="TableParagraph"/>
              <w:spacing w:before="77"/>
              <w:ind w:left="421" w:right="414"/>
              <w:rPr>
                <w:rFonts w:ascii="Times New Roman"/>
                <w:sz w:val="21"/>
              </w:rPr>
            </w:pPr>
            <w:r>
              <w:rPr>
                <w:rFonts w:ascii="Times New Roman"/>
                <w:sz w:val="21"/>
              </w:rPr>
              <w:t>800</w:t>
            </w:r>
          </w:p>
        </w:tc>
      </w:tr>
      <w:tr>
        <w:trPr>
          <w:trHeight w:val="397" w:hRule="atLeast"/>
        </w:trPr>
        <w:tc>
          <w:tcPr>
            <w:tcW w:w="1914" w:type="dxa"/>
          </w:tcPr>
          <w:p>
            <w:pPr>
              <w:pStyle w:val="TableParagraph"/>
              <w:spacing w:before="62"/>
              <w:ind w:left="9"/>
              <w:rPr>
                <w:sz w:val="21"/>
              </w:rPr>
            </w:pPr>
            <w:r>
              <w:rPr>
                <w:w w:val="99"/>
                <w:sz w:val="21"/>
              </w:rPr>
              <w:t>汞</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76"/>
              <w:ind w:left="819" w:right="809"/>
              <w:rPr>
                <w:rFonts w:ascii="Times New Roman"/>
                <w:sz w:val="21"/>
              </w:rPr>
            </w:pPr>
            <w:r>
              <w:rPr>
                <w:rFonts w:ascii="Times New Roman"/>
                <w:sz w:val="21"/>
              </w:rPr>
              <w:t>0.051</w:t>
            </w:r>
          </w:p>
        </w:tc>
        <w:tc>
          <w:tcPr>
            <w:tcW w:w="1200" w:type="dxa"/>
          </w:tcPr>
          <w:p>
            <w:pPr>
              <w:pStyle w:val="TableParagraph"/>
              <w:spacing w:before="76"/>
              <w:ind w:left="421" w:right="414"/>
              <w:rPr>
                <w:rFonts w:ascii="Times New Roman"/>
                <w:sz w:val="21"/>
              </w:rPr>
            </w:pPr>
            <w:r>
              <w:rPr>
                <w:rFonts w:ascii="Times New Roman"/>
                <w:sz w:val="21"/>
              </w:rPr>
              <w:t>38</w:t>
            </w:r>
          </w:p>
        </w:tc>
      </w:tr>
      <w:tr>
        <w:trPr>
          <w:trHeight w:val="396" w:hRule="atLeast"/>
        </w:trPr>
        <w:tc>
          <w:tcPr>
            <w:tcW w:w="1914" w:type="dxa"/>
          </w:tcPr>
          <w:p>
            <w:pPr>
              <w:pStyle w:val="TableParagraph"/>
              <w:spacing w:before="63"/>
              <w:ind w:left="9"/>
              <w:rPr>
                <w:sz w:val="21"/>
              </w:rPr>
            </w:pPr>
            <w:r>
              <w:rPr>
                <w:w w:val="99"/>
                <w:sz w:val="21"/>
              </w:rPr>
              <w:t>镍</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7"/>
              <w:ind w:left="818" w:right="810"/>
              <w:rPr>
                <w:rFonts w:ascii="Times New Roman"/>
                <w:sz w:val="21"/>
              </w:rPr>
            </w:pPr>
            <w:r>
              <w:rPr>
                <w:rFonts w:ascii="Times New Roman"/>
                <w:sz w:val="21"/>
              </w:rPr>
              <w:t>15</w:t>
            </w:r>
          </w:p>
        </w:tc>
        <w:tc>
          <w:tcPr>
            <w:tcW w:w="1200" w:type="dxa"/>
          </w:tcPr>
          <w:p>
            <w:pPr>
              <w:pStyle w:val="TableParagraph"/>
              <w:spacing w:before="77"/>
              <w:ind w:left="421" w:right="414"/>
              <w:rPr>
                <w:rFonts w:ascii="Times New Roman"/>
                <w:sz w:val="21"/>
              </w:rPr>
            </w:pPr>
            <w:r>
              <w:rPr>
                <w:rFonts w:ascii="Times New Roman"/>
                <w:sz w:val="21"/>
              </w:rPr>
              <w:t>900</w:t>
            </w:r>
          </w:p>
        </w:tc>
      </w:tr>
      <w:tr>
        <w:trPr>
          <w:trHeight w:val="397" w:hRule="atLeast"/>
        </w:trPr>
        <w:tc>
          <w:tcPr>
            <w:tcW w:w="1914" w:type="dxa"/>
          </w:tcPr>
          <w:p>
            <w:pPr>
              <w:pStyle w:val="TableParagraph"/>
              <w:spacing w:before="64"/>
              <w:ind w:left="188" w:right="184"/>
              <w:rPr>
                <w:sz w:val="21"/>
              </w:rPr>
            </w:pPr>
            <w:r>
              <w:rPr>
                <w:sz w:val="21"/>
              </w:rPr>
              <w:t>四氯化碳</w:t>
            </w:r>
          </w:p>
        </w:tc>
        <w:tc>
          <w:tcPr>
            <w:tcW w:w="1986" w:type="dxa"/>
          </w:tcPr>
          <w:p>
            <w:pPr>
              <w:pStyle w:val="TableParagraph"/>
              <w:spacing w:before="78"/>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6" w:right="810"/>
              <w:rPr>
                <w:rFonts w:ascii="Times New Roman"/>
                <w:sz w:val="21"/>
              </w:rPr>
            </w:pPr>
            <w:bookmarkStart w:name="&lt;2" w:id="667"/>
            <w:bookmarkEnd w:id="667"/>
            <w:r>
              <w:rPr/>
            </w:r>
            <w:r>
              <w:rPr>
                <w:rFonts w:ascii="Times New Roman"/>
                <w:sz w:val="21"/>
              </w:rPr>
              <w:t>&lt;2</w:t>
            </w:r>
          </w:p>
        </w:tc>
        <w:tc>
          <w:tcPr>
            <w:tcW w:w="1200" w:type="dxa"/>
          </w:tcPr>
          <w:p>
            <w:pPr>
              <w:pStyle w:val="TableParagraph"/>
              <w:spacing w:before="78"/>
              <w:ind w:left="390"/>
              <w:jc w:val="left"/>
              <w:rPr>
                <w:rFonts w:ascii="Times New Roman"/>
                <w:sz w:val="21"/>
              </w:rPr>
            </w:pPr>
            <w:r>
              <w:rPr>
                <w:rFonts w:ascii="Times New Roman"/>
                <w:sz w:val="21"/>
              </w:rPr>
              <w:t>2800</w:t>
            </w:r>
          </w:p>
        </w:tc>
      </w:tr>
      <w:tr>
        <w:trPr>
          <w:trHeight w:val="397" w:hRule="atLeast"/>
        </w:trPr>
        <w:tc>
          <w:tcPr>
            <w:tcW w:w="1914" w:type="dxa"/>
          </w:tcPr>
          <w:p>
            <w:pPr>
              <w:pStyle w:val="TableParagraph"/>
              <w:spacing w:before="62"/>
              <w:ind w:left="191" w:right="184"/>
              <w:rPr>
                <w:sz w:val="21"/>
              </w:rPr>
            </w:pPr>
            <w:r>
              <w:rPr>
                <w:sz w:val="21"/>
              </w:rPr>
              <w:t>氯甲烷</w:t>
            </w:r>
          </w:p>
        </w:tc>
        <w:tc>
          <w:tcPr>
            <w:tcW w:w="1986" w:type="dxa"/>
          </w:tcPr>
          <w:p>
            <w:pPr>
              <w:pStyle w:val="TableParagraph"/>
              <w:spacing w:before="76"/>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79"/>
              <w:ind w:left="816" w:right="810"/>
              <w:rPr>
                <w:rFonts w:ascii="Times New Roman"/>
                <w:sz w:val="21"/>
              </w:rPr>
            </w:pPr>
            <w:bookmarkStart w:name="&lt;3" w:id="668"/>
            <w:bookmarkEnd w:id="668"/>
            <w:r>
              <w:rPr/>
            </w:r>
            <w:r>
              <w:rPr>
                <w:rFonts w:ascii="Times New Roman"/>
                <w:sz w:val="21"/>
              </w:rPr>
              <w:t>&lt;3</w:t>
            </w:r>
          </w:p>
        </w:tc>
        <w:tc>
          <w:tcPr>
            <w:tcW w:w="1200" w:type="dxa"/>
          </w:tcPr>
          <w:p>
            <w:pPr>
              <w:pStyle w:val="TableParagraph"/>
              <w:spacing w:before="76"/>
              <w:ind w:left="337"/>
              <w:jc w:val="left"/>
              <w:rPr>
                <w:rFonts w:ascii="Times New Roman"/>
                <w:sz w:val="21"/>
              </w:rPr>
            </w:pPr>
            <w:r>
              <w:rPr>
                <w:rFonts w:ascii="Times New Roman"/>
                <w:sz w:val="21"/>
              </w:rPr>
              <w:t>37000</w:t>
            </w:r>
          </w:p>
        </w:tc>
      </w:tr>
      <w:tr>
        <w:trPr>
          <w:trHeight w:val="396" w:hRule="atLeast"/>
        </w:trPr>
        <w:tc>
          <w:tcPr>
            <w:tcW w:w="1914" w:type="dxa"/>
          </w:tcPr>
          <w:p>
            <w:pPr>
              <w:pStyle w:val="TableParagraph"/>
              <w:spacing w:before="63"/>
              <w:ind w:left="191" w:right="184"/>
              <w:rPr>
                <w:sz w:val="21"/>
              </w:rPr>
            </w:pPr>
            <w:r>
              <w:rPr>
                <w:sz w:val="21"/>
              </w:rPr>
              <w:t>氯仿</w:t>
            </w:r>
          </w:p>
        </w:tc>
        <w:tc>
          <w:tcPr>
            <w:tcW w:w="1986" w:type="dxa"/>
          </w:tcPr>
          <w:p>
            <w:pPr>
              <w:pStyle w:val="TableParagraph"/>
              <w:spacing w:before="77"/>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6" w:right="810"/>
              <w:rPr>
                <w:rFonts w:ascii="Times New Roman"/>
                <w:sz w:val="21"/>
              </w:rPr>
            </w:pPr>
            <w:bookmarkStart w:name="&lt;2" w:id="669"/>
            <w:bookmarkEnd w:id="669"/>
            <w:r>
              <w:rPr/>
            </w:r>
            <w:r>
              <w:rPr>
                <w:rFonts w:ascii="Times New Roman"/>
                <w:sz w:val="21"/>
              </w:rPr>
              <w:t>&lt;2</w:t>
            </w:r>
          </w:p>
        </w:tc>
        <w:tc>
          <w:tcPr>
            <w:tcW w:w="1200" w:type="dxa"/>
          </w:tcPr>
          <w:p>
            <w:pPr>
              <w:pStyle w:val="TableParagraph"/>
              <w:spacing w:before="77"/>
              <w:ind w:left="421" w:right="414"/>
              <w:rPr>
                <w:rFonts w:ascii="Times New Roman"/>
                <w:sz w:val="21"/>
              </w:rPr>
            </w:pPr>
            <w:r>
              <w:rPr>
                <w:rFonts w:ascii="Times New Roman"/>
                <w:sz w:val="21"/>
              </w:rPr>
              <w:t>900</w:t>
            </w:r>
          </w:p>
        </w:tc>
      </w:tr>
      <w:tr>
        <w:trPr>
          <w:trHeight w:val="397" w:hRule="atLeast"/>
        </w:trPr>
        <w:tc>
          <w:tcPr>
            <w:tcW w:w="1914" w:type="dxa"/>
          </w:tcPr>
          <w:p>
            <w:pPr>
              <w:pStyle w:val="TableParagraph"/>
              <w:spacing w:before="62"/>
              <w:ind w:left="191" w:right="184"/>
              <w:rPr>
                <w:sz w:val="21"/>
              </w:rPr>
            </w:pPr>
            <w:r>
              <w:rPr>
                <w:rFonts w:ascii="Times New Roman" w:eastAsia="Times New Roman"/>
                <w:sz w:val="21"/>
              </w:rPr>
              <w:t>1,1-</w:t>
            </w:r>
            <w:r>
              <w:rPr>
                <w:sz w:val="21"/>
              </w:rPr>
              <w:t>二氯乙烷</w:t>
            </w:r>
          </w:p>
        </w:tc>
        <w:tc>
          <w:tcPr>
            <w:tcW w:w="1986" w:type="dxa"/>
          </w:tcPr>
          <w:p>
            <w:pPr>
              <w:pStyle w:val="TableParagraph"/>
              <w:spacing w:before="76"/>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1"/>
              <w:ind w:left="816" w:right="810"/>
              <w:rPr>
                <w:rFonts w:ascii="Times New Roman"/>
                <w:sz w:val="21"/>
              </w:rPr>
            </w:pPr>
            <w:bookmarkStart w:name="&lt;2" w:id="670"/>
            <w:bookmarkEnd w:id="670"/>
            <w:r>
              <w:rPr/>
            </w:r>
            <w:r>
              <w:rPr>
                <w:rFonts w:ascii="Times New Roman"/>
                <w:sz w:val="21"/>
              </w:rPr>
              <w:t>&lt;2</w:t>
            </w:r>
          </w:p>
        </w:tc>
        <w:tc>
          <w:tcPr>
            <w:tcW w:w="1200" w:type="dxa"/>
          </w:tcPr>
          <w:p>
            <w:pPr>
              <w:pStyle w:val="TableParagraph"/>
              <w:spacing w:before="76"/>
              <w:ind w:left="390"/>
              <w:jc w:val="left"/>
              <w:rPr>
                <w:rFonts w:ascii="Times New Roman"/>
                <w:sz w:val="21"/>
              </w:rPr>
            </w:pPr>
            <w:r>
              <w:rPr>
                <w:rFonts w:ascii="Times New Roman"/>
                <w:sz w:val="21"/>
              </w:rPr>
              <w:t>9000</w:t>
            </w:r>
          </w:p>
        </w:tc>
      </w:tr>
      <w:tr>
        <w:trPr>
          <w:trHeight w:val="396" w:hRule="atLeast"/>
        </w:trPr>
        <w:tc>
          <w:tcPr>
            <w:tcW w:w="1914" w:type="dxa"/>
          </w:tcPr>
          <w:p>
            <w:pPr>
              <w:pStyle w:val="TableParagraph"/>
              <w:spacing w:before="63"/>
              <w:ind w:left="191" w:right="184"/>
              <w:rPr>
                <w:sz w:val="21"/>
              </w:rPr>
            </w:pPr>
            <w:r>
              <w:rPr>
                <w:rFonts w:ascii="Times New Roman" w:eastAsia="Times New Roman"/>
                <w:sz w:val="21"/>
              </w:rPr>
              <w:t>1,2-</w:t>
            </w:r>
            <w:r>
              <w:rPr>
                <w:sz w:val="21"/>
              </w:rPr>
              <w:t>二氯乙烷</w:t>
            </w:r>
          </w:p>
        </w:tc>
        <w:tc>
          <w:tcPr>
            <w:tcW w:w="1986" w:type="dxa"/>
          </w:tcPr>
          <w:p>
            <w:pPr>
              <w:pStyle w:val="TableParagraph"/>
              <w:spacing w:before="77"/>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79"/>
              <w:ind w:left="816" w:right="810"/>
              <w:rPr>
                <w:rFonts w:ascii="Times New Roman"/>
                <w:sz w:val="21"/>
              </w:rPr>
            </w:pPr>
            <w:bookmarkStart w:name="&lt;3" w:id="671"/>
            <w:bookmarkEnd w:id="671"/>
            <w:r>
              <w:rPr/>
            </w:r>
            <w:r>
              <w:rPr>
                <w:rFonts w:ascii="Times New Roman"/>
                <w:sz w:val="21"/>
              </w:rPr>
              <w:t>&lt;3</w:t>
            </w:r>
          </w:p>
        </w:tc>
        <w:tc>
          <w:tcPr>
            <w:tcW w:w="1200" w:type="dxa"/>
          </w:tcPr>
          <w:p>
            <w:pPr>
              <w:pStyle w:val="TableParagraph"/>
              <w:spacing w:before="77"/>
              <w:ind w:left="390"/>
              <w:jc w:val="left"/>
              <w:rPr>
                <w:rFonts w:ascii="Times New Roman"/>
                <w:sz w:val="21"/>
              </w:rPr>
            </w:pPr>
            <w:r>
              <w:rPr>
                <w:rFonts w:ascii="Times New Roman"/>
                <w:sz w:val="21"/>
              </w:rPr>
              <w:t>5000</w:t>
            </w:r>
          </w:p>
        </w:tc>
      </w:tr>
      <w:tr>
        <w:trPr>
          <w:trHeight w:val="397" w:hRule="atLeast"/>
        </w:trPr>
        <w:tc>
          <w:tcPr>
            <w:tcW w:w="1914" w:type="dxa"/>
          </w:tcPr>
          <w:p>
            <w:pPr>
              <w:pStyle w:val="TableParagraph"/>
              <w:spacing w:before="62"/>
              <w:ind w:left="191" w:right="184"/>
              <w:rPr>
                <w:sz w:val="21"/>
              </w:rPr>
            </w:pPr>
            <w:r>
              <w:rPr>
                <w:rFonts w:ascii="Times New Roman" w:eastAsia="Times New Roman"/>
                <w:sz w:val="21"/>
              </w:rPr>
              <w:t>1,1-</w:t>
            </w:r>
            <w:r>
              <w:rPr>
                <w:sz w:val="21"/>
              </w:rPr>
              <w:t>二氯乙烯</w:t>
            </w:r>
          </w:p>
        </w:tc>
        <w:tc>
          <w:tcPr>
            <w:tcW w:w="1986" w:type="dxa"/>
          </w:tcPr>
          <w:p>
            <w:pPr>
              <w:pStyle w:val="TableParagraph"/>
              <w:spacing w:before="76"/>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6" w:right="810"/>
              <w:rPr>
                <w:rFonts w:ascii="Times New Roman"/>
                <w:sz w:val="21"/>
              </w:rPr>
            </w:pPr>
            <w:bookmarkStart w:name="&lt;2" w:id="672"/>
            <w:bookmarkEnd w:id="672"/>
            <w:r>
              <w:rPr/>
            </w:r>
            <w:r>
              <w:rPr>
                <w:rFonts w:ascii="Times New Roman"/>
                <w:sz w:val="21"/>
              </w:rPr>
              <w:t>&lt;2</w:t>
            </w:r>
          </w:p>
        </w:tc>
        <w:tc>
          <w:tcPr>
            <w:tcW w:w="1200" w:type="dxa"/>
          </w:tcPr>
          <w:p>
            <w:pPr>
              <w:pStyle w:val="TableParagraph"/>
              <w:spacing w:before="76"/>
              <w:ind w:left="337"/>
              <w:jc w:val="left"/>
              <w:rPr>
                <w:rFonts w:ascii="Times New Roman"/>
                <w:sz w:val="21"/>
              </w:rPr>
            </w:pPr>
            <w:r>
              <w:rPr>
                <w:rFonts w:ascii="Times New Roman"/>
                <w:sz w:val="21"/>
              </w:rPr>
              <w:t>66000</w:t>
            </w:r>
          </w:p>
        </w:tc>
      </w:tr>
      <w:tr>
        <w:trPr>
          <w:trHeight w:val="397" w:hRule="atLeast"/>
        </w:trPr>
        <w:tc>
          <w:tcPr>
            <w:tcW w:w="1914" w:type="dxa"/>
          </w:tcPr>
          <w:p>
            <w:pPr>
              <w:pStyle w:val="TableParagraph"/>
              <w:spacing w:before="63"/>
              <w:ind w:left="191" w:right="184"/>
              <w:rPr>
                <w:sz w:val="21"/>
              </w:rPr>
            </w:pPr>
            <w:r>
              <w:rPr>
                <w:sz w:val="21"/>
              </w:rPr>
              <w:t>顺</w:t>
            </w:r>
            <w:r>
              <w:rPr>
                <w:rFonts w:ascii="Times New Roman" w:eastAsia="Times New Roman"/>
                <w:sz w:val="21"/>
              </w:rPr>
              <w:t>-1,2-</w:t>
            </w:r>
            <w:r>
              <w:rPr>
                <w:sz w:val="21"/>
              </w:rPr>
              <w:t>二氯乙烯</w:t>
            </w:r>
          </w:p>
        </w:tc>
        <w:tc>
          <w:tcPr>
            <w:tcW w:w="1986" w:type="dxa"/>
          </w:tcPr>
          <w:p>
            <w:pPr>
              <w:pStyle w:val="TableParagraph"/>
              <w:spacing w:before="77"/>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79"/>
              <w:ind w:left="816" w:right="810"/>
              <w:rPr>
                <w:rFonts w:ascii="Times New Roman"/>
                <w:sz w:val="21"/>
              </w:rPr>
            </w:pPr>
            <w:bookmarkStart w:name="&lt;3" w:id="673"/>
            <w:bookmarkEnd w:id="673"/>
            <w:r>
              <w:rPr/>
            </w:r>
            <w:r>
              <w:rPr>
                <w:rFonts w:ascii="Times New Roman"/>
                <w:sz w:val="21"/>
              </w:rPr>
              <w:t>&lt;3</w:t>
            </w:r>
          </w:p>
        </w:tc>
        <w:tc>
          <w:tcPr>
            <w:tcW w:w="1200" w:type="dxa"/>
          </w:tcPr>
          <w:p>
            <w:pPr>
              <w:pStyle w:val="TableParagraph"/>
              <w:spacing w:before="77"/>
              <w:ind w:left="284"/>
              <w:jc w:val="left"/>
              <w:rPr>
                <w:rFonts w:ascii="Times New Roman"/>
                <w:sz w:val="21"/>
              </w:rPr>
            </w:pPr>
            <w:r>
              <w:rPr>
                <w:rFonts w:ascii="Times New Roman"/>
                <w:sz w:val="21"/>
              </w:rPr>
              <w:t>596000</w:t>
            </w:r>
          </w:p>
        </w:tc>
      </w:tr>
      <w:tr>
        <w:trPr>
          <w:trHeight w:val="396" w:hRule="atLeast"/>
        </w:trPr>
        <w:tc>
          <w:tcPr>
            <w:tcW w:w="1914" w:type="dxa"/>
          </w:tcPr>
          <w:p>
            <w:pPr>
              <w:pStyle w:val="TableParagraph"/>
              <w:spacing w:before="64"/>
              <w:ind w:left="191" w:right="184"/>
              <w:rPr>
                <w:sz w:val="21"/>
              </w:rPr>
            </w:pPr>
            <w:r>
              <w:rPr>
                <w:sz w:val="21"/>
              </w:rPr>
              <w:t>反</w:t>
            </w:r>
            <w:r>
              <w:rPr>
                <w:rFonts w:ascii="Times New Roman" w:eastAsia="Times New Roman"/>
                <w:sz w:val="21"/>
              </w:rPr>
              <w:t>-1,2-</w:t>
            </w:r>
            <w:r>
              <w:rPr>
                <w:sz w:val="21"/>
              </w:rPr>
              <w:t>二氯乙烯</w:t>
            </w:r>
          </w:p>
        </w:tc>
        <w:tc>
          <w:tcPr>
            <w:tcW w:w="1986" w:type="dxa"/>
          </w:tcPr>
          <w:p>
            <w:pPr>
              <w:pStyle w:val="TableParagraph"/>
              <w:spacing w:before="78"/>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6" w:right="810"/>
              <w:rPr>
                <w:rFonts w:ascii="Times New Roman"/>
                <w:sz w:val="21"/>
              </w:rPr>
            </w:pPr>
            <w:bookmarkStart w:name="&lt;3" w:id="674"/>
            <w:bookmarkEnd w:id="674"/>
            <w:r>
              <w:rPr/>
            </w:r>
            <w:r>
              <w:rPr>
                <w:rFonts w:ascii="Times New Roman"/>
                <w:sz w:val="21"/>
              </w:rPr>
              <w:t>&lt;3</w:t>
            </w:r>
          </w:p>
        </w:tc>
        <w:tc>
          <w:tcPr>
            <w:tcW w:w="1200" w:type="dxa"/>
          </w:tcPr>
          <w:p>
            <w:pPr>
              <w:pStyle w:val="TableParagraph"/>
              <w:spacing w:before="78"/>
              <w:ind w:left="337"/>
              <w:jc w:val="left"/>
              <w:rPr>
                <w:rFonts w:ascii="Times New Roman"/>
                <w:sz w:val="21"/>
              </w:rPr>
            </w:pPr>
            <w:r>
              <w:rPr>
                <w:rFonts w:ascii="Times New Roman"/>
                <w:sz w:val="21"/>
              </w:rPr>
              <w:t>54000</w:t>
            </w:r>
          </w:p>
        </w:tc>
      </w:tr>
      <w:tr>
        <w:trPr>
          <w:trHeight w:val="397" w:hRule="atLeast"/>
        </w:trPr>
        <w:tc>
          <w:tcPr>
            <w:tcW w:w="1914" w:type="dxa"/>
          </w:tcPr>
          <w:p>
            <w:pPr>
              <w:pStyle w:val="TableParagraph"/>
              <w:spacing w:before="62"/>
              <w:ind w:left="188" w:right="184"/>
              <w:rPr>
                <w:sz w:val="21"/>
              </w:rPr>
            </w:pPr>
            <w:r>
              <w:rPr>
                <w:sz w:val="21"/>
              </w:rPr>
              <w:t>二氯甲烷</w:t>
            </w:r>
          </w:p>
        </w:tc>
        <w:tc>
          <w:tcPr>
            <w:tcW w:w="1986" w:type="dxa"/>
          </w:tcPr>
          <w:p>
            <w:pPr>
              <w:pStyle w:val="TableParagraph"/>
              <w:spacing w:before="76"/>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79"/>
              <w:ind w:left="816" w:right="810"/>
              <w:rPr>
                <w:rFonts w:ascii="Times New Roman"/>
                <w:sz w:val="21"/>
              </w:rPr>
            </w:pPr>
            <w:bookmarkStart w:name="&lt;3" w:id="675"/>
            <w:bookmarkEnd w:id="675"/>
            <w:r>
              <w:rPr/>
            </w:r>
            <w:r>
              <w:rPr>
                <w:rFonts w:ascii="Times New Roman"/>
                <w:sz w:val="21"/>
              </w:rPr>
              <w:t>&lt;3</w:t>
            </w:r>
          </w:p>
        </w:tc>
        <w:tc>
          <w:tcPr>
            <w:tcW w:w="1200" w:type="dxa"/>
          </w:tcPr>
          <w:p>
            <w:pPr>
              <w:pStyle w:val="TableParagraph"/>
              <w:spacing w:before="76"/>
              <w:ind w:left="284"/>
              <w:jc w:val="left"/>
              <w:rPr>
                <w:rFonts w:ascii="Times New Roman"/>
                <w:sz w:val="21"/>
              </w:rPr>
            </w:pPr>
            <w:r>
              <w:rPr>
                <w:rFonts w:ascii="Times New Roman"/>
                <w:sz w:val="21"/>
              </w:rPr>
              <w:t>616000</w:t>
            </w:r>
          </w:p>
        </w:tc>
      </w:tr>
      <w:tr>
        <w:trPr>
          <w:trHeight w:val="397" w:hRule="atLeast"/>
        </w:trPr>
        <w:tc>
          <w:tcPr>
            <w:tcW w:w="1914" w:type="dxa"/>
          </w:tcPr>
          <w:p>
            <w:pPr>
              <w:pStyle w:val="TableParagraph"/>
              <w:spacing w:before="63"/>
              <w:ind w:left="191" w:right="184"/>
              <w:rPr>
                <w:sz w:val="21"/>
              </w:rPr>
            </w:pPr>
            <w:r>
              <w:rPr>
                <w:rFonts w:ascii="Times New Roman" w:eastAsia="Times New Roman"/>
                <w:sz w:val="21"/>
              </w:rPr>
              <w:t>1,2-</w:t>
            </w:r>
            <w:r>
              <w:rPr>
                <w:sz w:val="21"/>
              </w:rPr>
              <w:t>二氯丙烷</w:t>
            </w:r>
          </w:p>
        </w:tc>
        <w:tc>
          <w:tcPr>
            <w:tcW w:w="1986" w:type="dxa"/>
          </w:tcPr>
          <w:p>
            <w:pPr>
              <w:pStyle w:val="TableParagraph"/>
              <w:spacing w:before="77"/>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6" w:right="810"/>
              <w:rPr>
                <w:rFonts w:ascii="Times New Roman"/>
                <w:sz w:val="21"/>
              </w:rPr>
            </w:pPr>
            <w:bookmarkStart w:name="&lt;2" w:id="676"/>
            <w:bookmarkEnd w:id="676"/>
            <w:r>
              <w:rPr/>
            </w:r>
            <w:r>
              <w:rPr>
                <w:rFonts w:ascii="Times New Roman"/>
                <w:sz w:val="21"/>
              </w:rPr>
              <w:t>&lt;2</w:t>
            </w:r>
          </w:p>
        </w:tc>
        <w:tc>
          <w:tcPr>
            <w:tcW w:w="1200" w:type="dxa"/>
          </w:tcPr>
          <w:p>
            <w:pPr>
              <w:pStyle w:val="TableParagraph"/>
              <w:spacing w:before="77"/>
              <w:ind w:left="390"/>
              <w:jc w:val="left"/>
              <w:rPr>
                <w:rFonts w:ascii="Times New Roman"/>
                <w:sz w:val="21"/>
              </w:rPr>
            </w:pPr>
            <w:r>
              <w:rPr>
                <w:rFonts w:ascii="Times New Roman"/>
                <w:sz w:val="21"/>
              </w:rPr>
              <w:t>5000</w:t>
            </w:r>
          </w:p>
        </w:tc>
      </w:tr>
      <w:tr>
        <w:trPr>
          <w:trHeight w:val="397" w:hRule="atLeast"/>
        </w:trPr>
        <w:tc>
          <w:tcPr>
            <w:tcW w:w="1914" w:type="dxa"/>
          </w:tcPr>
          <w:p>
            <w:pPr>
              <w:pStyle w:val="TableParagraph"/>
              <w:spacing w:before="62"/>
              <w:ind w:left="191" w:right="184"/>
              <w:rPr>
                <w:sz w:val="21"/>
              </w:rPr>
            </w:pPr>
            <w:r>
              <w:rPr>
                <w:rFonts w:ascii="Times New Roman" w:eastAsia="Times New Roman"/>
                <w:sz w:val="21"/>
              </w:rPr>
              <w:t>1,1,1,2-</w:t>
            </w:r>
            <w:r>
              <w:rPr>
                <w:sz w:val="21"/>
              </w:rPr>
              <w:t>四氯乙烷</w:t>
            </w:r>
          </w:p>
        </w:tc>
        <w:tc>
          <w:tcPr>
            <w:tcW w:w="1986" w:type="dxa"/>
          </w:tcPr>
          <w:p>
            <w:pPr>
              <w:pStyle w:val="TableParagraph"/>
              <w:spacing w:before="76"/>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1"/>
              <w:ind w:left="816" w:right="810"/>
              <w:rPr>
                <w:rFonts w:ascii="Times New Roman"/>
                <w:sz w:val="21"/>
              </w:rPr>
            </w:pPr>
            <w:bookmarkStart w:name="&lt;3" w:id="677"/>
            <w:bookmarkEnd w:id="677"/>
            <w:r>
              <w:rPr/>
            </w:r>
            <w:r>
              <w:rPr>
                <w:rFonts w:ascii="Times New Roman"/>
                <w:sz w:val="21"/>
              </w:rPr>
              <w:t>&lt;3</w:t>
            </w:r>
          </w:p>
        </w:tc>
        <w:tc>
          <w:tcPr>
            <w:tcW w:w="1200" w:type="dxa"/>
          </w:tcPr>
          <w:p>
            <w:pPr>
              <w:pStyle w:val="TableParagraph"/>
              <w:spacing w:before="76"/>
              <w:ind w:left="337"/>
              <w:jc w:val="left"/>
              <w:rPr>
                <w:rFonts w:ascii="Times New Roman"/>
                <w:sz w:val="21"/>
              </w:rPr>
            </w:pPr>
            <w:r>
              <w:rPr>
                <w:rFonts w:ascii="Times New Roman"/>
                <w:sz w:val="21"/>
              </w:rPr>
              <w:t>10000</w:t>
            </w:r>
          </w:p>
        </w:tc>
      </w:tr>
      <w:tr>
        <w:trPr>
          <w:trHeight w:val="396" w:hRule="atLeast"/>
        </w:trPr>
        <w:tc>
          <w:tcPr>
            <w:tcW w:w="1914" w:type="dxa"/>
          </w:tcPr>
          <w:p>
            <w:pPr>
              <w:pStyle w:val="TableParagraph"/>
              <w:spacing w:before="63"/>
              <w:ind w:left="191" w:right="184"/>
              <w:rPr>
                <w:sz w:val="21"/>
              </w:rPr>
            </w:pPr>
            <w:r>
              <w:rPr>
                <w:rFonts w:ascii="Times New Roman" w:eastAsia="Times New Roman"/>
                <w:sz w:val="21"/>
              </w:rPr>
              <w:t>1,1,2,2-</w:t>
            </w:r>
            <w:r>
              <w:rPr>
                <w:sz w:val="21"/>
              </w:rPr>
              <w:t>四氯乙烷</w:t>
            </w:r>
          </w:p>
        </w:tc>
        <w:tc>
          <w:tcPr>
            <w:tcW w:w="1986" w:type="dxa"/>
          </w:tcPr>
          <w:p>
            <w:pPr>
              <w:pStyle w:val="TableParagraph"/>
              <w:spacing w:before="98"/>
              <w:ind w:left="654" w:right="648"/>
              <w:rPr>
                <w:rFonts w:ascii="Times New Roman" w:hAnsi="Times New Roman"/>
                <w:sz w:val="21"/>
              </w:rPr>
            </w:pPr>
            <w:bookmarkStart w:name="μg/kg" w:id="678"/>
            <w:bookmarkEnd w:id="678"/>
            <w:r>
              <w:rPr/>
            </w:r>
            <w:r>
              <w:rPr>
                <w:rFonts w:ascii="Times New Roman" w:hAnsi="Times New Roman"/>
                <w:sz w:val="21"/>
              </w:rPr>
              <w:t>μg/kg</w:t>
            </w:r>
          </w:p>
        </w:tc>
        <w:tc>
          <w:tcPr>
            <w:tcW w:w="3150" w:type="dxa"/>
          </w:tcPr>
          <w:p>
            <w:pPr>
              <w:pStyle w:val="TableParagraph"/>
              <w:spacing w:before="98"/>
              <w:ind w:left="816" w:right="810"/>
              <w:rPr>
                <w:rFonts w:ascii="Times New Roman"/>
                <w:sz w:val="21"/>
              </w:rPr>
            </w:pPr>
            <w:bookmarkStart w:name="&lt;3" w:id="679"/>
            <w:bookmarkEnd w:id="679"/>
            <w:r>
              <w:rPr/>
            </w:r>
            <w:r>
              <w:rPr>
                <w:rFonts w:ascii="Times New Roman"/>
                <w:sz w:val="21"/>
              </w:rPr>
              <w:t>&lt;3</w:t>
            </w:r>
          </w:p>
        </w:tc>
        <w:tc>
          <w:tcPr>
            <w:tcW w:w="1200" w:type="dxa"/>
          </w:tcPr>
          <w:p>
            <w:pPr>
              <w:pStyle w:val="TableParagraph"/>
              <w:spacing w:before="77"/>
              <w:ind w:left="390"/>
              <w:jc w:val="left"/>
              <w:rPr>
                <w:rFonts w:ascii="Times New Roman"/>
                <w:sz w:val="21"/>
              </w:rPr>
            </w:pPr>
            <w:r>
              <w:rPr>
                <w:rFonts w:ascii="Times New Roman"/>
                <w:sz w:val="21"/>
              </w:rPr>
              <w:t>6800</w:t>
            </w:r>
          </w:p>
        </w:tc>
      </w:tr>
      <w:tr>
        <w:trPr>
          <w:trHeight w:val="397" w:hRule="atLeast"/>
        </w:trPr>
        <w:tc>
          <w:tcPr>
            <w:tcW w:w="1914" w:type="dxa"/>
          </w:tcPr>
          <w:p>
            <w:pPr>
              <w:pStyle w:val="TableParagraph"/>
              <w:spacing w:before="64"/>
              <w:ind w:left="188" w:right="184"/>
              <w:rPr>
                <w:sz w:val="21"/>
              </w:rPr>
            </w:pPr>
            <w:r>
              <w:rPr>
                <w:sz w:val="21"/>
              </w:rPr>
              <w:t>四氯乙烯</w:t>
            </w:r>
          </w:p>
        </w:tc>
        <w:tc>
          <w:tcPr>
            <w:tcW w:w="1986" w:type="dxa"/>
          </w:tcPr>
          <w:p>
            <w:pPr>
              <w:pStyle w:val="TableParagraph"/>
              <w:spacing w:before="97"/>
              <w:ind w:left="654" w:right="648"/>
              <w:rPr>
                <w:rFonts w:ascii="Times New Roman" w:hAnsi="Times New Roman"/>
                <w:sz w:val="21"/>
              </w:rPr>
            </w:pPr>
            <w:bookmarkStart w:name="μg/kg" w:id="680"/>
            <w:bookmarkEnd w:id="680"/>
            <w:r>
              <w:rPr/>
            </w:r>
            <w:r>
              <w:rPr>
                <w:rFonts w:ascii="Times New Roman" w:hAnsi="Times New Roman"/>
                <w:sz w:val="21"/>
              </w:rPr>
              <w:t>μg/kg</w:t>
            </w:r>
          </w:p>
        </w:tc>
        <w:tc>
          <w:tcPr>
            <w:tcW w:w="3150" w:type="dxa"/>
          </w:tcPr>
          <w:p>
            <w:pPr>
              <w:pStyle w:val="TableParagraph"/>
              <w:spacing w:before="97"/>
              <w:ind w:left="816" w:right="810"/>
              <w:rPr>
                <w:rFonts w:ascii="Times New Roman"/>
                <w:sz w:val="21"/>
              </w:rPr>
            </w:pPr>
            <w:bookmarkStart w:name="&lt;2" w:id="681"/>
            <w:bookmarkEnd w:id="681"/>
            <w:r>
              <w:rPr/>
            </w:r>
            <w:r>
              <w:rPr>
                <w:rFonts w:ascii="Times New Roman"/>
                <w:sz w:val="21"/>
              </w:rPr>
              <w:t>&lt;2</w:t>
            </w:r>
          </w:p>
        </w:tc>
        <w:tc>
          <w:tcPr>
            <w:tcW w:w="1200" w:type="dxa"/>
          </w:tcPr>
          <w:p>
            <w:pPr>
              <w:pStyle w:val="TableParagraph"/>
              <w:spacing w:before="78"/>
              <w:ind w:left="337"/>
              <w:jc w:val="left"/>
              <w:rPr>
                <w:rFonts w:ascii="Times New Roman"/>
                <w:sz w:val="21"/>
              </w:rPr>
            </w:pPr>
            <w:r>
              <w:rPr>
                <w:rFonts w:ascii="Times New Roman"/>
                <w:sz w:val="21"/>
              </w:rPr>
              <w:t>53000</w:t>
            </w:r>
          </w:p>
        </w:tc>
      </w:tr>
      <w:tr>
        <w:trPr>
          <w:trHeight w:val="397" w:hRule="atLeast"/>
        </w:trPr>
        <w:tc>
          <w:tcPr>
            <w:tcW w:w="1914" w:type="dxa"/>
          </w:tcPr>
          <w:p>
            <w:pPr>
              <w:pStyle w:val="TableParagraph"/>
              <w:spacing w:before="63"/>
              <w:ind w:left="191" w:right="182"/>
              <w:rPr>
                <w:sz w:val="21"/>
              </w:rPr>
            </w:pPr>
            <w:r>
              <w:rPr>
                <w:rFonts w:ascii="Times New Roman" w:eastAsia="Times New Roman"/>
                <w:sz w:val="21"/>
              </w:rPr>
              <w:t>1,1,1-</w:t>
            </w:r>
            <w:r>
              <w:rPr>
                <w:sz w:val="21"/>
              </w:rPr>
              <w:t>三氯乙烷</w:t>
            </w:r>
          </w:p>
        </w:tc>
        <w:tc>
          <w:tcPr>
            <w:tcW w:w="1986" w:type="dxa"/>
          </w:tcPr>
          <w:p>
            <w:pPr>
              <w:pStyle w:val="TableParagraph"/>
              <w:spacing w:before="98"/>
              <w:ind w:left="654" w:right="648"/>
              <w:rPr>
                <w:rFonts w:ascii="Times New Roman" w:hAnsi="Times New Roman"/>
                <w:sz w:val="21"/>
              </w:rPr>
            </w:pPr>
            <w:bookmarkStart w:name="μg/kg" w:id="682"/>
            <w:bookmarkEnd w:id="682"/>
            <w:r>
              <w:rPr/>
            </w:r>
            <w:r>
              <w:rPr>
                <w:rFonts w:ascii="Times New Roman" w:hAnsi="Times New Roman"/>
                <w:sz w:val="21"/>
              </w:rPr>
              <w:t>μg/kg</w:t>
            </w:r>
          </w:p>
        </w:tc>
        <w:tc>
          <w:tcPr>
            <w:tcW w:w="3150" w:type="dxa"/>
          </w:tcPr>
          <w:p>
            <w:pPr>
              <w:pStyle w:val="TableParagraph"/>
              <w:spacing w:before="98"/>
              <w:ind w:left="816" w:right="810"/>
              <w:rPr>
                <w:rFonts w:ascii="Times New Roman"/>
                <w:sz w:val="21"/>
              </w:rPr>
            </w:pPr>
            <w:bookmarkStart w:name="&lt;2" w:id="683"/>
            <w:bookmarkEnd w:id="683"/>
            <w:r>
              <w:rPr/>
            </w:r>
            <w:r>
              <w:rPr>
                <w:rFonts w:ascii="Times New Roman"/>
                <w:sz w:val="21"/>
              </w:rPr>
              <w:t>&lt;2</w:t>
            </w:r>
          </w:p>
        </w:tc>
        <w:tc>
          <w:tcPr>
            <w:tcW w:w="1200" w:type="dxa"/>
          </w:tcPr>
          <w:p>
            <w:pPr>
              <w:pStyle w:val="TableParagraph"/>
              <w:spacing w:before="76"/>
              <w:ind w:left="284"/>
              <w:jc w:val="left"/>
              <w:rPr>
                <w:rFonts w:ascii="Times New Roman"/>
                <w:sz w:val="21"/>
              </w:rPr>
            </w:pPr>
            <w:r>
              <w:rPr>
                <w:rFonts w:ascii="Times New Roman"/>
                <w:sz w:val="21"/>
              </w:rPr>
              <w:t>840000</w:t>
            </w:r>
          </w:p>
        </w:tc>
      </w:tr>
      <w:tr>
        <w:trPr>
          <w:trHeight w:val="397" w:hRule="atLeast"/>
        </w:trPr>
        <w:tc>
          <w:tcPr>
            <w:tcW w:w="1914" w:type="dxa"/>
          </w:tcPr>
          <w:p>
            <w:pPr>
              <w:pStyle w:val="TableParagraph"/>
              <w:spacing w:before="63"/>
              <w:ind w:left="191" w:right="182"/>
              <w:rPr>
                <w:sz w:val="21"/>
              </w:rPr>
            </w:pPr>
            <w:r>
              <w:rPr>
                <w:rFonts w:ascii="Times New Roman" w:eastAsia="Times New Roman"/>
                <w:sz w:val="21"/>
              </w:rPr>
              <w:t>1,1,2-</w:t>
            </w:r>
            <w:r>
              <w:rPr>
                <w:sz w:val="21"/>
              </w:rPr>
              <w:t>三氯乙烷</w:t>
            </w:r>
          </w:p>
        </w:tc>
        <w:tc>
          <w:tcPr>
            <w:tcW w:w="1986" w:type="dxa"/>
          </w:tcPr>
          <w:p>
            <w:pPr>
              <w:pStyle w:val="TableParagraph"/>
              <w:spacing w:before="97"/>
              <w:ind w:left="654" w:right="648"/>
              <w:rPr>
                <w:rFonts w:ascii="Times New Roman" w:hAnsi="Times New Roman"/>
                <w:sz w:val="21"/>
              </w:rPr>
            </w:pPr>
            <w:bookmarkStart w:name="μg/kg" w:id="684"/>
            <w:bookmarkEnd w:id="684"/>
            <w:r>
              <w:rPr/>
            </w:r>
            <w:r>
              <w:rPr>
                <w:rFonts w:ascii="Times New Roman" w:hAnsi="Times New Roman"/>
                <w:sz w:val="21"/>
              </w:rPr>
              <w:t>μg/kg</w:t>
            </w:r>
          </w:p>
        </w:tc>
        <w:tc>
          <w:tcPr>
            <w:tcW w:w="3150" w:type="dxa"/>
          </w:tcPr>
          <w:p>
            <w:pPr>
              <w:pStyle w:val="TableParagraph"/>
              <w:spacing w:before="97"/>
              <w:ind w:left="816" w:right="810"/>
              <w:rPr>
                <w:rFonts w:ascii="Times New Roman"/>
                <w:sz w:val="21"/>
              </w:rPr>
            </w:pPr>
            <w:bookmarkStart w:name="&lt;2" w:id="685"/>
            <w:bookmarkEnd w:id="685"/>
            <w:r>
              <w:rPr/>
            </w:r>
            <w:r>
              <w:rPr>
                <w:rFonts w:ascii="Times New Roman"/>
                <w:sz w:val="21"/>
              </w:rPr>
              <w:t>&lt;2</w:t>
            </w:r>
          </w:p>
        </w:tc>
        <w:tc>
          <w:tcPr>
            <w:tcW w:w="1200" w:type="dxa"/>
          </w:tcPr>
          <w:p>
            <w:pPr>
              <w:pStyle w:val="TableParagraph"/>
              <w:spacing w:before="77"/>
              <w:ind w:left="421" w:right="414"/>
              <w:rPr>
                <w:rFonts w:ascii="Times New Roman"/>
                <w:sz w:val="21"/>
              </w:rPr>
            </w:pPr>
            <w:r>
              <w:rPr>
                <w:rFonts w:ascii="Times New Roman"/>
                <w:sz w:val="21"/>
              </w:rPr>
              <w:t>280</w:t>
            </w:r>
          </w:p>
        </w:tc>
      </w:tr>
      <w:tr>
        <w:trPr>
          <w:trHeight w:val="397" w:hRule="atLeast"/>
        </w:trPr>
        <w:tc>
          <w:tcPr>
            <w:tcW w:w="1914" w:type="dxa"/>
          </w:tcPr>
          <w:p>
            <w:pPr>
              <w:pStyle w:val="TableParagraph"/>
              <w:spacing w:before="62"/>
              <w:ind w:left="188" w:right="184"/>
              <w:rPr>
                <w:sz w:val="21"/>
              </w:rPr>
            </w:pPr>
            <w:r>
              <w:rPr>
                <w:sz w:val="21"/>
              </w:rPr>
              <w:t>三氯乙烯</w:t>
            </w:r>
          </w:p>
        </w:tc>
        <w:tc>
          <w:tcPr>
            <w:tcW w:w="1986" w:type="dxa"/>
          </w:tcPr>
          <w:p>
            <w:pPr>
              <w:pStyle w:val="TableParagraph"/>
              <w:spacing w:before="98"/>
              <w:ind w:left="654" w:right="648"/>
              <w:rPr>
                <w:rFonts w:ascii="Times New Roman" w:hAnsi="Times New Roman"/>
                <w:sz w:val="21"/>
              </w:rPr>
            </w:pPr>
            <w:bookmarkStart w:name="μg/kg" w:id="686"/>
            <w:bookmarkEnd w:id="686"/>
            <w:r>
              <w:rPr/>
            </w:r>
            <w:r>
              <w:rPr>
                <w:rFonts w:ascii="Times New Roman" w:hAnsi="Times New Roman"/>
                <w:sz w:val="21"/>
              </w:rPr>
              <w:t>μg/kg</w:t>
            </w:r>
          </w:p>
        </w:tc>
        <w:tc>
          <w:tcPr>
            <w:tcW w:w="3150" w:type="dxa"/>
          </w:tcPr>
          <w:p>
            <w:pPr>
              <w:pStyle w:val="TableParagraph"/>
              <w:spacing w:before="98"/>
              <w:ind w:left="816" w:right="810"/>
              <w:rPr>
                <w:rFonts w:ascii="Times New Roman"/>
                <w:sz w:val="21"/>
              </w:rPr>
            </w:pPr>
            <w:bookmarkStart w:name="&lt;2" w:id="687"/>
            <w:bookmarkEnd w:id="687"/>
            <w:r>
              <w:rPr/>
            </w:r>
            <w:r>
              <w:rPr>
                <w:rFonts w:ascii="Times New Roman"/>
                <w:sz w:val="21"/>
              </w:rPr>
              <w:t>&lt;2</w:t>
            </w:r>
          </w:p>
        </w:tc>
        <w:tc>
          <w:tcPr>
            <w:tcW w:w="1200" w:type="dxa"/>
          </w:tcPr>
          <w:p>
            <w:pPr>
              <w:pStyle w:val="TableParagraph"/>
              <w:spacing w:before="76"/>
              <w:ind w:left="421" w:right="414"/>
              <w:rPr>
                <w:rFonts w:ascii="Times New Roman"/>
                <w:sz w:val="21"/>
              </w:rPr>
            </w:pPr>
            <w:r>
              <w:rPr>
                <w:rFonts w:ascii="Times New Roman"/>
                <w:sz w:val="21"/>
              </w:rPr>
              <w:t>280</w:t>
            </w:r>
          </w:p>
        </w:tc>
      </w:tr>
      <w:tr>
        <w:trPr>
          <w:trHeight w:val="396" w:hRule="atLeast"/>
        </w:trPr>
        <w:tc>
          <w:tcPr>
            <w:tcW w:w="1914" w:type="dxa"/>
          </w:tcPr>
          <w:p>
            <w:pPr>
              <w:pStyle w:val="TableParagraph"/>
              <w:spacing w:before="63"/>
              <w:ind w:left="191" w:right="182"/>
              <w:rPr>
                <w:sz w:val="21"/>
              </w:rPr>
            </w:pPr>
            <w:r>
              <w:rPr>
                <w:rFonts w:ascii="Times New Roman" w:eastAsia="Times New Roman"/>
                <w:sz w:val="21"/>
              </w:rPr>
              <w:t>1,2,3-</w:t>
            </w:r>
            <w:r>
              <w:rPr>
                <w:sz w:val="21"/>
              </w:rPr>
              <w:t>三氯丙烷</w:t>
            </w:r>
          </w:p>
        </w:tc>
        <w:tc>
          <w:tcPr>
            <w:tcW w:w="1986" w:type="dxa"/>
          </w:tcPr>
          <w:p>
            <w:pPr>
              <w:pStyle w:val="TableParagraph"/>
              <w:spacing w:before="99"/>
              <w:ind w:left="654" w:right="648"/>
              <w:rPr>
                <w:rFonts w:ascii="Times New Roman" w:hAnsi="Times New Roman"/>
                <w:sz w:val="21"/>
              </w:rPr>
            </w:pPr>
            <w:bookmarkStart w:name="μg/kg" w:id="688"/>
            <w:bookmarkEnd w:id="688"/>
            <w:r>
              <w:rPr/>
            </w:r>
            <w:r>
              <w:rPr>
                <w:rFonts w:ascii="Times New Roman" w:hAnsi="Times New Roman"/>
                <w:sz w:val="21"/>
              </w:rPr>
              <w:t>μg/kg</w:t>
            </w:r>
          </w:p>
        </w:tc>
        <w:tc>
          <w:tcPr>
            <w:tcW w:w="3150" w:type="dxa"/>
          </w:tcPr>
          <w:p>
            <w:pPr>
              <w:pStyle w:val="TableParagraph"/>
              <w:spacing w:before="99"/>
              <w:ind w:left="816" w:right="810"/>
              <w:rPr>
                <w:rFonts w:ascii="Times New Roman"/>
                <w:sz w:val="21"/>
              </w:rPr>
            </w:pPr>
            <w:bookmarkStart w:name="&lt;3" w:id="689"/>
            <w:bookmarkEnd w:id="689"/>
            <w:r>
              <w:rPr/>
            </w:r>
            <w:r>
              <w:rPr>
                <w:rFonts w:ascii="Times New Roman"/>
                <w:sz w:val="21"/>
              </w:rPr>
              <w:t>&lt;3</w:t>
            </w:r>
          </w:p>
        </w:tc>
        <w:tc>
          <w:tcPr>
            <w:tcW w:w="1200" w:type="dxa"/>
          </w:tcPr>
          <w:p>
            <w:pPr>
              <w:pStyle w:val="TableParagraph"/>
              <w:spacing w:before="77"/>
              <w:ind w:left="421" w:right="414"/>
              <w:rPr>
                <w:rFonts w:ascii="Times New Roman"/>
                <w:sz w:val="21"/>
              </w:rPr>
            </w:pPr>
            <w:r>
              <w:rPr>
                <w:rFonts w:ascii="Times New Roman"/>
                <w:sz w:val="21"/>
              </w:rPr>
              <w:t>500</w:t>
            </w:r>
          </w:p>
        </w:tc>
      </w:tr>
      <w:tr>
        <w:trPr>
          <w:trHeight w:val="397" w:hRule="atLeast"/>
        </w:trPr>
        <w:tc>
          <w:tcPr>
            <w:tcW w:w="1914" w:type="dxa"/>
          </w:tcPr>
          <w:p>
            <w:pPr>
              <w:pStyle w:val="TableParagraph"/>
              <w:spacing w:before="62"/>
              <w:ind w:left="191" w:right="184"/>
              <w:rPr>
                <w:sz w:val="21"/>
              </w:rPr>
            </w:pPr>
            <w:r>
              <w:rPr>
                <w:sz w:val="21"/>
              </w:rPr>
              <w:t>氯乙烯</w:t>
            </w:r>
          </w:p>
        </w:tc>
        <w:tc>
          <w:tcPr>
            <w:tcW w:w="1986" w:type="dxa"/>
          </w:tcPr>
          <w:p>
            <w:pPr>
              <w:pStyle w:val="TableParagraph"/>
              <w:spacing w:before="97"/>
              <w:ind w:left="654" w:right="648"/>
              <w:rPr>
                <w:rFonts w:ascii="Times New Roman" w:hAnsi="Times New Roman"/>
                <w:sz w:val="21"/>
              </w:rPr>
            </w:pPr>
            <w:bookmarkStart w:name="μg/kg" w:id="690"/>
            <w:bookmarkEnd w:id="690"/>
            <w:r>
              <w:rPr/>
            </w:r>
            <w:r>
              <w:rPr>
                <w:rFonts w:ascii="Times New Roman" w:hAnsi="Times New Roman"/>
                <w:sz w:val="21"/>
              </w:rPr>
              <w:t>μg/kg</w:t>
            </w:r>
          </w:p>
        </w:tc>
        <w:tc>
          <w:tcPr>
            <w:tcW w:w="3150" w:type="dxa"/>
          </w:tcPr>
          <w:p>
            <w:pPr>
              <w:pStyle w:val="TableParagraph"/>
              <w:spacing w:before="97"/>
              <w:ind w:left="816" w:right="810"/>
              <w:rPr>
                <w:rFonts w:ascii="Times New Roman"/>
                <w:sz w:val="21"/>
              </w:rPr>
            </w:pPr>
            <w:bookmarkStart w:name="&lt;2" w:id="691"/>
            <w:bookmarkEnd w:id="691"/>
            <w:r>
              <w:rPr/>
            </w:r>
            <w:r>
              <w:rPr>
                <w:rFonts w:ascii="Times New Roman"/>
                <w:sz w:val="21"/>
              </w:rPr>
              <w:t>&lt;2</w:t>
            </w:r>
          </w:p>
        </w:tc>
        <w:tc>
          <w:tcPr>
            <w:tcW w:w="1200" w:type="dxa"/>
          </w:tcPr>
          <w:p>
            <w:pPr>
              <w:pStyle w:val="TableParagraph"/>
              <w:spacing w:before="76"/>
              <w:ind w:left="421" w:right="414"/>
              <w:rPr>
                <w:rFonts w:ascii="Times New Roman"/>
                <w:sz w:val="21"/>
              </w:rPr>
            </w:pPr>
            <w:r>
              <w:rPr>
                <w:rFonts w:ascii="Times New Roman"/>
                <w:sz w:val="21"/>
              </w:rPr>
              <w:t>430</w:t>
            </w:r>
          </w:p>
        </w:tc>
      </w:tr>
      <w:tr>
        <w:trPr>
          <w:trHeight w:val="397" w:hRule="atLeast"/>
        </w:trPr>
        <w:tc>
          <w:tcPr>
            <w:tcW w:w="1914" w:type="dxa"/>
          </w:tcPr>
          <w:p>
            <w:pPr>
              <w:pStyle w:val="TableParagraph"/>
              <w:spacing w:before="63"/>
              <w:ind w:left="9"/>
              <w:rPr>
                <w:sz w:val="21"/>
              </w:rPr>
            </w:pPr>
            <w:r>
              <w:rPr>
                <w:w w:val="99"/>
                <w:sz w:val="21"/>
              </w:rPr>
              <w:t>苯</w:t>
            </w:r>
          </w:p>
        </w:tc>
        <w:tc>
          <w:tcPr>
            <w:tcW w:w="1986" w:type="dxa"/>
          </w:tcPr>
          <w:p>
            <w:pPr>
              <w:pStyle w:val="TableParagraph"/>
              <w:spacing w:before="98"/>
              <w:ind w:left="654" w:right="648"/>
              <w:rPr>
                <w:rFonts w:ascii="Times New Roman"/>
                <w:sz w:val="21"/>
              </w:rPr>
            </w:pPr>
            <w:bookmarkStart w:name="mg/kg" w:id="692"/>
            <w:bookmarkEnd w:id="692"/>
            <w:r>
              <w:rPr/>
            </w:r>
            <w:r>
              <w:rPr>
                <w:rFonts w:ascii="Times New Roman"/>
                <w:sz w:val="21"/>
              </w:rPr>
              <w:t>mg/kg</w:t>
            </w:r>
          </w:p>
        </w:tc>
        <w:tc>
          <w:tcPr>
            <w:tcW w:w="3150" w:type="dxa"/>
          </w:tcPr>
          <w:p>
            <w:pPr>
              <w:pStyle w:val="TableParagraph"/>
              <w:spacing w:before="98"/>
              <w:ind w:left="819" w:right="809"/>
              <w:rPr>
                <w:rFonts w:ascii="Times New Roman"/>
                <w:sz w:val="21"/>
              </w:rPr>
            </w:pPr>
            <w:bookmarkStart w:name="&lt;0.01" w:id="693"/>
            <w:bookmarkEnd w:id="693"/>
            <w:r>
              <w:rPr/>
            </w:r>
            <w:r>
              <w:rPr>
                <w:rFonts w:ascii="Times New Roman"/>
                <w:sz w:val="21"/>
              </w:rPr>
              <w:t>&lt;0.01</w:t>
            </w:r>
          </w:p>
        </w:tc>
        <w:tc>
          <w:tcPr>
            <w:tcW w:w="1200" w:type="dxa"/>
          </w:tcPr>
          <w:p>
            <w:pPr>
              <w:pStyle w:val="TableParagraph"/>
              <w:spacing w:before="77"/>
              <w:ind w:left="7"/>
              <w:rPr>
                <w:rFonts w:ascii="Times New Roman"/>
                <w:sz w:val="21"/>
              </w:rPr>
            </w:pPr>
            <w:r>
              <w:rPr>
                <w:rFonts w:ascii="Times New Roman"/>
                <w:w w:val="99"/>
                <w:sz w:val="21"/>
              </w:rPr>
              <w:t>4</w:t>
            </w:r>
          </w:p>
        </w:tc>
      </w:tr>
      <w:tr>
        <w:trPr>
          <w:trHeight w:val="395" w:hRule="atLeast"/>
        </w:trPr>
        <w:tc>
          <w:tcPr>
            <w:tcW w:w="1914" w:type="dxa"/>
          </w:tcPr>
          <w:p>
            <w:pPr>
              <w:pStyle w:val="TableParagraph"/>
              <w:spacing w:before="64"/>
              <w:ind w:left="191" w:right="184"/>
              <w:rPr>
                <w:sz w:val="21"/>
              </w:rPr>
            </w:pPr>
            <w:r>
              <w:rPr>
                <w:sz w:val="21"/>
              </w:rPr>
              <w:t>氯苯</w:t>
            </w:r>
          </w:p>
        </w:tc>
        <w:tc>
          <w:tcPr>
            <w:tcW w:w="1986" w:type="dxa"/>
          </w:tcPr>
          <w:p>
            <w:pPr>
              <w:pStyle w:val="TableParagraph"/>
              <w:spacing w:before="97"/>
              <w:ind w:left="654" w:right="648"/>
              <w:rPr>
                <w:rFonts w:ascii="Times New Roman" w:hAnsi="Times New Roman"/>
                <w:sz w:val="21"/>
              </w:rPr>
            </w:pPr>
            <w:bookmarkStart w:name="μg/kg" w:id="694"/>
            <w:bookmarkEnd w:id="694"/>
            <w:r>
              <w:rPr/>
            </w:r>
            <w:r>
              <w:rPr>
                <w:rFonts w:ascii="Times New Roman" w:hAnsi="Times New Roman"/>
                <w:sz w:val="21"/>
              </w:rPr>
              <w:t>μg/kg</w:t>
            </w:r>
          </w:p>
        </w:tc>
        <w:tc>
          <w:tcPr>
            <w:tcW w:w="3150" w:type="dxa"/>
          </w:tcPr>
          <w:p>
            <w:pPr>
              <w:pStyle w:val="TableParagraph"/>
              <w:spacing w:before="97"/>
              <w:ind w:left="819" w:right="809"/>
              <w:rPr>
                <w:rFonts w:ascii="Times New Roman"/>
                <w:sz w:val="21"/>
              </w:rPr>
            </w:pPr>
            <w:bookmarkStart w:name="&lt;1.1" w:id="695"/>
            <w:bookmarkEnd w:id="695"/>
            <w:r>
              <w:rPr/>
            </w:r>
            <w:r>
              <w:rPr>
                <w:rFonts w:ascii="Times New Roman"/>
                <w:sz w:val="21"/>
              </w:rPr>
              <w:t>&lt;1.1</w:t>
            </w:r>
          </w:p>
        </w:tc>
        <w:tc>
          <w:tcPr>
            <w:tcW w:w="1200" w:type="dxa"/>
          </w:tcPr>
          <w:p>
            <w:pPr>
              <w:pStyle w:val="TableParagraph"/>
              <w:spacing w:before="78"/>
              <w:ind w:left="284"/>
              <w:jc w:val="left"/>
              <w:rPr>
                <w:rFonts w:ascii="Times New Roman"/>
                <w:sz w:val="21"/>
              </w:rPr>
            </w:pPr>
            <w:r>
              <w:rPr>
                <w:rFonts w:ascii="Times New Roman"/>
                <w:sz w:val="21"/>
              </w:rPr>
              <w:t>270000</w:t>
            </w:r>
          </w:p>
        </w:tc>
      </w:tr>
    </w:tbl>
    <w:p>
      <w:pPr>
        <w:spacing w:after="0"/>
        <w:jc w:val="left"/>
        <w:rPr>
          <w:rFonts w:ascii="Times New Roman"/>
          <w:sz w:val="21"/>
        </w:rPr>
        <w:sectPr>
          <w:pgSz w:w="11910" w:h="16840"/>
          <w:pgMar w:header="0" w:footer="1089" w:top="1520" w:bottom="1360" w:left="1040" w:right="600"/>
        </w:sectPr>
      </w:pPr>
    </w:p>
    <w:tbl>
      <w:tblPr>
        <w:tblW w:w="0" w:type="auto"/>
        <w:jc w:val="lef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4"/>
        <w:gridCol w:w="1986"/>
        <w:gridCol w:w="3150"/>
        <w:gridCol w:w="1200"/>
      </w:tblGrid>
      <w:tr>
        <w:trPr>
          <w:trHeight w:val="396" w:hRule="atLeast"/>
        </w:trPr>
        <w:tc>
          <w:tcPr>
            <w:tcW w:w="1914" w:type="dxa"/>
          </w:tcPr>
          <w:p>
            <w:pPr>
              <w:pStyle w:val="TableParagraph"/>
              <w:spacing w:before="63"/>
              <w:ind w:left="475"/>
              <w:jc w:val="left"/>
              <w:rPr>
                <w:sz w:val="21"/>
              </w:rPr>
            </w:pPr>
            <w:r>
              <w:rPr>
                <w:rFonts w:ascii="Times New Roman" w:eastAsia="Times New Roman"/>
                <w:sz w:val="21"/>
              </w:rPr>
              <w:t>1,2-</w:t>
            </w:r>
            <w:r>
              <w:rPr>
                <w:sz w:val="21"/>
              </w:rPr>
              <w:t>二氯苯</w:t>
            </w:r>
          </w:p>
        </w:tc>
        <w:tc>
          <w:tcPr>
            <w:tcW w:w="1986" w:type="dxa"/>
          </w:tcPr>
          <w:p>
            <w:pPr>
              <w:pStyle w:val="TableParagraph"/>
              <w:spacing w:before="98"/>
              <w:ind w:left="654" w:right="648"/>
              <w:rPr>
                <w:rFonts w:ascii="Times New Roman" w:hAnsi="Times New Roman"/>
                <w:sz w:val="21"/>
              </w:rPr>
            </w:pPr>
            <w:bookmarkStart w:name="μg/kg" w:id="696"/>
            <w:bookmarkEnd w:id="696"/>
            <w:r>
              <w:rPr/>
            </w:r>
            <w:r>
              <w:rPr>
                <w:rFonts w:ascii="Times New Roman" w:hAnsi="Times New Roman"/>
                <w:sz w:val="21"/>
              </w:rPr>
              <w:t>μg/kg</w:t>
            </w:r>
          </w:p>
        </w:tc>
        <w:tc>
          <w:tcPr>
            <w:tcW w:w="3150" w:type="dxa"/>
          </w:tcPr>
          <w:p>
            <w:pPr>
              <w:pStyle w:val="TableParagraph"/>
              <w:spacing w:before="98"/>
              <w:ind w:left="819" w:right="809"/>
              <w:rPr>
                <w:rFonts w:ascii="Times New Roman"/>
                <w:sz w:val="21"/>
              </w:rPr>
            </w:pPr>
            <w:bookmarkStart w:name="&lt;1.0" w:id="697"/>
            <w:bookmarkEnd w:id="697"/>
            <w:r>
              <w:rPr/>
            </w:r>
            <w:r>
              <w:rPr>
                <w:rFonts w:ascii="Times New Roman"/>
                <w:sz w:val="21"/>
              </w:rPr>
              <w:t>&lt;1.0</w:t>
            </w:r>
          </w:p>
        </w:tc>
        <w:tc>
          <w:tcPr>
            <w:tcW w:w="1200" w:type="dxa"/>
          </w:tcPr>
          <w:p>
            <w:pPr>
              <w:pStyle w:val="TableParagraph"/>
              <w:spacing w:before="77"/>
              <w:ind w:left="284"/>
              <w:jc w:val="left"/>
              <w:rPr>
                <w:rFonts w:ascii="Times New Roman"/>
                <w:sz w:val="21"/>
              </w:rPr>
            </w:pPr>
            <w:r>
              <w:rPr>
                <w:rFonts w:ascii="Times New Roman"/>
                <w:sz w:val="21"/>
              </w:rPr>
              <w:t>560000</w:t>
            </w:r>
          </w:p>
        </w:tc>
      </w:tr>
      <w:tr>
        <w:trPr>
          <w:trHeight w:val="397" w:hRule="atLeast"/>
        </w:trPr>
        <w:tc>
          <w:tcPr>
            <w:tcW w:w="1914" w:type="dxa"/>
          </w:tcPr>
          <w:p>
            <w:pPr>
              <w:pStyle w:val="TableParagraph"/>
              <w:spacing w:before="64"/>
              <w:ind w:left="475"/>
              <w:jc w:val="left"/>
              <w:rPr>
                <w:sz w:val="21"/>
              </w:rPr>
            </w:pPr>
            <w:r>
              <w:rPr>
                <w:rFonts w:ascii="Times New Roman" w:eastAsia="Times New Roman"/>
                <w:sz w:val="21"/>
              </w:rPr>
              <w:t>1,4-</w:t>
            </w:r>
            <w:r>
              <w:rPr>
                <w:sz w:val="21"/>
              </w:rPr>
              <w:t>二氯苯</w:t>
            </w:r>
          </w:p>
        </w:tc>
        <w:tc>
          <w:tcPr>
            <w:tcW w:w="1986" w:type="dxa"/>
          </w:tcPr>
          <w:p>
            <w:pPr>
              <w:pStyle w:val="TableParagraph"/>
              <w:spacing w:before="78"/>
              <w:ind w:left="654" w:right="648"/>
              <w:rPr>
                <w:rFonts w:ascii="Times New Roman" w:hAnsi="Times New Roman"/>
                <w:sz w:val="21"/>
              </w:rPr>
            </w:pPr>
            <w:r>
              <w:rPr>
                <w:rFonts w:ascii="Times New Roman" w:hAnsi="Times New Roman"/>
                <w:sz w:val="21"/>
              </w:rPr>
              <w:t>μg/kg</w:t>
            </w:r>
          </w:p>
        </w:tc>
        <w:tc>
          <w:tcPr>
            <w:tcW w:w="3150" w:type="dxa"/>
          </w:tcPr>
          <w:p>
            <w:pPr>
              <w:pStyle w:val="TableParagraph"/>
              <w:spacing w:before="80"/>
              <w:ind w:left="819" w:right="809"/>
              <w:rPr>
                <w:rFonts w:ascii="Times New Roman"/>
                <w:sz w:val="21"/>
              </w:rPr>
            </w:pPr>
            <w:bookmarkStart w:name="&lt;1.2" w:id="698"/>
            <w:bookmarkEnd w:id="698"/>
            <w:r>
              <w:rPr/>
            </w:r>
            <w:r>
              <w:rPr>
                <w:rFonts w:ascii="Times New Roman"/>
                <w:sz w:val="21"/>
              </w:rPr>
              <w:t>&lt;1.2</w:t>
            </w:r>
          </w:p>
        </w:tc>
        <w:tc>
          <w:tcPr>
            <w:tcW w:w="1200" w:type="dxa"/>
          </w:tcPr>
          <w:p>
            <w:pPr>
              <w:pStyle w:val="TableParagraph"/>
              <w:spacing w:before="78"/>
              <w:ind w:left="337"/>
              <w:jc w:val="left"/>
              <w:rPr>
                <w:rFonts w:ascii="Times New Roman"/>
                <w:sz w:val="21"/>
              </w:rPr>
            </w:pPr>
            <w:r>
              <w:rPr>
                <w:rFonts w:ascii="Times New Roman"/>
                <w:sz w:val="21"/>
              </w:rPr>
              <w:t>20000</w:t>
            </w:r>
          </w:p>
        </w:tc>
      </w:tr>
      <w:tr>
        <w:trPr>
          <w:trHeight w:val="397" w:hRule="atLeast"/>
        </w:trPr>
        <w:tc>
          <w:tcPr>
            <w:tcW w:w="1914" w:type="dxa"/>
          </w:tcPr>
          <w:p>
            <w:pPr>
              <w:pStyle w:val="TableParagraph"/>
              <w:spacing w:before="63"/>
              <w:ind w:left="191" w:right="184"/>
              <w:rPr>
                <w:sz w:val="21"/>
              </w:rPr>
            </w:pPr>
            <w:r>
              <w:rPr>
                <w:sz w:val="21"/>
              </w:rPr>
              <w:t>乙苯</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006" w:id="699"/>
            <w:bookmarkEnd w:id="699"/>
            <w:r>
              <w:rPr/>
            </w:r>
            <w:r>
              <w:rPr>
                <w:rFonts w:ascii="Times New Roman"/>
                <w:sz w:val="21"/>
              </w:rPr>
              <w:t>&lt;0.006</w:t>
            </w:r>
          </w:p>
        </w:tc>
        <w:tc>
          <w:tcPr>
            <w:tcW w:w="1200" w:type="dxa"/>
          </w:tcPr>
          <w:p>
            <w:pPr>
              <w:pStyle w:val="TableParagraph"/>
              <w:spacing w:before="76"/>
              <w:ind w:left="421" w:right="414"/>
              <w:rPr>
                <w:rFonts w:ascii="Times New Roman"/>
                <w:sz w:val="21"/>
              </w:rPr>
            </w:pPr>
            <w:r>
              <w:rPr>
                <w:rFonts w:ascii="Times New Roman"/>
                <w:sz w:val="21"/>
              </w:rPr>
              <w:t>28</w:t>
            </w:r>
          </w:p>
        </w:tc>
      </w:tr>
      <w:tr>
        <w:trPr>
          <w:trHeight w:val="397" w:hRule="atLeast"/>
        </w:trPr>
        <w:tc>
          <w:tcPr>
            <w:tcW w:w="1914" w:type="dxa"/>
          </w:tcPr>
          <w:p>
            <w:pPr>
              <w:pStyle w:val="TableParagraph"/>
              <w:spacing w:before="63"/>
              <w:ind w:left="641"/>
              <w:jc w:val="left"/>
              <w:rPr>
                <w:sz w:val="21"/>
              </w:rPr>
            </w:pPr>
            <w:r>
              <w:rPr>
                <w:sz w:val="21"/>
              </w:rPr>
              <w:t>苯乙烯</w:t>
            </w:r>
          </w:p>
        </w:tc>
        <w:tc>
          <w:tcPr>
            <w:tcW w:w="1986" w:type="dxa"/>
          </w:tcPr>
          <w:p>
            <w:pPr>
              <w:pStyle w:val="TableParagraph"/>
              <w:spacing w:before="97"/>
              <w:ind w:left="654" w:right="648"/>
              <w:rPr>
                <w:rFonts w:ascii="Times New Roman"/>
                <w:sz w:val="21"/>
              </w:rPr>
            </w:pPr>
            <w:bookmarkStart w:name="mg/kg" w:id="700"/>
            <w:bookmarkEnd w:id="700"/>
            <w:r>
              <w:rPr/>
            </w:r>
            <w:r>
              <w:rPr>
                <w:rFonts w:ascii="Times New Roman"/>
                <w:sz w:val="21"/>
              </w:rPr>
              <w:t>mg/kg</w:t>
            </w:r>
          </w:p>
        </w:tc>
        <w:tc>
          <w:tcPr>
            <w:tcW w:w="3150" w:type="dxa"/>
          </w:tcPr>
          <w:p>
            <w:pPr>
              <w:pStyle w:val="TableParagraph"/>
              <w:spacing w:before="80"/>
              <w:ind w:left="819" w:right="809"/>
              <w:rPr>
                <w:rFonts w:ascii="Times New Roman"/>
                <w:sz w:val="21"/>
              </w:rPr>
            </w:pPr>
            <w:bookmarkStart w:name="&lt;0.002" w:id="701"/>
            <w:bookmarkEnd w:id="701"/>
            <w:r>
              <w:rPr/>
            </w:r>
            <w:r>
              <w:rPr>
                <w:rFonts w:ascii="Times New Roman"/>
                <w:sz w:val="21"/>
              </w:rPr>
              <w:t>&lt;0.002</w:t>
            </w:r>
          </w:p>
        </w:tc>
        <w:tc>
          <w:tcPr>
            <w:tcW w:w="1200" w:type="dxa"/>
          </w:tcPr>
          <w:p>
            <w:pPr>
              <w:pStyle w:val="TableParagraph"/>
              <w:spacing w:before="77"/>
              <w:ind w:left="390"/>
              <w:jc w:val="left"/>
              <w:rPr>
                <w:rFonts w:ascii="Times New Roman"/>
                <w:sz w:val="21"/>
              </w:rPr>
            </w:pPr>
            <w:r>
              <w:rPr>
                <w:rFonts w:ascii="Times New Roman"/>
                <w:sz w:val="21"/>
              </w:rPr>
              <w:t>1290</w:t>
            </w:r>
          </w:p>
        </w:tc>
      </w:tr>
      <w:tr>
        <w:trPr>
          <w:trHeight w:val="397" w:hRule="atLeast"/>
        </w:trPr>
        <w:tc>
          <w:tcPr>
            <w:tcW w:w="1914" w:type="dxa"/>
          </w:tcPr>
          <w:p>
            <w:pPr>
              <w:pStyle w:val="TableParagraph"/>
              <w:spacing w:before="62"/>
              <w:ind w:left="191" w:right="184"/>
              <w:rPr>
                <w:sz w:val="21"/>
              </w:rPr>
            </w:pPr>
            <w:r>
              <w:rPr>
                <w:sz w:val="21"/>
              </w:rPr>
              <w:t>甲苯</w:t>
            </w:r>
          </w:p>
        </w:tc>
        <w:tc>
          <w:tcPr>
            <w:tcW w:w="1986" w:type="dxa"/>
          </w:tcPr>
          <w:p>
            <w:pPr>
              <w:pStyle w:val="TableParagraph"/>
              <w:spacing w:before="98"/>
              <w:ind w:left="654" w:right="648"/>
              <w:rPr>
                <w:rFonts w:ascii="Times New Roman"/>
                <w:sz w:val="21"/>
              </w:rPr>
            </w:pPr>
            <w:bookmarkStart w:name="mg/kg" w:id="702"/>
            <w:bookmarkEnd w:id="702"/>
            <w:r>
              <w:rPr/>
            </w:r>
            <w:r>
              <w:rPr>
                <w:rFonts w:ascii="Times New Roman"/>
                <w:sz w:val="21"/>
              </w:rPr>
              <w:t>mg/kg</w:t>
            </w:r>
          </w:p>
        </w:tc>
        <w:tc>
          <w:tcPr>
            <w:tcW w:w="3150" w:type="dxa"/>
          </w:tcPr>
          <w:p>
            <w:pPr>
              <w:pStyle w:val="TableParagraph"/>
              <w:spacing w:before="81"/>
              <w:ind w:left="819" w:right="809"/>
              <w:rPr>
                <w:rFonts w:ascii="Times New Roman"/>
                <w:sz w:val="21"/>
              </w:rPr>
            </w:pPr>
            <w:bookmarkStart w:name="&lt;0.006" w:id="703"/>
            <w:bookmarkEnd w:id="703"/>
            <w:r>
              <w:rPr/>
            </w:r>
            <w:r>
              <w:rPr>
                <w:rFonts w:ascii="Times New Roman"/>
                <w:sz w:val="21"/>
              </w:rPr>
              <w:t>&lt;0.006</w:t>
            </w:r>
          </w:p>
        </w:tc>
        <w:tc>
          <w:tcPr>
            <w:tcW w:w="1200" w:type="dxa"/>
          </w:tcPr>
          <w:p>
            <w:pPr>
              <w:pStyle w:val="TableParagraph"/>
              <w:spacing w:before="76"/>
              <w:ind w:left="390"/>
              <w:jc w:val="left"/>
              <w:rPr>
                <w:rFonts w:ascii="Times New Roman"/>
                <w:sz w:val="21"/>
              </w:rPr>
            </w:pPr>
            <w:r>
              <w:rPr>
                <w:rFonts w:ascii="Times New Roman"/>
                <w:sz w:val="21"/>
              </w:rPr>
              <w:t>1200</w:t>
            </w:r>
          </w:p>
        </w:tc>
      </w:tr>
      <w:tr>
        <w:trPr>
          <w:trHeight w:val="396" w:hRule="atLeast"/>
        </w:trPr>
        <w:tc>
          <w:tcPr>
            <w:tcW w:w="1914" w:type="dxa"/>
          </w:tcPr>
          <w:p>
            <w:pPr>
              <w:pStyle w:val="TableParagraph"/>
              <w:spacing w:before="63"/>
              <w:ind w:left="535"/>
              <w:jc w:val="left"/>
              <w:rPr>
                <w:sz w:val="21"/>
              </w:rPr>
            </w:pPr>
            <w:r>
              <w:rPr>
                <w:sz w:val="21"/>
              </w:rPr>
              <w:t>间二甲苯</w:t>
            </w:r>
          </w:p>
        </w:tc>
        <w:tc>
          <w:tcPr>
            <w:tcW w:w="1986" w:type="dxa"/>
          </w:tcPr>
          <w:p>
            <w:pPr>
              <w:pStyle w:val="TableParagraph"/>
              <w:spacing w:before="99"/>
              <w:ind w:left="654" w:right="648"/>
              <w:rPr>
                <w:rFonts w:ascii="Times New Roman"/>
                <w:sz w:val="21"/>
              </w:rPr>
            </w:pPr>
            <w:bookmarkStart w:name="mg/kg" w:id="704"/>
            <w:bookmarkEnd w:id="704"/>
            <w:r>
              <w:rPr/>
            </w:r>
            <w:r>
              <w:rPr>
                <w:rFonts w:ascii="Times New Roman"/>
                <w:sz w:val="21"/>
              </w:rPr>
              <w:t>mg/kg</w:t>
            </w:r>
          </w:p>
        </w:tc>
        <w:tc>
          <w:tcPr>
            <w:tcW w:w="3150" w:type="dxa"/>
          </w:tcPr>
          <w:p>
            <w:pPr>
              <w:pStyle w:val="TableParagraph"/>
              <w:spacing w:before="79"/>
              <w:ind w:left="819" w:right="809"/>
              <w:rPr>
                <w:rFonts w:ascii="Times New Roman"/>
                <w:sz w:val="21"/>
              </w:rPr>
            </w:pPr>
            <w:bookmarkStart w:name="&lt;0.009" w:id="705"/>
            <w:bookmarkEnd w:id="705"/>
            <w:r>
              <w:rPr/>
            </w:r>
            <w:r>
              <w:rPr>
                <w:rFonts w:ascii="Times New Roman"/>
                <w:sz w:val="21"/>
              </w:rPr>
              <w:t>&lt;0.009</w:t>
            </w:r>
          </w:p>
        </w:tc>
        <w:tc>
          <w:tcPr>
            <w:tcW w:w="1200" w:type="dxa"/>
          </w:tcPr>
          <w:p>
            <w:pPr>
              <w:pStyle w:val="TableParagraph"/>
              <w:spacing w:before="77"/>
              <w:ind w:left="421" w:right="414"/>
              <w:rPr>
                <w:rFonts w:ascii="Times New Roman"/>
                <w:sz w:val="21"/>
              </w:rPr>
            </w:pPr>
            <w:r>
              <w:rPr>
                <w:rFonts w:ascii="Times New Roman"/>
                <w:sz w:val="21"/>
              </w:rPr>
              <w:t>570</w:t>
            </w:r>
          </w:p>
        </w:tc>
      </w:tr>
      <w:tr>
        <w:trPr>
          <w:trHeight w:val="397" w:hRule="atLeast"/>
        </w:trPr>
        <w:tc>
          <w:tcPr>
            <w:tcW w:w="1914" w:type="dxa"/>
          </w:tcPr>
          <w:p>
            <w:pPr>
              <w:pStyle w:val="TableParagraph"/>
              <w:spacing w:before="62"/>
              <w:ind w:left="535"/>
              <w:jc w:val="left"/>
              <w:rPr>
                <w:sz w:val="21"/>
              </w:rPr>
            </w:pPr>
            <w:r>
              <w:rPr>
                <w:sz w:val="21"/>
              </w:rPr>
              <w:t>对二甲苯</w:t>
            </w:r>
          </w:p>
        </w:tc>
        <w:tc>
          <w:tcPr>
            <w:tcW w:w="1986" w:type="dxa"/>
          </w:tcPr>
          <w:p>
            <w:pPr>
              <w:pStyle w:val="TableParagraph"/>
              <w:spacing w:before="97"/>
              <w:ind w:left="654" w:right="648"/>
              <w:rPr>
                <w:rFonts w:ascii="Times New Roman"/>
                <w:sz w:val="21"/>
              </w:rPr>
            </w:pPr>
            <w:bookmarkStart w:name="mg/kg" w:id="706"/>
            <w:bookmarkEnd w:id="706"/>
            <w:r>
              <w:rPr/>
            </w:r>
            <w:r>
              <w:rPr>
                <w:rFonts w:ascii="Times New Roman"/>
                <w:sz w:val="21"/>
              </w:rPr>
              <w:t>mg/kg</w:t>
            </w:r>
          </w:p>
        </w:tc>
        <w:tc>
          <w:tcPr>
            <w:tcW w:w="3150" w:type="dxa"/>
          </w:tcPr>
          <w:p>
            <w:pPr>
              <w:pStyle w:val="TableParagraph"/>
              <w:spacing w:before="80"/>
              <w:ind w:left="819" w:right="809"/>
              <w:rPr>
                <w:rFonts w:ascii="Times New Roman"/>
                <w:sz w:val="21"/>
              </w:rPr>
            </w:pPr>
            <w:bookmarkStart w:name="&lt;0.009" w:id="707"/>
            <w:bookmarkEnd w:id="707"/>
            <w:r>
              <w:rPr/>
            </w:r>
            <w:r>
              <w:rPr>
                <w:rFonts w:ascii="Times New Roman"/>
                <w:sz w:val="21"/>
              </w:rPr>
              <w:t>&lt;0.009</w:t>
            </w:r>
          </w:p>
        </w:tc>
        <w:tc>
          <w:tcPr>
            <w:tcW w:w="1200" w:type="dxa"/>
          </w:tcPr>
          <w:p>
            <w:pPr>
              <w:pStyle w:val="TableParagraph"/>
              <w:spacing w:before="76"/>
              <w:ind w:left="421" w:right="414"/>
              <w:rPr>
                <w:rFonts w:ascii="Times New Roman"/>
                <w:sz w:val="21"/>
              </w:rPr>
            </w:pPr>
            <w:r>
              <w:rPr>
                <w:rFonts w:ascii="Times New Roman"/>
                <w:sz w:val="21"/>
              </w:rPr>
              <w:t>570</w:t>
            </w:r>
          </w:p>
        </w:tc>
      </w:tr>
      <w:tr>
        <w:trPr>
          <w:trHeight w:val="397" w:hRule="atLeast"/>
        </w:trPr>
        <w:tc>
          <w:tcPr>
            <w:tcW w:w="1914" w:type="dxa"/>
          </w:tcPr>
          <w:p>
            <w:pPr>
              <w:pStyle w:val="TableParagraph"/>
              <w:spacing w:before="63"/>
              <w:ind w:left="535"/>
              <w:jc w:val="left"/>
              <w:rPr>
                <w:sz w:val="21"/>
              </w:rPr>
            </w:pPr>
            <w:r>
              <w:rPr>
                <w:sz w:val="21"/>
              </w:rPr>
              <w:t>邻二甲苯</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002" w:id="708"/>
            <w:bookmarkEnd w:id="708"/>
            <w:r>
              <w:rPr/>
            </w:r>
            <w:r>
              <w:rPr>
                <w:rFonts w:ascii="Times New Roman"/>
                <w:sz w:val="21"/>
              </w:rPr>
              <w:t>&lt;0.002</w:t>
            </w:r>
          </w:p>
        </w:tc>
        <w:tc>
          <w:tcPr>
            <w:tcW w:w="1200" w:type="dxa"/>
          </w:tcPr>
          <w:p>
            <w:pPr>
              <w:pStyle w:val="TableParagraph"/>
              <w:spacing w:before="77"/>
              <w:ind w:left="421" w:right="414"/>
              <w:rPr>
                <w:rFonts w:ascii="Times New Roman"/>
                <w:sz w:val="21"/>
              </w:rPr>
            </w:pPr>
            <w:r>
              <w:rPr>
                <w:rFonts w:ascii="Times New Roman"/>
                <w:sz w:val="21"/>
              </w:rPr>
              <w:t>640</w:t>
            </w:r>
          </w:p>
        </w:tc>
      </w:tr>
      <w:tr>
        <w:trPr>
          <w:trHeight w:val="397" w:hRule="atLeast"/>
        </w:trPr>
        <w:tc>
          <w:tcPr>
            <w:tcW w:w="1914" w:type="dxa"/>
          </w:tcPr>
          <w:p>
            <w:pPr>
              <w:pStyle w:val="TableParagraph"/>
              <w:spacing w:before="64"/>
              <w:ind w:left="641"/>
              <w:jc w:val="left"/>
              <w:rPr>
                <w:sz w:val="21"/>
              </w:rPr>
            </w:pPr>
            <w:r>
              <w:rPr>
                <w:sz w:val="21"/>
              </w:rPr>
              <w:t>硝基苯</w:t>
            </w:r>
          </w:p>
        </w:tc>
        <w:tc>
          <w:tcPr>
            <w:tcW w:w="1986" w:type="dxa"/>
          </w:tcPr>
          <w:p>
            <w:pPr>
              <w:pStyle w:val="TableParagraph"/>
              <w:spacing w:before="78"/>
              <w:ind w:left="654" w:right="648"/>
              <w:rPr>
                <w:rFonts w:ascii="Times New Roman"/>
                <w:sz w:val="21"/>
              </w:rPr>
            </w:pPr>
            <w:r>
              <w:rPr>
                <w:rFonts w:ascii="Times New Roman"/>
                <w:sz w:val="21"/>
              </w:rPr>
              <w:t>mg/kg</w:t>
            </w:r>
          </w:p>
        </w:tc>
        <w:tc>
          <w:tcPr>
            <w:tcW w:w="3150" w:type="dxa"/>
          </w:tcPr>
          <w:p>
            <w:pPr>
              <w:pStyle w:val="TableParagraph"/>
              <w:spacing w:before="80"/>
              <w:ind w:left="819" w:right="809"/>
              <w:rPr>
                <w:rFonts w:ascii="Times New Roman"/>
                <w:sz w:val="21"/>
              </w:rPr>
            </w:pPr>
            <w:bookmarkStart w:name="&lt;0.09" w:id="709"/>
            <w:bookmarkEnd w:id="709"/>
            <w:r>
              <w:rPr/>
            </w:r>
            <w:r>
              <w:rPr>
                <w:rFonts w:ascii="Times New Roman"/>
                <w:sz w:val="21"/>
              </w:rPr>
              <w:t>&lt;0.09</w:t>
            </w:r>
          </w:p>
        </w:tc>
        <w:tc>
          <w:tcPr>
            <w:tcW w:w="1200" w:type="dxa"/>
          </w:tcPr>
          <w:p>
            <w:pPr>
              <w:pStyle w:val="TableParagraph"/>
              <w:spacing w:before="78"/>
              <w:ind w:left="421" w:right="414"/>
              <w:rPr>
                <w:rFonts w:ascii="Times New Roman"/>
                <w:sz w:val="21"/>
              </w:rPr>
            </w:pPr>
            <w:r>
              <w:rPr>
                <w:rFonts w:ascii="Times New Roman"/>
                <w:sz w:val="21"/>
              </w:rPr>
              <w:t>76</w:t>
            </w:r>
          </w:p>
        </w:tc>
      </w:tr>
      <w:tr>
        <w:trPr>
          <w:trHeight w:val="397" w:hRule="atLeast"/>
        </w:trPr>
        <w:tc>
          <w:tcPr>
            <w:tcW w:w="1914" w:type="dxa"/>
          </w:tcPr>
          <w:p>
            <w:pPr>
              <w:pStyle w:val="TableParagraph"/>
              <w:spacing w:before="62"/>
              <w:ind w:left="191" w:right="184"/>
              <w:rPr>
                <w:sz w:val="21"/>
              </w:rPr>
            </w:pPr>
            <w:r>
              <w:rPr>
                <w:sz w:val="21"/>
              </w:rPr>
              <w:t>苯胺</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37" w:id="710"/>
            <w:bookmarkEnd w:id="710"/>
            <w:r>
              <w:rPr/>
            </w:r>
            <w:r>
              <w:rPr>
                <w:rFonts w:ascii="Times New Roman"/>
                <w:sz w:val="21"/>
              </w:rPr>
              <w:t>&lt;0.37</w:t>
            </w:r>
          </w:p>
        </w:tc>
        <w:tc>
          <w:tcPr>
            <w:tcW w:w="1200" w:type="dxa"/>
          </w:tcPr>
          <w:p>
            <w:pPr>
              <w:pStyle w:val="TableParagraph"/>
              <w:spacing w:before="76"/>
              <w:ind w:left="421" w:right="414"/>
              <w:rPr>
                <w:rFonts w:ascii="Times New Roman"/>
                <w:sz w:val="21"/>
              </w:rPr>
            </w:pPr>
            <w:r>
              <w:rPr>
                <w:rFonts w:ascii="Times New Roman"/>
                <w:sz w:val="21"/>
              </w:rPr>
              <w:t>260</w:t>
            </w:r>
          </w:p>
        </w:tc>
      </w:tr>
      <w:tr>
        <w:trPr>
          <w:trHeight w:val="396" w:hRule="atLeast"/>
        </w:trPr>
        <w:tc>
          <w:tcPr>
            <w:tcW w:w="1914" w:type="dxa"/>
          </w:tcPr>
          <w:p>
            <w:pPr>
              <w:pStyle w:val="TableParagraph"/>
              <w:spacing w:before="63"/>
              <w:ind w:left="9"/>
              <w:rPr>
                <w:sz w:val="21"/>
              </w:rPr>
            </w:pPr>
            <w:r>
              <w:rPr>
                <w:w w:val="99"/>
                <w:sz w:val="21"/>
              </w:rPr>
              <w:t>萘</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80"/>
              <w:ind w:left="819" w:right="809"/>
              <w:rPr>
                <w:rFonts w:ascii="Times New Roman"/>
                <w:sz w:val="21"/>
              </w:rPr>
            </w:pPr>
            <w:bookmarkStart w:name="&lt;0.09" w:id="711"/>
            <w:bookmarkEnd w:id="711"/>
            <w:r>
              <w:rPr/>
            </w:r>
            <w:r>
              <w:rPr>
                <w:rFonts w:ascii="Times New Roman"/>
                <w:sz w:val="21"/>
              </w:rPr>
              <w:t>&lt;0.09</w:t>
            </w:r>
          </w:p>
        </w:tc>
        <w:tc>
          <w:tcPr>
            <w:tcW w:w="1200" w:type="dxa"/>
          </w:tcPr>
          <w:p>
            <w:pPr>
              <w:pStyle w:val="TableParagraph"/>
              <w:spacing w:before="77"/>
              <w:ind w:left="421" w:right="414"/>
              <w:rPr>
                <w:rFonts w:ascii="Times New Roman"/>
                <w:sz w:val="21"/>
              </w:rPr>
            </w:pPr>
            <w:r>
              <w:rPr>
                <w:rFonts w:ascii="Times New Roman"/>
                <w:sz w:val="21"/>
              </w:rPr>
              <w:t>70</w:t>
            </w:r>
          </w:p>
        </w:tc>
      </w:tr>
      <w:tr>
        <w:trPr>
          <w:trHeight w:val="397" w:hRule="atLeast"/>
        </w:trPr>
        <w:tc>
          <w:tcPr>
            <w:tcW w:w="1914" w:type="dxa"/>
          </w:tcPr>
          <w:p>
            <w:pPr>
              <w:pStyle w:val="TableParagraph"/>
              <w:spacing w:before="62"/>
              <w:ind w:left="191" w:right="184"/>
              <w:rPr>
                <w:sz w:val="21"/>
              </w:rPr>
            </w:pPr>
            <w:r>
              <w:rPr>
                <w:rFonts w:ascii="Times New Roman" w:eastAsia="Times New Roman"/>
                <w:sz w:val="21"/>
              </w:rPr>
              <w:t>2-</w:t>
            </w:r>
            <w:r>
              <w:rPr>
                <w:sz w:val="21"/>
              </w:rPr>
              <w:t>氯酚</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81"/>
              <w:ind w:left="819" w:right="809"/>
              <w:rPr>
                <w:rFonts w:ascii="Times New Roman"/>
                <w:sz w:val="21"/>
              </w:rPr>
            </w:pPr>
            <w:bookmarkStart w:name="&lt;0.06" w:id="712"/>
            <w:bookmarkEnd w:id="712"/>
            <w:r>
              <w:rPr/>
            </w:r>
            <w:r>
              <w:rPr>
                <w:rFonts w:ascii="Times New Roman"/>
                <w:sz w:val="21"/>
              </w:rPr>
              <w:t>&lt;0.06</w:t>
            </w:r>
          </w:p>
        </w:tc>
        <w:tc>
          <w:tcPr>
            <w:tcW w:w="1200" w:type="dxa"/>
          </w:tcPr>
          <w:p>
            <w:pPr>
              <w:pStyle w:val="TableParagraph"/>
              <w:spacing w:before="76"/>
              <w:ind w:left="390"/>
              <w:jc w:val="left"/>
              <w:rPr>
                <w:rFonts w:ascii="Times New Roman"/>
                <w:sz w:val="21"/>
              </w:rPr>
            </w:pPr>
            <w:r>
              <w:rPr>
                <w:rFonts w:ascii="Times New Roman"/>
                <w:sz w:val="21"/>
              </w:rPr>
              <w:t>2256</w:t>
            </w:r>
          </w:p>
        </w:tc>
      </w:tr>
      <w:tr>
        <w:trPr>
          <w:trHeight w:val="396" w:hRule="atLeast"/>
        </w:trPr>
        <w:tc>
          <w:tcPr>
            <w:tcW w:w="1914" w:type="dxa"/>
          </w:tcPr>
          <w:p>
            <w:pPr>
              <w:pStyle w:val="TableParagraph"/>
              <w:spacing w:before="63"/>
              <w:ind w:left="525"/>
              <w:jc w:val="left"/>
              <w:rPr>
                <w:sz w:val="21"/>
              </w:rPr>
            </w:pPr>
            <w:r>
              <w:rPr>
                <w:sz w:val="21"/>
              </w:rPr>
              <w:t>苯并</w:t>
            </w:r>
            <w:r>
              <w:rPr>
                <w:rFonts w:ascii="Times New Roman" w:eastAsia="Times New Roman"/>
                <w:sz w:val="21"/>
              </w:rPr>
              <w:t>[a]</w:t>
            </w:r>
            <w:r>
              <w:rPr>
                <w:sz w:val="21"/>
              </w:rPr>
              <w:t>蒽</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12" w:id="713"/>
            <w:bookmarkEnd w:id="713"/>
            <w:r>
              <w:rPr/>
            </w:r>
            <w:r>
              <w:rPr>
                <w:rFonts w:ascii="Times New Roman"/>
                <w:sz w:val="21"/>
              </w:rPr>
              <w:t>&lt;0.12</w:t>
            </w:r>
          </w:p>
        </w:tc>
        <w:tc>
          <w:tcPr>
            <w:tcW w:w="1200" w:type="dxa"/>
          </w:tcPr>
          <w:p>
            <w:pPr>
              <w:pStyle w:val="TableParagraph"/>
              <w:spacing w:before="77"/>
              <w:ind w:left="421" w:right="414"/>
              <w:rPr>
                <w:rFonts w:ascii="Times New Roman"/>
                <w:sz w:val="21"/>
              </w:rPr>
            </w:pPr>
            <w:r>
              <w:rPr>
                <w:rFonts w:ascii="Times New Roman"/>
                <w:sz w:val="21"/>
              </w:rPr>
              <w:t>15</w:t>
            </w:r>
          </w:p>
        </w:tc>
      </w:tr>
      <w:tr>
        <w:trPr>
          <w:trHeight w:val="397" w:hRule="atLeast"/>
        </w:trPr>
        <w:tc>
          <w:tcPr>
            <w:tcW w:w="1914" w:type="dxa"/>
          </w:tcPr>
          <w:p>
            <w:pPr>
              <w:pStyle w:val="TableParagraph"/>
              <w:spacing w:before="64"/>
              <w:ind w:left="525"/>
              <w:jc w:val="left"/>
              <w:rPr>
                <w:sz w:val="21"/>
              </w:rPr>
            </w:pPr>
            <w:r>
              <w:rPr>
                <w:sz w:val="21"/>
              </w:rPr>
              <w:t>苯并</w:t>
            </w:r>
            <w:r>
              <w:rPr>
                <w:rFonts w:ascii="Times New Roman" w:eastAsia="Times New Roman"/>
                <w:sz w:val="21"/>
              </w:rPr>
              <w:t>[a]</w:t>
            </w:r>
            <w:r>
              <w:rPr>
                <w:sz w:val="21"/>
              </w:rPr>
              <w:t>芘</w:t>
            </w:r>
          </w:p>
        </w:tc>
        <w:tc>
          <w:tcPr>
            <w:tcW w:w="1986" w:type="dxa"/>
          </w:tcPr>
          <w:p>
            <w:pPr>
              <w:pStyle w:val="TableParagraph"/>
              <w:spacing w:before="78"/>
              <w:ind w:left="654" w:right="648"/>
              <w:rPr>
                <w:rFonts w:ascii="Times New Roman"/>
                <w:sz w:val="21"/>
              </w:rPr>
            </w:pPr>
            <w:r>
              <w:rPr>
                <w:rFonts w:ascii="Times New Roman"/>
                <w:sz w:val="21"/>
              </w:rPr>
              <w:t>mg/kg</w:t>
            </w:r>
          </w:p>
        </w:tc>
        <w:tc>
          <w:tcPr>
            <w:tcW w:w="3150" w:type="dxa"/>
          </w:tcPr>
          <w:p>
            <w:pPr>
              <w:pStyle w:val="TableParagraph"/>
              <w:spacing w:before="80"/>
              <w:ind w:left="819" w:right="809"/>
              <w:rPr>
                <w:rFonts w:ascii="Times New Roman"/>
                <w:sz w:val="21"/>
              </w:rPr>
            </w:pPr>
            <w:bookmarkStart w:name="&lt;0.17" w:id="714"/>
            <w:bookmarkEnd w:id="714"/>
            <w:r>
              <w:rPr/>
            </w:r>
            <w:r>
              <w:rPr>
                <w:rFonts w:ascii="Times New Roman"/>
                <w:sz w:val="21"/>
              </w:rPr>
              <w:t>&lt;0.17</w:t>
            </w:r>
          </w:p>
        </w:tc>
        <w:tc>
          <w:tcPr>
            <w:tcW w:w="1200" w:type="dxa"/>
          </w:tcPr>
          <w:p>
            <w:pPr>
              <w:pStyle w:val="TableParagraph"/>
              <w:spacing w:before="78"/>
              <w:ind w:left="421" w:right="409"/>
              <w:rPr>
                <w:rFonts w:ascii="Times New Roman"/>
                <w:sz w:val="21"/>
              </w:rPr>
            </w:pPr>
            <w:r>
              <w:rPr>
                <w:rFonts w:ascii="Times New Roman"/>
                <w:sz w:val="21"/>
              </w:rPr>
              <w:t>1.5</w:t>
            </w:r>
          </w:p>
        </w:tc>
      </w:tr>
      <w:tr>
        <w:trPr>
          <w:trHeight w:val="396" w:hRule="atLeast"/>
        </w:trPr>
        <w:tc>
          <w:tcPr>
            <w:tcW w:w="1914" w:type="dxa"/>
          </w:tcPr>
          <w:p>
            <w:pPr>
              <w:pStyle w:val="TableParagraph"/>
              <w:spacing w:before="63"/>
              <w:ind w:left="415"/>
              <w:jc w:val="left"/>
              <w:rPr>
                <w:sz w:val="21"/>
              </w:rPr>
            </w:pPr>
            <w:r>
              <w:rPr>
                <w:sz w:val="21"/>
              </w:rPr>
              <w:t>苯并</w:t>
            </w:r>
            <w:r>
              <w:rPr>
                <w:rFonts w:ascii="Times New Roman" w:eastAsia="Times New Roman"/>
                <w:sz w:val="21"/>
              </w:rPr>
              <w:t>[b]</w:t>
            </w:r>
            <w:r>
              <w:rPr>
                <w:sz w:val="21"/>
              </w:rPr>
              <w:t>荧蒽</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17" w:id="715"/>
            <w:bookmarkEnd w:id="715"/>
            <w:r>
              <w:rPr/>
            </w:r>
            <w:r>
              <w:rPr>
                <w:rFonts w:ascii="Times New Roman"/>
                <w:sz w:val="21"/>
              </w:rPr>
              <w:t>&lt;0.17</w:t>
            </w:r>
          </w:p>
        </w:tc>
        <w:tc>
          <w:tcPr>
            <w:tcW w:w="1200" w:type="dxa"/>
          </w:tcPr>
          <w:p>
            <w:pPr>
              <w:pStyle w:val="TableParagraph"/>
              <w:spacing w:before="76"/>
              <w:ind w:left="421" w:right="414"/>
              <w:rPr>
                <w:rFonts w:ascii="Times New Roman"/>
                <w:sz w:val="21"/>
              </w:rPr>
            </w:pPr>
            <w:r>
              <w:rPr>
                <w:rFonts w:ascii="Times New Roman"/>
                <w:sz w:val="21"/>
              </w:rPr>
              <w:t>15</w:t>
            </w:r>
          </w:p>
        </w:tc>
      </w:tr>
      <w:tr>
        <w:trPr>
          <w:trHeight w:val="397" w:hRule="atLeast"/>
        </w:trPr>
        <w:tc>
          <w:tcPr>
            <w:tcW w:w="1914" w:type="dxa"/>
          </w:tcPr>
          <w:p>
            <w:pPr>
              <w:pStyle w:val="TableParagraph"/>
              <w:spacing w:before="64"/>
              <w:ind w:left="415"/>
              <w:jc w:val="left"/>
              <w:rPr>
                <w:sz w:val="21"/>
              </w:rPr>
            </w:pPr>
            <w:r>
              <w:rPr>
                <w:sz w:val="21"/>
              </w:rPr>
              <w:t>苯并</w:t>
            </w:r>
            <w:r>
              <w:rPr>
                <w:rFonts w:ascii="Times New Roman" w:eastAsia="Times New Roman"/>
                <w:sz w:val="21"/>
              </w:rPr>
              <w:t>[k]</w:t>
            </w:r>
            <w:r>
              <w:rPr>
                <w:sz w:val="21"/>
              </w:rPr>
              <w:t>荧蒽</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80"/>
              <w:ind w:left="819" w:right="809"/>
              <w:rPr>
                <w:rFonts w:ascii="Times New Roman"/>
                <w:sz w:val="21"/>
              </w:rPr>
            </w:pPr>
            <w:bookmarkStart w:name="&lt;0.11" w:id="716"/>
            <w:bookmarkEnd w:id="716"/>
            <w:r>
              <w:rPr/>
            </w:r>
            <w:r>
              <w:rPr>
                <w:rFonts w:ascii="Times New Roman"/>
                <w:sz w:val="21"/>
              </w:rPr>
              <w:t>&lt;0.11</w:t>
            </w:r>
          </w:p>
        </w:tc>
        <w:tc>
          <w:tcPr>
            <w:tcW w:w="1200" w:type="dxa"/>
          </w:tcPr>
          <w:p>
            <w:pPr>
              <w:pStyle w:val="TableParagraph"/>
              <w:spacing w:before="77"/>
              <w:ind w:left="421" w:right="414"/>
              <w:rPr>
                <w:rFonts w:ascii="Times New Roman"/>
                <w:sz w:val="21"/>
              </w:rPr>
            </w:pPr>
            <w:r>
              <w:rPr>
                <w:rFonts w:ascii="Times New Roman"/>
                <w:sz w:val="21"/>
              </w:rPr>
              <w:t>151</w:t>
            </w:r>
          </w:p>
        </w:tc>
      </w:tr>
      <w:tr>
        <w:trPr>
          <w:trHeight w:val="397" w:hRule="atLeast"/>
        </w:trPr>
        <w:tc>
          <w:tcPr>
            <w:tcW w:w="1914" w:type="dxa"/>
          </w:tcPr>
          <w:p>
            <w:pPr>
              <w:pStyle w:val="TableParagraph"/>
              <w:spacing w:before="62"/>
              <w:ind w:left="9"/>
              <w:rPr>
                <w:sz w:val="21"/>
              </w:rPr>
            </w:pPr>
            <w:r>
              <w:rPr>
                <w:w w:val="99"/>
                <w:sz w:val="21"/>
              </w:rPr>
              <w:t>䓛</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81"/>
              <w:ind w:left="819" w:right="809"/>
              <w:rPr>
                <w:rFonts w:ascii="Times New Roman"/>
                <w:sz w:val="21"/>
              </w:rPr>
            </w:pPr>
            <w:bookmarkStart w:name="&lt;0.14" w:id="717"/>
            <w:bookmarkEnd w:id="717"/>
            <w:r>
              <w:rPr/>
            </w:r>
            <w:r>
              <w:rPr>
                <w:rFonts w:ascii="Times New Roman"/>
                <w:sz w:val="21"/>
              </w:rPr>
              <w:t>&lt;0.14</w:t>
            </w:r>
          </w:p>
        </w:tc>
        <w:tc>
          <w:tcPr>
            <w:tcW w:w="1200" w:type="dxa"/>
          </w:tcPr>
          <w:p>
            <w:pPr>
              <w:pStyle w:val="TableParagraph"/>
              <w:spacing w:before="76"/>
              <w:ind w:left="390"/>
              <w:jc w:val="left"/>
              <w:rPr>
                <w:rFonts w:ascii="Times New Roman"/>
                <w:sz w:val="21"/>
              </w:rPr>
            </w:pPr>
            <w:r>
              <w:rPr>
                <w:rFonts w:ascii="Times New Roman"/>
                <w:sz w:val="21"/>
              </w:rPr>
              <w:t>1293</w:t>
            </w:r>
          </w:p>
        </w:tc>
      </w:tr>
      <w:tr>
        <w:trPr>
          <w:trHeight w:val="396" w:hRule="atLeast"/>
        </w:trPr>
        <w:tc>
          <w:tcPr>
            <w:tcW w:w="1914" w:type="dxa"/>
          </w:tcPr>
          <w:p>
            <w:pPr>
              <w:pStyle w:val="TableParagraph"/>
              <w:spacing w:before="63"/>
              <w:ind w:left="230"/>
              <w:jc w:val="left"/>
              <w:rPr>
                <w:sz w:val="21"/>
              </w:rPr>
            </w:pPr>
            <w:r>
              <w:rPr>
                <w:sz w:val="21"/>
              </w:rPr>
              <w:t>茚并</w:t>
            </w:r>
            <w:r>
              <w:rPr>
                <w:rFonts w:ascii="Times New Roman" w:eastAsia="Times New Roman"/>
                <w:sz w:val="21"/>
              </w:rPr>
              <w:t>[1,2,3-cd]</w:t>
            </w:r>
            <w:r>
              <w:rPr>
                <w:sz w:val="21"/>
              </w:rPr>
              <w:t>芘</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9"/>
              <w:ind w:left="819" w:right="809"/>
              <w:rPr>
                <w:rFonts w:ascii="Times New Roman"/>
                <w:sz w:val="21"/>
              </w:rPr>
            </w:pPr>
            <w:bookmarkStart w:name="&lt;0.13" w:id="718"/>
            <w:bookmarkEnd w:id="718"/>
            <w:r>
              <w:rPr/>
            </w:r>
            <w:r>
              <w:rPr>
                <w:rFonts w:ascii="Times New Roman"/>
                <w:sz w:val="21"/>
              </w:rPr>
              <w:t>&lt;0.13</w:t>
            </w:r>
          </w:p>
        </w:tc>
        <w:tc>
          <w:tcPr>
            <w:tcW w:w="1200" w:type="dxa"/>
          </w:tcPr>
          <w:p>
            <w:pPr>
              <w:pStyle w:val="TableParagraph"/>
              <w:spacing w:before="77"/>
              <w:ind w:left="421" w:right="409"/>
              <w:rPr>
                <w:rFonts w:ascii="Times New Roman"/>
                <w:sz w:val="21"/>
              </w:rPr>
            </w:pPr>
            <w:r>
              <w:rPr>
                <w:rFonts w:ascii="Times New Roman"/>
                <w:sz w:val="21"/>
              </w:rPr>
              <w:t>1.5</w:t>
            </w:r>
          </w:p>
        </w:tc>
      </w:tr>
      <w:tr>
        <w:trPr>
          <w:trHeight w:val="397" w:hRule="atLeast"/>
        </w:trPr>
        <w:tc>
          <w:tcPr>
            <w:tcW w:w="1914" w:type="dxa"/>
          </w:tcPr>
          <w:p>
            <w:pPr>
              <w:pStyle w:val="TableParagraph"/>
              <w:spacing w:before="62"/>
              <w:ind w:left="264"/>
              <w:jc w:val="left"/>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986" w:type="dxa"/>
          </w:tcPr>
          <w:p>
            <w:pPr>
              <w:pStyle w:val="TableParagraph"/>
              <w:spacing w:before="76"/>
              <w:ind w:left="654" w:right="648"/>
              <w:rPr>
                <w:rFonts w:ascii="Times New Roman"/>
                <w:sz w:val="21"/>
              </w:rPr>
            </w:pPr>
            <w:r>
              <w:rPr>
                <w:rFonts w:ascii="Times New Roman"/>
                <w:sz w:val="21"/>
              </w:rPr>
              <w:t>mg/kg</w:t>
            </w:r>
          </w:p>
        </w:tc>
        <w:tc>
          <w:tcPr>
            <w:tcW w:w="3150" w:type="dxa"/>
          </w:tcPr>
          <w:p>
            <w:pPr>
              <w:pStyle w:val="TableParagraph"/>
              <w:spacing w:before="80"/>
              <w:ind w:left="819" w:right="809"/>
              <w:rPr>
                <w:rFonts w:ascii="Times New Roman"/>
                <w:sz w:val="21"/>
              </w:rPr>
            </w:pPr>
            <w:bookmarkStart w:name="&lt;0.13" w:id="719"/>
            <w:bookmarkEnd w:id="719"/>
            <w:r>
              <w:rPr/>
            </w:r>
            <w:r>
              <w:rPr>
                <w:rFonts w:ascii="Times New Roman"/>
                <w:sz w:val="21"/>
              </w:rPr>
              <w:t>&lt;0.13</w:t>
            </w:r>
          </w:p>
        </w:tc>
        <w:tc>
          <w:tcPr>
            <w:tcW w:w="1200" w:type="dxa"/>
          </w:tcPr>
          <w:p>
            <w:pPr>
              <w:pStyle w:val="TableParagraph"/>
              <w:spacing w:before="76"/>
              <w:ind w:left="421" w:right="414"/>
              <w:rPr>
                <w:rFonts w:ascii="Times New Roman"/>
                <w:sz w:val="21"/>
              </w:rPr>
            </w:pPr>
            <w:r>
              <w:rPr>
                <w:rFonts w:ascii="Times New Roman"/>
                <w:sz w:val="21"/>
              </w:rPr>
              <w:t>15</w:t>
            </w:r>
          </w:p>
        </w:tc>
      </w:tr>
      <w:tr>
        <w:trPr>
          <w:trHeight w:val="396" w:hRule="atLeast"/>
        </w:trPr>
        <w:tc>
          <w:tcPr>
            <w:tcW w:w="1914" w:type="dxa"/>
          </w:tcPr>
          <w:p>
            <w:pPr>
              <w:pStyle w:val="TableParagraph"/>
              <w:spacing w:before="63"/>
              <w:ind w:left="108" w:right="-15"/>
              <w:jc w:val="left"/>
              <w:rPr>
                <w:sz w:val="21"/>
              </w:rPr>
            </w:pPr>
            <w:r>
              <w:rPr>
                <w:spacing w:val="-21"/>
                <w:sz w:val="21"/>
              </w:rPr>
              <w:t>石油烃</w:t>
            </w:r>
            <w:r>
              <w:rPr>
                <w:sz w:val="21"/>
              </w:rPr>
              <w:t>（</w:t>
            </w:r>
            <w:r>
              <w:rPr>
                <w:rFonts w:ascii="Times New Roman" w:eastAsia="Times New Roman"/>
                <w:sz w:val="21"/>
              </w:rPr>
              <w:t>C10~C40</w:t>
            </w:r>
            <w:r>
              <w:rPr>
                <w:sz w:val="21"/>
              </w:rPr>
              <w:t>）</w:t>
            </w:r>
          </w:p>
        </w:tc>
        <w:tc>
          <w:tcPr>
            <w:tcW w:w="1986" w:type="dxa"/>
          </w:tcPr>
          <w:p>
            <w:pPr>
              <w:pStyle w:val="TableParagraph"/>
              <w:spacing w:before="77"/>
              <w:ind w:left="654" w:right="648"/>
              <w:rPr>
                <w:rFonts w:ascii="Times New Roman"/>
                <w:sz w:val="21"/>
              </w:rPr>
            </w:pPr>
            <w:r>
              <w:rPr>
                <w:rFonts w:ascii="Times New Roman"/>
                <w:sz w:val="21"/>
              </w:rPr>
              <w:t>mg/kg</w:t>
            </w:r>
          </w:p>
        </w:tc>
        <w:tc>
          <w:tcPr>
            <w:tcW w:w="3150" w:type="dxa"/>
          </w:tcPr>
          <w:p>
            <w:pPr>
              <w:pStyle w:val="TableParagraph"/>
              <w:spacing w:before="79"/>
              <w:ind w:left="816" w:right="810"/>
              <w:rPr>
                <w:rFonts w:ascii="Times New Roman"/>
                <w:sz w:val="21"/>
              </w:rPr>
            </w:pPr>
            <w:bookmarkStart w:name="&lt;6" w:id="720"/>
            <w:bookmarkEnd w:id="720"/>
            <w:r>
              <w:rPr/>
            </w:r>
            <w:r>
              <w:rPr>
                <w:rFonts w:ascii="Times New Roman"/>
                <w:sz w:val="21"/>
              </w:rPr>
              <w:t>&lt;6</w:t>
            </w:r>
          </w:p>
        </w:tc>
        <w:tc>
          <w:tcPr>
            <w:tcW w:w="1200" w:type="dxa"/>
          </w:tcPr>
          <w:p>
            <w:pPr>
              <w:pStyle w:val="TableParagraph"/>
              <w:spacing w:before="77"/>
              <w:ind w:left="390"/>
              <w:jc w:val="left"/>
              <w:rPr>
                <w:rFonts w:ascii="Times New Roman"/>
                <w:sz w:val="21"/>
              </w:rPr>
            </w:pPr>
            <w:r>
              <w:rPr>
                <w:rFonts w:ascii="Times New Roman"/>
                <w:sz w:val="21"/>
              </w:rPr>
              <w:t>4500</w:t>
            </w:r>
          </w:p>
        </w:tc>
      </w:tr>
    </w:tbl>
    <w:p>
      <w:pPr>
        <w:spacing w:after="0"/>
        <w:jc w:val="left"/>
        <w:rPr>
          <w:rFonts w:ascii="Times New Roman"/>
          <w:sz w:val="21"/>
        </w:rPr>
        <w:sectPr>
          <w:pgSz w:w="11910" w:h="16840"/>
          <w:pgMar w:header="0" w:footer="1089" w:top="1580" w:bottom="1360" w:left="1040" w:right="600"/>
        </w:sectPr>
      </w:pPr>
    </w:p>
    <w:p>
      <w:pPr>
        <w:spacing w:before="7"/>
        <w:ind w:left="375"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z w:val="18"/>
        </w:rPr>
        <w:t>代表低于检出限</w:t>
      </w:r>
    </w:p>
    <w:p>
      <w:pPr>
        <w:pStyle w:val="BodyText"/>
        <w:spacing w:before="11"/>
        <w:rPr>
          <w:b/>
          <w:sz w:val="27"/>
        </w:rPr>
      </w:pPr>
      <w:r>
        <w:rPr/>
        <w:br w:type="column"/>
      </w:r>
      <w:r>
        <w:rPr>
          <w:b/>
          <w:sz w:val="27"/>
        </w:rPr>
      </w:r>
    </w:p>
    <w:p>
      <w:pPr>
        <w:pStyle w:val="Heading4"/>
        <w:tabs>
          <w:tab w:pos="1523" w:val="left" w:leader="none"/>
        </w:tabs>
        <w:ind w:left="375"/>
      </w:pPr>
      <w:r>
        <w:rPr/>
        <w:t>表</w:t>
      </w:r>
      <w:r>
        <w:rPr>
          <w:spacing w:val="-61"/>
        </w:rPr>
        <w:t> </w:t>
      </w:r>
      <w:r>
        <w:rPr>
          <w:rFonts w:ascii="Times New Roman" w:eastAsia="Times New Roman"/>
          <w:spacing w:val="-3"/>
        </w:rPr>
        <w:t>11.2-3</w:t>
        <w:tab/>
      </w:r>
      <w:r>
        <w:rPr/>
        <w:t>土壤环境质量评价结果</w:t>
      </w:r>
    </w:p>
    <w:p>
      <w:pPr>
        <w:spacing w:after="0"/>
        <w:sectPr>
          <w:type w:val="continuous"/>
          <w:pgSz w:w="11910" w:h="16840"/>
          <w:pgMar w:top="1580" w:bottom="280" w:left="1040" w:right="600"/>
          <w:cols w:num="2" w:equalWidth="0">
            <w:col w:w="2324" w:space="467"/>
            <w:col w:w="7479"/>
          </w:cols>
        </w:sectPr>
      </w:pPr>
    </w:p>
    <w:tbl>
      <w:tblPr>
        <w:tblW w:w="0" w:type="auto"/>
        <w:jc w:val="left"/>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721"/>
        <w:gridCol w:w="3088"/>
        <w:gridCol w:w="1217"/>
      </w:tblGrid>
      <w:tr>
        <w:trPr>
          <w:trHeight w:val="397" w:hRule="atLeast"/>
        </w:trPr>
        <w:tc>
          <w:tcPr>
            <w:tcW w:w="2268" w:type="dxa"/>
            <w:vMerge w:val="restart"/>
          </w:tcPr>
          <w:p>
            <w:pPr>
              <w:pStyle w:val="TableParagraph"/>
              <w:spacing w:before="10"/>
              <w:jc w:val="left"/>
              <w:rPr>
                <w:b/>
                <w:sz w:val="20"/>
              </w:rPr>
            </w:pPr>
          </w:p>
          <w:p>
            <w:pPr>
              <w:pStyle w:val="TableParagraph"/>
              <w:ind w:left="749"/>
              <w:jc w:val="left"/>
              <w:rPr>
                <w:sz w:val="21"/>
              </w:rPr>
            </w:pPr>
            <w:bookmarkStart w:name="检测项目" w:id="721"/>
            <w:bookmarkEnd w:id="721"/>
            <w:r>
              <w:rPr/>
            </w:r>
            <w:r>
              <w:rPr>
                <w:sz w:val="21"/>
              </w:rPr>
              <w:t>检测项目</w:t>
            </w:r>
          </w:p>
        </w:tc>
        <w:tc>
          <w:tcPr>
            <w:tcW w:w="1721" w:type="dxa"/>
            <w:vMerge w:val="restart"/>
          </w:tcPr>
          <w:p>
            <w:pPr>
              <w:pStyle w:val="TableParagraph"/>
              <w:spacing w:before="10"/>
              <w:jc w:val="left"/>
              <w:rPr>
                <w:b/>
                <w:sz w:val="20"/>
              </w:rPr>
            </w:pPr>
          </w:p>
          <w:p>
            <w:pPr>
              <w:pStyle w:val="TableParagraph"/>
              <w:ind w:left="568" w:right="564"/>
              <w:rPr>
                <w:sz w:val="21"/>
              </w:rPr>
            </w:pPr>
            <w:r>
              <w:rPr>
                <w:sz w:val="21"/>
              </w:rPr>
              <w:t>单位</w:t>
            </w:r>
          </w:p>
        </w:tc>
        <w:tc>
          <w:tcPr>
            <w:tcW w:w="3088" w:type="dxa"/>
          </w:tcPr>
          <w:p>
            <w:pPr>
              <w:pStyle w:val="TableParagraph"/>
              <w:spacing w:before="62"/>
              <w:ind w:left="786" w:right="779"/>
              <w:rPr>
                <w:sz w:val="21"/>
              </w:rPr>
            </w:pPr>
            <w:r>
              <w:rPr>
                <w:sz w:val="21"/>
              </w:rPr>
              <w:t>占标率（</w:t>
            </w:r>
            <w:r>
              <w:rPr>
                <w:rFonts w:ascii="Times New Roman" w:eastAsia="Times New Roman"/>
                <w:sz w:val="21"/>
              </w:rPr>
              <w:t>%</w:t>
            </w:r>
            <w:r>
              <w:rPr>
                <w:sz w:val="21"/>
              </w:rPr>
              <w:t>）</w:t>
            </w:r>
          </w:p>
        </w:tc>
        <w:tc>
          <w:tcPr>
            <w:tcW w:w="1217" w:type="dxa"/>
            <w:vMerge w:val="restart"/>
          </w:tcPr>
          <w:p>
            <w:pPr>
              <w:pStyle w:val="TableParagraph"/>
              <w:spacing w:before="10"/>
              <w:jc w:val="left"/>
              <w:rPr>
                <w:b/>
                <w:sz w:val="20"/>
              </w:rPr>
            </w:pPr>
          </w:p>
          <w:p>
            <w:pPr>
              <w:pStyle w:val="TableParagraph"/>
              <w:ind w:left="188"/>
              <w:jc w:val="left"/>
              <w:rPr>
                <w:sz w:val="21"/>
              </w:rPr>
            </w:pPr>
            <w:r>
              <w:rPr>
                <w:sz w:val="21"/>
              </w:rPr>
              <w:t>达标情况</w:t>
            </w:r>
          </w:p>
        </w:tc>
      </w:tr>
      <w:tr>
        <w:trPr>
          <w:trHeight w:val="397" w:hRule="atLeast"/>
        </w:trPr>
        <w:tc>
          <w:tcPr>
            <w:tcW w:w="2268" w:type="dxa"/>
            <w:vMerge/>
            <w:tcBorders>
              <w:top w:val="nil"/>
            </w:tcBorders>
          </w:tcPr>
          <w:p>
            <w:pPr>
              <w:rPr>
                <w:sz w:val="2"/>
                <w:szCs w:val="2"/>
              </w:rPr>
            </w:pPr>
          </w:p>
        </w:tc>
        <w:tc>
          <w:tcPr>
            <w:tcW w:w="1721" w:type="dxa"/>
            <w:vMerge/>
            <w:tcBorders>
              <w:top w:val="nil"/>
            </w:tcBorders>
          </w:tcPr>
          <w:p>
            <w:pPr>
              <w:rPr>
                <w:sz w:val="2"/>
                <w:szCs w:val="2"/>
              </w:rPr>
            </w:pPr>
          </w:p>
        </w:tc>
        <w:tc>
          <w:tcPr>
            <w:tcW w:w="3088" w:type="dxa"/>
          </w:tcPr>
          <w:p>
            <w:pPr>
              <w:pStyle w:val="TableParagraph"/>
              <w:spacing w:before="63"/>
              <w:ind w:left="789" w:right="779"/>
              <w:rPr>
                <w:sz w:val="21"/>
              </w:rPr>
            </w:pPr>
            <w:r>
              <w:rPr>
                <w:sz w:val="21"/>
              </w:rPr>
              <w:t>工业场地表层样</w:t>
            </w:r>
          </w:p>
        </w:tc>
        <w:tc>
          <w:tcPr>
            <w:tcW w:w="1217" w:type="dxa"/>
            <w:vMerge/>
            <w:tcBorders>
              <w:top w:val="nil"/>
            </w:tcBorders>
          </w:tcPr>
          <w:p>
            <w:pPr>
              <w:rPr>
                <w:sz w:val="2"/>
                <w:szCs w:val="2"/>
              </w:rPr>
            </w:pPr>
          </w:p>
        </w:tc>
      </w:tr>
      <w:tr>
        <w:trPr>
          <w:trHeight w:val="397" w:hRule="atLeast"/>
        </w:trPr>
        <w:tc>
          <w:tcPr>
            <w:tcW w:w="2268" w:type="dxa"/>
          </w:tcPr>
          <w:p>
            <w:pPr>
              <w:pStyle w:val="TableParagraph"/>
              <w:spacing w:before="62"/>
              <w:ind w:left="7"/>
              <w:rPr>
                <w:sz w:val="21"/>
              </w:rPr>
            </w:pPr>
            <w:r>
              <w:rPr>
                <w:w w:val="99"/>
                <w:sz w:val="21"/>
              </w:rPr>
              <w:t>砷</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76"/>
              <w:ind w:left="787" w:right="779"/>
              <w:rPr>
                <w:rFonts w:ascii="Times New Roman"/>
                <w:sz w:val="21"/>
              </w:rPr>
            </w:pPr>
            <w:r>
              <w:rPr>
                <w:rFonts w:ascii="Times New Roman"/>
                <w:sz w:val="21"/>
              </w:rPr>
              <w:t>0.18</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7"/>
              <w:rPr>
                <w:sz w:val="21"/>
              </w:rPr>
            </w:pPr>
            <w:r>
              <w:rPr>
                <w:w w:val="99"/>
                <w:sz w:val="21"/>
              </w:rPr>
              <w:t>镉</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77"/>
              <w:ind w:left="789" w:right="778"/>
              <w:rPr>
                <w:rFonts w:ascii="Times New Roman"/>
                <w:sz w:val="21"/>
              </w:rPr>
            </w:pPr>
            <w:r>
              <w:rPr>
                <w:rFonts w:ascii="Times New Roman"/>
                <w:sz w:val="21"/>
              </w:rPr>
              <w:t>0.002</w:t>
            </w:r>
          </w:p>
        </w:tc>
        <w:tc>
          <w:tcPr>
            <w:tcW w:w="1217" w:type="dxa"/>
          </w:tcPr>
          <w:p>
            <w:pPr>
              <w:pStyle w:val="TableParagraph"/>
              <w:spacing w:before="63"/>
              <w:ind w:left="376" w:right="371"/>
              <w:rPr>
                <w:sz w:val="21"/>
              </w:rPr>
            </w:pPr>
            <w:r>
              <w:rPr>
                <w:sz w:val="21"/>
              </w:rPr>
              <w:t>达标</w:t>
            </w:r>
          </w:p>
        </w:tc>
      </w:tr>
      <w:tr>
        <w:trPr>
          <w:trHeight w:val="399" w:hRule="atLeast"/>
        </w:trPr>
        <w:tc>
          <w:tcPr>
            <w:tcW w:w="2268" w:type="dxa"/>
          </w:tcPr>
          <w:p>
            <w:pPr>
              <w:pStyle w:val="TableParagraph"/>
              <w:spacing w:before="64"/>
              <w:ind w:left="213" w:right="204"/>
              <w:rPr>
                <w:sz w:val="21"/>
              </w:rPr>
            </w:pPr>
            <w:r>
              <w:rPr>
                <w:sz w:val="21"/>
              </w:rPr>
              <w:t>六价铬</w:t>
            </w:r>
          </w:p>
        </w:tc>
        <w:tc>
          <w:tcPr>
            <w:tcW w:w="1721" w:type="dxa"/>
          </w:tcPr>
          <w:p>
            <w:pPr>
              <w:pStyle w:val="TableParagraph"/>
              <w:spacing w:before="78"/>
              <w:ind w:left="591"/>
              <w:jc w:val="left"/>
              <w:rPr>
                <w:rFonts w:ascii="Times New Roman"/>
                <w:sz w:val="21"/>
              </w:rPr>
            </w:pPr>
            <w:r>
              <w:rPr>
                <w:rFonts w:ascii="Times New Roman"/>
                <w:sz w:val="21"/>
              </w:rPr>
              <w:t>mg/kg</w:t>
            </w:r>
          </w:p>
        </w:tc>
        <w:tc>
          <w:tcPr>
            <w:tcW w:w="3088" w:type="dxa"/>
          </w:tcPr>
          <w:p>
            <w:pPr>
              <w:pStyle w:val="TableParagraph"/>
              <w:spacing w:before="64"/>
              <w:ind w:left="789" w:right="779"/>
              <w:rPr>
                <w:sz w:val="21"/>
              </w:rPr>
            </w:pP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3"/>
              <w:ind w:left="7"/>
              <w:rPr>
                <w:sz w:val="21"/>
              </w:rPr>
            </w:pPr>
            <w:r>
              <w:rPr>
                <w:w w:val="99"/>
                <w:sz w:val="21"/>
              </w:rPr>
              <w:t>铜</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77"/>
              <w:ind w:left="789" w:right="778"/>
              <w:rPr>
                <w:rFonts w:ascii="Times New Roman"/>
                <w:sz w:val="21"/>
              </w:rPr>
            </w:pPr>
            <w:r>
              <w:rPr>
                <w:rFonts w:ascii="Times New Roman"/>
                <w:sz w:val="21"/>
              </w:rPr>
              <w:t>0.001</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7"/>
              <w:rPr>
                <w:sz w:val="21"/>
              </w:rPr>
            </w:pPr>
            <w:r>
              <w:rPr>
                <w:w w:val="99"/>
                <w:sz w:val="21"/>
              </w:rPr>
              <w:t>铅</w:t>
            </w:r>
          </w:p>
        </w:tc>
        <w:tc>
          <w:tcPr>
            <w:tcW w:w="1721" w:type="dxa"/>
          </w:tcPr>
          <w:p>
            <w:pPr>
              <w:pStyle w:val="TableParagraph"/>
              <w:spacing w:before="78"/>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78"/>
              <w:ind w:left="787" w:right="779"/>
              <w:rPr>
                <w:rFonts w:ascii="Times New Roman"/>
                <w:sz w:val="21"/>
              </w:rPr>
            </w:pPr>
            <w:r>
              <w:rPr>
                <w:rFonts w:ascii="Times New Roman"/>
                <w:sz w:val="21"/>
              </w:rPr>
              <w:t>0.02</w:t>
            </w:r>
          </w:p>
        </w:tc>
        <w:tc>
          <w:tcPr>
            <w:tcW w:w="1217" w:type="dxa"/>
          </w:tcPr>
          <w:p>
            <w:pPr>
              <w:pStyle w:val="TableParagraph"/>
              <w:spacing w:before="64"/>
              <w:ind w:left="376" w:right="371"/>
              <w:rPr>
                <w:sz w:val="21"/>
              </w:rPr>
            </w:pPr>
            <w:r>
              <w:rPr>
                <w:sz w:val="21"/>
              </w:rPr>
              <w:t>达标</w:t>
            </w:r>
          </w:p>
        </w:tc>
      </w:tr>
      <w:tr>
        <w:trPr>
          <w:trHeight w:val="396" w:hRule="atLeast"/>
        </w:trPr>
        <w:tc>
          <w:tcPr>
            <w:tcW w:w="2268" w:type="dxa"/>
          </w:tcPr>
          <w:p>
            <w:pPr>
              <w:pStyle w:val="TableParagraph"/>
              <w:spacing w:before="62"/>
              <w:ind w:left="7"/>
              <w:rPr>
                <w:sz w:val="21"/>
              </w:rPr>
            </w:pPr>
            <w:r>
              <w:rPr>
                <w:w w:val="99"/>
                <w:sz w:val="21"/>
              </w:rPr>
              <w:t>汞</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76"/>
              <w:ind w:left="789" w:right="778"/>
              <w:rPr>
                <w:rFonts w:ascii="Times New Roman"/>
                <w:sz w:val="21"/>
              </w:rPr>
            </w:pPr>
            <w:r>
              <w:rPr>
                <w:rFonts w:ascii="Times New Roman"/>
                <w:sz w:val="21"/>
              </w:rPr>
              <w:t>0.001</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4"/>
              <w:ind w:left="7"/>
              <w:rPr>
                <w:sz w:val="21"/>
              </w:rPr>
            </w:pPr>
            <w:r>
              <w:rPr>
                <w:w w:val="99"/>
                <w:sz w:val="21"/>
              </w:rPr>
              <w:t>镍</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77"/>
              <w:ind w:left="787" w:right="779"/>
              <w:rPr>
                <w:rFonts w:ascii="Times New Roman"/>
                <w:sz w:val="21"/>
              </w:rPr>
            </w:pPr>
            <w:r>
              <w:rPr>
                <w:rFonts w:ascii="Times New Roman"/>
                <w:sz w:val="21"/>
              </w:rPr>
              <w:t>0.02</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sz w:val="21"/>
              </w:rPr>
              <w:t>四氯化碳</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7"/>
              <w:ind w:left="789" w:right="779"/>
              <w:rPr>
                <w:sz w:val="21"/>
              </w:rPr>
            </w:pPr>
            <w:bookmarkStart w:name="未检出" w:id="722"/>
            <w:bookmarkEnd w:id="722"/>
            <w:r>
              <w:rPr/>
            </w:r>
            <w:r>
              <w:rPr>
                <w:sz w:val="21"/>
              </w:rPr>
              <w:t>未检出</w:t>
            </w:r>
          </w:p>
        </w:tc>
        <w:tc>
          <w:tcPr>
            <w:tcW w:w="1217" w:type="dxa"/>
          </w:tcPr>
          <w:p>
            <w:pPr>
              <w:pStyle w:val="TableParagraph"/>
              <w:spacing w:before="62"/>
              <w:ind w:left="376" w:right="371"/>
              <w:rPr>
                <w:sz w:val="21"/>
              </w:rPr>
            </w:pPr>
            <w:r>
              <w:rPr>
                <w:sz w:val="21"/>
              </w:rPr>
              <w:t>达标</w:t>
            </w:r>
          </w:p>
        </w:tc>
      </w:tr>
      <w:tr>
        <w:trPr>
          <w:trHeight w:val="395" w:hRule="atLeast"/>
        </w:trPr>
        <w:tc>
          <w:tcPr>
            <w:tcW w:w="2268" w:type="dxa"/>
          </w:tcPr>
          <w:p>
            <w:pPr>
              <w:pStyle w:val="TableParagraph"/>
              <w:spacing w:before="63"/>
              <w:ind w:left="210" w:right="206"/>
              <w:rPr>
                <w:sz w:val="21"/>
              </w:rPr>
            </w:pPr>
            <w:r>
              <w:rPr>
                <w:sz w:val="21"/>
              </w:rPr>
              <w:t>氯仿</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5"/>
              <w:ind w:left="789" w:right="779"/>
              <w:rPr>
                <w:sz w:val="21"/>
              </w:rPr>
            </w:pPr>
            <w:bookmarkStart w:name="未检出" w:id="723"/>
            <w:bookmarkEnd w:id="723"/>
            <w:r>
              <w:rPr/>
            </w:r>
            <w:r>
              <w:rPr>
                <w:sz w:val="21"/>
              </w:rPr>
              <w:t>未检出</w:t>
            </w:r>
          </w:p>
        </w:tc>
        <w:tc>
          <w:tcPr>
            <w:tcW w:w="1217" w:type="dxa"/>
          </w:tcPr>
          <w:p>
            <w:pPr>
              <w:pStyle w:val="TableParagraph"/>
              <w:spacing w:before="63"/>
              <w:ind w:left="376" w:right="371"/>
              <w:rPr>
                <w:sz w:val="21"/>
              </w:rPr>
            </w:pPr>
            <w:r>
              <w:rPr>
                <w:sz w:val="21"/>
              </w:rPr>
              <w:t>达标</w:t>
            </w:r>
          </w:p>
        </w:tc>
      </w:tr>
    </w:tbl>
    <w:p>
      <w:pPr>
        <w:spacing w:after="0"/>
        <w:rPr>
          <w:sz w:val="21"/>
        </w:rPr>
        <w:sectPr>
          <w:type w:val="continuous"/>
          <w:pgSz w:w="11910" w:h="16840"/>
          <w:pgMar w:top="1580" w:bottom="280" w:left="1040" w:right="600"/>
        </w:sectPr>
      </w:pPr>
    </w:p>
    <w:tbl>
      <w:tblPr>
        <w:tblW w:w="0" w:type="auto"/>
        <w:jc w:val="left"/>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721"/>
        <w:gridCol w:w="3088"/>
        <w:gridCol w:w="1217"/>
      </w:tblGrid>
      <w:tr>
        <w:trPr>
          <w:trHeight w:val="396" w:hRule="atLeast"/>
        </w:trPr>
        <w:tc>
          <w:tcPr>
            <w:tcW w:w="2268" w:type="dxa"/>
          </w:tcPr>
          <w:p>
            <w:pPr>
              <w:pStyle w:val="TableParagraph"/>
              <w:spacing w:before="63"/>
              <w:ind w:left="213" w:right="204"/>
              <w:rPr>
                <w:sz w:val="21"/>
              </w:rPr>
            </w:pPr>
            <w:r>
              <w:rPr>
                <w:sz w:val="21"/>
              </w:rPr>
              <w:t>氯甲烷</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24"/>
            <w:bookmarkEnd w:id="724"/>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6"/>
              <w:rPr>
                <w:sz w:val="21"/>
              </w:rPr>
            </w:pPr>
            <w:r>
              <w:rPr>
                <w:rFonts w:ascii="Times New Roman" w:eastAsia="Times New Roman"/>
                <w:sz w:val="21"/>
              </w:rPr>
              <w:t>1,1-</w:t>
            </w:r>
            <w:r>
              <w:rPr>
                <w:sz w:val="21"/>
              </w:rPr>
              <w:t>二氯乙烷</w:t>
            </w:r>
          </w:p>
        </w:tc>
        <w:tc>
          <w:tcPr>
            <w:tcW w:w="1721" w:type="dxa"/>
          </w:tcPr>
          <w:p>
            <w:pPr>
              <w:pStyle w:val="TableParagraph"/>
              <w:spacing w:before="78"/>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25"/>
            <w:bookmarkEnd w:id="725"/>
            <w:r>
              <w:rPr/>
            </w: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3"/>
              <w:ind w:left="213" w:right="206"/>
              <w:rPr>
                <w:sz w:val="21"/>
              </w:rPr>
            </w:pPr>
            <w:r>
              <w:rPr>
                <w:rFonts w:ascii="Times New Roman" w:eastAsia="Times New Roman"/>
                <w:sz w:val="21"/>
              </w:rPr>
              <w:t>1,2-</w:t>
            </w:r>
            <w:r>
              <w:rPr>
                <w:sz w:val="21"/>
              </w:rPr>
              <w:t>二氯乙烷</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26"/>
            <w:bookmarkEnd w:id="726"/>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3"/>
              <w:ind w:left="213" w:right="206"/>
              <w:rPr>
                <w:sz w:val="21"/>
              </w:rPr>
            </w:pPr>
            <w:r>
              <w:rPr>
                <w:rFonts w:ascii="Times New Roman" w:eastAsia="Times New Roman"/>
                <w:sz w:val="21"/>
              </w:rPr>
              <w:t>1,1-</w:t>
            </w:r>
            <w:r>
              <w:rPr>
                <w:sz w:val="21"/>
              </w:rPr>
              <w:t>二氯乙烯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27"/>
            <w:bookmarkEnd w:id="727"/>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4"/>
              <w:rPr>
                <w:sz w:val="21"/>
              </w:rPr>
            </w:pPr>
            <w:r>
              <w:rPr>
                <w:sz w:val="21"/>
              </w:rPr>
              <w:t>顺</w:t>
            </w:r>
            <w:r>
              <w:rPr>
                <w:rFonts w:ascii="Times New Roman" w:eastAsia="Times New Roman"/>
                <w:sz w:val="21"/>
              </w:rPr>
              <w:t>-1,2-</w:t>
            </w:r>
            <w:r>
              <w:rPr>
                <w:sz w:val="21"/>
              </w:rPr>
              <w:t>二氯乙烯</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7"/>
              <w:ind w:left="1229"/>
              <w:jc w:val="left"/>
              <w:rPr>
                <w:sz w:val="21"/>
              </w:rPr>
            </w:pPr>
            <w:bookmarkStart w:name="未检出" w:id="728"/>
            <w:bookmarkEnd w:id="728"/>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3" w:right="204"/>
              <w:rPr>
                <w:sz w:val="21"/>
              </w:rPr>
            </w:pPr>
            <w:r>
              <w:rPr>
                <w:sz w:val="21"/>
              </w:rPr>
              <w:t>反</w:t>
            </w:r>
            <w:r>
              <w:rPr>
                <w:rFonts w:ascii="Times New Roman" w:eastAsia="Times New Roman"/>
                <w:sz w:val="21"/>
              </w:rPr>
              <w:t>-1,2-</w:t>
            </w:r>
            <w:r>
              <w:rPr>
                <w:sz w:val="21"/>
              </w:rPr>
              <w:t>二氯乙烯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29"/>
            <w:bookmarkEnd w:id="729"/>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sz w:val="21"/>
              </w:rPr>
              <w:t>二氯甲烷</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7"/>
              <w:ind w:left="1229"/>
              <w:jc w:val="left"/>
              <w:rPr>
                <w:sz w:val="21"/>
              </w:rPr>
            </w:pPr>
            <w:bookmarkStart w:name="未检出" w:id="730"/>
            <w:bookmarkEnd w:id="730"/>
            <w:r>
              <w:rPr/>
            </w:r>
            <w:r>
              <w:rPr>
                <w:sz w:val="21"/>
              </w:rPr>
              <w:t>未检出</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3"/>
              <w:ind w:left="213" w:right="206"/>
              <w:rPr>
                <w:sz w:val="21"/>
              </w:rPr>
            </w:pPr>
            <w:r>
              <w:rPr>
                <w:rFonts w:ascii="Times New Roman" w:eastAsia="Times New Roman"/>
                <w:sz w:val="21"/>
              </w:rPr>
              <w:t>1,2-</w:t>
            </w:r>
            <w:r>
              <w:rPr>
                <w:sz w:val="21"/>
              </w:rPr>
              <w:t>二氯丙烷</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31"/>
            <w:bookmarkEnd w:id="731"/>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6"/>
              <w:rPr>
                <w:sz w:val="21"/>
              </w:rPr>
            </w:pPr>
            <w:r>
              <w:rPr>
                <w:rFonts w:ascii="Times New Roman" w:eastAsia="Times New Roman"/>
                <w:sz w:val="21"/>
              </w:rPr>
              <w:t>1,1,1,2-</w:t>
            </w:r>
            <w:r>
              <w:rPr>
                <w:sz w:val="21"/>
              </w:rPr>
              <w:t>四氯乙烷</w:t>
            </w:r>
          </w:p>
        </w:tc>
        <w:tc>
          <w:tcPr>
            <w:tcW w:w="1721" w:type="dxa"/>
          </w:tcPr>
          <w:p>
            <w:pPr>
              <w:pStyle w:val="TableParagraph"/>
              <w:spacing w:before="78"/>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32"/>
            <w:bookmarkEnd w:id="732"/>
            <w:r>
              <w:rPr/>
            </w: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rFonts w:ascii="Times New Roman" w:eastAsia="Times New Roman"/>
                <w:sz w:val="21"/>
              </w:rPr>
              <w:t>1,1,2,2-</w:t>
            </w:r>
            <w:r>
              <w:rPr>
                <w:sz w:val="21"/>
              </w:rPr>
              <w:t>四氯乙烷</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33"/>
            <w:bookmarkEnd w:id="733"/>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3" w:right="206"/>
              <w:rPr>
                <w:sz w:val="21"/>
              </w:rPr>
            </w:pPr>
            <w:r>
              <w:rPr>
                <w:sz w:val="21"/>
              </w:rPr>
              <w:t>四氯乙烯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34"/>
            <w:bookmarkEnd w:id="734"/>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rFonts w:ascii="Times New Roman" w:eastAsia="Times New Roman"/>
                <w:sz w:val="21"/>
              </w:rPr>
              <w:t>1,1,1-</w:t>
            </w:r>
            <w:r>
              <w:rPr>
                <w:sz w:val="21"/>
              </w:rPr>
              <w:t>三氯乙烷</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7"/>
              <w:ind w:left="1229"/>
              <w:jc w:val="left"/>
              <w:rPr>
                <w:sz w:val="21"/>
              </w:rPr>
            </w:pPr>
            <w:bookmarkStart w:name="未检出" w:id="735"/>
            <w:bookmarkEnd w:id="735"/>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3" w:right="206"/>
              <w:rPr>
                <w:sz w:val="21"/>
              </w:rPr>
            </w:pPr>
            <w:r>
              <w:rPr>
                <w:rFonts w:ascii="Times New Roman" w:eastAsia="Times New Roman"/>
                <w:sz w:val="21"/>
              </w:rPr>
              <w:t>1,1,2-</w:t>
            </w:r>
            <w:r>
              <w:rPr>
                <w:sz w:val="21"/>
              </w:rPr>
              <w:t>三氯乙烷</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36"/>
            <w:bookmarkEnd w:id="736"/>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6"/>
              <w:rPr>
                <w:sz w:val="21"/>
              </w:rPr>
            </w:pPr>
            <w:r>
              <w:rPr>
                <w:sz w:val="21"/>
              </w:rPr>
              <w:t>三氯乙烯</w:t>
            </w:r>
          </w:p>
        </w:tc>
        <w:tc>
          <w:tcPr>
            <w:tcW w:w="1721" w:type="dxa"/>
          </w:tcPr>
          <w:p>
            <w:pPr>
              <w:pStyle w:val="TableParagraph"/>
              <w:spacing w:before="78"/>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37"/>
            <w:bookmarkEnd w:id="737"/>
            <w:r>
              <w:rPr/>
            </w:r>
            <w:r>
              <w:rPr>
                <w:sz w:val="21"/>
              </w:rPr>
              <w:t>未检出</w:t>
            </w:r>
          </w:p>
        </w:tc>
        <w:tc>
          <w:tcPr>
            <w:tcW w:w="1217" w:type="dxa"/>
          </w:tcPr>
          <w:p>
            <w:pPr>
              <w:pStyle w:val="TableParagraph"/>
              <w:spacing w:before="64"/>
              <w:ind w:left="376" w:right="371"/>
              <w:rPr>
                <w:sz w:val="21"/>
              </w:rPr>
            </w:pPr>
            <w:r>
              <w:rPr>
                <w:sz w:val="21"/>
              </w:rPr>
              <w:t>达标</w:t>
            </w:r>
          </w:p>
        </w:tc>
      </w:tr>
      <w:tr>
        <w:trPr>
          <w:trHeight w:val="396" w:hRule="atLeast"/>
        </w:trPr>
        <w:tc>
          <w:tcPr>
            <w:tcW w:w="2268" w:type="dxa"/>
          </w:tcPr>
          <w:p>
            <w:pPr>
              <w:pStyle w:val="TableParagraph"/>
              <w:spacing w:before="63"/>
              <w:ind w:left="213" w:right="206"/>
              <w:rPr>
                <w:sz w:val="21"/>
              </w:rPr>
            </w:pPr>
            <w:r>
              <w:rPr>
                <w:rFonts w:ascii="Times New Roman" w:eastAsia="Times New Roman"/>
                <w:sz w:val="21"/>
              </w:rPr>
              <w:t>1,2,3-</w:t>
            </w:r>
            <w:r>
              <w:rPr>
                <w:sz w:val="21"/>
              </w:rPr>
              <w:t>三氯丙烷</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38"/>
            <w:bookmarkEnd w:id="738"/>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4"/>
              <w:rPr>
                <w:sz w:val="21"/>
              </w:rPr>
            </w:pPr>
            <w:r>
              <w:rPr>
                <w:sz w:val="21"/>
              </w:rPr>
              <w:t>氯乙烯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39"/>
            <w:bookmarkEnd w:id="739"/>
            <w:r>
              <w:rPr/>
            </w: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2"/>
              <w:ind w:left="7"/>
              <w:rPr>
                <w:sz w:val="21"/>
              </w:rPr>
            </w:pPr>
            <w:r>
              <w:rPr>
                <w:w w:val="99"/>
                <w:sz w:val="21"/>
              </w:rPr>
              <w:t>苯</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7"/>
              <w:ind w:left="1229"/>
              <w:jc w:val="left"/>
              <w:rPr>
                <w:sz w:val="21"/>
              </w:rPr>
            </w:pPr>
            <w:bookmarkStart w:name="未检出" w:id="740"/>
            <w:bookmarkEnd w:id="740"/>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0" w:right="206"/>
              <w:rPr>
                <w:sz w:val="21"/>
              </w:rPr>
            </w:pPr>
            <w:r>
              <w:rPr>
                <w:sz w:val="21"/>
              </w:rPr>
              <w:t>氯苯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41"/>
            <w:bookmarkEnd w:id="741"/>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4"/>
              <w:rPr>
                <w:sz w:val="21"/>
              </w:rPr>
            </w:pPr>
            <w:r>
              <w:rPr>
                <w:rFonts w:ascii="Times New Roman" w:eastAsia="Times New Roman"/>
                <w:sz w:val="21"/>
              </w:rPr>
              <w:t>1,2-</w:t>
            </w:r>
            <w:r>
              <w:rPr>
                <w:sz w:val="21"/>
              </w:rPr>
              <w:t>二氯苯</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42"/>
            <w:bookmarkEnd w:id="742"/>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3" w:right="204"/>
              <w:rPr>
                <w:sz w:val="21"/>
              </w:rPr>
            </w:pPr>
            <w:r>
              <w:rPr>
                <w:rFonts w:ascii="Times New Roman" w:eastAsia="Times New Roman"/>
                <w:sz w:val="21"/>
              </w:rPr>
              <w:t>1,4-</w:t>
            </w:r>
            <w:r>
              <w:rPr>
                <w:sz w:val="21"/>
              </w:rPr>
              <w:t>二氯苯</w:t>
            </w:r>
          </w:p>
        </w:tc>
        <w:tc>
          <w:tcPr>
            <w:tcW w:w="1721" w:type="dxa"/>
          </w:tcPr>
          <w:p>
            <w:pPr>
              <w:pStyle w:val="TableParagraph"/>
              <w:spacing w:before="77"/>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43"/>
            <w:bookmarkEnd w:id="743"/>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0" w:right="206"/>
              <w:rPr>
                <w:sz w:val="21"/>
              </w:rPr>
            </w:pPr>
            <w:r>
              <w:rPr>
                <w:sz w:val="21"/>
              </w:rPr>
              <w:t>乙苯</w:t>
            </w:r>
          </w:p>
        </w:tc>
        <w:tc>
          <w:tcPr>
            <w:tcW w:w="1721" w:type="dxa"/>
          </w:tcPr>
          <w:p>
            <w:pPr>
              <w:pStyle w:val="TableParagraph"/>
              <w:spacing w:before="78"/>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6"/>
              <w:ind w:left="1229"/>
              <w:jc w:val="left"/>
              <w:rPr>
                <w:sz w:val="21"/>
              </w:rPr>
            </w:pPr>
            <w:bookmarkStart w:name="未检出" w:id="744"/>
            <w:bookmarkEnd w:id="744"/>
            <w:r>
              <w:rPr/>
            </w:r>
            <w:r>
              <w:rPr>
                <w:sz w:val="21"/>
              </w:rPr>
              <w:t>未检出</w:t>
            </w:r>
          </w:p>
        </w:tc>
        <w:tc>
          <w:tcPr>
            <w:tcW w:w="1217" w:type="dxa"/>
          </w:tcPr>
          <w:p>
            <w:pPr>
              <w:pStyle w:val="TableParagraph"/>
              <w:spacing w:before="64"/>
              <w:ind w:left="376" w:right="371"/>
              <w:rPr>
                <w:sz w:val="21"/>
              </w:rPr>
            </w:pPr>
            <w:r>
              <w:rPr>
                <w:sz w:val="21"/>
              </w:rPr>
              <w:t>达标</w:t>
            </w:r>
          </w:p>
        </w:tc>
      </w:tr>
      <w:tr>
        <w:trPr>
          <w:trHeight w:val="396" w:hRule="atLeast"/>
        </w:trPr>
        <w:tc>
          <w:tcPr>
            <w:tcW w:w="2268" w:type="dxa"/>
          </w:tcPr>
          <w:p>
            <w:pPr>
              <w:pStyle w:val="TableParagraph"/>
              <w:spacing w:before="62"/>
              <w:ind w:left="213" w:right="204"/>
              <w:rPr>
                <w:sz w:val="21"/>
              </w:rPr>
            </w:pPr>
            <w:r>
              <w:rPr>
                <w:sz w:val="21"/>
              </w:rPr>
              <w:t>苯乙烯</w:t>
            </w:r>
          </w:p>
        </w:tc>
        <w:tc>
          <w:tcPr>
            <w:tcW w:w="1721" w:type="dxa"/>
          </w:tcPr>
          <w:p>
            <w:pPr>
              <w:pStyle w:val="TableParagraph"/>
              <w:spacing w:before="76"/>
              <w:ind w:left="617"/>
              <w:jc w:val="left"/>
              <w:rPr>
                <w:rFonts w:ascii="Times New Roman" w:hAnsi="Times New Roman"/>
                <w:sz w:val="21"/>
              </w:rPr>
            </w:pPr>
            <w:r>
              <w:rPr>
                <w:rFonts w:ascii="Times New Roman" w:hAnsi="Times New Roman"/>
                <w:sz w:val="21"/>
              </w:rPr>
              <w:t>μg/kg</w:t>
            </w:r>
          </w:p>
        </w:tc>
        <w:tc>
          <w:tcPr>
            <w:tcW w:w="3088" w:type="dxa"/>
          </w:tcPr>
          <w:p>
            <w:pPr>
              <w:pStyle w:val="TableParagraph"/>
              <w:spacing w:before="65"/>
              <w:ind w:left="1229"/>
              <w:jc w:val="left"/>
              <w:rPr>
                <w:sz w:val="21"/>
              </w:rPr>
            </w:pPr>
            <w:bookmarkStart w:name="未检出" w:id="745"/>
            <w:bookmarkEnd w:id="745"/>
            <w:r>
              <w:rPr/>
            </w:r>
            <w:r>
              <w:rPr>
                <w:sz w:val="21"/>
              </w:rPr>
              <w:t>未检出</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3"/>
              <w:ind w:left="210" w:right="206"/>
              <w:rPr>
                <w:sz w:val="21"/>
              </w:rPr>
            </w:pPr>
            <w:r>
              <w:rPr>
                <w:sz w:val="21"/>
              </w:rPr>
              <w:t>甲苯</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46"/>
            <w:bookmarkEnd w:id="746"/>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sz w:val="21"/>
              </w:rPr>
              <w:t>间二甲苯</w:t>
            </w:r>
            <w:r>
              <w:rPr>
                <w:rFonts w:ascii="Times New Roman" w:eastAsia="Times New Roman"/>
                <w:sz w:val="21"/>
              </w:rPr>
              <w:t>+</w:t>
            </w:r>
            <w:r>
              <w:rPr>
                <w:sz w:val="21"/>
              </w:rPr>
              <w:t>对二甲苯</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7"/>
              <w:ind w:left="1229"/>
              <w:jc w:val="left"/>
              <w:rPr>
                <w:sz w:val="21"/>
              </w:rPr>
            </w:pPr>
            <w:bookmarkStart w:name="未检出" w:id="747"/>
            <w:bookmarkEnd w:id="747"/>
            <w:r>
              <w:rPr/>
            </w:r>
            <w:r>
              <w:rPr>
                <w:sz w:val="21"/>
              </w:rPr>
              <w:t>未检出</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3"/>
              <w:ind w:left="213" w:right="206"/>
              <w:rPr>
                <w:sz w:val="21"/>
              </w:rPr>
            </w:pPr>
            <w:r>
              <w:rPr>
                <w:sz w:val="21"/>
              </w:rPr>
              <w:t>邻二甲苯</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48"/>
            <w:bookmarkEnd w:id="748"/>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4"/>
              <w:rPr>
                <w:sz w:val="21"/>
              </w:rPr>
            </w:pPr>
            <w:r>
              <w:rPr>
                <w:sz w:val="21"/>
              </w:rPr>
              <w:t>硝基苯</w:t>
            </w:r>
          </w:p>
        </w:tc>
        <w:tc>
          <w:tcPr>
            <w:tcW w:w="1721" w:type="dxa"/>
          </w:tcPr>
          <w:p>
            <w:pPr>
              <w:pStyle w:val="TableParagraph"/>
              <w:spacing w:before="78"/>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49"/>
            <w:bookmarkEnd w:id="749"/>
            <w:r>
              <w:rPr/>
            </w:r>
            <w:r>
              <w:rPr>
                <w:sz w:val="21"/>
              </w:rPr>
              <w:t>未检出</w:t>
            </w:r>
          </w:p>
        </w:tc>
        <w:tc>
          <w:tcPr>
            <w:tcW w:w="1217" w:type="dxa"/>
          </w:tcPr>
          <w:p>
            <w:pPr>
              <w:pStyle w:val="TableParagraph"/>
              <w:spacing w:before="64"/>
              <w:ind w:left="376" w:right="371"/>
              <w:rPr>
                <w:sz w:val="21"/>
              </w:rPr>
            </w:pPr>
            <w:r>
              <w:rPr>
                <w:sz w:val="21"/>
              </w:rPr>
              <w:t>达标</w:t>
            </w:r>
          </w:p>
        </w:tc>
      </w:tr>
      <w:tr>
        <w:trPr>
          <w:trHeight w:val="396" w:hRule="atLeast"/>
        </w:trPr>
        <w:tc>
          <w:tcPr>
            <w:tcW w:w="2268" w:type="dxa"/>
          </w:tcPr>
          <w:p>
            <w:pPr>
              <w:pStyle w:val="TableParagraph"/>
              <w:spacing w:before="62"/>
              <w:ind w:left="210" w:right="206"/>
              <w:rPr>
                <w:sz w:val="21"/>
              </w:rPr>
            </w:pPr>
            <w:r>
              <w:rPr>
                <w:sz w:val="21"/>
              </w:rPr>
              <w:t>苯胺</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50"/>
            <w:bookmarkEnd w:id="750"/>
            <w:r>
              <w:rPr/>
            </w:r>
            <w:r>
              <w:rPr>
                <w:sz w:val="21"/>
              </w:rPr>
              <w:t>未检出</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4"/>
              <w:ind w:left="213" w:right="206"/>
              <w:rPr>
                <w:sz w:val="21"/>
              </w:rPr>
            </w:pPr>
            <w:r>
              <w:rPr>
                <w:rFonts w:ascii="Times New Roman" w:eastAsia="Times New Roman"/>
                <w:sz w:val="21"/>
              </w:rPr>
              <w:t>2-</w:t>
            </w:r>
            <w:r>
              <w:rPr>
                <w:sz w:val="21"/>
              </w:rPr>
              <w:t>氯酚</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51"/>
            <w:bookmarkEnd w:id="751"/>
            <w:r>
              <w:rPr/>
            </w: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sz w:val="21"/>
              </w:rPr>
              <w:t>苯并</w:t>
            </w:r>
            <w:r>
              <w:rPr>
                <w:rFonts w:ascii="Times New Roman" w:eastAsia="Times New Roman"/>
                <w:sz w:val="21"/>
              </w:rPr>
              <w:t>[a]</w:t>
            </w:r>
            <w:r>
              <w:rPr>
                <w:sz w:val="21"/>
              </w:rPr>
              <w:t>蒽</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7"/>
              <w:ind w:left="1229"/>
              <w:jc w:val="left"/>
              <w:rPr>
                <w:sz w:val="21"/>
              </w:rPr>
            </w:pPr>
            <w:bookmarkStart w:name="未检出" w:id="752"/>
            <w:bookmarkEnd w:id="752"/>
            <w:r>
              <w:rPr/>
            </w:r>
            <w:r>
              <w:rPr>
                <w:sz w:val="21"/>
              </w:rPr>
              <w:t>未检出</w:t>
            </w:r>
          </w:p>
        </w:tc>
        <w:tc>
          <w:tcPr>
            <w:tcW w:w="1217" w:type="dxa"/>
          </w:tcPr>
          <w:p>
            <w:pPr>
              <w:pStyle w:val="TableParagraph"/>
              <w:spacing w:before="62"/>
              <w:ind w:left="376" w:right="371"/>
              <w:rPr>
                <w:sz w:val="21"/>
              </w:rPr>
            </w:pPr>
            <w:r>
              <w:rPr>
                <w:sz w:val="21"/>
              </w:rPr>
              <w:t>达标</w:t>
            </w:r>
          </w:p>
        </w:tc>
      </w:tr>
      <w:tr>
        <w:trPr>
          <w:trHeight w:val="397" w:hRule="atLeast"/>
        </w:trPr>
        <w:tc>
          <w:tcPr>
            <w:tcW w:w="2268" w:type="dxa"/>
          </w:tcPr>
          <w:p>
            <w:pPr>
              <w:pStyle w:val="TableParagraph"/>
              <w:spacing w:before="63"/>
              <w:ind w:left="213" w:right="206"/>
              <w:rPr>
                <w:sz w:val="21"/>
              </w:rPr>
            </w:pPr>
            <w:r>
              <w:rPr>
                <w:sz w:val="21"/>
              </w:rPr>
              <w:t>苯并</w:t>
            </w:r>
            <w:r>
              <w:rPr>
                <w:rFonts w:ascii="Times New Roman" w:eastAsia="Times New Roman"/>
                <w:sz w:val="21"/>
              </w:rPr>
              <w:t>[a]</w:t>
            </w:r>
            <w:r>
              <w:rPr>
                <w:sz w:val="21"/>
              </w:rPr>
              <w:t>芘</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53"/>
            <w:bookmarkEnd w:id="753"/>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2"/>
              <w:ind w:left="213" w:right="206"/>
              <w:rPr>
                <w:sz w:val="21"/>
              </w:rPr>
            </w:pPr>
            <w:r>
              <w:rPr>
                <w:sz w:val="21"/>
              </w:rPr>
              <w:t>苯并</w:t>
            </w:r>
            <w:r>
              <w:rPr>
                <w:rFonts w:ascii="Times New Roman" w:eastAsia="Times New Roman"/>
                <w:sz w:val="21"/>
              </w:rPr>
              <w:t>[b]</w:t>
            </w:r>
            <w:r>
              <w:rPr>
                <w:sz w:val="21"/>
              </w:rPr>
              <w:t>荧蒽</w:t>
            </w:r>
          </w:p>
        </w:tc>
        <w:tc>
          <w:tcPr>
            <w:tcW w:w="1721" w:type="dxa"/>
          </w:tcPr>
          <w:p>
            <w:pPr>
              <w:pStyle w:val="TableParagraph"/>
              <w:spacing w:before="76"/>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54"/>
            <w:bookmarkEnd w:id="754"/>
            <w:r>
              <w:rPr/>
            </w:r>
            <w:r>
              <w:rPr>
                <w:sz w:val="21"/>
              </w:rPr>
              <w:t>未检出</w:t>
            </w:r>
          </w:p>
        </w:tc>
        <w:tc>
          <w:tcPr>
            <w:tcW w:w="1217" w:type="dxa"/>
          </w:tcPr>
          <w:p>
            <w:pPr>
              <w:pStyle w:val="TableParagraph"/>
              <w:spacing w:before="62"/>
              <w:ind w:left="376" w:right="371"/>
              <w:rPr>
                <w:sz w:val="21"/>
              </w:rPr>
            </w:pPr>
            <w:r>
              <w:rPr>
                <w:sz w:val="21"/>
              </w:rPr>
              <w:t>达标</w:t>
            </w:r>
          </w:p>
        </w:tc>
      </w:tr>
      <w:tr>
        <w:trPr>
          <w:trHeight w:val="396" w:hRule="atLeast"/>
        </w:trPr>
        <w:tc>
          <w:tcPr>
            <w:tcW w:w="2268" w:type="dxa"/>
          </w:tcPr>
          <w:p>
            <w:pPr>
              <w:pStyle w:val="TableParagraph"/>
              <w:spacing w:before="63"/>
              <w:ind w:left="213" w:right="206"/>
              <w:rPr>
                <w:sz w:val="21"/>
              </w:rPr>
            </w:pPr>
            <w:r>
              <w:rPr>
                <w:sz w:val="21"/>
              </w:rPr>
              <w:t>苯并</w:t>
            </w:r>
            <w:r>
              <w:rPr>
                <w:rFonts w:ascii="Times New Roman" w:eastAsia="Times New Roman"/>
                <w:sz w:val="21"/>
              </w:rPr>
              <w:t>[k]</w:t>
            </w:r>
            <w:r>
              <w:rPr>
                <w:sz w:val="21"/>
              </w:rPr>
              <w:t>荧蒽</w:t>
            </w:r>
          </w:p>
        </w:tc>
        <w:tc>
          <w:tcPr>
            <w:tcW w:w="1721" w:type="dxa"/>
          </w:tcPr>
          <w:p>
            <w:pPr>
              <w:pStyle w:val="TableParagraph"/>
              <w:spacing w:before="77"/>
              <w:ind w:left="591"/>
              <w:jc w:val="left"/>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55"/>
            <w:bookmarkEnd w:id="755"/>
            <w:r>
              <w:rPr/>
            </w:r>
            <w:r>
              <w:rPr>
                <w:sz w:val="21"/>
              </w:rPr>
              <w:t>未检出</w:t>
            </w:r>
          </w:p>
        </w:tc>
        <w:tc>
          <w:tcPr>
            <w:tcW w:w="1217" w:type="dxa"/>
          </w:tcPr>
          <w:p>
            <w:pPr>
              <w:pStyle w:val="TableParagraph"/>
              <w:spacing w:before="63"/>
              <w:ind w:left="376" w:right="371"/>
              <w:rPr>
                <w:sz w:val="21"/>
              </w:rPr>
            </w:pPr>
            <w:r>
              <w:rPr>
                <w:sz w:val="21"/>
              </w:rPr>
              <w:t>达标</w:t>
            </w:r>
          </w:p>
        </w:tc>
      </w:tr>
      <w:tr>
        <w:trPr>
          <w:trHeight w:val="395" w:hRule="atLeast"/>
        </w:trPr>
        <w:tc>
          <w:tcPr>
            <w:tcW w:w="2268" w:type="dxa"/>
          </w:tcPr>
          <w:p>
            <w:pPr>
              <w:pStyle w:val="TableParagraph"/>
              <w:spacing w:before="64"/>
              <w:ind w:left="7"/>
              <w:rPr>
                <w:sz w:val="21"/>
              </w:rPr>
            </w:pPr>
            <w:r>
              <w:rPr>
                <w:w w:val="99"/>
                <w:sz w:val="21"/>
              </w:rPr>
              <w:t>䓛</w:t>
            </w:r>
          </w:p>
        </w:tc>
        <w:tc>
          <w:tcPr>
            <w:tcW w:w="1721" w:type="dxa"/>
          </w:tcPr>
          <w:p>
            <w:pPr>
              <w:pStyle w:val="TableParagraph"/>
              <w:spacing w:before="78"/>
              <w:ind w:left="591"/>
              <w:jc w:val="left"/>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56"/>
            <w:bookmarkEnd w:id="756"/>
            <w:r>
              <w:rPr/>
            </w:r>
            <w:r>
              <w:rPr>
                <w:sz w:val="21"/>
              </w:rPr>
              <w:t>未检出</w:t>
            </w:r>
          </w:p>
        </w:tc>
        <w:tc>
          <w:tcPr>
            <w:tcW w:w="1217" w:type="dxa"/>
          </w:tcPr>
          <w:p>
            <w:pPr>
              <w:pStyle w:val="TableParagraph"/>
              <w:spacing w:before="64"/>
              <w:ind w:left="376" w:right="371"/>
              <w:rPr>
                <w:sz w:val="21"/>
              </w:rPr>
            </w:pPr>
            <w:r>
              <w:rPr>
                <w:sz w:val="21"/>
              </w:rPr>
              <w:t>达标</w:t>
            </w:r>
          </w:p>
        </w:tc>
      </w:tr>
    </w:tbl>
    <w:p>
      <w:pPr>
        <w:spacing w:after="0"/>
        <w:rPr>
          <w:sz w:val="21"/>
        </w:rPr>
        <w:sectPr>
          <w:pgSz w:w="11910" w:h="16840"/>
          <w:pgMar w:header="0" w:footer="1089" w:top="1580" w:bottom="1280" w:left="1040" w:right="600"/>
        </w:sectPr>
      </w:pPr>
    </w:p>
    <w:tbl>
      <w:tblPr>
        <w:tblW w:w="0" w:type="auto"/>
        <w:jc w:val="left"/>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721"/>
        <w:gridCol w:w="3088"/>
        <w:gridCol w:w="1217"/>
      </w:tblGrid>
      <w:tr>
        <w:trPr>
          <w:trHeight w:val="396" w:hRule="atLeast"/>
        </w:trPr>
        <w:tc>
          <w:tcPr>
            <w:tcW w:w="2268" w:type="dxa"/>
          </w:tcPr>
          <w:p>
            <w:pPr>
              <w:pStyle w:val="TableParagraph"/>
              <w:spacing w:before="63"/>
              <w:ind w:left="213" w:right="204"/>
              <w:rPr>
                <w:sz w:val="21"/>
              </w:rPr>
            </w:pPr>
            <w:r>
              <w:rPr>
                <w:sz w:val="21"/>
              </w:rPr>
              <w:t>二苯并</w:t>
            </w:r>
            <w:r>
              <w:rPr>
                <w:rFonts w:ascii="Times New Roman" w:eastAsia="Times New Roman"/>
                <w:sz w:val="21"/>
              </w:rPr>
              <w:t>[a, h]</w:t>
            </w:r>
            <w:r>
              <w:rPr>
                <w:sz w:val="21"/>
              </w:rPr>
              <w:t>蒽</w:t>
            </w:r>
          </w:p>
        </w:tc>
        <w:tc>
          <w:tcPr>
            <w:tcW w:w="1721" w:type="dxa"/>
          </w:tcPr>
          <w:p>
            <w:pPr>
              <w:pStyle w:val="TableParagraph"/>
              <w:spacing w:before="77"/>
              <w:ind w:left="569" w:right="564"/>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57"/>
            <w:bookmarkEnd w:id="757"/>
            <w:r>
              <w:rPr/>
            </w:r>
            <w:r>
              <w:rPr>
                <w:sz w:val="21"/>
              </w:rPr>
              <w:t>未检出</w:t>
            </w:r>
          </w:p>
        </w:tc>
        <w:tc>
          <w:tcPr>
            <w:tcW w:w="1217" w:type="dxa"/>
          </w:tcPr>
          <w:p>
            <w:pPr>
              <w:pStyle w:val="TableParagraph"/>
              <w:spacing w:before="63"/>
              <w:ind w:left="376" w:right="371"/>
              <w:rPr>
                <w:sz w:val="21"/>
              </w:rPr>
            </w:pPr>
            <w:r>
              <w:rPr>
                <w:sz w:val="21"/>
              </w:rPr>
              <w:t>达标</w:t>
            </w:r>
          </w:p>
        </w:tc>
      </w:tr>
      <w:tr>
        <w:trPr>
          <w:trHeight w:val="397" w:hRule="atLeast"/>
        </w:trPr>
        <w:tc>
          <w:tcPr>
            <w:tcW w:w="2268" w:type="dxa"/>
          </w:tcPr>
          <w:p>
            <w:pPr>
              <w:pStyle w:val="TableParagraph"/>
              <w:spacing w:before="64"/>
              <w:ind w:left="213" w:right="201"/>
              <w:rPr>
                <w:sz w:val="21"/>
              </w:rPr>
            </w:pPr>
            <w:r>
              <w:rPr>
                <w:sz w:val="21"/>
              </w:rPr>
              <w:t>茚并</w:t>
            </w:r>
            <w:r>
              <w:rPr>
                <w:rFonts w:ascii="Times New Roman" w:eastAsia="Times New Roman"/>
                <w:sz w:val="21"/>
              </w:rPr>
              <w:t>[1,2,3-cd]</w:t>
            </w:r>
            <w:r>
              <w:rPr>
                <w:sz w:val="21"/>
              </w:rPr>
              <w:t>芘</w:t>
            </w:r>
          </w:p>
        </w:tc>
        <w:tc>
          <w:tcPr>
            <w:tcW w:w="1721" w:type="dxa"/>
          </w:tcPr>
          <w:p>
            <w:pPr>
              <w:pStyle w:val="TableParagraph"/>
              <w:spacing w:before="78"/>
              <w:ind w:left="569" w:right="564"/>
              <w:rPr>
                <w:rFonts w:ascii="Times New Roman"/>
                <w:sz w:val="21"/>
              </w:rPr>
            </w:pPr>
            <w:r>
              <w:rPr>
                <w:rFonts w:ascii="Times New Roman"/>
                <w:sz w:val="21"/>
              </w:rPr>
              <w:t>mg/kg</w:t>
            </w:r>
          </w:p>
        </w:tc>
        <w:tc>
          <w:tcPr>
            <w:tcW w:w="3088" w:type="dxa"/>
          </w:tcPr>
          <w:p>
            <w:pPr>
              <w:pStyle w:val="TableParagraph"/>
              <w:spacing w:before="66"/>
              <w:ind w:left="1229"/>
              <w:jc w:val="left"/>
              <w:rPr>
                <w:sz w:val="21"/>
              </w:rPr>
            </w:pPr>
            <w:bookmarkStart w:name="未检出" w:id="758"/>
            <w:bookmarkEnd w:id="758"/>
            <w:r>
              <w:rPr/>
            </w:r>
            <w:r>
              <w:rPr>
                <w:sz w:val="21"/>
              </w:rPr>
              <w:t>未检出</w:t>
            </w:r>
          </w:p>
        </w:tc>
        <w:tc>
          <w:tcPr>
            <w:tcW w:w="1217" w:type="dxa"/>
          </w:tcPr>
          <w:p>
            <w:pPr>
              <w:pStyle w:val="TableParagraph"/>
              <w:spacing w:before="64"/>
              <w:ind w:left="376" w:right="371"/>
              <w:rPr>
                <w:sz w:val="21"/>
              </w:rPr>
            </w:pPr>
            <w:r>
              <w:rPr>
                <w:sz w:val="21"/>
              </w:rPr>
              <w:t>达标</w:t>
            </w:r>
          </w:p>
        </w:tc>
      </w:tr>
      <w:tr>
        <w:trPr>
          <w:trHeight w:val="397" w:hRule="atLeast"/>
        </w:trPr>
        <w:tc>
          <w:tcPr>
            <w:tcW w:w="2268" w:type="dxa"/>
          </w:tcPr>
          <w:p>
            <w:pPr>
              <w:pStyle w:val="TableParagraph"/>
              <w:spacing w:before="63"/>
              <w:ind w:left="7"/>
              <w:rPr>
                <w:sz w:val="21"/>
              </w:rPr>
            </w:pPr>
            <w:r>
              <w:rPr>
                <w:w w:val="99"/>
                <w:sz w:val="21"/>
              </w:rPr>
              <w:t>萘</w:t>
            </w:r>
          </w:p>
        </w:tc>
        <w:tc>
          <w:tcPr>
            <w:tcW w:w="1721" w:type="dxa"/>
          </w:tcPr>
          <w:p>
            <w:pPr>
              <w:pStyle w:val="TableParagraph"/>
              <w:ind w:left="569" w:right="564"/>
              <w:rPr>
                <w:rFonts w:ascii="Times New Roman"/>
                <w:sz w:val="21"/>
              </w:rPr>
            </w:pPr>
            <w:r>
              <w:rPr>
                <w:rFonts w:ascii="Times New Roman"/>
                <w:sz w:val="21"/>
              </w:rPr>
              <w:t>mg/kg</w:t>
            </w:r>
          </w:p>
        </w:tc>
        <w:tc>
          <w:tcPr>
            <w:tcW w:w="3088" w:type="dxa"/>
          </w:tcPr>
          <w:p>
            <w:pPr>
              <w:pStyle w:val="TableParagraph"/>
              <w:spacing w:before="65"/>
              <w:ind w:left="1229"/>
              <w:jc w:val="left"/>
              <w:rPr>
                <w:sz w:val="21"/>
              </w:rPr>
            </w:pPr>
            <w:bookmarkStart w:name="未检出" w:id="759"/>
            <w:bookmarkEnd w:id="759"/>
            <w:r>
              <w:rPr/>
            </w:r>
            <w:r>
              <w:rPr>
                <w:sz w:val="21"/>
              </w:rPr>
              <w:t>未检出</w:t>
            </w:r>
          </w:p>
        </w:tc>
        <w:tc>
          <w:tcPr>
            <w:tcW w:w="1217" w:type="dxa"/>
          </w:tcPr>
          <w:p>
            <w:pPr>
              <w:pStyle w:val="TableParagraph"/>
              <w:spacing w:before="63"/>
              <w:ind w:left="376" w:right="371"/>
              <w:rPr>
                <w:sz w:val="21"/>
              </w:rPr>
            </w:pPr>
            <w:r>
              <w:rPr>
                <w:sz w:val="21"/>
              </w:rPr>
              <w:t>达标</w:t>
            </w:r>
          </w:p>
        </w:tc>
      </w:tr>
    </w:tbl>
    <w:p>
      <w:pPr>
        <w:spacing w:before="6"/>
        <w:ind w:left="0" w:right="370" w:firstLine="0"/>
        <w:jc w:val="center"/>
        <w:rPr>
          <w:b/>
          <w:sz w:val="24"/>
        </w:rPr>
      </w:pPr>
      <w:r>
        <w:rPr>
          <w:b/>
          <w:spacing w:val="-31"/>
          <w:sz w:val="24"/>
        </w:rPr>
        <w:t>表 </w:t>
      </w:r>
      <w:r>
        <w:rPr>
          <w:rFonts w:ascii="Times New Roman" w:eastAsia="Times New Roman"/>
          <w:b/>
          <w:spacing w:val="-3"/>
          <w:sz w:val="24"/>
        </w:rPr>
        <w:t>11.2-4</w:t>
      </w:r>
      <w:r>
        <w:rPr>
          <w:rFonts w:ascii="Times New Roman" w:eastAsia="Times New Roman"/>
          <w:b/>
          <w:sz w:val="24"/>
        </w:rPr>
        <w:t>  </w:t>
      </w:r>
      <w:r>
        <w:rPr>
          <w:b/>
          <w:sz w:val="24"/>
        </w:rPr>
        <w:t>农用地土壤环境质量监测结果</w:t>
      </w:r>
    </w:p>
    <w:tbl>
      <w:tblPr>
        <w:tblW w:w="0" w:type="auto"/>
        <w:jc w:val="left"/>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960"/>
        <w:gridCol w:w="2576"/>
        <w:gridCol w:w="2576"/>
        <w:gridCol w:w="1220"/>
      </w:tblGrid>
      <w:tr>
        <w:trPr>
          <w:trHeight w:val="397" w:hRule="atLeast"/>
        </w:trPr>
        <w:tc>
          <w:tcPr>
            <w:tcW w:w="1464" w:type="dxa"/>
            <w:vMerge w:val="restart"/>
          </w:tcPr>
          <w:p>
            <w:pPr>
              <w:pStyle w:val="TableParagraph"/>
              <w:spacing w:before="9"/>
              <w:jc w:val="left"/>
              <w:rPr>
                <w:b/>
                <w:sz w:val="20"/>
              </w:rPr>
            </w:pPr>
          </w:p>
          <w:p>
            <w:pPr>
              <w:pStyle w:val="TableParagraph"/>
              <w:ind w:left="348"/>
              <w:jc w:val="left"/>
              <w:rPr>
                <w:sz w:val="21"/>
              </w:rPr>
            </w:pPr>
            <w:bookmarkStart w:name="检测项目" w:id="760"/>
            <w:bookmarkEnd w:id="760"/>
            <w:r>
              <w:rPr/>
            </w:r>
            <w:r>
              <w:rPr>
                <w:sz w:val="21"/>
              </w:rPr>
              <w:t>检测项目</w:t>
            </w:r>
          </w:p>
        </w:tc>
        <w:tc>
          <w:tcPr>
            <w:tcW w:w="960" w:type="dxa"/>
            <w:vMerge w:val="restart"/>
          </w:tcPr>
          <w:p>
            <w:pPr>
              <w:pStyle w:val="TableParagraph"/>
              <w:spacing w:before="9"/>
              <w:jc w:val="left"/>
              <w:rPr>
                <w:b/>
                <w:sz w:val="20"/>
              </w:rPr>
            </w:pPr>
          </w:p>
          <w:p>
            <w:pPr>
              <w:pStyle w:val="TableParagraph"/>
              <w:ind w:left="269"/>
              <w:jc w:val="left"/>
              <w:rPr>
                <w:sz w:val="21"/>
              </w:rPr>
            </w:pPr>
            <w:r>
              <w:rPr>
                <w:sz w:val="21"/>
              </w:rPr>
              <w:t>单位</w:t>
            </w:r>
          </w:p>
        </w:tc>
        <w:tc>
          <w:tcPr>
            <w:tcW w:w="5152" w:type="dxa"/>
            <w:gridSpan w:val="2"/>
          </w:tcPr>
          <w:p>
            <w:pPr>
              <w:pStyle w:val="TableParagraph"/>
              <w:spacing w:before="62"/>
              <w:ind w:left="2241" w:right="2231"/>
              <w:rPr>
                <w:sz w:val="21"/>
              </w:rPr>
            </w:pPr>
            <w:r>
              <w:rPr>
                <w:sz w:val="21"/>
              </w:rPr>
              <w:t>监测值</w:t>
            </w:r>
          </w:p>
        </w:tc>
        <w:tc>
          <w:tcPr>
            <w:tcW w:w="1220" w:type="dxa"/>
            <w:vMerge w:val="restart"/>
          </w:tcPr>
          <w:p>
            <w:pPr>
              <w:pStyle w:val="TableParagraph"/>
              <w:spacing w:before="9"/>
              <w:jc w:val="left"/>
              <w:rPr>
                <w:b/>
                <w:sz w:val="20"/>
              </w:rPr>
            </w:pPr>
          </w:p>
          <w:p>
            <w:pPr>
              <w:pStyle w:val="TableParagraph"/>
              <w:ind w:left="294"/>
              <w:jc w:val="left"/>
              <w:rPr>
                <w:sz w:val="21"/>
              </w:rPr>
            </w:pPr>
            <w:r>
              <w:rPr>
                <w:sz w:val="21"/>
              </w:rPr>
              <w:t>标准值</w:t>
            </w:r>
          </w:p>
        </w:tc>
      </w:tr>
      <w:tr>
        <w:trPr>
          <w:trHeight w:val="397" w:hRule="atLeast"/>
        </w:trPr>
        <w:tc>
          <w:tcPr>
            <w:tcW w:w="1464" w:type="dxa"/>
            <w:vMerge/>
            <w:tcBorders>
              <w:top w:val="nil"/>
            </w:tcBorders>
          </w:tcPr>
          <w:p>
            <w:pPr>
              <w:rPr>
                <w:sz w:val="2"/>
                <w:szCs w:val="2"/>
              </w:rPr>
            </w:pPr>
          </w:p>
        </w:tc>
        <w:tc>
          <w:tcPr>
            <w:tcW w:w="960" w:type="dxa"/>
            <w:vMerge/>
            <w:tcBorders>
              <w:top w:val="nil"/>
            </w:tcBorders>
          </w:tcPr>
          <w:p>
            <w:pPr>
              <w:rPr>
                <w:sz w:val="2"/>
                <w:szCs w:val="2"/>
              </w:rPr>
            </w:pPr>
          </w:p>
        </w:tc>
        <w:tc>
          <w:tcPr>
            <w:tcW w:w="2576" w:type="dxa"/>
          </w:tcPr>
          <w:p>
            <w:pPr>
              <w:pStyle w:val="TableParagraph"/>
              <w:spacing w:before="63"/>
              <w:ind w:left="111" w:right="104"/>
              <w:rPr>
                <w:rFonts w:ascii="Times New Roman" w:eastAsia="Times New Roman"/>
                <w:sz w:val="21"/>
              </w:rPr>
            </w:pPr>
            <w:r>
              <w:rPr>
                <w:sz w:val="21"/>
              </w:rPr>
              <w:t>工业场地厂址外表层样 </w:t>
            </w:r>
            <w:r>
              <w:rPr>
                <w:rFonts w:ascii="Times New Roman" w:eastAsia="Times New Roman"/>
                <w:sz w:val="21"/>
              </w:rPr>
              <w:t>1</w:t>
            </w:r>
          </w:p>
        </w:tc>
        <w:tc>
          <w:tcPr>
            <w:tcW w:w="2576" w:type="dxa"/>
          </w:tcPr>
          <w:p>
            <w:pPr>
              <w:pStyle w:val="TableParagraph"/>
              <w:spacing w:before="63"/>
              <w:ind w:left="111" w:right="103"/>
              <w:rPr>
                <w:rFonts w:ascii="Times New Roman" w:eastAsia="Times New Roman"/>
                <w:sz w:val="21"/>
              </w:rPr>
            </w:pPr>
            <w:r>
              <w:rPr>
                <w:sz w:val="21"/>
              </w:rPr>
              <w:t>工业场地厂址外表层样 </w:t>
            </w:r>
            <w:r>
              <w:rPr>
                <w:rFonts w:ascii="Times New Roman" w:eastAsia="Times New Roman"/>
                <w:sz w:val="21"/>
              </w:rPr>
              <w:t>2</w:t>
            </w:r>
          </w:p>
        </w:tc>
        <w:tc>
          <w:tcPr>
            <w:tcW w:w="1220" w:type="dxa"/>
            <w:vMerge/>
            <w:tcBorders>
              <w:top w:val="nil"/>
            </w:tcBorders>
          </w:tcPr>
          <w:p>
            <w:pPr>
              <w:rPr>
                <w:sz w:val="2"/>
                <w:szCs w:val="2"/>
              </w:rPr>
            </w:pPr>
          </w:p>
        </w:tc>
      </w:tr>
      <w:tr>
        <w:trPr>
          <w:trHeight w:val="397" w:hRule="atLeast"/>
        </w:trPr>
        <w:tc>
          <w:tcPr>
            <w:tcW w:w="1464" w:type="dxa"/>
          </w:tcPr>
          <w:p>
            <w:pPr>
              <w:pStyle w:val="TableParagraph"/>
              <w:spacing w:before="64"/>
              <w:ind w:left="404" w:right="378"/>
              <w:rPr>
                <w:sz w:val="21"/>
              </w:rPr>
            </w:pPr>
            <w:bookmarkStart w:name="pH值" w:id="761"/>
            <w:bookmarkEnd w:id="761"/>
            <w:r>
              <w:rPr/>
            </w:r>
            <w:r>
              <w:rPr>
                <w:rFonts w:ascii="Times New Roman" w:eastAsia="Times New Roman"/>
                <w:sz w:val="21"/>
              </w:rPr>
              <w:t>pH </w:t>
            </w:r>
            <w:r>
              <w:rPr>
                <w:sz w:val="21"/>
              </w:rPr>
              <w:t>值</w:t>
            </w:r>
          </w:p>
        </w:tc>
        <w:tc>
          <w:tcPr>
            <w:tcW w:w="960" w:type="dxa"/>
          </w:tcPr>
          <w:p>
            <w:pPr>
              <w:pStyle w:val="TableParagraph"/>
              <w:spacing w:before="64"/>
              <w:ind w:left="154" w:right="126"/>
              <w:rPr>
                <w:sz w:val="21"/>
              </w:rPr>
            </w:pPr>
            <w:bookmarkStart w:name="无量纲" w:id="762"/>
            <w:bookmarkEnd w:id="762"/>
            <w:r>
              <w:rPr/>
            </w:r>
            <w:r>
              <w:rPr>
                <w:sz w:val="21"/>
              </w:rPr>
              <w:t>无量纲</w:t>
            </w:r>
          </w:p>
        </w:tc>
        <w:tc>
          <w:tcPr>
            <w:tcW w:w="2576" w:type="dxa"/>
          </w:tcPr>
          <w:p>
            <w:pPr>
              <w:pStyle w:val="TableParagraph"/>
              <w:spacing w:before="78"/>
              <w:ind w:left="111" w:right="90"/>
              <w:rPr>
                <w:rFonts w:ascii="Times New Roman"/>
                <w:sz w:val="21"/>
              </w:rPr>
            </w:pPr>
            <w:bookmarkStart w:name="7.14" w:id="763"/>
            <w:bookmarkEnd w:id="763"/>
            <w:r>
              <w:rPr/>
            </w:r>
            <w:r>
              <w:rPr>
                <w:rFonts w:ascii="Times New Roman"/>
                <w:sz w:val="21"/>
              </w:rPr>
              <w:t>7.14</w:t>
            </w:r>
          </w:p>
        </w:tc>
        <w:tc>
          <w:tcPr>
            <w:tcW w:w="2576" w:type="dxa"/>
          </w:tcPr>
          <w:p>
            <w:pPr>
              <w:pStyle w:val="TableParagraph"/>
              <w:spacing w:before="78"/>
              <w:ind w:left="111" w:right="91"/>
              <w:rPr>
                <w:rFonts w:ascii="Times New Roman"/>
                <w:sz w:val="21"/>
              </w:rPr>
            </w:pPr>
            <w:bookmarkStart w:name="6.83" w:id="764"/>
            <w:bookmarkEnd w:id="764"/>
            <w:r>
              <w:rPr/>
            </w:r>
            <w:r>
              <w:rPr>
                <w:rFonts w:ascii="Times New Roman"/>
                <w:sz w:val="21"/>
              </w:rPr>
              <w:t>6.83</w:t>
            </w:r>
          </w:p>
        </w:tc>
        <w:tc>
          <w:tcPr>
            <w:tcW w:w="1220" w:type="dxa"/>
          </w:tcPr>
          <w:p>
            <w:pPr>
              <w:pStyle w:val="TableParagraph"/>
              <w:spacing w:before="78"/>
              <w:ind w:left="16"/>
              <w:rPr>
                <w:rFonts w:ascii="Times New Roman" w:hAnsi="Times New Roman"/>
                <w:sz w:val="21"/>
              </w:rPr>
            </w:pPr>
            <w:bookmarkStart w:name="─" w:id="765"/>
            <w:bookmarkEnd w:id="765"/>
            <w:r>
              <w:rPr/>
            </w:r>
            <w:r>
              <w:rPr>
                <w:rFonts w:ascii="Times New Roman" w:hAnsi="Times New Roman"/>
                <w:w w:val="99"/>
                <w:sz w:val="21"/>
              </w:rPr>
              <w:t>─</w:t>
            </w:r>
          </w:p>
        </w:tc>
      </w:tr>
      <w:tr>
        <w:trPr>
          <w:trHeight w:val="397" w:hRule="atLeast"/>
        </w:trPr>
        <w:tc>
          <w:tcPr>
            <w:tcW w:w="1464" w:type="dxa"/>
          </w:tcPr>
          <w:p>
            <w:pPr>
              <w:pStyle w:val="TableParagraph"/>
              <w:spacing w:before="62"/>
              <w:ind w:left="406" w:right="378"/>
              <w:rPr>
                <w:sz w:val="21"/>
              </w:rPr>
            </w:pPr>
            <w:bookmarkStart w:name="含盐量" w:id="766"/>
            <w:bookmarkEnd w:id="766"/>
            <w:r>
              <w:rPr/>
            </w:r>
            <w:r>
              <w:rPr>
                <w:sz w:val="21"/>
              </w:rPr>
              <w:t>含盐量</w:t>
            </w:r>
          </w:p>
        </w:tc>
        <w:tc>
          <w:tcPr>
            <w:tcW w:w="960" w:type="dxa"/>
          </w:tcPr>
          <w:p>
            <w:pPr>
              <w:pStyle w:val="TableParagraph"/>
              <w:spacing w:before="76"/>
              <w:ind w:left="134" w:right="126"/>
              <w:rPr>
                <w:rFonts w:ascii="Times New Roman"/>
                <w:sz w:val="21"/>
              </w:rPr>
            </w:pPr>
            <w:bookmarkStart w:name="g/kg" w:id="767"/>
            <w:bookmarkEnd w:id="767"/>
            <w:r>
              <w:rPr/>
            </w:r>
            <w:r>
              <w:rPr>
                <w:rFonts w:ascii="Times New Roman"/>
                <w:sz w:val="21"/>
              </w:rPr>
              <w:t>g/kg</w:t>
            </w:r>
          </w:p>
        </w:tc>
        <w:tc>
          <w:tcPr>
            <w:tcW w:w="2576" w:type="dxa"/>
          </w:tcPr>
          <w:p>
            <w:pPr>
              <w:pStyle w:val="TableParagraph"/>
              <w:spacing w:before="76"/>
              <w:ind w:left="111" w:right="90"/>
              <w:rPr>
                <w:rFonts w:ascii="Times New Roman"/>
                <w:sz w:val="21"/>
              </w:rPr>
            </w:pPr>
            <w:bookmarkStart w:name="1.3" w:id="768"/>
            <w:bookmarkEnd w:id="768"/>
            <w:r>
              <w:rPr/>
            </w:r>
            <w:r>
              <w:rPr>
                <w:rFonts w:ascii="Times New Roman"/>
                <w:sz w:val="21"/>
              </w:rPr>
              <w:t>1.3</w:t>
            </w:r>
          </w:p>
        </w:tc>
        <w:tc>
          <w:tcPr>
            <w:tcW w:w="2576" w:type="dxa"/>
          </w:tcPr>
          <w:p>
            <w:pPr>
              <w:pStyle w:val="TableParagraph"/>
              <w:spacing w:before="76"/>
              <w:ind w:left="111" w:right="91"/>
              <w:rPr>
                <w:rFonts w:ascii="Times New Roman"/>
                <w:sz w:val="21"/>
              </w:rPr>
            </w:pPr>
            <w:bookmarkStart w:name="1.6" w:id="769"/>
            <w:bookmarkEnd w:id="769"/>
            <w:r>
              <w:rPr/>
            </w:r>
            <w:r>
              <w:rPr>
                <w:rFonts w:ascii="Times New Roman"/>
                <w:sz w:val="21"/>
              </w:rPr>
              <w:t>1.6</w:t>
            </w:r>
          </w:p>
        </w:tc>
        <w:tc>
          <w:tcPr>
            <w:tcW w:w="1220" w:type="dxa"/>
          </w:tcPr>
          <w:p>
            <w:pPr>
              <w:pStyle w:val="TableParagraph"/>
              <w:spacing w:before="76"/>
              <w:ind w:left="16"/>
              <w:rPr>
                <w:rFonts w:ascii="Times New Roman" w:hAnsi="Times New Roman"/>
                <w:sz w:val="21"/>
              </w:rPr>
            </w:pPr>
            <w:bookmarkStart w:name="─" w:id="770"/>
            <w:bookmarkEnd w:id="770"/>
            <w:r>
              <w:rPr/>
            </w:r>
            <w:r>
              <w:rPr>
                <w:rFonts w:ascii="Times New Roman" w:hAnsi="Times New Roman"/>
                <w:w w:val="99"/>
                <w:sz w:val="21"/>
              </w:rPr>
              <w:t>─</w:t>
            </w:r>
          </w:p>
        </w:tc>
      </w:tr>
      <w:tr>
        <w:trPr>
          <w:trHeight w:val="396" w:hRule="atLeast"/>
        </w:trPr>
        <w:tc>
          <w:tcPr>
            <w:tcW w:w="1464" w:type="dxa"/>
          </w:tcPr>
          <w:p>
            <w:pPr>
              <w:pStyle w:val="TableParagraph"/>
              <w:spacing w:before="63"/>
              <w:ind w:left="28"/>
              <w:rPr>
                <w:sz w:val="21"/>
              </w:rPr>
            </w:pPr>
            <w:bookmarkStart w:name="镉" w:id="771"/>
            <w:bookmarkEnd w:id="771"/>
            <w:r>
              <w:rPr/>
            </w:r>
            <w:r>
              <w:rPr>
                <w:w w:val="99"/>
                <w:sz w:val="21"/>
              </w:rPr>
              <w:t>镉</w:t>
            </w:r>
          </w:p>
        </w:tc>
        <w:tc>
          <w:tcPr>
            <w:tcW w:w="960" w:type="dxa"/>
          </w:tcPr>
          <w:p>
            <w:pPr>
              <w:pStyle w:val="TableParagraph"/>
              <w:spacing w:before="77"/>
              <w:ind w:left="146" w:right="126"/>
              <w:rPr>
                <w:rFonts w:ascii="Times New Roman"/>
                <w:sz w:val="21"/>
              </w:rPr>
            </w:pPr>
            <w:bookmarkStart w:name="mg/kg" w:id="772"/>
            <w:bookmarkEnd w:id="772"/>
            <w:r>
              <w:rPr/>
            </w:r>
            <w:r>
              <w:rPr>
                <w:rFonts w:ascii="Times New Roman"/>
                <w:sz w:val="21"/>
              </w:rPr>
              <w:t>mg/kg</w:t>
            </w:r>
          </w:p>
        </w:tc>
        <w:tc>
          <w:tcPr>
            <w:tcW w:w="2576" w:type="dxa"/>
          </w:tcPr>
          <w:p>
            <w:pPr>
              <w:pStyle w:val="TableParagraph"/>
              <w:spacing w:before="77"/>
              <w:ind w:left="111" w:right="90"/>
              <w:rPr>
                <w:rFonts w:ascii="Times New Roman"/>
                <w:sz w:val="21"/>
              </w:rPr>
            </w:pPr>
            <w:bookmarkStart w:name="0.10" w:id="773"/>
            <w:bookmarkEnd w:id="773"/>
            <w:r>
              <w:rPr/>
            </w:r>
            <w:r>
              <w:rPr>
                <w:rFonts w:ascii="Times New Roman"/>
                <w:sz w:val="21"/>
              </w:rPr>
              <w:t>0.10</w:t>
            </w:r>
          </w:p>
        </w:tc>
        <w:tc>
          <w:tcPr>
            <w:tcW w:w="2576" w:type="dxa"/>
          </w:tcPr>
          <w:p>
            <w:pPr>
              <w:pStyle w:val="TableParagraph"/>
              <w:spacing w:before="77"/>
              <w:ind w:left="111" w:right="91"/>
              <w:rPr>
                <w:rFonts w:ascii="Times New Roman"/>
                <w:sz w:val="21"/>
              </w:rPr>
            </w:pPr>
            <w:bookmarkStart w:name="0.10" w:id="774"/>
            <w:bookmarkEnd w:id="774"/>
            <w:r>
              <w:rPr/>
            </w:r>
            <w:r>
              <w:rPr>
                <w:rFonts w:ascii="Times New Roman"/>
                <w:sz w:val="21"/>
              </w:rPr>
              <w:t>0.10</w:t>
            </w:r>
          </w:p>
        </w:tc>
        <w:tc>
          <w:tcPr>
            <w:tcW w:w="1220" w:type="dxa"/>
          </w:tcPr>
          <w:p>
            <w:pPr>
              <w:pStyle w:val="TableParagraph"/>
              <w:spacing w:before="77"/>
              <w:ind w:left="433" w:right="413"/>
              <w:rPr>
                <w:rFonts w:ascii="Times New Roman"/>
                <w:sz w:val="21"/>
              </w:rPr>
            </w:pPr>
            <w:bookmarkStart w:name="0.3" w:id="775"/>
            <w:bookmarkEnd w:id="775"/>
            <w:r>
              <w:rPr/>
            </w:r>
            <w:r>
              <w:rPr>
                <w:rFonts w:ascii="Times New Roman"/>
                <w:sz w:val="21"/>
              </w:rPr>
              <w:t>0.3</w:t>
            </w:r>
          </w:p>
        </w:tc>
      </w:tr>
      <w:tr>
        <w:trPr>
          <w:trHeight w:val="397" w:hRule="atLeast"/>
        </w:trPr>
        <w:tc>
          <w:tcPr>
            <w:tcW w:w="1464" w:type="dxa"/>
          </w:tcPr>
          <w:p>
            <w:pPr>
              <w:pStyle w:val="TableParagraph"/>
              <w:spacing w:before="62"/>
              <w:ind w:left="28"/>
              <w:rPr>
                <w:sz w:val="21"/>
              </w:rPr>
            </w:pPr>
            <w:bookmarkStart w:name="汞" w:id="776"/>
            <w:bookmarkEnd w:id="776"/>
            <w:r>
              <w:rPr/>
            </w:r>
            <w:r>
              <w:rPr>
                <w:w w:val="99"/>
                <w:sz w:val="21"/>
              </w:rPr>
              <w:t>汞</w:t>
            </w:r>
          </w:p>
        </w:tc>
        <w:tc>
          <w:tcPr>
            <w:tcW w:w="960" w:type="dxa"/>
          </w:tcPr>
          <w:p>
            <w:pPr>
              <w:pStyle w:val="TableParagraph"/>
              <w:spacing w:before="97"/>
              <w:ind w:left="134" w:right="126"/>
              <w:rPr>
                <w:rFonts w:ascii="Times New Roman"/>
                <w:sz w:val="21"/>
              </w:rPr>
            </w:pPr>
            <w:bookmarkStart w:name="mg/kg" w:id="777"/>
            <w:bookmarkEnd w:id="777"/>
            <w:r>
              <w:rPr/>
            </w:r>
            <w:r>
              <w:rPr>
                <w:rFonts w:ascii="Times New Roman"/>
                <w:sz w:val="21"/>
              </w:rPr>
              <w:t>mg/kg</w:t>
            </w:r>
          </w:p>
        </w:tc>
        <w:tc>
          <w:tcPr>
            <w:tcW w:w="2576" w:type="dxa"/>
          </w:tcPr>
          <w:p>
            <w:pPr>
              <w:pStyle w:val="TableParagraph"/>
              <w:spacing w:before="76"/>
              <w:ind w:left="111" w:right="90"/>
              <w:rPr>
                <w:rFonts w:ascii="Times New Roman"/>
                <w:sz w:val="21"/>
              </w:rPr>
            </w:pPr>
            <w:bookmarkStart w:name="0.044" w:id="778"/>
            <w:bookmarkEnd w:id="778"/>
            <w:r>
              <w:rPr/>
            </w:r>
            <w:r>
              <w:rPr>
                <w:rFonts w:ascii="Times New Roman"/>
                <w:sz w:val="21"/>
              </w:rPr>
              <w:t>0.044</w:t>
            </w:r>
          </w:p>
        </w:tc>
        <w:tc>
          <w:tcPr>
            <w:tcW w:w="2576" w:type="dxa"/>
          </w:tcPr>
          <w:p>
            <w:pPr>
              <w:pStyle w:val="TableParagraph"/>
              <w:spacing w:before="76"/>
              <w:ind w:left="111" w:right="91"/>
              <w:rPr>
                <w:rFonts w:ascii="Times New Roman"/>
                <w:sz w:val="21"/>
              </w:rPr>
            </w:pPr>
            <w:bookmarkStart w:name="0.042" w:id="779"/>
            <w:bookmarkEnd w:id="779"/>
            <w:r>
              <w:rPr/>
            </w:r>
            <w:r>
              <w:rPr>
                <w:rFonts w:ascii="Times New Roman"/>
                <w:sz w:val="21"/>
              </w:rPr>
              <w:t>0.042</w:t>
            </w:r>
          </w:p>
        </w:tc>
        <w:tc>
          <w:tcPr>
            <w:tcW w:w="1220" w:type="dxa"/>
          </w:tcPr>
          <w:p>
            <w:pPr>
              <w:pStyle w:val="TableParagraph"/>
              <w:spacing w:before="76"/>
              <w:ind w:left="433" w:right="422"/>
              <w:rPr>
                <w:rFonts w:ascii="Times New Roman"/>
                <w:sz w:val="21"/>
              </w:rPr>
            </w:pPr>
            <w:r>
              <w:rPr>
                <w:rFonts w:ascii="Times New Roman"/>
                <w:sz w:val="21"/>
              </w:rPr>
              <w:t>2.4</w:t>
            </w:r>
          </w:p>
        </w:tc>
      </w:tr>
      <w:tr>
        <w:trPr>
          <w:trHeight w:val="396" w:hRule="atLeast"/>
        </w:trPr>
        <w:tc>
          <w:tcPr>
            <w:tcW w:w="1464" w:type="dxa"/>
          </w:tcPr>
          <w:p>
            <w:pPr>
              <w:pStyle w:val="TableParagraph"/>
              <w:spacing w:before="63"/>
              <w:ind w:left="28"/>
              <w:rPr>
                <w:sz w:val="21"/>
              </w:rPr>
            </w:pPr>
            <w:bookmarkStart w:name="砷" w:id="780"/>
            <w:bookmarkEnd w:id="780"/>
            <w:r>
              <w:rPr/>
            </w:r>
            <w:r>
              <w:rPr>
                <w:w w:val="99"/>
                <w:sz w:val="21"/>
              </w:rPr>
              <w:t>砷</w:t>
            </w:r>
          </w:p>
        </w:tc>
        <w:tc>
          <w:tcPr>
            <w:tcW w:w="960" w:type="dxa"/>
          </w:tcPr>
          <w:p>
            <w:pPr>
              <w:pStyle w:val="TableParagraph"/>
              <w:spacing w:before="98"/>
              <w:ind w:left="134" w:right="126"/>
              <w:rPr>
                <w:rFonts w:ascii="Times New Roman"/>
                <w:sz w:val="21"/>
              </w:rPr>
            </w:pPr>
            <w:bookmarkStart w:name="mg/kg" w:id="781"/>
            <w:bookmarkEnd w:id="781"/>
            <w:r>
              <w:rPr/>
            </w:r>
            <w:r>
              <w:rPr>
                <w:rFonts w:ascii="Times New Roman"/>
                <w:sz w:val="21"/>
              </w:rPr>
              <w:t>mg/kg</w:t>
            </w:r>
          </w:p>
        </w:tc>
        <w:tc>
          <w:tcPr>
            <w:tcW w:w="2576" w:type="dxa"/>
          </w:tcPr>
          <w:p>
            <w:pPr>
              <w:pStyle w:val="TableParagraph"/>
              <w:spacing w:before="77"/>
              <w:ind w:left="111" w:right="90"/>
              <w:rPr>
                <w:rFonts w:ascii="Times New Roman"/>
                <w:sz w:val="21"/>
              </w:rPr>
            </w:pPr>
            <w:bookmarkStart w:name="9.07" w:id="782"/>
            <w:bookmarkEnd w:id="782"/>
            <w:r>
              <w:rPr/>
            </w:r>
            <w:r>
              <w:rPr>
                <w:rFonts w:ascii="Times New Roman"/>
                <w:sz w:val="21"/>
              </w:rPr>
              <w:t>9.07</w:t>
            </w:r>
          </w:p>
        </w:tc>
        <w:tc>
          <w:tcPr>
            <w:tcW w:w="2576" w:type="dxa"/>
          </w:tcPr>
          <w:p>
            <w:pPr>
              <w:pStyle w:val="TableParagraph"/>
              <w:spacing w:before="77"/>
              <w:ind w:left="111" w:right="91"/>
              <w:rPr>
                <w:rFonts w:ascii="Times New Roman"/>
                <w:sz w:val="21"/>
              </w:rPr>
            </w:pPr>
            <w:bookmarkStart w:name="11.2" w:id="783"/>
            <w:bookmarkEnd w:id="783"/>
            <w:r>
              <w:rPr/>
            </w:r>
            <w:r>
              <w:rPr>
                <w:rFonts w:ascii="Times New Roman"/>
                <w:sz w:val="21"/>
              </w:rPr>
              <w:t>11.2</w:t>
            </w:r>
          </w:p>
        </w:tc>
        <w:tc>
          <w:tcPr>
            <w:tcW w:w="1220" w:type="dxa"/>
          </w:tcPr>
          <w:p>
            <w:pPr>
              <w:pStyle w:val="TableParagraph"/>
              <w:spacing w:before="77"/>
              <w:ind w:left="433" w:right="422"/>
              <w:rPr>
                <w:rFonts w:ascii="Times New Roman"/>
                <w:sz w:val="21"/>
              </w:rPr>
            </w:pPr>
            <w:r>
              <w:rPr>
                <w:rFonts w:ascii="Times New Roman"/>
                <w:sz w:val="21"/>
              </w:rPr>
              <w:t>30</w:t>
            </w:r>
          </w:p>
        </w:tc>
      </w:tr>
      <w:tr>
        <w:trPr>
          <w:trHeight w:val="397" w:hRule="atLeast"/>
        </w:trPr>
        <w:tc>
          <w:tcPr>
            <w:tcW w:w="1464" w:type="dxa"/>
          </w:tcPr>
          <w:p>
            <w:pPr>
              <w:pStyle w:val="TableParagraph"/>
              <w:spacing w:before="64"/>
              <w:ind w:left="28"/>
              <w:rPr>
                <w:sz w:val="21"/>
              </w:rPr>
            </w:pPr>
            <w:bookmarkStart w:name="铅" w:id="784"/>
            <w:bookmarkEnd w:id="784"/>
            <w:r>
              <w:rPr/>
            </w:r>
            <w:r>
              <w:rPr>
                <w:w w:val="99"/>
                <w:sz w:val="21"/>
              </w:rPr>
              <w:t>铅</w:t>
            </w:r>
          </w:p>
        </w:tc>
        <w:tc>
          <w:tcPr>
            <w:tcW w:w="960" w:type="dxa"/>
          </w:tcPr>
          <w:p>
            <w:pPr>
              <w:pStyle w:val="TableParagraph"/>
              <w:spacing w:before="97"/>
              <w:ind w:left="134" w:right="126"/>
              <w:rPr>
                <w:rFonts w:ascii="Times New Roman"/>
                <w:sz w:val="21"/>
              </w:rPr>
            </w:pPr>
            <w:bookmarkStart w:name="mg/kg" w:id="785"/>
            <w:bookmarkEnd w:id="785"/>
            <w:r>
              <w:rPr/>
            </w:r>
            <w:r>
              <w:rPr>
                <w:rFonts w:ascii="Times New Roman"/>
                <w:sz w:val="21"/>
              </w:rPr>
              <w:t>mg/kg</w:t>
            </w:r>
          </w:p>
        </w:tc>
        <w:tc>
          <w:tcPr>
            <w:tcW w:w="2576" w:type="dxa"/>
          </w:tcPr>
          <w:p>
            <w:pPr>
              <w:pStyle w:val="TableParagraph"/>
              <w:spacing w:before="78"/>
              <w:ind w:left="111" w:right="90"/>
              <w:rPr>
                <w:rFonts w:ascii="Times New Roman"/>
                <w:sz w:val="21"/>
              </w:rPr>
            </w:pPr>
            <w:bookmarkStart w:name="15.9" w:id="786"/>
            <w:bookmarkEnd w:id="786"/>
            <w:r>
              <w:rPr/>
            </w:r>
            <w:r>
              <w:rPr>
                <w:rFonts w:ascii="Times New Roman"/>
                <w:sz w:val="21"/>
              </w:rPr>
              <w:t>15.9</w:t>
            </w:r>
          </w:p>
        </w:tc>
        <w:tc>
          <w:tcPr>
            <w:tcW w:w="2576" w:type="dxa"/>
          </w:tcPr>
          <w:p>
            <w:pPr>
              <w:pStyle w:val="TableParagraph"/>
              <w:spacing w:before="78"/>
              <w:ind w:left="111" w:right="91"/>
              <w:rPr>
                <w:rFonts w:ascii="Times New Roman"/>
                <w:sz w:val="21"/>
              </w:rPr>
            </w:pPr>
            <w:bookmarkStart w:name="17.4" w:id="787"/>
            <w:bookmarkEnd w:id="787"/>
            <w:r>
              <w:rPr/>
            </w:r>
            <w:r>
              <w:rPr>
                <w:rFonts w:ascii="Times New Roman"/>
                <w:sz w:val="21"/>
              </w:rPr>
              <w:t>17.4</w:t>
            </w:r>
          </w:p>
        </w:tc>
        <w:tc>
          <w:tcPr>
            <w:tcW w:w="1220" w:type="dxa"/>
          </w:tcPr>
          <w:p>
            <w:pPr>
              <w:pStyle w:val="TableParagraph"/>
              <w:spacing w:before="78"/>
              <w:ind w:left="433" w:right="422"/>
              <w:rPr>
                <w:rFonts w:ascii="Times New Roman"/>
                <w:sz w:val="21"/>
              </w:rPr>
            </w:pPr>
            <w:r>
              <w:rPr>
                <w:rFonts w:ascii="Times New Roman"/>
                <w:sz w:val="21"/>
              </w:rPr>
              <w:t>120</w:t>
            </w:r>
          </w:p>
        </w:tc>
      </w:tr>
      <w:tr>
        <w:trPr>
          <w:trHeight w:val="396" w:hRule="atLeast"/>
        </w:trPr>
        <w:tc>
          <w:tcPr>
            <w:tcW w:w="1464" w:type="dxa"/>
          </w:tcPr>
          <w:p>
            <w:pPr>
              <w:pStyle w:val="TableParagraph"/>
              <w:spacing w:before="63"/>
              <w:ind w:left="28"/>
              <w:rPr>
                <w:sz w:val="21"/>
              </w:rPr>
            </w:pPr>
            <w:bookmarkStart w:name="铬" w:id="788"/>
            <w:bookmarkEnd w:id="788"/>
            <w:r>
              <w:rPr/>
            </w:r>
            <w:r>
              <w:rPr>
                <w:w w:val="99"/>
                <w:sz w:val="21"/>
              </w:rPr>
              <w:t>铬</w:t>
            </w:r>
          </w:p>
        </w:tc>
        <w:tc>
          <w:tcPr>
            <w:tcW w:w="960" w:type="dxa"/>
          </w:tcPr>
          <w:p>
            <w:pPr>
              <w:pStyle w:val="TableParagraph"/>
              <w:spacing w:before="76"/>
              <w:ind w:left="134" w:right="126"/>
              <w:rPr>
                <w:rFonts w:ascii="Times New Roman"/>
                <w:sz w:val="21"/>
              </w:rPr>
            </w:pPr>
            <w:r>
              <w:rPr>
                <w:rFonts w:ascii="Times New Roman"/>
                <w:sz w:val="21"/>
              </w:rPr>
              <w:t>mg/kg</w:t>
            </w:r>
          </w:p>
        </w:tc>
        <w:tc>
          <w:tcPr>
            <w:tcW w:w="2576" w:type="dxa"/>
          </w:tcPr>
          <w:p>
            <w:pPr>
              <w:pStyle w:val="TableParagraph"/>
              <w:spacing w:before="76"/>
              <w:ind w:left="111" w:right="92"/>
              <w:rPr>
                <w:rFonts w:ascii="Times New Roman"/>
                <w:sz w:val="21"/>
              </w:rPr>
            </w:pPr>
            <w:bookmarkStart w:name="47" w:id="789"/>
            <w:bookmarkEnd w:id="789"/>
            <w:r>
              <w:rPr/>
            </w:r>
            <w:r>
              <w:rPr>
                <w:rFonts w:ascii="Times New Roman"/>
                <w:sz w:val="21"/>
              </w:rPr>
              <w:t>47</w:t>
            </w:r>
          </w:p>
        </w:tc>
        <w:tc>
          <w:tcPr>
            <w:tcW w:w="2576" w:type="dxa"/>
          </w:tcPr>
          <w:p>
            <w:pPr>
              <w:pStyle w:val="TableParagraph"/>
              <w:spacing w:before="76"/>
              <w:ind w:left="111" w:right="89"/>
              <w:rPr>
                <w:rFonts w:ascii="Times New Roman"/>
                <w:sz w:val="21"/>
              </w:rPr>
            </w:pPr>
            <w:bookmarkStart w:name="51" w:id="790"/>
            <w:bookmarkEnd w:id="790"/>
            <w:r>
              <w:rPr/>
            </w:r>
            <w:r>
              <w:rPr>
                <w:rFonts w:ascii="Times New Roman"/>
                <w:sz w:val="21"/>
              </w:rPr>
              <w:t>51</w:t>
            </w:r>
          </w:p>
        </w:tc>
        <w:tc>
          <w:tcPr>
            <w:tcW w:w="1220" w:type="dxa"/>
          </w:tcPr>
          <w:p>
            <w:pPr>
              <w:pStyle w:val="TableParagraph"/>
              <w:spacing w:before="76"/>
              <w:ind w:left="433" w:right="422"/>
              <w:rPr>
                <w:rFonts w:ascii="Times New Roman"/>
                <w:sz w:val="21"/>
              </w:rPr>
            </w:pPr>
            <w:r>
              <w:rPr>
                <w:rFonts w:ascii="Times New Roman"/>
                <w:sz w:val="21"/>
              </w:rPr>
              <w:t>200</w:t>
            </w:r>
          </w:p>
        </w:tc>
      </w:tr>
      <w:tr>
        <w:trPr>
          <w:trHeight w:val="397" w:hRule="atLeast"/>
        </w:trPr>
        <w:tc>
          <w:tcPr>
            <w:tcW w:w="1464" w:type="dxa"/>
          </w:tcPr>
          <w:p>
            <w:pPr>
              <w:pStyle w:val="TableParagraph"/>
              <w:spacing w:before="64"/>
              <w:ind w:left="28"/>
              <w:rPr>
                <w:sz w:val="21"/>
              </w:rPr>
            </w:pPr>
            <w:bookmarkStart w:name="铜" w:id="791"/>
            <w:bookmarkEnd w:id="791"/>
            <w:r>
              <w:rPr/>
            </w:r>
            <w:r>
              <w:rPr>
                <w:w w:val="99"/>
                <w:sz w:val="21"/>
              </w:rPr>
              <w:t>铜</w:t>
            </w:r>
          </w:p>
        </w:tc>
        <w:tc>
          <w:tcPr>
            <w:tcW w:w="960" w:type="dxa"/>
          </w:tcPr>
          <w:p>
            <w:pPr>
              <w:pStyle w:val="TableParagraph"/>
              <w:spacing w:before="77"/>
              <w:ind w:left="134" w:right="126"/>
              <w:rPr>
                <w:rFonts w:ascii="Times New Roman"/>
                <w:sz w:val="21"/>
              </w:rPr>
            </w:pPr>
            <w:r>
              <w:rPr>
                <w:rFonts w:ascii="Times New Roman"/>
                <w:sz w:val="21"/>
              </w:rPr>
              <w:t>mg/kg</w:t>
            </w:r>
          </w:p>
        </w:tc>
        <w:tc>
          <w:tcPr>
            <w:tcW w:w="2576" w:type="dxa"/>
          </w:tcPr>
          <w:p>
            <w:pPr>
              <w:pStyle w:val="TableParagraph"/>
              <w:spacing w:before="77"/>
              <w:ind w:left="111" w:right="92"/>
              <w:rPr>
                <w:rFonts w:ascii="Times New Roman"/>
                <w:sz w:val="21"/>
              </w:rPr>
            </w:pPr>
            <w:bookmarkStart w:name="22" w:id="792"/>
            <w:bookmarkEnd w:id="792"/>
            <w:r>
              <w:rPr/>
            </w:r>
            <w:r>
              <w:rPr>
                <w:rFonts w:ascii="Times New Roman"/>
                <w:sz w:val="21"/>
              </w:rPr>
              <w:t>22</w:t>
            </w:r>
          </w:p>
        </w:tc>
        <w:tc>
          <w:tcPr>
            <w:tcW w:w="2576" w:type="dxa"/>
          </w:tcPr>
          <w:p>
            <w:pPr>
              <w:pStyle w:val="TableParagraph"/>
              <w:spacing w:before="77"/>
              <w:ind w:left="111" w:right="89"/>
              <w:rPr>
                <w:rFonts w:ascii="Times New Roman"/>
                <w:sz w:val="21"/>
              </w:rPr>
            </w:pPr>
            <w:bookmarkStart w:name="18" w:id="793"/>
            <w:bookmarkEnd w:id="793"/>
            <w:r>
              <w:rPr/>
            </w:r>
            <w:r>
              <w:rPr>
                <w:rFonts w:ascii="Times New Roman"/>
                <w:sz w:val="21"/>
              </w:rPr>
              <w:t>18</w:t>
            </w:r>
          </w:p>
        </w:tc>
        <w:tc>
          <w:tcPr>
            <w:tcW w:w="1220" w:type="dxa"/>
          </w:tcPr>
          <w:p>
            <w:pPr>
              <w:pStyle w:val="TableParagraph"/>
              <w:spacing w:before="77"/>
              <w:ind w:left="433" w:right="422"/>
              <w:rPr>
                <w:rFonts w:ascii="Times New Roman"/>
                <w:sz w:val="21"/>
              </w:rPr>
            </w:pPr>
            <w:r>
              <w:rPr>
                <w:rFonts w:ascii="Times New Roman"/>
                <w:sz w:val="21"/>
              </w:rPr>
              <w:t>100</w:t>
            </w:r>
          </w:p>
        </w:tc>
      </w:tr>
      <w:tr>
        <w:trPr>
          <w:trHeight w:val="397" w:hRule="atLeast"/>
        </w:trPr>
        <w:tc>
          <w:tcPr>
            <w:tcW w:w="1464" w:type="dxa"/>
          </w:tcPr>
          <w:p>
            <w:pPr>
              <w:pStyle w:val="TableParagraph"/>
              <w:spacing w:before="62"/>
              <w:ind w:left="28"/>
              <w:rPr>
                <w:sz w:val="21"/>
              </w:rPr>
            </w:pPr>
            <w:bookmarkStart w:name="镍" w:id="794"/>
            <w:bookmarkEnd w:id="794"/>
            <w:r>
              <w:rPr/>
            </w:r>
            <w:r>
              <w:rPr>
                <w:w w:val="99"/>
                <w:sz w:val="21"/>
              </w:rPr>
              <w:t>镍</w:t>
            </w:r>
          </w:p>
        </w:tc>
        <w:tc>
          <w:tcPr>
            <w:tcW w:w="960" w:type="dxa"/>
          </w:tcPr>
          <w:p>
            <w:pPr>
              <w:pStyle w:val="TableParagraph"/>
              <w:spacing w:before="76"/>
              <w:ind w:left="134" w:right="126"/>
              <w:rPr>
                <w:rFonts w:ascii="Times New Roman"/>
                <w:sz w:val="21"/>
              </w:rPr>
            </w:pPr>
            <w:r>
              <w:rPr>
                <w:rFonts w:ascii="Times New Roman"/>
                <w:sz w:val="21"/>
              </w:rPr>
              <w:t>mg/kg</w:t>
            </w:r>
          </w:p>
        </w:tc>
        <w:tc>
          <w:tcPr>
            <w:tcW w:w="2576" w:type="dxa"/>
          </w:tcPr>
          <w:p>
            <w:pPr>
              <w:pStyle w:val="TableParagraph"/>
              <w:spacing w:before="76"/>
              <w:ind w:left="111" w:right="92"/>
              <w:rPr>
                <w:rFonts w:ascii="Times New Roman"/>
                <w:sz w:val="21"/>
              </w:rPr>
            </w:pPr>
            <w:bookmarkStart w:name="18" w:id="795"/>
            <w:bookmarkEnd w:id="795"/>
            <w:r>
              <w:rPr/>
            </w:r>
            <w:r>
              <w:rPr>
                <w:rFonts w:ascii="Times New Roman"/>
                <w:sz w:val="21"/>
              </w:rPr>
              <w:t>18</w:t>
            </w:r>
          </w:p>
        </w:tc>
        <w:tc>
          <w:tcPr>
            <w:tcW w:w="2576" w:type="dxa"/>
          </w:tcPr>
          <w:p>
            <w:pPr>
              <w:pStyle w:val="TableParagraph"/>
              <w:spacing w:before="76"/>
              <w:ind w:left="111" w:right="89"/>
              <w:rPr>
                <w:rFonts w:ascii="Times New Roman"/>
                <w:sz w:val="21"/>
              </w:rPr>
            </w:pPr>
            <w:bookmarkStart w:name="24" w:id="796"/>
            <w:bookmarkEnd w:id="796"/>
            <w:r>
              <w:rPr/>
            </w:r>
            <w:r>
              <w:rPr>
                <w:rFonts w:ascii="Times New Roman"/>
                <w:sz w:val="21"/>
              </w:rPr>
              <w:t>24</w:t>
            </w:r>
          </w:p>
        </w:tc>
        <w:tc>
          <w:tcPr>
            <w:tcW w:w="1220" w:type="dxa"/>
          </w:tcPr>
          <w:p>
            <w:pPr>
              <w:pStyle w:val="TableParagraph"/>
              <w:spacing w:before="76"/>
              <w:ind w:left="433" w:right="422"/>
              <w:rPr>
                <w:rFonts w:ascii="Times New Roman"/>
                <w:sz w:val="21"/>
              </w:rPr>
            </w:pPr>
            <w:r>
              <w:rPr>
                <w:rFonts w:ascii="Times New Roman"/>
                <w:sz w:val="21"/>
              </w:rPr>
              <w:t>100</w:t>
            </w:r>
          </w:p>
        </w:tc>
      </w:tr>
      <w:tr>
        <w:trPr>
          <w:trHeight w:val="396" w:hRule="atLeast"/>
        </w:trPr>
        <w:tc>
          <w:tcPr>
            <w:tcW w:w="1464" w:type="dxa"/>
          </w:tcPr>
          <w:p>
            <w:pPr>
              <w:pStyle w:val="TableParagraph"/>
              <w:spacing w:before="63"/>
              <w:ind w:left="28"/>
              <w:rPr>
                <w:sz w:val="21"/>
              </w:rPr>
            </w:pPr>
            <w:bookmarkStart w:name="锌" w:id="797"/>
            <w:bookmarkEnd w:id="797"/>
            <w:r>
              <w:rPr/>
            </w:r>
            <w:r>
              <w:rPr>
                <w:w w:val="99"/>
                <w:sz w:val="21"/>
              </w:rPr>
              <w:t>锌</w:t>
            </w:r>
          </w:p>
        </w:tc>
        <w:tc>
          <w:tcPr>
            <w:tcW w:w="960" w:type="dxa"/>
          </w:tcPr>
          <w:p>
            <w:pPr>
              <w:pStyle w:val="TableParagraph"/>
              <w:spacing w:before="77"/>
              <w:ind w:left="134" w:right="126"/>
              <w:rPr>
                <w:rFonts w:ascii="Times New Roman"/>
                <w:sz w:val="21"/>
              </w:rPr>
            </w:pPr>
            <w:r>
              <w:rPr>
                <w:rFonts w:ascii="Times New Roman"/>
                <w:sz w:val="21"/>
              </w:rPr>
              <w:t>mg/kg</w:t>
            </w:r>
          </w:p>
        </w:tc>
        <w:tc>
          <w:tcPr>
            <w:tcW w:w="2576" w:type="dxa"/>
          </w:tcPr>
          <w:p>
            <w:pPr>
              <w:pStyle w:val="TableParagraph"/>
              <w:spacing w:before="77"/>
              <w:ind w:left="111" w:right="92"/>
              <w:rPr>
                <w:rFonts w:ascii="Times New Roman"/>
                <w:sz w:val="21"/>
              </w:rPr>
            </w:pPr>
            <w:bookmarkStart w:name="64" w:id="798"/>
            <w:bookmarkEnd w:id="798"/>
            <w:r>
              <w:rPr/>
            </w:r>
            <w:r>
              <w:rPr>
                <w:rFonts w:ascii="Times New Roman"/>
                <w:sz w:val="21"/>
              </w:rPr>
              <w:t>64</w:t>
            </w:r>
          </w:p>
        </w:tc>
        <w:tc>
          <w:tcPr>
            <w:tcW w:w="2576" w:type="dxa"/>
          </w:tcPr>
          <w:p>
            <w:pPr>
              <w:pStyle w:val="TableParagraph"/>
              <w:spacing w:before="77"/>
              <w:ind w:left="111" w:right="89"/>
              <w:rPr>
                <w:rFonts w:ascii="Times New Roman"/>
                <w:sz w:val="21"/>
              </w:rPr>
            </w:pPr>
            <w:bookmarkStart w:name="79" w:id="799"/>
            <w:bookmarkEnd w:id="799"/>
            <w:r>
              <w:rPr/>
            </w:r>
            <w:r>
              <w:rPr>
                <w:rFonts w:ascii="Times New Roman"/>
                <w:sz w:val="21"/>
              </w:rPr>
              <w:t>79</w:t>
            </w:r>
          </w:p>
        </w:tc>
        <w:tc>
          <w:tcPr>
            <w:tcW w:w="1220" w:type="dxa"/>
          </w:tcPr>
          <w:p>
            <w:pPr>
              <w:pStyle w:val="TableParagraph"/>
              <w:spacing w:before="77"/>
              <w:ind w:left="433" w:right="422"/>
              <w:rPr>
                <w:rFonts w:ascii="Times New Roman"/>
                <w:sz w:val="21"/>
              </w:rPr>
            </w:pPr>
            <w:r>
              <w:rPr>
                <w:rFonts w:ascii="Times New Roman"/>
                <w:sz w:val="21"/>
              </w:rPr>
              <w:t>250</w:t>
            </w:r>
          </w:p>
        </w:tc>
      </w:tr>
    </w:tbl>
    <w:p>
      <w:pPr>
        <w:spacing w:before="3"/>
        <w:ind w:left="0" w:right="370" w:firstLine="0"/>
        <w:jc w:val="center"/>
        <w:rPr>
          <w:b/>
          <w:sz w:val="24"/>
        </w:rPr>
      </w:pPr>
      <w:r>
        <w:rPr>
          <w:b/>
          <w:spacing w:val="-31"/>
          <w:sz w:val="24"/>
        </w:rPr>
        <w:t>表 </w:t>
      </w:r>
      <w:r>
        <w:rPr>
          <w:rFonts w:ascii="Times New Roman" w:eastAsia="Times New Roman"/>
          <w:b/>
          <w:spacing w:val="-3"/>
          <w:sz w:val="24"/>
        </w:rPr>
        <w:t>11.2-5</w:t>
      </w:r>
      <w:r>
        <w:rPr>
          <w:rFonts w:ascii="Times New Roman" w:eastAsia="Times New Roman"/>
          <w:b/>
          <w:sz w:val="24"/>
        </w:rPr>
        <w:t>  </w:t>
      </w:r>
      <w:r>
        <w:rPr>
          <w:b/>
          <w:sz w:val="24"/>
        </w:rPr>
        <w:t>农用地土壤环境质量评价结果</w:t>
      </w: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848"/>
        <w:gridCol w:w="2536"/>
        <w:gridCol w:w="2672"/>
        <w:gridCol w:w="1060"/>
      </w:tblGrid>
      <w:tr>
        <w:trPr>
          <w:trHeight w:val="396" w:hRule="atLeast"/>
        </w:trPr>
        <w:tc>
          <w:tcPr>
            <w:tcW w:w="1401" w:type="dxa"/>
            <w:vMerge w:val="restart"/>
          </w:tcPr>
          <w:p>
            <w:pPr>
              <w:pStyle w:val="TableParagraph"/>
              <w:spacing w:before="9"/>
              <w:jc w:val="left"/>
              <w:rPr>
                <w:b/>
                <w:sz w:val="20"/>
              </w:rPr>
            </w:pPr>
          </w:p>
          <w:p>
            <w:pPr>
              <w:pStyle w:val="TableParagraph"/>
              <w:ind w:left="315"/>
              <w:jc w:val="left"/>
              <w:rPr>
                <w:sz w:val="21"/>
              </w:rPr>
            </w:pPr>
            <w:bookmarkStart w:name="检测项目" w:id="800"/>
            <w:bookmarkEnd w:id="800"/>
            <w:r>
              <w:rPr/>
            </w:r>
            <w:r>
              <w:rPr>
                <w:sz w:val="21"/>
              </w:rPr>
              <w:t>检测项目</w:t>
            </w:r>
          </w:p>
        </w:tc>
        <w:tc>
          <w:tcPr>
            <w:tcW w:w="848" w:type="dxa"/>
            <w:vMerge w:val="restart"/>
          </w:tcPr>
          <w:p>
            <w:pPr>
              <w:pStyle w:val="TableParagraph"/>
              <w:spacing w:before="9"/>
              <w:jc w:val="left"/>
              <w:rPr>
                <w:b/>
                <w:sz w:val="20"/>
              </w:rPr>
            </w:pPr>
          </w:p>
          <w:p>
            <w:pPr>
              <w:pStyle w:val="TableParagraph"/>
              <w:ind w:left="212"/>
              <w:jc w:val="left"/>
              <w:rPr>
                <w:sz w:val="21"/>
              </w:rPr>
            </w:pPr>
            <w:r>
              <w:rPr>
                <w:sz w:val="21"/>
              </w:rPr>
              <w:t>单位</w:t>
            </w:r>
          </w:p>
        </w:tc>
        <w:tc>
          <w:tcPr>
            <w:tcW w:w="5208" w:type="dxa"/>
            <w:gridSpan w:val="2"/>
          </w:tcPr>
          <w:p>
            <w:pPr>
              <w:pStyle w:val="TableParagraph"/>
              <w:spacing w:before="61"/>
              <w:ind w:left="1971" w:right="1962"/>
              <w:rPr>
                <w:sz w:val="21"/>
              </w:rPr>
            </w:pPr>
            <w:r>
              <w:rPr>
                <w:sz w:val="21"/>
              </w:rPr>
              <w:t>占标率（</w:t>
            </w:r>
            <w:r>
              <w:rPr>
                <w:rFonts w:ascii="Times New Roman" w:eastAsia="Times New Roman"/>
                <w:sz w:val="21"/>
              </w:rPr>
              <w:t>%</w:t>
            </w:r>
            <w:r>
              <w:rPr>
                <w:sz w:val="21"/>
              </w:rPr>
              <w:t>）</w:t>
            </w:r>
          </w:p>
        </w:tc>
        <w:tc>
          <w:tcPr>
            <w:tcW w:w="1060" w:type="dxa"/>
            <w:vMerge w:val="restart"/>
          </w:tcPr>
          <w:p>
            <w:pPr>
              <w:pStyle w:val="TableParagraph"/>
              <w:spacing w:before="9"/>
              <w:jc w:val="left"/>
              <w:rPr>
                <w:b/>
                <w:sz w:val="20"/>
              </w:rPr>
            </w:pPr>
          </w:p>
          <w:p>
            <w:pPr>
              <w:pStyle w:val="TableParagraph"/>
              <w:ind w:left="108"/>
              <w:jc w:val="left"/>
              <w:rPr>
                <w:sz w:val="21"/>
              </w:rPr>
            </w:pPr>
            <w:r>
              <w:rPr>
                <w:sz w:val="21"/>
              </w:rPr>
              <w:t>达标情况</w:t>
            </w:r>
          </w:p>
        </w:tc>
      </w:tr>
      <w:tr>
        <w:trPr>
          <w:trHeight w:val="397" w:hRule="atLeast"/>
        </w:trPr>
        <w:tc>
          <w:tcPr>
            <w:tcW w:w="1401" w:type="dxa"/>
            <w:vMerge/>
            <w:tcBorders>
              <w:top w:val="nil"/>
            </w:tcBorders>
          </w:tcPr>
          <w:p>
            <w:pPr>
              <w:rPr>
                <w:sz w:val="2"/>
                <w:szCs w:val="2"/>
              </w:rPr>
            </w:pPr>
          </w:p>
        </w:tc>
        <w:tc>
          <w:tcPr>
            <w:tcW w:w="848" w:type="dxa"/>
            <w:vMerge/>
            <w:tcBorders>
              <w:top w:val="nil"/>
            </w:tcBorders>
          </w:tcPr>
          <w:p>
            <w:pPr>
              <w:rPr>
                <w:sz w:val="2"/>
                <w:szCs w:val="2"/>
              </w:rPr>
            </w:pPr>
          </w:p>
        </w:tc>
        <w:tc>
          <w:tcPr>
            <w:tcW w:w="2536" w:type="dxa"/>
          </w:tcPr>
          <w:p>
            <w:pPr>
              <w:pStyle w:val="TableParagraph"/>
              <w:spacing w:before="62"/>
              <w:ind w:left="91" w:right="85"/>
              <w:rPr>
                <w:rFonts w:ascii="Times New Roman" w:eastAsia="Times New Roman"/>
                <w:sz w:val="21"/>
              </w:rPr>
            </w:pPr>
            <w:r>
              <w:rPr>
                <w:sz w:val="21"/>
              </w:rPr>
              <w:t>工业场地厂址外表层样 </w:t>
            </w:r>
            <w:r>
              <w:rPr>
                <w:rFonts w:ascii="Times New Roman" w:eastAsia="Times New Roman"/>
                <w:sz w:val="21"/>
              </w:rPr>
              <w:t>1</w:t>
            </w:r>
          </w:p>
        </w:tc>
        <w:tc>
          <w:tcPr>
            <w:tcW w:w="2672" w:type="dxa"/>
          </w:tcPr>
          <w:p>
            <w:pPr>
              <w:pStyle w:val="TableParagraph"/>
              <w:spacing w:before="62"/>
              <w:ind w:left="159" w:right="153"/>
              <w:rPr>
                <w:rFonts w:ascii="Times New Roman" w:eastAsia="Times New Roman"/>
                <w:sz w:val="21"/>
              </w:rPr>
            </w:pPr>
            <w:r>
              <w:rPr>
                <w:sz w:val="21"/>
              </w:rPr>
              <w:t>工业场地厂址外表层样 </w:t>
            </w:r>
            <w:r>
              <w:rPr>
                <w:rFonts w:ascii="Times New Roman" w:eastAsia="Times New Roman"/>
                <w:sz w:val="21"/>
              </w:rPr>
              <w:t>2</w:t>
            </w:r>
          </w:p>
        </w:tc>
        <w:tc>
          <w:tcPr>
            <w:tcW w:w="1060" w:type="dxa"/>
            <w:vMerge/>
            <w:tcBorders>
              <w:top w:val="nil"/>
            </w:tcBorders>
          </w:tcPr>
          <w:p>
            <w:pPr>
              <w:rPr>
                <w:sz w:val="2"/>
                <w:szCs w:val="2"/>
              </w:rPr>
            </w:pPr>
          </w:p>
        </w:tc>
      </w:tr>
      <w:tr>
        <w:trPr>
          <w:trHeight w:val="397" w:hRule="atLeast"/>
        </w:trPr>
        <w:tc>
          <w:tcPr>
            <w:tcW w:w="1401" w:type="dxa"/>
          </w:tcPr>
          <w:p>
            <w:pPr>
              <w:pStyle w:val="TableParagraph"/>
              <w:spacing w:before="61"/>
              <w:ind w:left="24"/>
              <w:rPr>
                <w:sz w:val="21"/>
              </w:rPr>
            </w:pPr>
            <w:bookmarkStart w:name="镉" w:id="801"/>
            <w:bookmarkEnd w:id="801"/>
            <w:r>
              <w:rPr/>
            </w:r>
            <w:r>
              <w:rPr>
                <w:w w:val="99"/>
                <w:sz w:val="21"/>
              </w:rPr>
              <w:t>镉</w:t>
            </w:r>
          </w:p>
        </w:tc>
        <w:tc>
          <w:tcPr>
            <w:tcW w:w="848" w:type="dxa"/>
          </w:tcPr>
          <w:p>
            <w:pPr>
              <w:pStyle w:val="TableParagraph"/>
              <w:spacing w:before="96"/>
              <w:ind w:left="87" w:right="81"/>
              <w:rPr>
                <w:rFonts w:ascii="Times New Roman"/>
                <w:sz w:val="21"/>
              </w:rPr>
            </w:pPr>
            <w:bookmarkStart w:name="mg/kg" w:id="802"/>
            <w:bookmarkEnd w:id="802"/>
            <w:r>
              <w:rPr/>
            </w:r>
            <w:r>
              <w:rPr>
                <w:rFonts w:ascii="Times New Roman"/>
                <w:sz w:val="21"/>
              </w:rPr>
              <w:t>mg/kg</w:t>
            </w:r>
          </w:p>
        </w:tc>
        <w:tc>
          <w:tcPr>
            <w:tcW w:w="2536" w:type="dxa"/>
          </w:tcPr>
          <w:p>
            <w:pPr>
              <w:pStyle w:val="TableParagraph"/>
              <w:spacing w:before="75"/>
              <w:ind w:left="91" w:right="83"/>
              <w:rPr>
                <w:rFonts w:ascii="Times New Roman"/>
                <w:sz w:val="21"/>
              </w:rPr>
            </w:pPr>
            <w:r>
              <w:rPr>
                <w:rFonts w:ascii="Times New Roman"/>
                <w:sz w:val="21"/>
              </w:rPr>
              <w:t>0.33</w:t>
            </w:r>
          </w:p>
        </w:tc>
        <w:tc>
          <w:tcPr>
            <w:tcW w:w="2672" w:type="dxa"/>
          </w:tcPr>
          <w:p>
            <w:pPr>
              <w:pStyle w:val="TableParagraph"/>
              <w:spacing w:before="75"/>
              <w:ind w:left="159" w:right="151"/>
              <w:rPr>
                <w:rFonts w:ascii="Times New Roman"/>
                <w:sz w:val="21"/>
              </w:rPr>
            </w:pPr>
            <w:r>
              <w:rPr>
                <w:rFonts w:ascii="Times New Roman"/>
                <w:sz w:val="21"/>
              </w:rPr>
              <w:t>0.33</w:t>
            </w:r>
          </w:p>
        </w:tc>
        <w:tc>
          <w:tcPr>
            <w:tcW w:w="1060" w:type="dxa"/>
          </w:tcPr>
          <w:p>
            <w:pPr>
              <w:pStyle w:val="TableParagraph"/>
              <w:spacing w:before="61"/>
              <w:ind w:left="298" w:right="291"/>
              <w:rPr>
                <w:sz w:val="21"/>
              </w:rPr>
            </w:pPr>
            <w:r>
              <w:rPr>
                <w:sz w:val="21"/>
              </w:rPr>
              <w:t>达标</w:t>
            </w:r>
          </w:p>
        </w:tc>
      </w:tr>
      <w:tr>
        <w:trPr>
          <w:trHeight w:val="396" w:hRule="atLeast"/>
        </w:trPr>
        <w:tc>
          <w:tcPr>
            <w:tcW w:w="1401" w:type="dxa"/>
          </w:tcPr>
          <w:p>
            <w:pPr>
              <w:pStyle w:val="TableParagraph"/>
              <w:spacing w:before="62"/>
              <w:ind w:left="24"/>
              <w:rPr>
                <w:sz w:val="21"/>
              </w:rPr>
            </w:pPr>
            <w:bookmarkStart w:name="汞" w:id="803"/>
            <w:bookmarkEnd w:id="803"/>
            <w:r>
              <w:rPr/>
            </w:r>
            <w:r>
              <w:rPr>
                <w:w w:val="99"/>
                <w:sz w:val="21"/>
              </w:rPr>
              <w:t>汞</w:t>
            </w:r>
          </w:p>
        </w:tc>
        <w:tc>
          <w:tcPr>
            <w:tcW w:w="848" w:type="dxa"/>
          </w:tcPr>
          <w:p>
            <w:pPr>
              <w:pStyle w:val="TableParagraph"/>
              <w:spacing w:before="97"/>
              <w:ind w:left="87" w:right="81"/>
              <w:rPr>
                <w:rFonts w:ascii="Times New Roman"/>
                <w:sz w:val="21"/>
              </w:rPr>
            </w:pPr>
            <w:bookmarkStart w:name="mg/kg" w:id="804"/>
            <w:bookmarkEnd w:id="804"/>
            <w:r>
              <w:rPr/>
            </w: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0.02</w:t>
            </w:r>
          </w:p>
        </w:tc>
        <w:tc>
          <w:tcPr>
            <w:tcW w:w="2672" w:type="dxa"/>
          </w:tcPr>
          <w:p>
            <w:pPr>
              <w:pStyle w:val="TableParagraph"/>
              <w:spacing w:before="76"/>
              <w:ind w:left="159" w:right="151"/>
              <w:rPr>
                <w:rFonts w:ascii="Times New Roman"/>
                <w:sz w:val="21"/>
              </w:rPr>
            </w:pPr>
            <w:r>
              <w:rPr>
                <w:rFonts w:ascii="Times New Roman"/>
                <w:sz w:val="21"/>
              </w:rPr>
              <w:t>0.02</w:t>
            </w:r>
          </w:p>
        </w:tc>
        <w:tc>
          <w:tcPr>
            <w:tcW w:w="1060" w:type="dxa"/>
          </w:tcPr>
          <w:p>
            <w:pPr>
              <w:pStyle w:val="TableParagraph"/>
              <w:spacing w:before="62"/>
              <w:ind w:left="298" w:right="291"/>
              <w:rPr>
                <w:sz w:val="21"/>
              </w:rPr>
            </w:pPr>
            <w:r>
              <w:rPr>
                <w:sz w:val="21"/>
              </w:rPr>
              <w:t>达标</w:t>
            </w:r>
          </w:p>
        </w:tc>
      </w:tr>
      <w:tr>
        <w:trPr>
          <w:trHeight w:val="399" w:hRule="atLeast"/>
        </w:trPr>
        <w:tc>
          <w:tcPr>
            <w:tcW w:w="1401" w:type="dxa"/>
          </w:tcPr>
          <w:p>
            <w:pPr>
              <w:pStyle w:val="TableParagraph"/>
              <w:spacing w:before="63"/>
              <w:ind w:left="24"/>
              <w:rPr>
                <w:sz w:val="21"/>
              </w:rPr>
            </w:pPr>
            <w:bookmarkStart w:name="砷" w:id="805"/>
            <w:bookmarkEnd w:id="805"/>
            <w:r>
              <w:rPr/>
            </w:r>
            <w:r>
              <w:rPr>
                <w:w w:val="99"/>
                <w:sz w:val="21"/>
              </w:rPr>
              <w:t>砷</w:t>
            </w:r>
          </w:p>
        </w:tc>
        <w:tc>
          <w:tcPr>
            <w:tcW w:w="848" w:type="dxa"/>
          </w:tcPr>
          <w:p>
            <w:pPr>
              <w:pStyle w:val="TableParagraph"/>
              <w:spacing w:before="98"/>
              <w:ind w:left="87" w:right="81"/>
              <w:rPr>
                <w:rFonts w:ascii="Times New Roman"/>
                <w:sz w:val="21"/>
              </w:rPr>
            </w:pPr>
            <w:bookmarkStart w:name="mg/kg" w:id="806"/>
            <w:bookmarkEnd w:id="806"/>
            <w:r>
              <w:rPr/>
            </w:r>
            <w:r>
              <w:rPr>
                <w:rFonts w:ascii="Times New Roman"/>
                <w:sz w:val="21"/>
              </w:rPr>
              <w:t>mg/kg</w:t>
            </w:r>
          </w:p>
        </w:tc>
        <w:tc>
          <w:tcPr>
            <w:tcW w:w="2536" w:type="dxa"/>
          </w:tcPr>
          <w:p>
            <w:pPr>
              <w:pStyle w:val="TableParagraph"/>
              <w:spacing w:before="77"/>
              <w:ind w:left="91" w:right="83"/>
              <w:rPr>
                <w:rFonts w:ascii="Times New Roman"/>
                <w:sz w:val="21"/>
              </w:rPr>
            </w:pPr>
            <w:r>
              <w:rPr>
                <w:rFonts w:ascii="Times New Roman"/>
                <w:sz w:val="21"/>
              </w:rPr>
              <w:t>0.30</w:t>
            </w:r>
          </w:p>
        </w:tc>
        <w:tc>
          <w:tcPr>
            <w:tcW w:w="2672" w:type="dxa"/>
          </w:tcPr>
          <w:p>
            <w:pPr>
              <w:pStyle w:val="TableParagraph"/>
              <w:spacing w:before="77"/>
              <w:ind w:left="159" w:right="151"/>
              <w:rPr>
                <w:rFonts w:ascii="Times New Roman"/>
                <w:sz w:val="21"/>
              </w:rPr>
            </w:pPr>
            <w:r>
              <w:rPr>
                <w:rFonts w:ascii="Times New Roman"/>
                <w:sz w:val="21"/>
              </w:rPr>
              <w:t>0.37</w:t>
            </w:r>
          </w:p>
        </w:tc>
        <w:tc>
          <w:tcPr>
            <w:tcW w:w="1060" w:type="dxa"/>
          </w:tcPr>
          <w:p>
            <w:pPr>
              <w:pStyle w:val="TableParagraph"/>
              <w:spacing w:before="63"/>
              <w:ind w:left="298" w:right="291"/>
              <w:rPr>
                <w:sz w:val="21"/>
              </w:rPr>
            </w:pPr>
            <w:r>
              <w:rPr>
                <w:sz w:val="21"/>
              </w:rPr>
              <w:t>达标</w:t>
            </w:r>
          </w:p>
        </w:tc>
      </w:tr>
      <w:tr>
        <w:trPr>
          <w:trHeight w:val="397" w:hRule="atLeast"/>
        </w:trPr>
        <w:tc>
          <w:tcPr>
            <w:tcW w:w="1401" w:type="dxa"/>
          </w:tcPr>
          <w:p>
            <w:pPr>
              <w:pStyle w:val="TableParagraph"/>
              <w:spacing w:before="62"/>
              <w:ind w:left="24"/>
              <w:rPr>
                <w:sz w:val="21"/>
              </w:rPr>
            </w:pPr>
            <w:bookmarkStart w:name="铅" w:id="807"/>
            <w:bookmarkEnd w:id="807"/>
            <w:r>
              <w:rPr/>
            </w:r>
            <w:r>
              <w:rPr>
                <w:w w:val="99"/>
                <w:sz w:val="21"/>
              </w:rPr>
              <w:t>铅</w:t>
            </w:r>
          </w:p>
        </w:tc>
        <w:tc>
          <w:tcPr>
            <w:tcW w:w="848" w:type="dxa"/>
          </w:tcPr>
          <w:p>
            <w:pPr>
              <w:pStyle w:val="TableParagraph"/>
              <w:spacing w:before="97"/>
              <w:ind w:left="87" w:right="81"/>
              <w:rPr>
                <w:rFonts w:ascii="Times New Roman"/>
                <w:sz w:val="21"/>
              </w:rPr>
            </w:pPr>
            <w:bookmarkStart w:name="mg/kg" w:id="808"/>
            <w:bookmarkEnd w:id="808"/>
            <w:r>
              <w:rPr/>
            </w: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0.13</w:t>
            </w:r>
          </w:p>
        </w:tc>
        <w:tc>
          <w:tcPr>
            <w:tcW w:w="2672" w:type="dxa"/>
          </w:tcPr>
          <w:p>
            <w:pPr>
              <w:pStyle w:val="TableParagraph"/>
              <w:spacing w:before="76"/>
              <w:ind w:left="159" w:right="151"/>
              <w:rPr>
                <w:rFonts w:ascii="Times New Roman"/>
                <w:sz w:val="21"/>
              </w:rPr>
            </w:pPr>
            <w:r>
              <w:rPr>
                <w:rFonts w:ascii="Times New Roman"/>
                <w:sz w:val="21"/>
              </w:rPr>
              <w:t>0.15</w:t>
            </w:r>
          </w:p>
        </w:tc>
        <w:tc>
          <w:tcPr>
            <w:tcW w:w="1060" w:type="dxa"/>
          </w:tcPr>
          <w:p>
            <w:pPr>
              <w:pStyle w:val="TableParagraph"/>
              <w:spacing w:before="62"/>
              <w:ind w:left="298" w:right="291"/>
              <w:rPr>
                <w:sz w:val="21"/>
              </w:rPr>
            </w:pPr>
            <w:r>
              <w:rPr>
                <w:sz w:val="21"/>
              </w:rPr>
              <w:t>达标</w:t>
            </w:r>
          </w:p>
        </w:tc>
      </w:tr>
      <w:tr>
        <w:trPr>
          <w:trHeight w:val="396" w:hRule="atLeast"/>
        </w:trPr>
        <w:tc>
          <w:tcPr>
            <w:tcW w:w="1401" w:type="dxa"/>
          </w:tcPr>
          <w:p>
            <w:pPr>
              <w:pStyle w:val="TableParagraph"/>
              <w:spacing w:before="63"/>
              <w:ind w:left="24"/>
              <w:rPr>
                <w:sz w:val="21"/>
              </w:rPr>
            </w:pPr>
            <w:bookmarkStart w:name="铬" w:id="809"/>
            <w:bookmarkEnd w:id="809"/>
            <w:r>
              <w:rPr/>
            </w:r>
            <w:r>
              <w:rPr>
                <w:w w:val="99"/>
                <w:sz w:val="21"/>
              </w:rPr>
              <w:t>铬</w:t>
            </w:r>
          </w:p>
        </w:tc>
        <w:tc>
          <w:tcPr>
            <w:tcW w:w="848" w:type="dxa"/>
          </w:tcPr>
          <w:p>
            <w:pPr>
              <w:pStyle w:val="TableParagraph"/>
              <w:spacing w:before="77"/>
              <w:ind w:left="87" w:right="81"/>
              <w:rPr>
                <w:rFonts w:ascii="Times New Roman"/>
                <w:sz w:val="21"/>
              </w:rPr>
            </w:pPr>
            <w:r>
              <w:rPr>
                <w:rFonts w:ascii="Times New Roman"/>
                <w:sz w:val="21"/>
              </w:rPr>
              <w:t>mg/kg</w:t>
            </w:r>
          </w:p>
        </w:tc>
        <w:tc>
          <w:tcPr>
            <w:tcW w:w="2536" w:type="dxa"/>
          </w:tcPr>
          <w:p>
            <w:pPr>
              <w:pStyle w:val="TableParagraph"/>
              <w:spacing w:before="77"/>
              <w:ind w:left="91" w:right="83"/>
              <w:rPr>
                <w:rFonts w:ascii="Times New Roman"/>
                <w:sz w:val="21"/>
              </w:rPr>
            </w:pPr>
            <w:r>
              <w:rPr>
                <w:rFonts w:ascii="Times New Roman"/>
                <w:sz w:val="21"/>
              </w:rPr>
              <w:t>0.24</w:t>
            </w:r>
          </w:p>
        </w:tc>
        <w:tc>
          <w:tcPr>
            <w:tcW w:w="2672" w:type="dxa"/>
          </w:tcPr>
          <w:p>
            <w:pPr>
              <w:pStyle w:val="TableParagraph"/>
              <w:spacing w:before="77"/>
              <w:ind w:left="159" w:right="151"/>
              <w:rPr>
                <w:rFonts w:ascii="Times New Roman"/>
                <w:sz w:val="21"/>
              </w:rPr>
            </w:pPr>
            <w:r>
              <w:rPr>
                <w:rFonts w:ascii="Times New Roman"/>
                <w:sz w:val="21"/>
              </w:rPr>
              <w:t>0.26</w:t>
            </w:r>
          </w:p>
        </w:tc>
        <w:tc>
          <w:tcPr>
            <w:tcW w:w="1060" w:type="dxa"/>
          </w:tcPr>
          <w:p>
            <w:pPr>
              <w:pStyle w:val="TableParagraph"/>
              <w:spacing w:before="63"/>
              <w:ind w:left="298" w:right="291"/>
              <w:rPr>
                <w:sz w:val="21"/>
              </w:rPr>
            </w:pPr>
            <w:r>
              <w:rPr>
                <w:sz w:val="21"/>
              </w:rPr>
              <w:t>达标</w:t>
            </w:r>
          </w:p>
        </w:tc>
      </w:tr>
      <w:tr>
        <w:trPr>
          <w:trHeight w:val="397" w:hRule="atLeast"/>
        </w:trPr>
        <w:tc>
          <w:tcPr>
            <w:tcW w:w="1401" w:type="dxa"/>
          </w:tcPr>
          <w:p>
            <w:pPr>
              <w:pStyle w:val="TableParagraph"/>
              <w:spacing w:before="62"/>
              <w:ind w:left="24"/>
              <w:rPr>
                <w:sz w:val="21"/>
              </w:rPr>
            </w:pPr>
            <w:bookmarkStart w:name="铜" w:id="810"/>
            <w:bookmarkEnd w:id="810"/>
            <w:r>
              <w:rPr/>
            </w:r>
            <w:r>
              <w:rPr>
                <w:w w:val="99"/>
                <w:sz w:val="21"/>
              </w:rPr>
              <w:t>铜</w:t>
            </w:r>
          </w:p>
        </w:tc>
        <w:tc>
          <w:tcPr>
            <w:tcW w:w="848" w:type="dxa"/>
          </w:tcPr>
          <w:p>
            <w:pPr>
              <w:pStyle w:val="TableParagraph"/>
              <w:spacing w:before="75"/>
              <w:ind w:left="87" w:right="81"/>
              <w:rPr>
                <w:rFonts w:ascii="Times New Roman"/>
                <w:sz w:val="21"/>
              </w:rPr>
            </w:pPr>
            <w:r>
              <w:rPr>
                <w:rFonts w:ascii="Times New Roman"/>
                <w:sz w:val="21"/>
              </w:rPr>
              <w:t>mg/kg</w:t>
            </w:r>
          </w:p>
        </w:tc>
        <w:tc>
          <w:tcPr>
            <w:tcW w:w="2536" w:type="dxa"/>
          </w:tcPr>
          <w:p>
            <w:pPr>
              <w:pStyle w:val="TableParagraph"/>
              <w:spacing w:before="75"/>
              <w:ind w:left="91" w:right="83"/>
              <w:rPr>
                <w:rFonts w:ascii="Times New Roman"/>
                <w:sz w:val="21"/>
              </w:rPr>
            </w:pPr>
            <w:r>
              <w:rPr>
                <w:rFonts w:ascii="Times New Roman"/>
                <w:sz w:val="21"/>
              </w:rPr>
              <w:t>0.22</w:t>
            </w:r>
          </w:p>
        </w:tc>
        <w:tc>
          <w:tcPr>
            <w:tcW w:w="2672" w:type="dxa"/>
          </w:tcPr>
          <w:p>
            <w:pPr>
              <w:pStyle w:val="TableParagraph"/>
              <w:spacing w:before="75"/>
              <w:ind w:left="159" w:right="151"/>
              <w:rPr>
                <w:rFonts w:ascii="Times New Roman"/>
                <w:sz w:val="21"/>
              </w:rPr>
            </w:pPr>
            <w:r>
              <w:rPr>
                <w:rFonts w:ascii="Times New Roman"/>
                <w:sz w:val="21"/>
              </w:rPr>
              <w:t>0.18</w:t>
            </w:r>
          </w:p>
        </w:tc>
        <w:tc>
          <w:tcPr>
            <w:tcW w:w="1060" w:type="dxa"/>
          </w:tcPr>
          <w:p>
            <w:pPr>
              <w:pStyle w:val="TableParagraph"/>
              <w:spacing w:before="62"/>
              <w:ind w:left="298" w:right="291"/>
              <w:rPr>
                <w:sz w:val="21"/>
              </w:rPr>
            </w:pPr>
            <w:r>
              <w:rPr>
                <w:sz w:val="21"/>
              </w:rPr>
              <w:t>达标</w:t>
            </w:r>
          </w:p>
        </w:tc>
      </w:tr>
      <w:tr>
        <w:trPr>
          <w:trHeight w:val="397" w:hRule="atLeast"/>
        </w:trPr>
        <w:tc>
          <w:tcPr>
            <w:tcW w:w="1401" w:type="dxa"/>
          </w:tcPr>
          <w:p>
            <w:pPr>
              <w:pStyle w:val="TableParagraph"/>
              <w:spacing w:before="63"/>
              <w:ind w:left="24"/>
              <w:rPr>
                <w:sz w:val="21"/>
              </w:rPr>
            </w:pPr>
            <w:bookmarkStart w:name="镍" w:id="811"/>
            <w:bookmarkEnd w:id="811"/>
            <w:r>
              <w:rPr/>
            </w:r>
            <w:r>
              <w:rPr>
                <w:w w:val="99"/>
                <w:sz w:val="21"/>
              </w:rPr>
              <w:t>镍</w:t>
            </w:r>
          </w:p>
        </w:tc>
        <w:tc>
          <w:tcPr>
            <w:tcW w:w="848" w:type="dxa"/>
          </w:tcPr>
          <w:p>
            <w:pPr>
              <w:pStyle w:val="TableParagraph"/>
              <w:spacing w:before="76"/>
              <w:ind w:left="87" w:right="81"/>
              <w:rPr>
                <w:rFonts w:ascii="Times New Roman"/>
                <w:sz w:val="21"/>
              </w:rPr>
            </w:pP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0.18</w:t>
            </w:r>
          </w:p>
        </w:tc>
        <w:tc>
          <w:tcPr>
            <w:tcW w:w="2672" w:type="dxa"/>
          </w:tcPr>
          <w:p>
            <w:pPr>
              <w:pStyle w:val="TableParagraph"/>
              <w:spacing w:before="76"/>
              <w:ind w:left="159" w:right="151"/>
              <w:rPr>
                <w:rFonts w:ascii="Times New Roman"/>
                <w:sz w:val="21"/>
              </w:rPr>
            </w:pPr>
            <w:r>
              <w:rPr>
                <w:rFonts w:ascii="Times New Roman"/>
                <w:sz w:val="21"/>
              </w:rPr>
              <w:t>0.24</w:t>
            </w:r>
          </w:p>
        </w:tc>
        <w:tc>
          <w:tcPr>
            <w:tcW w:w="1060" w:type="dxa"/>
          </w:tcPr>
          <w:p>
            <w:pPr>
              <w:pStyle w:val="TableParagraph"/>
              <w:spacing w:before="63"/>
              <w:ind w:left="298" w:right="291"/>
              <w:rPr>
                <w:sz w:val="21"/>
              </w:rPr>
            </w:pPr>
            <w:r>
              <w:rPr>
                <w:sz w:val="21"/>
              </w:rPr>
              <w:t>达标</w:t>
            </w:r>
          </w:p>
        </w:tc>
      </w:tr>
      <w:tr>
        <w:trPr>
          <w:trHeight w:val="397" w:hRule="atLeast"/>
        </w:trPr>
        <w:tc>
          <w:tcPr>
            <w:tcW w:w="1401" w:type="dxa"/>
          </w:tcPr>
          <w:p>
            <w:pPr>
              <w:pStyle w:val="TableParagraph"/>
              <w:spacing w:before="61"/>
              <w:ind w:left="24"/>
              <w:rPr>
                <w:sz w:val="21"/>
              </w:rPr>
            </w:pPr>
            <w:bookmarkStart w:name="锌" w:id="812"/>
            <w:bookmarkEnd w:id="812"/>
            <w:r>
              <w:rPr/>
            </w:r>
            <w:r>
              <w:rPr>
                <w:w w:val="99"/>
                <w:sz w:val="21"/>
              </w:rPr>
              <w:t>锌</w:t>
            </w:r>
          </w:p>
        </w:tc>
        <w:tc>
          <w:tcPr>
            <w:tcW w:w="848" w:type="dxa"/>
          </w:tcPr>
          <w:p>
            <w:pPr>
              <w:pStyle w:val="TableParagraph"/>
              <w:spacing w:before="75"/>
              <w:ind w:left="87" w:right="81"/>
              <w:rPr>
                <w:rFonts w:ascii="Times New Roman"/>
                <w:sz w:val="21"/>
              </w:rPr>
            </w:pPr>
            <w:r>
              <w:rPr>
                <w:rFonts w:ascii="Times New Roman"/>
                <w:sz w:val="21"/>
              </w:rPr>
              <w:t>mg/kg</w:t>
            </w:r>
          </w:p>
        </w:tc>
        <w:tc>
          <w:tcPr>
            <w:tcW w:w="2536" w:type="dxa"/>
          </w:tcPr>
          <w:p>
            <w:pPr>
              <w:pStyle w:val="TableParagraph"/>
              <w:spacing w:before="80"/>
              <w:ind w:left="91" w:right="83"/>
              <w:rPr>
                <w:rFonts w:ascii="Times New Roman"/>
                <w:sz w:val="21"/>
              </w:rPr>
            </w:pPr>
            <w:bookmarkStart w:name="0.26" w:id="813"/>
            <w:bookmarkEnd w:id="813"/>
            <w:r>
              <w:rPr/>
            </w:r>
            <w:r>
              <w:rPr>
                <w:rFonts w:ascii="Times New Roman"/>
                <w:sz w:val="21"/>
              </w:rPr>
              <w:t>0.26</w:t>
            </w:r>
          </w:p>
        </w:tc>
        <w:tc>
          <w:tcPr>
            <w:tcW w:w="2672" w:type="dxa"/>
          </w:tcPr>
          <w:p>
            <w:pPr>
              <w:pStyle w:val="TableParagraph"/>
              <w:spacing w:before="75"/>
              <w:ind w:left="159" w:right="151"/>
              <w:rPr>
                <w:rFonts w:ascii="Times New Roman"/>
                <w:sz w:val="21"/>
              </w:rPr>
            </w:pPr>
            <w:r>
              <w:rPr>
                <w:rFonts w:ascii="Times New Roman"/>
                <w:sz w:val="21"/>
              </w:rPr>
              <w:t>0.32</w:t>
            </w:r>
          </w:p>
        </w:tc>
        <w:tc>
          <w:tcPr>
            <w:tcW w:w="1060" w:type="dxa"/>
          </w:tcPr>
          <w:p>
            <w:pPr>
              <w:pStyle w:val="TableParagraph"/>
              <w:spacing w:before="61"/>
              <w:ind w:left="298" w:right="291"/>
              <w:rPr>
                <w:sz w:val="21"/>
              </w:rPr>
            </w:pPr>
            <w:r>
              <w:rPr>
                <w:sz w:val="21"/>
              </w:rPr>
              <w:t>达标</w:t>
            </w:r>
          </w:p>
        </w:tc>
      </w:tr>
    </w:tbl>
    <w:p>
      <w:pPr>
        <w:pStyle w:val="BodyText"/>
        <w:spacing w:line="364" w:lineRule="auto" w:before="1"/>
        <w:ind w:left="375" w:right="758" w:firstLine="480"/>
        <w:jc w:val="both"/>
      </w:pPr>
      <w:r>
        <w:rPr>
          <w:spacing w:val="-12"/>
        </w:rPr>
        <w:t>从土壤环境质量现状监测及评价结果来看，占地范围内土壤各监测项均可以满足《土</w:t>
      </w:r>
      <w:r>
        <w:rPr/>
        <w:t>壤环境质量 建设用地土壤污染风险管控标准（试行）》（</w:t>
      </w:r>
      <w:r>
        <w:rPr>
          <w:rFonts w:ascii="Times New Roman" w:eastAsia="Times New Roman"/>
        </w:rPr>
        <w:t>GB36600-2018</w:t>
      </w:r>
      <w:r>
        <w:rPr/>
        <w:t>）</w:t>
      </w:r>
      <w:r>
        <w:rPr>
          <w:spacing w:val="-15"/>
        </w:rPr>
        <w:t>中表 </w:t>
      </w:r>
      <w:r>
        <w:rPr>
          <w:rFonts w:ascii="Times New Roman" w:eastAsia="Times New Roman"/>
        </w:rPr>
        <w:t>1 </w:t>
      </w:r>
      <w:r>
        <w:rPr/>
        <w:t>筛选</w:t>
      </w:r>
      <w:r>
        <w:rPr>
          <w:spacing w:val="-8"/>
        </w:rPr>
        <w:t>值或管制值第二类用地要求；占地范围外土壤各监测项均可以满足《土壤环境质量 农用</w:t>
      </w:r>
      <w:r>
        <w:rPr/>
        <w:t>地土壤污染风险管控标准（试行）》（</w:t>
      </w:r>
      <w:r>
        <w:rPr>
          <w:rFonts w:ascii="Times New Roman" w:eastAsia="Times New Roman"/>
        </w:rPr>
        <w:t>GB15618-2018</w:t>
      </w:r>
      <w:r>
        <w:rPr/>
        <w:t>）</w:t>
      </w:r>
      <w:r>
        <w:rPr>
          <w:spacing w:val="-21"/>
        </w:rPr>
        <w:t>中表 </w:t>
      </w:r>
      <w:r>
        <w:rPr>
          <w:rFonts w:ascii="Times New Roman" w:eastAsia="Times New Roman"/>
        </w:rPr>
        <w:t>1 </w:t>
      </w:r>
      <w:r>
        <w:rPr/>
        <w:t>风险筛选值要求。</w:t>
      </w:r>
    </w:p>
    <w:p>
      <w:pPr>
        <w:pStyle w:val="Heading4"/>
        <w:numPr>
          <w:ilvl w:val="3"/>
          <w:numId w:val="66"/>
        </w:numPr>
        <w:tabs>
          <w:tab w:pos="1204" w:val="left" w:leader="none"/>
        </w:tabs>
        <w:spacing w:line="305" w:lineRule="exact" w:before="0" w:after="0"/>
        <w:ind w:left="1204" w:right="0" w:hanging="829"/>
        <w:jc w:val="both"/>
      </w:pPr>
      <w:r>
        <w:rPr/>
        <w:t>土壤盐化、酸化、碱化评价</w:t>
      </w:r>
    </w:p>
    <w:p>
      <w:pPr>
        <w:pStyle w:val="BodyText"/>
        <w:tabs>
          <w:tab w:pos="4213" w:val="left" w:leader="none"/>
        </w:tabs>
        <w:spacing w:before="158"/>
        <w:ind w:left="856"/>
      </w:pPr>
      <w:r>
        <w:rPr/>
        <w:t>根</w:t>
      </w:r>
      <w:r>
        <w:rPr>
          <w:spacing w:val="-5"/>
        </w:rPr>
        <w:t>据</w:t>
      </w:r>
      <w:r>
        <w:rPr/>
        <w:t>《环境影响评价技术导则</w:t>
        <w:tab/>
        <w:t>土壤环</w:t>
      </w:r>
      <w:r>
        <w:rPr>
          <w:spacing w:val="-5"/>
        </w:rPr>
        <w:t>境</w:t>
      </w:r>
      <w:r>
        <w:rPr/>
        <w:t>（试行</w:t>
      </w:r>
      <w:r>
        <w:rPr>
          <w:spacing w:val="-5"/>
        </w:rPr>
        <w:t>）</w:t>
      </w:r>
      <w:r>
        <w:rPr>
          <w:spacing w:val="-10"/>
        </w:rPr>
        <w:t>》</w:t>
      </w:r>
      <w:r>
        <w:rPr/>
        <w:t>（</w:t>
      </w:r>
      <w:r>
        <w:rPr>
          <w:rFonts w:ascii="Times New Roman" w:eastAsia="Times New Roman"/>
        </w:rPr>
        <w:t>HJ964-2018</w:t>
      </w:r>
      <w:r>
        <w:rPr/>
        <w:t>）中附录</w:t>
      </w:r>
      <w:r>
        <w:rPr>
          <w:spacing w:val="-59"/>
        </w:rPr>
        <w:t> </w:t>
      </w:r>
      <w:r>
        <w:rPr>
          <w:rFonts w:ascii="Times New Roman" w:eastAsia="Times New Roman"/>
        </w:rPr>
        <w:t>D</w:t>
      </w:r>
      <w:r>
        <w:rPr>
          <w:rFonts w:ascii="Times New Roman" w:eastAsia="Times New Roman"/>
          <w:spacing w:val="-2"/>
        </w:rPr>
        <w:t> </w:t>
      </w:r>
      <w:r>
        <w:rPr/>
        <w:t>土壤</w:t>
      </w:r>
    </w:p>
    <w:p>
      <w:pPr>
        <w:spacing w:after="0"/>
        <w:sectPr>
          <w:pgSz w:w="11910" w:h="16840"/>
          <w:pgMar w:header="0" w:footer="1089" w:top="1580" w:bottom="1280" w:left="1040" w:right="600"/>
        </w:sectPr>
      </w:pPr>
    </w:p>
    <w:p>
      <w:pPr>
        <w:pStyle w:val="BodyText"/>
        <w:spacing w:before="66"/>
        <w:ind w:left="375"/>
      </w:pPr>
      <w:r>
        <w:rPr/>
        <w:t>酸化、碱化分级标准，本次监测及分析结果见表 </w:t>
      </w:r>
      <w:r>
        <w:rPr>
          <w:rFonts w:ascii="Times New Roman" w:eastAsia="Times New Roman"/>
        </w:rPr>
        <w:t>11.3-6</w:t>
      </w:r>
      <w:r>
        <w:rPr/>
        <w:t>。</w:t>
      </w:r>
    </w:p>
    <w:p>
      <w:pPr>
        <w:spacing w:before="157"/>
        <w:ind w:left="0" w:right="372" w:firstLine="0"/>
        <w:jc w:val="center"/>
        <w:rPr>
          <w:b/>
          <w:sz w:val="21"/>
        </w:rPr>
      </w:pPr>
      <w:r>
        <w:rPr>
          <w:b/>
          <w:sz w:val="21"/>
        </w:rPr>
        <w:t>表 </w:t>
      </w:r>
      <w:r>
        <w:rPr>
          <w:rFonts w:ascii="Times New Roman" w:eastAsia="Times New Roman"/>
          <w:b/>
          <w:sz w:val="21"/>
        </w:rPr>
        <w:t>11.3-6 </w:t>
      </w:r>
      <w:r>
        <w:rPr>
          <w:b/>
          <w:sz w:val="21"/>
        </w:rPr>
        <w:t>土壤酸化、碱化监测结果分析</w:t>
      </w:r>
    </w:p>
    <w:p>
      <w:pPr>
        <w:pStyle w:val="BodyText"/>
        <w:spacing w:before="11"/>
        <w:rPr>
          <w:b/>
          <w:sz w:val="10"/>
        </w:rPr>
      </w:pPr>
    </w:p>
    <w:tbl>
      <w:tblPr>
        <w:tblW w:w="0" w:type="auto"/>
        <w:jc w:val="left"/>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1398"/>
        <w:gridCol w:w="2415"/>
        <w:gridCol w:w="1531"/>
        <w:gridCol w:w="2282"/>
      </w:tblGrid>
      <w:tr>
        <w:trPr>
          <w:trHeight w:val="272" w:hRule="atLeast"/>
        </w:trPr>
        <w:tc>
          <w:tcPr>
            <w:tcW w:w="1714" w:type="dxa"/>
          </w:tcPr>
          <w:p>
            <w:pPr>
              <w:pStyle w:val="TableParagraph"/>
              <w:spacing w:line="251" w:lineRule="exact" w:before="2"/>
              <w:ind w:left="200" w:right="176"/>
              <w:rPr>
                <w:sz w:val="21"/>
              </w:rPr>
            </w:pPr>
            <w:bookmarkStart w:name="监测点位" w:id="814"/>
            <w:bookmarkEnd w:id="814"/>
            <w:r>
              <w:rPr/>
            </w:r>
            <w:r>
              <w:rPr>
                <w:sz w:val="21"/>
              </w:rPr>
              <w:t>监测点位</w:t>
            </w:r>
          </w:p>
        </w:tc>
        <w:tc>
          <w:tcPr>
            <w:tcW w:w="1398" w:type="dxa"/>
          </w:tcPr>
          <w:p>
            <w:pPr>
              <w:pStyle w:val="TableParagraph"/>
              <w:spacing w:line="251" w:lineRule="exact" w:before="2"/>
              <w:ind w:left="162" w:right="135"/>
              <w:rPr>
                <w:sz w:val="21"/>
              </w:rPr>
            </w:pPr>
            <w:bookmarkStart w:name="土壤含盐量" w:id="815"/>
            <w:bookmarkEnd w:id="815"/>
            <w:r>
              <w:rPr/>
            </w:r>
            <w:r>
              <w:rPr>
                <w:sz w:val="21"/>
              </w:rPr>
              <w:t>土壤含盐量</w:t>
            </w:r>
          </w:p>
        </w:tc>
        <w:tc>
          <w:tcPr>
            <w:tcW w:w="2415" w:type="dxa"/>
          </w:tcPr>
          <w:p>
            <w:pPr>
              <w:pStyle w:val="TableParagraph"/>
              <w:spacing w:line="251" w:lineRule="exact" w:before="2"/>
              <w:ind w:left="565" w:right="540"/>
              <w:rPr>
                <w:sz w:val="21"/>
              </w:rPr>
            </w:pPr>
            <w:bookmarkStart w:name="土壤盐化分级" w:id="816"/>
            <w:bookmarkEnd w:id="816"/>
            <w:r>
              <w:rPr/>
            </w:r>
            <w:r>
              <w:rPr>
                <w:sz w:val="21"/>
              </w:rPr>
              <w:t>土壤盐化分级</w:t>
            </w:r>
          </w:p>
        </w:tc>
        <w:tc>
          <w:tcPr>
            <w:tcW w:w="1531" w:type="dxa"/>
          </w:tcPr>
          <w:p>
            <w:pPr>
              <w:pStyle w:val="TableParagraph"/>
              <w:spacing w:line="251" w:lineRule="exact" w:before="2"/>
              <w:ind w:left="283" w:right="258"/>
              <w:rPr>
                <w:sz w:val="21"/>
              </w:rPr>
            </w:pPr>
            <w:bookmarkStart w:name="土壤pH值" w:id="817"/>
            <w:bookmarkEnd w:id="817"/>
            <w:r>
              <w:rPr/>
            </w:r>
            <w:r>
              <w:rPr>
                <w:sz w:val="21"/>
              </w:rPr>
              <w:t>土壤</w:t>
            </w:r>
            <w:r>
              <w:rPr>
                <w:rFonts w:ascii="Times New Roman" w:eastAsia="Times New Roman"/>
                <w:sz w:val="21"/>
              </w:rPr>
              <w:t>pH </w:t>
            </w:r>
            <w:r>
              <w:rPr>
                <w:sz w:val="21"/>
              </w:rPr>
              <w:t>值</w:t>
            </w:r>
          </w:p>
        </w:tc>
        <w:tc>
          <w:tcPr>
            <w:tcW w:w="2282" w:type="dxa"/>
          </w:tcPr>
          <w:p>
            <w:pPr>
              <w:pStyle w:val="TableParagraph"/>
              <w:spacing w:line="251" w:lineRule="exact" w:before="2"/>
              <w:ind w:left="185" w:right="157"/>
              <w:rPr>
                <w:sz w:val="21"/>
              </w:rPr>
            </w:pPr>
            <w:bookmarkStart w:name="土壤酸化、碱化程度" w:id="818"/>
            <w:bookmarkEnd w:id="818"/>
            <w:r>
              <w:rPr/>
            </w:r>
            <w:r>
              <w:rPr>
                <w:sz w:val="21"/>
              </w:rPr>
              <w:t>土壤酸化、碱化程度</w:t>
            </w:r>
          </w:p>
        </w:tc>
      </w:tr>
      <w:tr>
        <w:trPr>
          <w:trHeight w:val="272" w:hRule="atLeast"/>
        </w:trPr>
        <w:tc>
          <w:tcPr>
            <w:tcW w:w="1714" w:type="dxa"/>
          </w:tcPr>
          <w:p>
            <w:pPr>
              <w:pStyle w:val="TableParagraph"/>
              <w:spacing w:line="238" w:lineRule="exact" w:before="13"/>
              <w:ind w:left="199" w:right="179"/>
              <w:rPr>
                <w:rFonts w:ascii="Times New Roman"/>
                <w:sz w:val="21"/>
              </w:rPr>
            </w:pPr>
            <w:bookmarkStart w:name="TR3012-21001" w:id="819"/>
            <w:bookmarkEnd w:id="819"/>
            <w:r>
              <w:rPr/>
            </w:r>
            <w:r>
              <w:rPr>
                <w:rFonts w:ascii="Times New Roman"/>
                <w:sz w:val="21"/>
              </w:rPr>
              <w:t>TR3012-21001</w:t>
            </w:r>
          </w:p>
        </w:tc>
        <w:tc>
          <w:tcPr>
            <w:tcW w:w="1398" w:type="dxa"/>
          </w:tcPr>
          <w:p>
            <w:pPr>
              <w:pStyle w:val="TableParagraph"/>
              <w:spacing w:line="238" w:lineRule="exact" w:before="13"/>
              <w:ind w:left="156" w:right="135"/>
              <w:rPr>
                <w:rFonts w:ascii="Times New Roman"/>
                <w:sz w:val="21"/>
              </w:rPr>
            </w:pPr>
            <w:bookmarkStart w:name="1.8" w:id="820"/>
            <w:bookmarkEnd w:id="820"/>
            <w:r>
              <w:rPr/>
            </w:r>
            <w:r>
              <w:rPr>
                <w:rFonts w:ascii="Times New Roman"/>
                <w:sz w:val="21"/>
              </w:rPr>
              <w:t>1.8</w:t>
            </w:r>
          </w:p>
        </w:tc>
        <w:tc>
          <w:tcPr>
            <w:tcW w:w="2415" w:type="dxa"/>
          </w:tcPr>
          <w:p>
            <w:pPr>
              <w:pStyle w:val="TableParagraph"/>
              <w:spacing w:line="252" w:lineRule="exact"/>
              <w:ind w:left="565" w:right="540"/>
              <w:rPr>
                <w:sz w:val="21"/>
              </w:rPr>
            </w:pPr>
            <w:bookmarkStart w:name="轻度盐化" w:id="821"/>
            <w:bookmarkEnd w:id="821"/>
            <w:r>
              <w:rPr/>
            </w:r>
            <w:r>
              <w:rPr>
                <w:sz w:val="21"/>
              </w:rPr>
              <w:t>轻度盐化</w:t>
            </w:r>
          </w:p>
        </w:tc>
        <w:tc>
          <w:tcPr>
            <w:tcW w:w="1531" w:type="dxa"/>
          </w:tcPr>
          <w:p>
            <w:pPr>
              <w:pStyle w:val="TableParagraph"/>
              <w:spacing w:line="238" w:lineRule="exact" w:before="13"/>
              <w:ind w:left="279" w:right="258"/>
              <w:rPr>
                <w:rFonts w:ascii="Times New Roman"/>
                <w:sz w:val="21"/>
              </w:rPr>
            </w:pPr>
            <w:bookmarkStart w:name="7.03" w:id="822"/>
            <w:bookmarkEnd w:id="822"/>
            <w:r>
              <w:rPr/>
            </w:r>
            <w:r>
              <w:rPr>
                <w:rFonts w:ascii="Times New Roman"/>
                <w:sz w:val="21"/>
              </w:rPr>
              <w:t>7.03</w:t>
            </w:r>
          </w:p>
        </w:tc>
        <w:tc>
          <w:tcPr>
            <w:tcW w:w="2282" w:type="dxa"/>
          </w:tcPr>
          <w:p>
            <w:pPr>
              <w:pStyle w:val="TableParagraph"/>
              <w:spacing w:line="252" w:lineRule="exact"/>
              <w:ind w:left="185" w:right="157"/>
              <w:rPr>
                <w:sz w:val="21"/>
              </w:rPr>
            </w:pPr>
            <w:bookmarkStart w:name="无酸化或碱化" w:id="823"/>
            <w:bookmarkEnd w:id="823"/>
            <w:r>
              <w:rPr/>
            </w:r>
            <w:r>
              <w:rPr>
                <w:sz w:val="21"/>
              </w:rPr>
              <w:t>无酸化或碱化</w:t>
            </w:r>
          </w:p>
        </w:tc>
      </w:tr>
      <w:tr>
        <w:trPr>
          <w:trHeight w:val="271" w:hRule="atLeast"/>
        </w:trPr>
        <w:tc>
          <w:tcPr>
            <w:tcW w:w="1714" w:type="dxa"/>
          </w:tcPr>
          <w:p>
            <w:pPr>
              <w:pStyle w:val="TableParagraph"/>
              <w:spacing w:line="237" w:lineRule="exact" w:before="14"/>
              <w:ind w:left="200" w:right="178"/>
              <w:rPr>
                <w:rFonts w:ascii="Times New Roman"/>
                <w:sz w:val="21"/>
              </w:rPr>
            </w:pPr>
            <w:bookmarkStart w:name="TR3012-21101" w:id="824"/>
            <w:bookmarkEnd w:id="824"/>
            <w:r>
              <w:rPr/>
            </w:r>
            <w:r>
              <w:rPr>
                <w:rFonts w:ascii="Times New Roman"/>
                <w:sz w:val="21"/>
              </w:rPr>
              <w:t>TR3012-21101</w:t>
            </w:r>
          </w:p>
        </w:tc>
        <w:tc>
          <w:tcPr>
            <w:tcW w:w="1398" w:type="dxa"/>
          </w:tcPr>
          <w:p>
            <w:pPr>
              <w:pStyle w:val="TableParagraph"/>
              <w:spacing w:line="237" w:lineRule="exact" w:before="14"/>
              <w:ind w:left="156" w:right="135"/>
              <w:rPr>
                <w:rFonts w:ascii="Times New Roman"/>
                <w:sz w:val="21"/>
              </w:rPr>
            </w:pPr>
            <w:bookmarkStart w:name="1.3" w:id="825"/>
            <w:bookmarkEnd w:id="825"/>
            <w:r>
              <w:rPr/>
            </w:r>
            <w:r>
              <w:rPr>
                <w:rFonts w:ascii="Times New Roman"/>
                <w:sz w:val="21"/>
              </w:rPr>
              <w:t>1.3</w:t>
            </w:r>
          </w:p>
        </w:tc>
        <w:tc>
          <w:tcPr>
            <w:tcW w:w="2415" w:type="dxa"/>
          </w:tcPr>
          <w:p>
            <w:pPr>
              <w:pStyle w:val="TableParagraph"/>
              <w:spacing w:line="251" w:lineRule="exact"/>
              <w:ind w:left="565" w:right="540"/>
              <w:rPr>
                <w:sz w:val="21"/>
              </w:rPr>
            </w:pPr>
            <w:bookmarkStart w:name="轻度盐化" w:id="826"/>
            <w:bookmarkEnd w:id="826"/>
            <w:r>
              <w:rPr/>
            </w:r>
            <w:r>
              <w:rPr>
                <w:sz w:val="21"/>
              </w:rPr>
              <w:t>轻度盐化</w:t>
            </w:r>
          </w:p>
        </w:tc>
        <w:tc>
          <w:tcPr>
            <w:tcW w:w="1531" w:type="dxa"/>
          </w:tcPr>
          <w:p>
            <w:pPr>
              <w:pStyle w:val="TableParagraph"/>
              <w:spacing w:line="237" w:lineRule="exact" w:before="14"/>
              <w:ind w:left="279" w:right="258"/>
              <w:rPr>
                <w:rFonts w:ascii="Times New Roman"/>
                <w:sz w:val="21"/>
              </w:rPr>
            </w:pPr>
            <w:bookmarkStart w:name="7.14" w:id="827"/>
            <w:bookmarkEnd w:id="827"/>
            <w:r>
              <w:rPr/>
            </w:r>
            <w:r>
              <w:rPr>
                <w:rFonts w:ascii="Times New Roman"/>
                <w:sz w:val="21"/>
              </w:rPr>
              <w:t>7.14</w:t>
            </w:r>
          </w:p>
        </w:tc>
        <w:tc>
          <w:tcPr>
            <w:tcW w:w="2282" w:type="dxa"/>
          </w:tcPr>
          <w:p>
            <w:pPr>
              <w:pStyle w:val="TableParagraph"/>
              <w:spacing w:line="251" w:lineRule="exact"/>
              <w:ind w:left="185" w:right="157"/>
              <w:rPr>
                <w:sz w:val="21"/>
              </w:rPr>
            </w:pPr>
            <w:bookmarkStart w:name="无酸化或碱化" w:id="828"/>
            <w:bookmarkEnd w:id="828"/>
            <w:r>
              <w:rPr/>
            </w:r>
            <w:r>
              <w:rPr>
                <w:sz w:val="21"/>
              </w:rPr>
              <w:t>无酸化或碱化</w:t>
            </w:r>
          </w:p>
        </w:tc>
      </w:tr>
      <w:tr>
        <w:trPr>
          <w:trHeight w:val="273" w:hRule="atLeast"/>
        </w:trPr>
        <w:tc>
          <w:tcPr>
            <w:tcW w:w="1714" w:type="dxa"/>
          </w:tcPr>
          <w:p>
            <w:pPr>
              <w:pStyle w:val="TableParagraph"/>
              <w:spacing w:line="237" w:lineRule="exact" w:before="16"/>
              <w:ind w:left="199" w:right="179"/>
              <w:rPr>
                <w:rFonts w:ascii="Times New Roman"/>
                <w:sz w:val="21"/>
              </w:rPr>
            </w:pPr>
            <w:bookmarkStart w:name="TR3012-21201" w:id="829"/>
            <w:bookmarkEnd w:id="829"/>
            <w:r>
              <w:rPr/>
            </w:r>
            <w:r>
              <w:rPr>
                <w:rFonts w:ascii="Times New Roman"/>
                <w:sz w:val="21"/>
              </w:rPr>
              <w:t>TR3012-21201</w:t>
            </w:r>
          </w:p>
        </w:tc>
        <w:tc>
          <w:tcPr>
            <w:tcW w:w="1398" w:type="dxa"/>
          </w:tcPr>
          <w:p>
            <w:pPr>
              <w:pStyle w:val="TableParagraph"/>
              <w:spacing w:line="237" w:lineRule="exact" w:before="16"/>
              <w:ind w:left="156" w:right="135"/>
              <w:rPr>
                <w:rFonts w:ascii="Times New Roman"/>
                <w:sz w:val="21"/>
              </w:rPr>
            </w:pPr>
            <w:bookmarkStart w:name="1.6" w:id="830"/>
            <w:bookmarkEnd w:id="830"/>
            <w:r>
              <w:rPr/>
            </w:r>
            <w:r>
              <w:rPr>
                <w:rFonts w:ascii="Times New Roman"/>
                <w:sz w:val="21"/>
              </w:rPr>
              <w:t>1.6</w:t>
            </w:r>
          </w:p>
        </w:tc>
        <w:tc>
          <w:tcPr>
            <w:tcW w:w="2415" w:type="dxa"/>
          </w:tcPr>
          <w:p>
            <w:pPr>
              <w:pStyle w:val="TableParagraph"/>
              <w:spacing w:line="251" w:lineRule="exact" w:before="2"/>
              <w:ind w:left="565" w:right="540"/>
              <w:rPr>
                <w:sz w:val="21"/>
              </w:rPr>
            </w:pPr>
            <w:bookmarkStart w:name="轻度盐化" w:id="831"/>
            <w:bookmarkEnd w:id="831"/>
            <w:r>
              <w:rPr/>
            </w:r>
            <w:r>
              <w:rPr>
                <w:sz w:val="21"/>
              </w:rPr>
              <w:t>轻度盐化</w:t>
            </w:r>
          </w:p>
        </w:tc>
        <w:tc>
          <w:tcPr>
            <w:tcW w:w="1531" w:type="dxa"/>
          </w:tcPr>
          <w:p>
            <w:pPr>
              <w:pStyle w:val="TableParagraph"/>
              <w:spacing w:line="237" w:lineRule="exact" w:before="16"/>
              <w:ind w:left="279" w:right="258"/>
              <w:rPr>
                <w:rFonts w:ascii="Times New Roman"/>
                <w:sz w:val="21"/>
              </w:rPr>
            </w:pPr>
            <w:bookmarkStart w:name="6.83" w:id="832"/>
            <w:bookmarkEnd w:id="832"/>
            <w:r>
              <w:rPr/>
            </w:r>
            <w:r>
              <w:rPr>
                <w:rFonts w:ascii="Times New Roman"/>
                <w:sz w:val="21"/>
              </w:rPr>
              <w:t>6.83</w:t>
            </w:r>
          </w:p>
        </w:tc>
        <w:tc>
          <w:tcPr>
            <w:tcW w:w="2282" w:type="dxa"/>
          </w:tcPr>
          <w:p>
            <w:pPr>
              <w:pStyle w:val="TableParagraph"/>
              <w:spacing w:line="251" w:lineRule="exact" w:before="2"/>
              <w:ind w:left="185" w:right="157"/>
              <w:rPr>
                <w:sz w:val="21"/>
              </w:rPr>
            </w:pPr>
            <w:bookmarkStart w:name="无酸化或碱化" w:id="833"/>
            <w:bookmarkEnd w:id="833"/>
            <w:r>
              <w:rPr/>
            </w:r>
            <w:r>
              <w:rPr>
                <w:sz w:val="21"/>
              </w:rPr>
              <w:t>无酸化或碱化</w:t>
            </w:r>
          </w:p>
        </w:tc>
      </w:tr>
    </w:tbl>
    <w:p>
      <w:pPr>
        <w:pStyle w:val="BodyText"/>
        <w:spacing w:before="1"/>
        <w:ind w:left="856"/>
      </w:pPr>
      <w:r>
        <w:rPr/>
        <w:t>井田开采区范围内的各监测点结果表明，土壤表现为轻度盐化、无酸化或碱化。</w:t>
      </w:r>
    </w:p>
    <w:p>
      <w:pPr>
        <w:pStyle w:val="Heading3"/>
        <w:numPr>
          <w:ilvl w:val="2"/>
          <w:numId w:val="66"/>
        </w:numPr>
        <w:tabs>
          <w:tab w:pos="1202" w:val="left" w:leader="none"/>
        </w:tabs>
        <w:spacing w:line="240" w:lineRule="auto" w:before="161" w:after="0"/>
        <w:ind w:left="1201" w:right="0" w:hanging="827"/>
        <w:jc w:val="left"/>
      </w:pPr>
      <w:bookmarkStart w:name="11.3.3 工业场地土壤现状监测与评价" w:id="834"/>
      <w:bookmarkEnd w:id="834"/>
      <w:r>
        <w:rPr>
          <w:b w:val="0"/>
        </w:rPr>
      </w:r>
      <w:bookmarkStart w:name="11.3.3 工业场地土壤现状监测与评价" w:id="835"/>
      <w:bookmarkEnd w:id="835"/>
      <w:r>
        <w:rPr/>
        <w:t>工业场地土壤现状监测与评价</w:t>
      </w:r>
    </w:p>
    <w:p>
      <w:pPr>
        <w:pStyle w:val="Heading4"/>
        <w:numPr>
          <w:ilvl w:val="3"/>
          <w:numId w:val="66"/>
        </w:numPr>
        <w:tabs>
          <w:tab w:pos="1204" w:val="left" w:leader="none"/>
        </w:tabs>
        <w:spacing w:line="240" w:lineRule="auto" w:before="185" w:after="0"/>
        <w:ind w:left="1204" w:right="0" w:hanging="829"/>
        <w:jc w:val="left"/>
      </w:pPr>
      <w:r>
        <w:rPr/>
        <w:t>监测点位及监测因子</w:t>
      </w:r>
    </w:p>
    <w:p>
      <w:pPr>
        <w:pStyle w:val="BodyText"/>
        <w:spacing w:line="364" w:lineRule="auto" w:before="159"/>
        <w:ind w:left="856" w:right="829"/>
      </w:pPr>
      <w:r>
        <w:rPr>
          <w:spacing w:val="-5"/>
        </w:rPr>
        <w:t>监测点位：工业场地范围内 </w:t>
      </w:r>
      <w:r>
        <w:rPr>
          <w:rFonts w:ascii="Times New Roman" w:eastAsia="Times New Roman"/>
        </w:rPr>
        <w:t>3 </w:t>
      </w:r>
      <w:r>
        <w:rPr/>
        <w:t>个柱状样，</w:t>
      </w:r>
      <w:r>
        <w:rPr>
          <w:rFonts w:ascii="Times New Roman" w:eastAsia="Times New Roman"/>
        </w:rPr>
        <w:t>1 </w:t>
      </w:r>
      <w:r>
        <w:rPr>
          <w:spacing w:val="-5"/>
        </w:rPr>
        <w:t>个表层样，工业场地范围外 </w:t>
      </w:r>
      <w:r>
        <w:rPr>
          <w:rFonts w:ascii="Times New Roman" w:eastAsia="Times New Roman"/>
        </w:rPr>
        <w:t>2 </w:t>
      </w:r>
      <w:r>
        <w:rPr>
          <w:spacing w:val="-5"/>
        </w:rPr>
        <w:t>个表层样</w:t>
      </w:r>
      <w:r>
        <w:rPr/>
        <w:t>监测因子：</w:t>
      </w:r>
    </w:p>
    <w:p>
      <w:pPr>
        <w:pStyle w:val="BodyText"/>
        <w:spacing w:line="364" w:lineRule="auto"/>
        <w:ind w:left="375" w:right="633" w:firstLine="480"/>
      </w:pPr>
      <w:r>
        <w:rPr>
          <w:spacing w:val="-6"/>
        </w:rPr>
        <w:t>工业场地范围内 </w:t>
      </w:r>
      <w:r>
        <w:rPr>
          <w:rFonts w:ascii="Times New Roman" w:eastAsia="Times New Roman"/>
        </w:rPr>
        <w:t>1 </w:t>
      </w:r>
      <w:r>
        <w:rPr>
          <w:spacing w:val="1"/>
        </w:rPr>
        <w:t>个表层样</w:t>
      </w:r>
      <w:r>
        <w:rPr>
          <w:rFonts w:ascii="Times New Roman" w:eastAsia="Times New Roman"/>
          <w:spacing w:val="4"/>
        </w:rPr>
        <w:t>-</w:t>
      </w:r>
      <w:r>
        <w:rPr/>
        <w:t>建设用地：</w:t>
      </w:r>
      <w:r>
        <w:rPr>
          <w:rFonts w:ascii="Times New Roman" w:eastAsia="Times New Roman"/>
        </w:rPr>
        <w:t>pH</w:t>
      </w:r>
      <w:r>
        <w:rPr/>
        <w:t>、含盐量、砷、镉、六价铬、铜、铅、</w:t>
      </w:r>
      <w:r>
        <w:rPr>
          <w:spacing w:val="-10"/>
        </w:rPr>
        <w:t>汞、镍、四氯化碳、氯仿、氯甲烷、</w:t>
      </w:r>
      <w:r>
        <w:rPr>
          <w:rFonts w:ascii="Times New Roman" w:eastAsia="Times New Roman"/>
        </w:rPr>
        <w:t>1,1-</w:t>
      </w:r>
      <w:r>
        <w:rPr>
          <w:spacing w:val="-4"/>
        </w:rPr>
        <w:t>二氯乙烷、</w:t>
      </w:r>
      <w:r>
        <w:rPr>
          <w:rFonts w:ascii="Times New Roman" w:eastAsia="Times New Roman"/>
        </w:rPr>
        <w:t>1,2-</w:t>
      </w:r>
      <w:r>
        <w:rPr>
          <w:spacing w:val="-4"/>
        </w:rPr>
        <w:t>二氯乙烷、</w:t>
      </w:r>
      <w:r>
        <w:rPr>
          <w:rFonts w:ascii="Times New Roman" w:eastAsia="Times New Roman"/>
        </w:rPr>
        <w:t>1,1-</w:t>
      </w:r>
      <w:r>
        <w:rPr>
          <w:spacing w:val="-4"/>
        </w:rPr>
        <w:t>二氯乙烯、顺</w:t>
      </w:r>
      <w:r>
        <w:rPr>
          <w:rFonts w:ascii="Times New Roman" w:eastAsia="Times New Roman"/>
        </w:rPr>
        <w:t>-1,2- </w:t>
      </w:r>
      <w:r>
        <w:rPr/>
        <w:t>二氯乙烯、反</w:t>
      </w:r>
      <w:r>
        <w:rPr>
          <w:rFonts w:ascii="Times New Roman" w:eastAsia="Times New Roman"/>
        </w:rPr>
        <w:t>-1,2-</w:t>
      </w:r>
      <w:r>
        <w:rPr/>
        <w:t>二氯乙烯、二氯甲烷、</w:t>
      </w:r>
      <w:r>
        <w:rPr>
          <w:rFonts w:ascii="Times New Roman" w:eastAsia="Times New Roman"/>
        </w:rPr>
        <w:t>1,2-</w:t>
      </w:r>
      <w:r>
        <w:rPr/>
        <w:t>二氯丙烷、</w:t>
      </w:r>
      <w:r>
        <w:rPr>
          <w:rFonts w:ascii="Times New Roman" w:eastAsia="Times New Roman"/>
        </w:rPr>
        <w:t>1,1,1,2-</w:t>
      </w:r>
      <w:r>
        <w:rPr/>
        <w:t>四氯乙烷、</w:t>
      </w:r>
      <w:r>
        <w:rPr>
          <w:rFonts w:ascii="Times New Roman" w:eastAsia="Times New Roman"/>
        </w:rPr>
        <w:t>1,1,2,2-</w:t>
      </w:r>
      <w:r>
        <w:rPr/>
        <w:t>四氯</w:t>
      </w:r>
      <w:r>
        <w:rPr>
          <w:spacing w:val="-7"/>
        </w:rPr>
        <w:t>乙烷、四氯乙烯、</w:t>
      </w:r>
      <w:r>
        <w:rPr>
          <w:rFonts w:ascii="Times New Roman" w:eastAsia="Times New Roman"/>
        </w:rPr>
        <w:t>1,1,1-</w:t>
      </w:r>
      <w:r>
        <w:rPr>
          <w:spacing w:val="-4"/>
        </w:rPr>
        <w:t>三氯乙烷、</w:t>
      </w:r>
      <w:r>
        <w:rPr>
          <w:rFonts w:ascii="Times New Roman" w:eastAsia="Times New Roman"/>
        </w:rPr>
        <w:t>1,1,2-</w:t>
      </w:r>
      <w:r>
        <w:rPr>
          <w:spacing w:val="-6"/>
        </w:rPr>
        <w:t>三氯乙烷、三氯乙烯、</w:t>
      </w:r>
      <w:r>
        <w:rPr>
          <w:rFonts w:ascii="Times New Roman" w:eastAsia="Times New Roman"/>
        </w:rPr>
        <w:t>1,2,3-</w:t>
      </w:r>
      <w:r>
        <w:rPr>
          <w:spacing w:val="-4"/>
        </w:rPr>
        <w:t>三氯丙烷、氯乙烯、</w:t>
      </w:r>
      <w:r>
        <w:rPr>
          <w:spacing w:val="-3"/>
        </w:rPr>
        <w:t>苯、氯苯、</w:t>
      </w:r>
      <w:r>
        <w:rPr>
          <w:rFonts w:ascii="Times New Roman" w:eastAsia="Times New Roman"/>
        </w:rPr>
        <w:t>1,2-</w:t>
      </w:r>
      <w:r>
        <w:rPr/>
        <w:t>二氯苯、</w:t>
      </w:r>
      <w:r>
        <w:rPr>
          <w:rFonts w:ascii="Times New Roman" w:eastAsia="Times New Roman"/>
        </w:rPr>
        <w:t>1,4-</w:t>
      </w:r>
      <w:r>
        <w:rPr/>
        <w:t>二氯苯、乙苯、苯乙烯、甲苯、间二甲苯</w:t>
      </w:r>
      <w:r>
        <w:rPr>
          <w:rFonts w:ascii="Times New Roman" w:eastAsia="Times New Roman"/>
        </w:rPr>
        <w:t>+</w:t>
      </w:r>
      <w:r>
        <w:rPr/>
        <w:t>对二甲苯、邻二甲苯、硝基苯、苯胺、</w:t>
      </w:r>
      <w:r>
        <w:rPr>
          <w:rFonts w:ascii="Times New Roman" w:eastAsia="Times New Roman"/>
        </w:rPr>
        <w:t>2-</w:t>
      </w:r>
      <w:r>
        <w:rPr/>
        <w:t>氯酚、苯并</w:t>
      </w:r>
      <w:r>
        <w:rPr>
          <w:rFonts w:ascii="Times New Roman" w:eastAsia="Times New Roman"/>
        </w:rPr>
        <w:t>[a]</w:t>
      </w:r>
      <w:r>
        <w:rPr/>
        <w:t>蒽、苯并</w:t>
      </w:r>
      <w:r>
        <w:rPr>
          <w:rFonts w:ascii="Times New Roman" w:eastAsia="Times New Roman"/>
        </w:rPr>
        <w:t>[a]</w:t>
      </w:r>
      <w:r>
        <w:rPr/>
        <w:t>芘、苯并</w:t>
      </w:r>
      <w:r>
        <w:rPr>
          <w:rFonts w:ascii="Times New Roman" w:eastAsia="Times New Roman"/>
        </w:rPr>
        <w:t>[b]</w:t>
      </w:r>
      <w:r>
        <w:rPr/>
        <w:t>荧蒽、苯并</w:t>
      </w:r>
      <w:r>
        <w:rPr>
          <w:rFonts w:ascii="Times New Roman" w:eastAsia="Times New Roman"/>
        </w:rPr>
        <w:t>[k]</w:t>
      </w:r>
      <w:r>
        <w:rPr/>
        <w:t>荧蒽、䓛、二苯并</w:t>
      </w:r>
      <w:r>
        <w:rPr>
          <w:rFonts w:ascii="Times New Roman" w:eastAsia="Times New Roman"/>
        </w:rPr>
        <w:t>[a,h]</w:t>
      </w:r>
      <w:r>
        <w:rPr/>
        <w:t>蒽、茚并</w:t>
      </w:r>
      <w:r>
        <w:rPr>
          <w:rFonts w:ascii="Times New Roman" w:eastAsia="Times New Roman"/>
        </w:rPr>
        <w:t>[1,2,3-cd]</w:t>
      </w:r>
      <w:r>
        <w:rPr/>
        <w:t>芘、萘、石油烃（</w:t>
      </w:r>
      <w:r>
        <w:rPr>
          <w:rFonts w:ascii="Times New Roman" w:eastAsia="Times New Roman"/>
        </w:rPr>
        <w:t>C10</w:t>
      </w:r>
      <w:r>
        <w:rPr/>
        <w:t>～</w:t>
      </w:r>
      <w:r>
        <w:rPr>
          <w:rFonts w:ascii="Times New Roman" w:eastAsia="Times New Roman"/>
        </w:rPr>
        <w:t>C40</w:t>
      </w:r>
      <w:r>
        <w:rPr/>
        <w:t>）；</w:t>
      </w:r>
    </w:p>
    <w:p>
      <w:pPr>
        <w:pStyle w:val="BodyText"/>
        <w:spacing w:line="362" w:lineRule="auto"/>
        <w:ind w:left="375" w:right="757" w:firstLine="480"/>
      </w:pPr>
      <w:r>
        <w:rPr>
          <w:spacing w:val="-5"/>
        </w:rPr>
        <w:t>工业场地范围内建设用地 </w:t>
      </w:r>
      <w:r>
        <w:rPr>
          <w:rFonts w:ascii="Times New Roman" w:eastAsia="Times New Roman"/>
        </w:rPr>
        <w:t>3 </w:t>
      </w:r>
      <w:r>
        <w:rPr>
          <w:spacing w:val="-1"/>
        </w:rPr>
        <w:t>个柱状样：</w:t>
      </w:r>
      <w:r>
        <w:rPr>
          <w:rFonts w:ascii="Times New Roman" w:eastAsia="Times New Roman"/>
          <w:spacing w:val="-3"/>
        </w:rPr>
        <w:t>pH</w:t>
      </w:r>
      <w:r>
        <w:rPr>
          <w:spacing w:val="-8"/>
        </w:rPr>
        <w:t>、含盐量、砷、镉、六价铬、铅、汞、石</w:t>
      </w:r>
      <w:r>
        <w:rPr/>
        <w:t>油烃（</w:t>
      </w:r>
      <w:r>
        <w:rPr>
          <w:rFonts w:ascii="Times New Roman" w:eastAsia="Times New Roman"/>
        </w:rPr>
        <w:t>C10</w:t>
      </w:r>
      <w:r>
        <w:rPr/>
        <w:t>～</w:t>
      </w:r>
      <w:r>
        <w:rPr>
          <w:rFonts w:ascii="Times New Roman" w:eastAsia="Times New Roman"/>
        </w:rPr>
        <w:t>C40</w:t>
      </w:r>
      <w:r>
        <w:rPr/>
        <w:t>）、铬、锌；</w:t>
      </w:r>
    </w:p>
    <w:p>
      <w:pPr>
        <w:pStyle w:val="BodyText"/>
        <w:spacing w:line="362" w:lineRule="auto"/>
        <w:ind w:left="375" w:right="646" w:firstLine="480"/>
      </w:pPr>
      <w:r>
        <w:rPr/>
        <w:t>工业场地占地范围外 </w:t>
      </w:r>
      <w:r>
        <w:rPr>
          <w:rFonts w:ascii="Times New Roman" w:eastAsia="Times New Roman"/>
        </w:rPr>
        <w:t>2 </w:t>
      </w:r>
      <w:r>
        <w:rPr/>
        <w:t>个表层样农用地：</w:t>
      </w:r>
      <w:r>
        <w:rPr>
          <w:rFonts w:ascii="Times New Roman" w:eastAsia="Times New Roman"/>
        </w:rPr>
        <w:t>pH</w:t>
      </w:r>
      <w:r>
        <w:rPr/>
        <w:t>、含盐量、镉、汞、砷、铅、铬、铜、镍、锌。</w:t>
      </w:r>
    </w:p>
    <w:p>
      <w:pPr>
        <w:pStyle w:val="Heading4"/>
        <w:numPr>
          <w:ilvl w:val="3"/>
          <w:numId w:val="66"/>
        </w:numPr>
        <w:tabs>
          <w:tab w:pos="1204" w:val="left" w:leader="none"/>
        </w:tabs>
        <w:spacing w:line="240" w:lineRule="auto" w:before="5" w:after="0"/>
        <w:ind w:left="1204" w:right="0" w:hanging="829"/>
        <w:jc w:val="left"/>
      </w:pPr>
      <w:r>
        <w:rPr/>
        <w:t>监测采样时间及频率</w:t>
      </w:r>
    </w:p>
    <w:p>
      <w:pPr>
        <w:pStyle w:val="BodyText"/>
        <w:spacing w:before="161"/>
        <w:ind w:left="856"/>
      </w:pPr>
      <w:r>
        <w:rPr>
          <w:rFonts w:ascii="Times New Roman" w:eastAsia="Times New Roman"/>
        </w:rPr>
        <w:t>2020 </w:t>
      </w:r>
      <w:r>
        <w:rPr/>
        <w:t>年 </w:t>
      </w:r>
      <w:r>
        <w:rPr>
          <w:rFonts w:ascii="Times New Roman" w:eastAsia="Times New Roman"/>
        </w:rPr>
        <w:t>06 </w:t>
      </w:r>
      <w:r>
        <w:rPr/>
        <w:t>月 </w:t>
      </w:r>
      <w:r>
        <w:rPr>
          <w:rFonts w:ascii="Times New Roman" w:eastAsia="Times New Roman"/>
        </w:rPr>
        <w:t>18 </w:t>
      </w:r>
      <w:r>
        <w:rPr/>
        <w:t>日，采样 </w:t>
      </w:r>
      <w:r>
        <w:rPr>
          <w:rFonts w:ascii="Times New Roman" w:eastAsia="Times New Roman"/>
        </w:rPr>
        <w:t>1 </w:t>
      </w:r>
      <w:r>
        <w:rPr/>
        <w:t>次。</w:t>
      </w:r>
    </w:p>
    <w:p>
      <w:pPr>
        <w:pStyle w:val="Heading4"/>
        <w:numPr>
          <w:ilvl w:val="3"/>
          <w:numId w:val="66"/>
        </w:numPr>
        <w:tabs>
          <w:tab w:pos="1204" w:val="left" w:leader="none"/>
        </w:tabs>
        <w:spacing w:line="240" w:lineRule="auto" w:before="158" w:after="0"/>
        <w:ind w:left="1204" w:right="0" w:hanging="829"/>
        <w:jc w:val="left"/>
      </w:pPr>
      <w:r>
        <w:rPr/>
        <w:t>监测分析方法</w:t>
      </w:r>
    </w:p>
    <w:p>
      <w:pPr>
        <w:pStyle w:val="BodyText"/>
        <w:spacing w:before="160"/>
        <w:ind w:right="5137"/>
        <w:jc w:val="right"/>
      </w:pPr>
      <w:r>
        <w:rPr/>
        <w:t>土壤污染物监测分析方法详见表 </w:t>
      </w:r>
      <w:r>
        <w:rPr>
          <w:rFonts w:ascii="Times New Roman" w:eastAsia="Times New Roman"/>
        </w:rPr>
        <w:t>11.3-1</w:t>
      </w:r>
      <w:r>
        <w:rPr/>
        <w:t>。</w:t>
      </w:r>
    </w:p>
    <w:p>
      <w:pPr>
        <w:pStyle w:val="Heading3"/>
        <w:numPr>
          <w:ilvl w:val="2"/>
          <w:numId w:val="66"/>
        </w:numPr>
        <w:tabs>
          <w:tab w:pos="1132" w:val="left" w:leader="none"/>
        </w:tabs>
        <w:spacing w:line="240" w:lineRule="auto" w:before="159" w:after="0"/>
        <w:ind w:left="1132" w:right="5198" w:hanging="1132"/>
        <w:jc w:val="right"/>
      </w:pPr>
      <w:bookmarkStart w:name="11.3.4工业场地土壤环境质量现状评价" w:id="836"/>
      <w:bookmarkEnd w:id="836"/>
      <w:r>
        <w:rPr>
          <w:b w:val="0"/>
        </w:rPr>
      </w:r>
      <w:bookmarkStart w:name="11.3.4工业场地土壤环境质量现状评价" w:id="837"/>
      <w:bookmarkEnd w:id="837"/>
      <w:r>
        <w:rPr>
          <w:spacing w:val="-1"/>
          <w:w w:val="95"/>
        </w:rPr>
        <w:t>工业场地土壤环境质量现状评价</w:t>
      </w:r>
    </w:p>
    <w:p>
      <w:pPr>
        <w:pStyle w:val="Heading4"/>
        <w:numPr>
          <w:ilvl w:val="3"/>
          <w:numId w:val="66"/>
        </w:numPr>
        <w:tabs>
          <w:tab w:pos="1204" w:val="left" w:leader="none"/>
        </w:tabs>
        <w:spacing w:line="240" w:lineRule="auto" w:before="186" w:after="0"/>
        <w:ind w:left="1204" w:right="0" w:hanging="829"/>
        <w:jc w:val="left"/>
      </w:pPr>
      <w:r>
        <w:rPr/>
        <w:t>评价标准</w:t>
      </w:r>
    </w:p>
    <w:p>
      <w:pPr>
        <w:spacing w:after="0" w:line="240" w:lineRule="auto"/>
        <w:jc w:val="left"/>
        <w:sectPr>
          <w:pgSz w:w="11910" w:h="16840"/>
          <w:pgMar w:header="0" w:footer="1089" w:top="1520" w:bottom="1360" w:left="1040" w:right="600"/>
        </w:sectPr>
      </w:pPr>
    </w:p>
    <w:p>
      <w:pPr>
        <w:pStyle w:val="BodyText"/>
        <w:spacing w:before="46"/>
        <w:ind w:left="856"/>
      </w:pPr>
      <w:r>
        <w:rPr/>
        <w:t>工业广场占地范围内执行《土壤环境质量 建设用地土壤污染风险管控标准》</w:t>
      </w:r>
    </w:p>
    <w:p>
      <w:pPr>
        <w:pStyle w:val="BodyText"/>
        <w:spacing w:line="364" w:lineRule="auto" w:before="158"/>
        <w:ind w:left="375" w:right="758"/>
      </w:pPr>
      <w:r>
        <w:rPr/>
        <w:t>（</w:t>
      </w:r>
      <w:r>
        <w:rPr>
          <w:rFonts w:ascii="Times New Roman" w:eastAsia="Times New Roman"/>
        </w:rPr>
        <w:t>GB36600-2018</w:t>
      </w:r>
      <w:r>
        <w:rPr/>
        <w:t>）中的第二类用地标准，工业广场占地范围外执行《土壤环境质量 农用地土壤污染风险管控标准（试行）》（</w:t>
      </w:r>
      <w:r>
        <w:rPr>
          <w:rFonts w:ascii="Times New Roman" w:eastAsia="Times New Roman"/>
        </w:rPr>
        <w:t>GB15618-2018</w:t>
      </w:r>
      <w:r>
        <w:rPr/>
        <w:t>）中表 </w:t>
      </w:r>
      <w:r>
        <w:rPr>
          <w:rFonts w:ascii="Times New Roman" w:eastAsia="Times New Roman"/>
        </w:rPr>
        <w:t>1 </w:t>
      </w:r>
      <w:r>
        <w:rPr/>
        <w:t>风险筛选值标准。</w:t>
      </w:r>
    </w:p>
    <w:p>
      <w:pPr>
        <w:pStyle w:val="Heading4"/>
        <w:numPr>
          <w:ilvl w:val="3"/>
          <w:numId w:val="66"/>
        </w:numPr>
        <w:tabs>
          <w:tab w:pos="1204" w:val="left" w:leader="none"/>
        </w:tabs>
        <w:spacing w:line="306" w:lineRule="exact" w:before="0" w:after="0"/>
        <w:ind w:left="1204" w:right="0" w:hanging="829"/>
        <w:jc w:val="left"/>
      </w:pPr>
      <w:r>
        <w:rPr/>
        <w:t>评价方法</w:t>
      </w:r>
    </w:p>
    <w:p>
      <w:pPr>
        <w:pStyle w:val="BodyText"/>
        <w:spacing w:line="362" w:lineRule="auto" w:before="160"/>
        <w:ind w:left="375" w:right="758" w:firstLine="480"/>
      </w:pPr>
      <w:r>
        <w:rPr/>
        <w:t>本次土壤环境质量评价采用单因子标准指数法。单项土壤监测因子 </w:t>
      </w:r>
      <w:r>
        <w:rPr>
          <w:rFonts w:ascii="Times New Roman" w:eastAsia="Times New Roman"/>
        </w:rPr>
        <w:t>i </w:t>
      </w:r>
      <w:r>
        <w:rPr/>
        <w:t>在第 </w:t>
      </w:r>
      <w:r>
        <w:rPr>
          <w:rFonts w:ascii="Times New Roman" w:eastAsia="Times New Roman"/>
        </w:rPr>
        <w:t>j </w:t>
      </w:r>
      <w:r>
        <w:rPr/>
        <w:t>点的污染指数。</w:t>
      </w:r>
    </w:p>
    <w:p>
      <w:pPr>
        <w:pStyle w:val="BodyText"/>
        <w:spacing w:before="1"/>
        <w:ind w:left="856"/>
        <w:rPr>
          <w:rFonts w:ascii="Times New Roman"/>
        </w:rPr>
      </w:pPr>
      <w:r>
        <w:rPr>
          <w:rFonts w:ascii="Times New Roman"/>
          <w:position w:val="2"/>
        </w:rPr>
        <w:t>Si=C</w:t>
      </w:r>
      <w:r>
        <w:rPr>
          <w:rFonts w:ascii="Times New Roman"/>
          <w:position w:val="2"/>
          <w:vertAlign w:val="subscript"/>
        </w:rPr>
        <w:t>i</w:t>
      </w:r>
      <w:r>
        <w:rPr>
          <w:rFonts w:ascii="Times New Roman"/>
          <w:position w:val="2"/>
          <w:vertAlign w:val="baseline"/>
        </w:rPr>
        <w:t>/C</w:t>
      </w:r>
      <w:r>
        <w:rPr>
          <w:rFonts w:ascii="Times New Roman"/>
          <w:position w:val="2"/>
          <w:vertAlign w:val="subscript"/>
        </w:rPr>
        <w:t>0</w:t>
      </w:r>
    </w:p>
    <w:p>
      <w:pPr>
        <w:pStyle w:val="BodyText"/>
        <w:spacing w:line="360" w:lineRule="auto" w:before="120"/>
        <w:ind w:left="856" w:right="4802"/>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15"/>
          <w:position w:val="2"/>
          <w:vertAlign w:val="baseline"/>
        </w:rPr>
        <w:t>土壤中 </w:t>
      </w:r>
      <w:r>
        <w:rPr>
          <w:rFonts w:ascii="Times New Roman" w:hAnsi="Times New Roman" w:eastAsia="Times New Roman"/>
          <w:position w:val="2"/>
          <w:vertAlign w:val="baseline"/>
        </w:rPr>
        <w:t>i </w:t>
      </w:r>
      <w:r>
        <w:rPr>
          <w:position w:val="2"/>
          <w:vertAlign w:val="baseline"/>
        </w:rPr>
        <w:t>污染物的污染指数；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第 </w:t>
      </w:r>
      <w:r>
        <w:rPr>
          <w:rFonts w:ascii="Times New Roman" w:hAnsi="Times New Roman" w:eastAsia="Times New Roman"/>
          <w:position w:val="2"/>
          <w:vertAlign w:val="baseline"/>
        </w:rPr>
        <w:t>i</w:t>
      </w:r>
      <w:r>
        <w:rPr>
          <w:rFonts w:ascii="Times New Roman" w:hAnsi="Times New Roman" w:eastAsia="Times New Roman"/>
          <w:spacing w:val="58"/>
          <w:position w:val="2"/>
          <w:vertAlign w:val="baseline"/>
        </w:rPr>
        <w:t> </w:t>
      </w:r>
      <w:r>
        <w:rPr>
          <w:position w:val="2"/>
          <w:vertAlign w:val="baseline"/>
        </w:rPr>
        <w:t>种污染物的实测浓度，（</w:t>
      </w:r>
      <w:r>
        <w:rPr>
          <w:rFonts w:ascii="Times New Roman" w:hAnsi="Times New Roman" w:eastAsia="Times New Roman"/>
          <w:position w:val="2"/>
          <w:vertAlign w:val="baseline"/>
        </w:rPr>
        <w:t>mg/L</w:t>
      </w:r>
      <w:r>
        <w:rPr>
          <w:position w:val="2"/>
          <w:vertAlign w:val="baseline"/>
        </w:rPr>
        <w:t>）； </w:t>
      </w:r>
      <w:r>
        <w:rPr>
          <w:rFonts w:ascii="Times New Roman" w:hAnsi="Times New Roman" w:eastAsia="Times New Roman"/>
          <w:position w:val="2"/>
          <w:vertAlign w:val="baseline"/>
        </w:rPr>
        <w:t>C</w:t>
      </w:r>
      <w:r>
        <w:rPr>
          <w:rFonts w:ascii="Times New Roman" w:hAnsi="Times New Roman" w:eastAsia="Times New Roman"/>
          <w:position w:val="2"/>
          <w:vertAlign w:val="subscript"/>
        </w:rPr>
        <w:t>0</w:t>
      </w:r>
      <w:r>
        <w:rPr>
          <w:rFonts w:ascii="Times New Roman" w:hAnsi="Times New Roman" w:eastAsia="Times New Roman"/>
          <w:spacing w:val="-1"/>
          <w:position w:val="2"/>
          <w:vertAlign w:val="baseline"/>
        </w:rPr>
        <w:t> —</w:t>
      </w:r>
      <w:r>
        <w:rPr>
          <w:spacing w:val="-30"/>
          <w:position w:val="2"/>
          <w:vertAlign w:val="baseline"/>
        </w:rPr>
        <w:t>第 </w:t>
      </w:r>
      <w:r>
        <w:rPr>
          <w:rFonts w:ascii="Times New Roman" w:hAnsi="Times New Roman" w:eastAsia="Times New Roman"/>
          <w:position w:val="2"/>
          <w:vertAlign w:val="baseline"/>
        </w:rPr>
        <w:t>i </w:t>
      </w:r>
      <w:r>
        <w:rPr>
          <w:position w:val="2"/>
          <w:vertAlign w:val="baseline"/>
        </w:rPr>
        <w:t>种污染物的评价标准，（</w:t>
      </w:r>
      <w:r>
        <w:rPr>
          <w:rFonts w:ascii="Times New Roman" w:hAnsi="Times New Roman" w:eastAsia="Times New Roman"/>
          <w:position w:val="2"/>
          <w:vertAlign w:val="baseline"/>
        </w:rPr>
        <w:t>mg/L</w:t>
      </w:r>
      <w:r>
        <w:rPr>
          <w:position w:val="2"/>
          <w:vertAlign w:val="baseline"/>
        </w:rPr>
        <w:t>）</w:t>
      </w:r>
      <w:r>
        <w:rPr>
          <w:spacing w:val="-17"/>
          <w:position w:val="2"/>
          <w:vertAlign w:val="baseline"/>
        </w:rPr>
        <w:t>。</w:t>
      </w:r>
    </w:p>
    <w:p>
      <w:pPr>
        <w:pStyle w:val="BodyText"/>
        <w:spacing w:line="362" w:lineRule="auto" w:before="6"/>
        <w:ind w:left="375" w:right="758" w:firstLine="480"/>
      </w:pPr>
      <w:r>
        <w:rPr/>
        <w:t>土壤污染因子的标准指数大于 </w:t>
      </w:r>
      <w:r>
        <w:rPr>
          <w:rFonts w:ascii="Times New Roman" w:eastAsia="Times New Roman"/>
        </w:rPr>
        <w:t>1</w:t>
      </w:r>
      <w:r>
        <w:rPr/>
        <w:t>，表明该污染物超过了规定的标准限值，标准指数越大，说明超标越严重。</w:t>
      </w:r>
    </w:p>
    <w:p>
      <w:pPr>
        <w:pStyle w:val="Heading4"/>
        <w:numPr>
          <w:ilvl w:val="3"/>
          <w:numId w:val="66"/>
        </w:numPr>
        <w:tabs>
          <w:tab w:pos="1204" w:val="left" w:leader="none"/>
        </w:tabs>
        <w:spacing w:line="240" w:lineRule="auto" w:before="5" w:after="0"/>
        <w:ind w:left="1204" w:right="0" w:hanging="829"/>
        <w:jc w:val="left"/>
      </w:pPr>
      <w:r>
        <w:rPr/>
        <w:t>监测结果与评价</w:t>
      </w:r>
    </w:p>
    <w:p>
      <w:pPr>
        <w:pStyle w:val="BodyText"/>
        <w:spacing w:before="160"/>
        <w:ind w:left="856"/>
      </w:pPr>
      <w:r>
        <w:rPr/>
        <w:t>土壤环境质量监测结果和土壤环境质量评价结果见表 </w:t>
      </w:r>
      <w:r>
        <w:rPr>
          <w:rFonts w:ascii="Times New Roman" w:eastAsia="Times New Roman"/>
        </w:rPr>
        <w:t>11.3-7~</w:t>
      </w:r>
      <w:r>
        <w:rPr/>
        <w:t>表 </w:t>
      </w:r>
      <w:r>
        <w:rPr>
          <w:rFonts w:ascii="Times New Roman" w:eastAsia="Times New Roman"/>
        </w:rPr>
        <w:t>11.3-10</w:t>
      </w:r>
      <w:r>
        <w:rPr/>
        <w:t>。</w:t>
      </w:r>
    </w:p>
    <w:p>
      <w:pPr>
        <w:spacing w:after="0"/>
        <w:sectPr>
          <w:pgSz w:w="11910" w:h="16840"/>
          <w:pgMar w:header="0" w:footer="1089" w:top="1540" w:bottom="1360" w:left="1040" w:right="600"/>
        </w:sectPr>
      </w:pPr>
    </w:p>
    <w:p>
      <w:pPr>
        <w:pStyle w:val="BodyText"/>
        <w:rPr>
          <w:sz w:val="20"/>
        </w:rPr>
      </w:pPr>
    </w:p>
    <w:p>
      <w:pPr>
        <w:pStyle w:val="BodyText"/>
        <w:spacing w:before="11"/>
        <w:rPr>
          <w:sz w:val="18"/>
        </w:rPr>
      </w:pPr>
    </w:p>
    <w:p>
      <w:pPr>
        <w:pStyle w:val="Heading4"/>
        <w:tabs>
          <w:tab w:pos="1147" w:val="left" w:leader="none"/>
        </w:tabs>
        <w:ind w:right="668"/>
        <w:jc w:val="center"/>
      </w:pPr>
      <w:r>
        <w:rPr/>
        <w:t>表</w:t>
      </w:r>
      <w:r>
        <w:rPr>
          <w:spacing w:val="-61"/>
        </w:rPr>
        <w:t> </w:t>
      </w:r>
      <w:r>
        <w:rPr>
          <w:rFonts w:ascii="Times New Roman" w:eastAsia="Times New Roman"/>
          <w:spacing w:val="-3"/>
        </w:rPr>
        <w:t>11.3-7</w:t>
        <w:tab/>
      </w:r>
      <w:r>
        <w:rPr/>
        <w:t>土壤环境质量监测结果</w:t>
      </w:r>
    </w:p>
    <w:p>
      <w:pPr>
        <w:pStyle w:val="BodyText"/>
        <w:spacing w:before="3" w:after="1"/>
        <w:rPr>
          <w:b/>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864"/>
        <w:gridCol w:w="1070"/>
        <w:gridCol w:w="1070"/>
        <w:gridCol w:w="1070"/>
        <w:gridCol w:w="1070"/>
        <w:gridCol w:w="1070"/>
        <w:gridCol w:w="1070"/>
        <w:gridCol w:w="1070"/>
        <w:gridCol w:w="1070"/>
        <w:gridCol w:w="1070"/>
        <w:gridCol w:w="1076"/>
        <w:gridCol w:w="1038"/>
      </w:tblGrid>
      <w:tr>
        <w:trPr>
          <w:trHeight w:val="408" w:hRule="atLeast"/>
        </w:trPr>
        <w:tc>
          <w:tcPr>
            <w:tcW w:w="1961" w:type="dxa"/>
            <w:vMerge w:val="restart"/>
          </w:tcPr>
          <w:p>
            <w:pPr>
              <w:pStyle w:val="TableParagraph"/>
              <w:jc w:val="left"/>
              <w:rPr>
                <w:b/>
                <w:sz w:val="20"/>
              </w:rPr>
            </w:pPr>
          </w:p>
          <w:p>
            <w:pPr>
              <w:pStyle w:val="TableParagraph"/>
              <w:spacing w:before="7"/>
              <w:jc w:val="left"/>
              <w:rPr>
                <w:b/>
                <w:sz w:val="17"/>
              </w:rPr>
            </w:pPr>
          </w:p>
          <w:p>
            <w:pPr>
              <w:pStyle w:val="TableParagraph"/>
              <w:ind w:left="559"/>
              <w:jc w:val="left"/>
              <w:rPr>
                <w:sz w:val="21"/>
              </w:rPr>
            </w:pPr>
            <w:r>
              <w:rPr>
                <w:sz w:val="21"/>
              </w:rPr>
              <w:t>监测项目</w:t>
            </w:r>
          </w:p>
        </w:tc>
        <w:tc>
          <w:tcPr>
            <w:tcW w:w="864" w:type="dxa"/>
            <w:vMerge w:val="restart"/>
          </w:tcPr>
          <w:p>
            <w:pPr>
              <w:pStyle w:val="TableParagraph"/>
              <w:jc w:val="left"/>
              <w:rPr>
                <w:b/>
                <w:sz w:val="20"/>
              </w:rPr>
            </w:pPr>
          </w:p>
          <w:p>
            <w:pPr>
              <w:pStyle w:val="TableParagraph"/>
              <w:spacing w:before="7"/>
              <w:jc w:val="left"/>
              <w:rPr>
                <w:b/>
                <w:sz w:val="17"/>
              </w:rPr>
            </w:pPr>
          </w:p>
          <w:p>
            <w:pPr>
              <w:pStyle w:val="TableParagraph"/>
              <w:ind w:left="221"/>
              <w:jc w:val="left"/>
              <w:rPr>
                <w:sz w:val="21"/>
              </w:rPr>
            </w:pPr>
            <w:r>
              <w:rPr>
                <w:sz w:val="21"/>
              </w:rPr>
              <w:t>单位</w:t>
            </w:r>
          </w:p>
        </w:tc>
        <w:tc>
          <w:tcPr>
            <w:tcW w:w="10706" w:type="dxa"/>
            <w:gridSpan w:val="10"/>
          </w:tcPr>
          <w:p>
            <w:pPr>
              <w:pStyle w:val="TableParagraph"/>
              <w:spacing w:line="268" w:lineRule="exact"/>
              <w:ind w:left="5226" w:right="4800"/>
              <w:rPr>
                <w:sz w:val="21"/>
              </w:rPr>
            </w:pPr>
            <w:r>
              <w:rPr>
                <w:sz w:val="21"/>
              </w:rPr>
              <w:t>监测值</w:t>
            </w:r>
          </w:p>
        </w:tc>
        <w:tc>
          <w:tcPr>
            <w:tcW w:w="1038" w:type="dxa"/>
            <w:vMerge w:val="restart"/>
          </w:tcPr>
          <w:p>
            <w:pPr>
              <w:pStyle w:val="TableParagraph"/>
              <w:jc w:val="left"/>
              <w:rPr>
                <w:b/>
                <w:sz w:val="20"/>
              </w:rPr>
            </w:pPr>
          </w:p>
          <w:p>
            <w:pPr>
              <w:pStyle w:val="TableParagraph"/>
              <w:spacing w:before="7"/>
              <w:jc w:val="left"/>
              <w:rPr>
                <w:b/>
                <w:sz w:val="17"/>
              </w:rPr>
            </w:pPr>
          </w:p>
          <w:p>
            <w:pPr>
              <w:pStyle w:val="TableParagraph"/>
              <w:ind w:left="204"/>
              <w:jc w:val="left"/>
              <w:rPr>
                <w:sz w:val="21"/>
              </w:rPr>
            </w:pPr>
            <w:r>
              <w:rPr>
                <w:sz w:val="21"/>
              </w:rPr>
              <w:t>标准值</w:t>
            </w:r>
          </w:p>
        </w:tc>
      </w:tr>
      <w:tr>
        <w:trPr>
          <w:trHeight w:val="816" w:hRule="atLeast"/>
        </w:trPr>
        <w:tc>
          <w:tcPr>
            <w:tcW w:w="1961" w:type="dxa"/>
            <w:vMerge/>
            <w:tcBorders>
              <w:top w:val="nil"/>
            </w:tcBorders>
          </w:tcPr>
          <w:p>
            <w:pPr>
              <w:rPr>
                <w:sz w:val="2"/>
                <w:szCs w:val="2"/>
              </w:rPr>
            </w:pPr>
          </w:p>
        </w:tc>
        <w:tc>
          <w:tcPr>
            <w:tcW w:w="864" w:type="dxa"/>
            <w:vMerge/>
            <w:tcBorders>
              <w:top w:val="nil"/>
            </w:tcBorders>
          </w:tcPr>
          <w:p>
            <w:pPr>
              <w:rPr>
                <w:sz w:val="2"/>
                <w:szCs w:val="2"/>
              </w:rPr>
            </w:pPr>
          </w:p>
        </w:tc>
        <w:tc>
          <w:tcPr>
            <w:tcW w:w="1070" w:type="dxa"/>
          </w:tcPr>
          <w:p>
            <w:pPr>
              <w:pStyle w:val="TableParagraph"/>
              <w:spacing w:line="242" w:lineRule="auto" w:before="138"/>
              <w:ind w:left="218" w:right="104" w:hanging="104"/>
              <w:jc w:val="left"/>
              <w:rPr>
                <w:sz w:val="21"/>
              </w:rPr>
            </w:pPr>
            <w:r>
              <w:rPr>
                <w:sz w:val="21"/>
              </w:rPr>
              <w:t>工业场地表层土</w:t>
            </w:r>
          </w:p>
        </w:tc>
        <w:tc>
          <w:tcPr>
            <w:tcW w:w="1070" w:type="dxa"/>
          </w:tcPr>
          <w:p>
            <w:pPr>
              <w:pStyle w:val="TableParagraph"/>
              <w:spacing w:line="242" w:lineRule="auto" w:before="1"/>
              <w:ind w:left="113" w:right="106"/>
              <w:rPr>
                <w:sz w:val="21"/>
              </w:rPr>
            </w:pPr>
            <w:r>
              <w:rPr>
                <w:spacing w:val="-4"/>
                <w:sz w:val="21"/>
              </w:rPr>
              <w:t>工业场地</w:t>
            </w:r>
            <w:r>
              <w:rPr>
                <w:spacing w:val="-4"/>
                <w:w w:val="95"/>
                <w:sz w:val="21"/>
              </w:rPr>
              <w:t>表层柱状</w:t>
            </w:r>
          </w:p>
          <w:p>
            <w:pPr>
              <w:pStyle w:val="TableParagraph"/>
              <w:spacing w:line="251" w:lineRule="exact" w:before="1"/>
              <w:ind w:left="81" w:right="74"/>
              <w:rPr>
                <w:sz w:val="21"/>
              </w:rPr>
            </w:pPr>
            <w:r>
              <w:rPr>
                <w:spacing w:val="-28"/>
                <w:sz w:val="21"/>
              </w:rPr>
              <w:t>土 </w:t>
            </w:r>
            <w:r>
              <w:rPr>
                <w:rFonts w:ascii="Times New Roman" w:eastAsia="Times New Roman"/>
                <w:sz w:val="21"/>
              </w:rPr>
              <w:t>1 </w:t>
            </w:r>
            <w:r>
              <w:rPr>
                <w:sz w:val="21"/>
              </w:rPr>
              <w:t>上</w:t>
            </w:r>
          </w:p>
        </w:tc>
        <w:tc>
          <w:tcPr>
            <w:tcW w:w="1070" w:type="dxa"/>
          </w:tcPr>
          <w:p>
            <w:pPr>
              <w:pStyle w:val="TableParagraph"/>
              <w:spacing w:line="242" w:lineRule="auto" w:before="1"/>
              <w:ind w:left="113" w:right="106"/>
              <w:rPr>
                <w:sz w:val="21"/>
              </w:rPr>
            </w:pPr>
            <w:r>
              <w:rPr>
                <w:spacing w:val="-4"/>
                <w:sz w:val="21"/>
              </w:rPr>
              <w:t>工业场地</w:t>
            </w:r>
            <w:r>
              <w:rPr>
                <w:spacing w:val="-4"/>
                <w:w w:val="95"/>
                <w:sz w:val="21"/>
              </w:rPr>
              <w:t>表层柱状</w:t>
            </w:r>
          </w:p>
          <w:p>
            <w:pPr>
              <w:pStyle w:val="TableParagraph"/>
              <w:spacing w:line="251" w:lineRule="exact" w:before="1"/>
              <w:ind w:left="82" w:right="74"/>
              <w:rPr>
                <w:sz w:val="21"/>
              </w:rPr>
            </w:pPr>
            <w:r>
              <w:rPr>
                <w:spacing w:val="-28"/>
                <w:sz w:val="21"/>
              </w:rPr>
              <w:t>土 </w:t>
            </w:r>
            <w:r>
              <w:rPr>
                <w:rFonts w:ascii="Times New Roman" w:eastAsia="Times New Roman"/>
                <w:sz w:val="21"/>
              </w:rPr>
              <w:t>1 </w:t>
            </w:r>
            <w:r>
              <w:rPr>
                <w:sz w:val="21"/>
              </w:rPr>
              <w:t>中</w:t>
            </w:r>
          </w:p>
        </w:tc>
        <w:tc>
          <w:tcPr>
            <w:tcW w:w="1070" w:type="dxa"/>
          </w:tcPr>
          <w:p>
            <w:pPr>
              <w:pStyle w:val="TableParagraph"/>
              <w:spacing w:line="242" w:lineRule="auto" w:before="1"/>
              <w:ind w:left="114" w:right="105"/>
              <w:rPr>
                <w:sz w:val="21"/>
              </w:rPr>
            </w:pPr>
            <w:r>
              <w:rPr>
                <w:spacing w:val="-4"/>
                <w:sz w:val="21"/>
              </w:rPr>
              <w:t>工业场地</w:t>
            </w:r>
            <w:r>
              <w:rPr>
                <w:spacing w:val="-4"/>
                <w:w w:val="95"/>
                <w:sz w:val="21"/>
              </w:rPr>
              <w:t>表层柱状</w:t>
            </w:r>
          </w:p>
          <w:p>
            <w:pPr>
              <w:pStyle w:val="TableParagraph"/>
              <w:spacing w:line="251" w:lineRule="exact" w:before="1"/>
              <w:ind w:left="82" w:right="74"/>
              <w:rPr>
                <w:sz w:val="21"/>
              </w:rPr>
            </w:pPr>
            <w:r>
              <w:rPr>
                <w:spacing w:val="-28"/>
                <w:sz w:val="21"/>
              </w:rPr>
              <w:t>土 </w:t>
            </w:r>
            <w:r>
              <w:rPr>
                <w:rFonts w:ascii="Times New Roman" w:eastAsia="Times New Roman"/>
                <w:sz w:val="21"/>
              </w:rPr>
              <w:t>1 </w:t>
            </w:r>
            <w:r>
              <w:rPr>
                <w:sz w:val="21"/>
              </w:rPr>
              <w:t>下</w:t>
            </w:r>
          </w:p>
        </w:tc>
        <w:tc>
          <w:tcPr>
            <w:tcW w:w="1070" w:type="dxa"/>
          </w:tcPr>
          <w:p>
            <w:pPr>
              <w:pStyle w:val="TableParagraph"/>
              <w:spacing w:line="242" w:lineRule="auto" w:before="1"/>
              <w:ind w:left="114" w:right="105"/>
              <w:rPr>
                <w:sz w:val="21"/>
              </w:rPr>
            </w:pPr>
            <w:r>
              <w:rPr>
                <w:spacing w:val="-4"/>
                <w:sz w:val="21"/>
              </w:rPr>
              <w:t>工业场地</w:t>
            </w:r>
            <w:r>
              <w:rPr>
                <w:spacing w:val="-4"/>
                <w:w w:val="95"/>
                <w:sz w:val="21"/>
              </w:rPr>
              <w:t>表层柱状</w:t>
            </w:r>
          </w:p>
          <w:p>
            <w:pPr>
              <w:pStyle w:val="TableParagraph"/>
              <w:spacing w:line="251" w:lineRule="exact" w:before="1"/>
              <w:ind w:left="82" w:right="73"/>
              <w:rPr>
                <w:sz w:val="21"/>
              </w:rPr>
            </w:pPr>
            <w:r>
              <w:rPr>
                <w:spacing w:val="-28"/>
                <w:sz w:val="21"/>
              </w:rPr>
              <w:t>土 </w:t>
            </w:r>
            <w:r>
              <w:rPr>
                <w:rFonts w:ascii="Times New Roman" w:eastAsia="Times New Roman"/>
                <w:sz w:val="21"/>
              </w:rPr>
              <w:t>2 </w:t>
            </w:r>
            <w:r>
              <w:rPr>
                <w:sz w:val="21"/>
              </w:rPr>
              <w:t>上</w:t>
            </w:r>
          </w:p>
        </w:tc>
        <w:tc>
          <w:tcPr>
            <w:tcW w:w="1070" w:type="dxa"/>
          </w:tcPr>
          <w:p>
            <w:pPr>
              <w:pStyle w:val="TableParagraph"/>
              <w:spacing w:line="242" w:lineRule="auto" w:before="1"/>
              <w:ind w:left="115" w:right="105"/>
              <w:rPr>
                <w:sz w:val="21"/>
              </w:rPr>
            </w:pPr>
            <w:r>
              <w:rPr>
                <w:spacing w:val="-4"/>
                <w:sz w:val="21"/>
              </w:rPr>
              <w:t>工业场地</w:t>
            </w:r>
            <w:r>
              <w:rPr>
                <w:spacing w:val="-4"/>
                <w:w w:val="95"/>
                <w:sz w:val="21"/>
              </w:rPr>
              <w:t>表层柱状</w:t>
            </w:r>
          </w:p>
          <w:p>
            <w:pPr>
              <w:pStyle w:val="TableParagraph"/>
              <w:spacing w:line="251" w:lineRule="exact" w:before="1"/>
              <w:ind w:left="82" w:right="72"/>
              <w:rPr>
                <w:sz w:val="21"/>
              </w:rPr>
            </w:pPr>
            <w:r>
              <w:rPr>
                <w:spacing w:val="-28"/>
                <w:sz w:val="21"/>
              </w:rPr>
              <w:t>土 </w:t>
            </w:r>
            <w:r>
              <w:rPr>
                <w:rFonts w:ascii="Times New Roman" w:eastAsia="Times New Roman"/>
                <w:sz w:val="21"/>
              </w:rPr>
              <w:t>2 </w:t>
            </w:r>
            <w:r>
              <w:rPr>
                <w:sz w:val="21"/>
              </w:rPr>
              <w:t>中</w:t>
            </w:r>
          </w:p>
        </w:tc>
        <w:tc>
          <w:tcPr>
            <w:tcW w:w="1070" w:type="dxa"/>
          </w:tcPr>
          <w:p>
            <w:pPr>
              <w:pStyle w:val="TableParagraph"/>
              <w:spacing w:line="242" w:lineRule="auto" w:before="1"/>
              <w:ind w:left="115" w:right="104"/>
              <w:jc w:val="left"/>
              <w:rPr>
                <w:sz w:val="21"/>
              </w:rPr>
            </w:pPr>
            <w:r>
              <w:rPr>
                <w:spacing w:val="-4"/>
                <w:sz w:val="21"/>
              </w:rPr>
              <w:t>工业场地</w:t>
            </w:r>
            <w:r>
              <w:rPr>
                <w:spacing w:val="-4"/>
                <w:w w:val="95"/>
                <w:sz w:val="21"/>
              </w:rPr>
              <w:t>表层柱状</w:t>
            </w:r>
          </w:p>
          <w:p>
            <w:pPr>
              <w:pStyle w:val="TableParagraph"/>
              <w:spacing w:line="251" w:lineRule="exact" w:before="1"/>
              <w:ind w:left="218"/>
              <w:jc w:val="left"/>
              <w:rPr>
                <w:sz w:val="21"/>
              </w:rPr>
            </w:pPr>
            <w:r>
              <w:rPr>
                <w:spacing w:val="-27"/>
                <w:sz w:val="21"/>
              </w:rPr>
              <w:t>土 </w:t>
            </w:r>
            <w:r>
              <w:rPr>
                <w:rFonts w:ascii="Times New Roman" w:eastAsia="Times New Roman"/>
                <w:sz w:val="21"/>
              </w:rPr>
              <w:t>2 </w:t>
            </w:r>
            <w:r>
              <w:rPr>
                <w:sz w:val="21"/>
              </w:rPr>
              <w:t>下</w:t>
            </w:r>
          </w:p>
        </w:tc>
        <w:tc>
          <w:tcPr>
            <w:tcW w:w="1070" w:type="dxa"/>
          </w:tcPr>
          <w:p>
            <w:pPr>
              <w:pStyle w:val="TableParagraph"/>
              <w:spacing w:line="242" w:lineRule="auto" w:before="1"/>
              <w:ind w:left="113" w:right="106"/>
              <w:rPr>
                <w:sz w:val="21"/>
              </w:rPr>
            </w:pPr>
            <w:r>
              <w:rPr>
                <w:spacing w:val="-4"/>
                <w:sz w:val="21"/>
              </w:rPr>
              <w:t>工业场地</w:t>
            </w:r>
            <w:r>
              <w:rPr>
                <w:spacing w:val="-4"/>
                <w:w w:val="95"/>
                <w:sz w:val="21"/>
              </w:rPr>
              <w:t>表层柱状</w:t>
            </w:r>
          </w:p>
          <w:p>
            <w:pPr>
              <w:pStyle w:val="TableParagraph"/>
              <w:spacing w:line="251" w:lineRule="exact" w:before="1"/>
              <w:ind w:left="81" w:right="74"/>
              <w:rPr>
                <w:sz w:val="21"/>
              </w:rPr>
            </w:pPr>
            <w:r>
              <w:rPr>
                <w:spacing w:val="-28"/>
                <w:sz w:val="21"/>
              </w:rPr>
              <w:t>土 </w:t>
            </w:r>
            <w:r>
              <w:rPr>
                <w:rFonts w:ascii="Times New Roman" w:eastAsia="Times New Roman"/>
                <w:sz w:val="21"/>
              </w:rPr>
              <w:t>3 </w:t>
            </w:r>
            <w:r>
              <w:rPr>
                <w:sz w:val="21"/>
              </w:rPr>
              <w:t>上</w:t>
            </w:r>
          </w:p>
        </w:tc>
        <w:tc>
          <w:tcPr>
            <w:tcW w:w="1070" w:type="dxa"/>
          </w:tcPr>
          <w:p>
            <w:pPr>
              <w:pStyle w:val="TableParagraph"/>
              <w:spacing w:line="242" w:lineRule="auto" w:before="1"/>
              <w:ind w:left="113" w:right="106"/>
              <w:rPr>
                <w:sz w:val="21"/>
              </w:rPr>
            </w:pPr>
            <w:r>
              <w:rPr>
                <w:spacing w:val="-4"/>
                <w:sz w:val="21"/>
              </w:rPr>
              <w:t>工业场地</w:t>
            </w:r>
            <w:r>
              <w:rPr>
                <w:spacing w:val="-4"/>
                <w:w w:val="95"/>
                <w:sz w:val="21"/>
              </w:rPr>
              <w:t>表层柱状</w:t>
            </w:r>
          </w:p>
          <w:p>
            <w:pPr>
              <w:pStyle w:val="TableParagraph"/>
              <w:spacing w:line="251" w:lineRule="exact" w:before="1"/>
              <w:ind w:left="82" w:right="74"/>
              <w:rPr>
                <w:sz w:val="21"/>
              </w:rPr>
            </w:pPr>
            <w:r>
              <w:rPr>
                <w:spacing w:val="-28"/>
                <w:sz w:val="21"/>
              </w:rPr>
              <w:t>土 </w:t>
            </w:r>
            <w:r>
              <w:rPr>
                <w:rFonts w:ascii="Times New Roman" w:eastAsia="Times New Roman"/>
                <w:sz w:val="21"/>
              </w:rPr>
              <w:t>3 </w:t>
            </w:r>
            <w:r>
              <w:rPr>
                <w:sz w:val="21"/>
              </w:rPr>
              <w:t>中</w:t>
            </w:r>
          </w:p>
        </w:tc>
        <w:tc>
          <w:tcPr>
            <w:tcW w:w="1076" w:type="dxa"/>
          </w:tcPr>
          <w:p>
            <w:pPr>
              <w:pStyle w:val="TableParagraph"/>
              <w:spacing w:line="242" w:lineRule="auto" w:before="1"/>
              <w:ind w:left="116" w:right="109"/>
              <w:rPr>
                <w:sz w:val="21"/>
              </w:rPr>
            </w:pPr>
            <w:r>
              <w:rPr>
                <w:spacing w:val="-4"/>
                <w:sz w:val="21"/>
              </w:rPr>
              <w:t>工业场地</w:t>
            </w:r>
            <w:r>
              <w:rPr>
                <w:spacing w:val="-4"/>
                <w:w w:val="95"/>
                <w:sz w:val="21"/>
              </w:rPr>
              <w:t>表层柱状</w:t>
            </w:r>
          </w:p>
          <w:p>
            <w:pPr>
              <w:pStyle w:val="TableParagraph"/>
              <w:spacing w:line="251" w:lineRule="exact" w:before="1"/>
              <w:ind w:left="116" w:right="109"/>
              <w:rPr>
                <w:sz w:val="21"/>
              </w:rPr>
            </w:pPr>
            <w:r>
              <w:rPr>
                <w:spacing w:val="-28"/>
                <w:sz w:val="21"/>
              </w:rPr>
              <w:t>土 </w:t>
            </w:r>
            <w:r>
              <w:rPr>
                <w:rFonts w:ascii="Times New Roman" w:eastAsia="Times New Roman"/>
                <w:sz w:val="21"/>
              </w:rPr>
              <w:t>3 </w:t>
            </w:r>
            <w:r>
              <w:rPr>
                <w:sz w:val="21"/>
              </w:rPr>
              <w:t>下</w:t>
            </w:r>
          </w:p>
        </w:tc>
        <w:tc>
          <w:tcPr>
            <w:tcW w:w="1038" w:type="dxa"/>
            <w:vMerge/>
            <w:tcBorders>
              <w:top w:val="nil"/>
            </w:tcBorders>
          </w:tcPr>
          <w:p>
            <w:pPr>
              <w:rPr>
                <w:sz w:val="2"/>
                <w:szCs w:val="2"/>
              </w:rPr>
            </w:pPr>
          </w:p>
        </w:tc>
      </w:tr>
      <w:tr>
        <w:trPr>
          <w:trHeight w:val="273" w:hRule="atLeast"/>
        </w:trPr>
        <w:tc>
          <w:tcPr>
            <w:tcW w:w="1961" w:type="dxa"/>
          </w:tcPr>
          <w:p>
            <w:pPr>
              <w:pStyle w:val="TableParagraph"/>
              <w:spacing w:line="253" w:lineRule="exact"/>
              <w:ind w:left="24" w:right="16"/>
              <w:rPr>
                <w:sz w:val="21"/>
              </w:rPr>
            </w:pPr>
            <w:r>
              <w:rPr>
                <w:rFonts w:ascii="Times New Roman" w:eastAsia="Times New Roman"/>
                <w:sz w:val="21"/>
              </w:rPr>
              <w:t>pH </w:t>
            </w:r>
            <w:r>
              <w:rPr>
                <w:sz w:val="21"/>
              </w:rPr>
              <w:t>值</w:t>
            </w:r>
          </w:p>
        </w:tc>
        <w:tc>
          <w:tcPr>
            <w:tcW w:w="864" w:type="dxa"/>
          </w:tcPr>
          <w:p>
            <w:pPr>
              <w:pStyle w:val="TableParagraph"/>
              <w:spacing w:line="253" w:lineRule="exact"/>
              <w:ind w:left="95" w:right="89"/>
              <w:rPr>
                <w:sz w:val="21"/>
              </w:rPr>
            </w:pPr>
            <w:r>
              <w:rPr>
                <w:sz w:val="21"/>
              </w:rPr>
              <w:t>无量纲</w:t>
            </w:r>
          </w:p>
        </w:tc>
        <w:tc>
          <w:tcPr>
            <w:tcW w:w="1070" w:type="dxa"/>
          </w:tcPr>
          <w:p>
            <w:pPr>
              <w:pStyle w:val="TableParagraph"/>
              <w:spacing w:line="239" w:lineRule="exact" w:before="14"/>
              <w:ind w:right="338"/>
              <w:jc w:val="right"/>
              <w:rPr>
                <w:rFonts w:ascii="Times New Roman"/>
                <w:sz w:val="21"/>
              </w:rPr>
            </w:pPr>
            <w:r>
              <w:rPr>
                <w:rFonts w:ascii="Times New Roman"/>
                <w:sz w:val="21"/>
              </w:rPr>
              <w:t>7.03</w:t>
            </w:r>
          </w:p>
        </w:tc>
        <w:tc>
          <w:tcPr>
            <w:tcW w:w="1070" w:type="dxa"/>
          </w:tcPr>
          <w:p>
            <w:pPr>
              <w:pStyle w:val="TableParagraph"/>
              <w:spacing w:line="239" w:lineRule="exact" w:before="14"/>
              <w:ind w:left="82" w:right="72"/>
              <w:rPr>
                <w:rFonts w:ascii="Times New Roman"/>
                <w:sz w:val="21"/>
              </w:rPr>
            </w:pPr>
            <w:r>
              <w:rPr>
                <w:rFonts w:ascii="Times New Roman"/>
                <w:sz w:val="21"/>
              </w:rPr>
              <w:t>7.06</w:t>
            </w:r>
          </w:p>
        </w:tc>
        <w:tc>
          <w:tcPr>
            <w:tcW w:w="1070" w:type="dxa"/>
          </w:tcPr>
          <w:p>
            <w:pPr>
              <w:pStyle w:val="TableParagraph"/>
              <w:spacing w:line="239" w:lineRule="exact" w:before="14"/>
              <w:ind w:left="82" w:right="71"/>
              <w:rPr>
                <w:rFonts w:ascii="Times New Roman"/>
                <w:sz w:val="21"/>
              </w:rPr>
            </w:pPr>
            <w:r>
              <w:rPr>
                <w:rFonts w:ascii="Times New Roman"/>
                <w:sz w:val="21"/>
              </w:rPr>
              <w:t>7.06</w:t>
            </w:r>
          </w:p>
        </w:tc>
        <w:tc>
          <w:tcPr>
            <w:tcW w:w="1070" w:type="dxa"/>
          </w:tcPr>
          <w:p>
            <w:pPr>
              <w:pStyle w:val="TableParagraph"/>
              <w:spacing w:line="239" w:lineRule="exact" w:before="14"/>
              <w:ind w:left="81" w:right="74"/>
              <w:rPr>
                <w:rFonts w:ascii="Times New Roman"/>
                <w:sz w:val="21"/>
              </w:rPr>
            </w:pPr>
            <w:r>
              <w:rPr>
                <w:rFonts w:ascii="Times New Roman"/>
                <w:sz w:val="21"/>
              </w:rPr>
              <w:t>7.02</w:t>
            </w:r>
          </w:p>
        </w:tc>
        <w:tc>
          <w:tcPr>
            <w:tcW w:w="1070" w:type="dxa"/>
          </w:tcPr>
          <w:p>
            <w:pPr>
              <w:pStyle w:val="TableParagraph"/>
              <w:spacing w:line="239" w:lineRule="exact" w:before="14"/>
              <w:ind w:right="339"/>
              <w:jc w:val="right"/>
              <w:rPr>
                <w:rFonts w:ascii="Times New Roman"/>
                <w:sz w:val="21"/>
              </w:rPr>
            </w:pPr>
            <w:r>
              <w:rPr>
                <w:rFonts w:ascii="Times New Roman"/>
                <w:sz w:val="21"/>
              </w:rPr>
              <w:t>6.99</w:t>
            </w:r>
          </w:p>
        </w:tc>
        <w:tc>
          <w:tcPr>
            <w:tcW w:w="1070" w:type="dxa"/>
          </w:tcPr>
          <w:p>
            <w:pPr>
              <w:pStyle w:val="TableParagraph"/>
              <w:spacing w:line="239" w:lineRule="exact" w:before="14"/>
              <w:ind w:left="350"/>
              <w:jc w:val="left"/>
              <w:rPr>
                <w:rFonts w:ascii="Times New Roman"/>
                <w:sz w:val="21"/>
              </w:rPr>
            </w:pPr>
            <w:r>
              <w:rPr>
                <w:rFonts w:ascii="Times New Roman"/>
                <w:sz w:val="21"/>
              </w:rPr>
              <w:t>7.03</w:t>
            </w:r>
          </w:p>
        </w:tc>
        <w:tc>
          <w:tcPr>
            <w:tcW w:w="1070" w:type="dxa"/>
          </w:tcPr>
          <w:p>
            <w:pPr>
              <w:pStyle w:val="TableParagraph"/>
              <w:spacing w:line="239" w:lineRule="exact" w:before="14"/>
              <w:ind w:left="350"/>
              <w:jc w:val="left"/>
              <w:rPr>
                <w:rFonts w:ascii="Times New Roman"/>
                <w:sz w:val="21"/>
              </w:rPr>
            </w:pPr>
            <w:r>
              <w:rPr>
                <w:rFonts w:ascii="Times New Roman"/>
                <w:sz w:val="21"/>
              </w:rPr>
              <w:t>6.98</w:t>
            </w:r>
          </w:p>
        </w:tc>
        <w:tc>
          <w:tcPr>
            <w:tcW w:w="1070" w:type="dxa"/>
          </w:tcPr>
          <w:p>
            <w:pPr>
              <w:pStyle w:val="TableParagraph"/>
              <w:spacing w:line="239" w:lineRule="exact" w:before="14"/>
              <w:ind w:right="338"/>
              <w:jc w:val="right"/>
              <w:rPr>
                <w:rFonts w:ascii="Times New Roman"/>
                <w:sz w:val="21"/>
              </w:rPr>
            </w:pPr>
            <w:r>
              <w:rPr>
                <w:rFonts w:ascii="Times New Roman"/>
                <w:sz w:val="21"/>
              </w:rPr>
              <w:t>6.99</w:t>
            </w:r>
          </w:p>
        </w:tc>
        <w:tc>
          <w:tcPr>
            <w:tcW w:w="1070" w:type="dxa"/>
          </w:tcPr>
          <w:p>
            <w:pPr>
              <w:pStyle w:val="TableParagraph"/>
              <w:spacing w:line="239" w:lineRule="exact" w:before="14"/>
              <w:ind w:right="337"/>
              <w:jc w:val="right"/>
              <w:rPr>
                <w:rFonts w:ascii="Times New Roman"/>
                <w:sz w:val="21"/>
              </w:rPr>
            </w:pPr>
            <w:r>
              <w:rPr>
                <w:rFonts w:ascii="Times New Roman"/>
                <w:sz w:val="21"/>
              </w:rPr>
              <w:t>7.01</w:t>
            </w:r>
          </w:p>
        </w:tc>
        <w:tc>
          <w:tcPr>
            <w:tcW w:w="1076" w:type="dxa"/>
          </w:tcPr>
          <w:p>
            <w:pPr>
              <w:pStyle w:val="TableParagraph"/>
              <w:spacing w:line="239" w:lineRule="exact" w:before="14"/>
              <w:ind w:left="116" w:right="105"/>
              <w:rPr>
                <w:rFonts w:ascii="Times New Roman"/>
                <w:sz w:val="21"/>
              </w:rPr>
            </w:pPr>
            <w:r>
              <w:rPr>
                <w:rFonts w:ascii="Times New Roman"/>
                <w:sz w:val="21"/>
              </w:rPr>
              <w:t>7.05</w:t>
            </w:r>
          </w:p>
        </w:tc>
        <w:tc>
          <w:tcPr>
            <w:tcW w:w="1038" w:type="dxa"/>
          </w:tcPr>
          <w:p>
            <w:pPr>
              <w:pStyle w:val="TableParagraph"/>
              <w:spacing w:line="239" w:lineRule="exact" w:before="14"/>
              <w:ind w:left="9"/>
              <w:rPr>
                <w:rFonts w:ascii="Times New Roman" w:hAnsi="Times New Roman"/>
                <w:sz w:val="21"/>
              </w:rPr>
            </w:pPr>
            <w:r>
              <w:rPr>
                <w:rFonts w:ascii="Times New Roman" w:hAnsi="Times New Roman"/>
                <w:w w:val="99"/>
                <w:sz w:val="21"/>
              </w:rPr>
              <w:t>─</w:t>
            </w:r>
          </w:p>
        </w:tc>
      </w:tr>
      <w:tr>
        <w:trPr>
          <w:trHeight w:val="271" w:hRule="atLeast"/>
        </w:trPr>
        <w:tc>
          <w:tcPr>
            <w:tcW w:w="1961" w:type="dxa"/>
          </w:tcPr>
          <w:p>
            <w:pPr>
              <w:pStyle w:val="TableParagraph"/>
              <w:spacing w:line="252" w:lineRule="exact"/>
              <w:ind w:left="24" w:right="16"/>
              <w:rPr>
                <w:sz w:val="21"/>
              </w:rPr>
            </w:pPr>
            <w:r>
              <w:rPr>
                <w:sz w:val="21"/>
              </w:rPr>
              <w:t>含盐量</w:t>
            </w:r>
          </w:p>
        </w:tc>
        <w:tc>
          <w:tcPr>
            <w:tcW w:w="864" w:type="dxa"/>
          </w:tcPr>
          <w:p>
            <w:pPr>
              <w:pStyle w:val="TableParagraph"/>
              <w:spacing w:line="238" w:lineRule="exact" w:before="14"/>
              <w:ind w:left="95" w:right="88"/>
              <w:rPr>
                <w:rFonts w:ascii="Times New Roman"/>
                <w:sz w:val="21"/>
              </w:rPr>
            </w:pPr>
            <w:r>
              <w:rPr>
                <w:rFonts w:ascii="Times New Roman"/>
                <w:sz w:val="21"/>
              </w:rPr>
              <w:t>g/kg</w:t>
            </w:r>
          </w:p>
        </w:tc>
        <w:tc>
          <w:tcPr>
            <w:tcW w:w="1070" w:type="dxa"/>
          </w:tcPr>
          <w:p>
            <w:pPr>
              <w:pStyle w:val="TableParagraph"/>
              <w:spacing w:line="238" w:lineRule="exact" w:before="14"/>
              <w:ind w:left="82" w:right="72"/>
              <w:rPr>
                <w:rFonts w:ascii="Times New Roman"/>
                <w:sz w:val="21"/>
              </w:rPr>
            </w:pPr>
            <w:r>
              <w:rPr>
                <w:rFonts w:ascii="Times New Roman"/>
                <w:sz w:val="21"/>
              </w:rPr>
              <w:t>1.8</w:t>
            </w:r>
          </w:p>
        </w:tc>
        <w:tc>
          <w:tcPr>
            <w:tcW w:w="1070" w:type="dxa"/>
          </w:tcPr>
          <w:p>
            <w:pPr>
              <w:pStyle w:val="TableParagraph"/>
              <w:spacing w:line="238" w:lineRule="exact" w:before="14"/>
              <w:ind w:left="82" w:right="72"/>
              <w:rPr>
                <w:rFonts w:ascii="Times New Roman"/>
                <w:sz w:val="21"/>
              </w:rPr>
            </w:pPr>
            <w:r>
              <w:rPr>
                <w:rFonts w:ascii="Times New Roman"/>
                <w:sz w:val="21"/>
              </w:rPr>
              <w:t>1.6</w:t>
            </w:r>
          </w:p>
        </w:tc>
        <w:tc>
          <w:tcPr>
            <w:tcW w:w="1070" w:type="dxa"/>
          </w:tcPr>
          <w:p>
            <w:pPr>
              <w:pStyle w:val="TableParagraph"/>
              <w:spacing w:line="238" w:lineRule="exact" w:before="14"/>
              <w:ind w:left="82" w:right="71"/>
              <w:rPr>
                <w:rFonts w:ascii="Times New Roman"/>
                <w:sz w:val="21"/>
              </w:rPr>
            </w:pPr>
            <w:r>
              <w:rPr>
                <w:rFonts w:ascii="Times New Roman"/>
                <w:sz w:val="21"/>
              </w:rPr>
              <w:t>1.8</w:t>
            </w:r>
          </w:p>
        </w:tc>
        <w:tc>
          <w:tcPr>
            <w:tcW w:w="1070" w:type="dxa"/>
          </w:tcPr>
          <w:p>
            <w:pPr>
              <w:pStyle w:val="TableParagraph"/>
              <w:spacing w:line="238" w:lineRule="exact" w:before="14"/>
              <w:ind w:left="82" w:right="70"/>
              <w:rPr>
                <w:rFonts w:ascii="Times New Roman"/>
                <w:sz w:val="21"/>
              </w:rPr>
            </w:pPr>
            <w:r>
              <w:rPr>
                <w:rFonts w:ascii="Times New Roman"/>
                <w:sz w:val="21"/>
              </w:rPr>
              <w:t>1.4</w:t>
            </w:r>
          </w:p>
        </w:tc>
        <w:tc>
          <w:tcPr>
            <w:tcW w:w="1070" w:type="dxa"/>
          </w:tcPr>
          <w:p>
            <w:pPr>
              <w:pStyle w:val="TableParagraph"/>
              <w:spacing w:line="238" w:lineRule="exact" w:before="14"/>
              <w:ind w:left="82" w:right="74"/>
              <w:rPr>
                <w:rFonts w:ascii="Times New Roman"/>
                <w:sz w:val="21"/>
              </w:rPr>
            </w:pPr>
            <w:r>
              <w:rPr>
                <w:rFonts w:ascii="Times New Roman"/>
                <w:sz w:val="21"/>
              </w:rPr>
              <w:t>1.5</w:t>
            </w:r>
          </w:p>
        </w:tc>
        <w:tc>
          <w:tcPr>
            <w:tcW w:w="1070" w:type="dxa"/>
          </w:tcPr>
          <w:p>
            <w:pPr>
              <w:pStyle w:val="TableParagraph"/>
              <w:spacing w:line="238" w:lineRule="exact" w:before="14"/>
              <w:ind w:left="82" w:right="73"/>
              <w:rPr>
                <w:rFonts w:ascii="Times New Roman"/>
                <w:sz w:val="21"/>
              </w:rPr>
            </w:pPr>
            <w:r>
              <w:rPr>
                <w:rFonts w:ascii="Times New Roman"/>
                <w:sz w:val="21"/>
              </w:rPr>
              <w:t>1.3</w:t>
            </w:r>
          </w:p>
        </w:tc>
        <w:tc>
          <w:tcPr>
            <w:tcW w:w="1070" w:type="dxa"/>
          </w:tcPr>
          <w:p>
            <w:pPr>
              <w:pStyle w:val="TableParagraph"/>
              <w:spacing w:line="238" w:lineRule="exact" w:before="14"/>
              <w:ind w:left="403"/>
              <w:jc w:val="left"/>
              <w:rPr>
                <w:rFonts w:ascii="Times New Roman"/>
                <w:sz w:val="21"/>
              </w:rPr>
            </w:pPr>
            <w:r>
              <w:rPr>
                <w:rFonts w:ascii="Times New Roman"/>
                <w:sz w:val="21"/>
              </w:rPr>
              <w:t>1.6</w:t>
            </w:r>
          </w:p>
        </w:tc>
        <w:tc>
          <w:tcPr>
            <w:tcW w:w="1070" w:type="dxa"/>
          </w:tcPr>
          <w:p>
            <w:pPr>
              <w:pStyle w:val="TableParagraph"/>
              <w:spacing w:line="238" w:lineRule="exact" w:before="14"/>
              <w:ind w:right="391"/>
              <w:jc w:val="right"/>
              <w:rPr>
                <w:rFonts w:ascii="Times New Roman"/>
                <w:sz w:val="21"/>
              </w:rPr>
            </w:pPr>
            <w:r>
              <w:rPr>
                <w:rFonts w:ascii="Times New Roman"/>
                <w:w w:val="95"/>
                <w:sz w:val="21"/>
              </w:rPr>
              <w:t>1.5</w:t>
            </w:r>
          </w:p>
        </w:tc>
        <w:tc>
          <w:tcPr>
            <w:tcW w:w="1070" w:type="dxa"/>
          </w:tcPr>
          <w:p>
            <w:pPr>
              <w:pStyle w:val="TableParagraph"/>
              <w:spacing w:line="238" w:lineRule="exact" w:before="14"/>
              <w:ind w:left="82" w:right="71"/>
              <w:rPr>
                <w:rFonts w:ascii="Times New Roman"/>
                <w:sz w:val="21"/>
              </w:rPr>
            </w:pPr>
            <w:r>
              <w:rPr>
                <w:rFonts w:ascii="Times New Roman"/>
                <w:sz w:val="21"/>
              </w:rPr>
              <w:t>1.6</w:t>
            </w:r>
          </w:p>
        </w:tc>
        <w:tc>
          <w:tcPr>
            <w:tcW w:w="1076" w:type="dxa"/>
          </w:tcPr>
          <w:p>
            <w:pPr>
              <w:pStyle w:val="TableParagraph"/>
              <w:spacing w:line="238" w:lineRule="exact" w:before="14"/>
              <w:ind w:left="116" w:right="105"/>
              <w:rPr>
                <w:rFonts w:ascii="Times New Roman"/>
                <w:sz w:val="21"/>
              </w:rPr>
            </w:pPr>
            <w:r>
              <w:rPr>
                <w:rFonts w:ascii="Times New Roman"/>
                <w:sz w:val="21"/>
              </w:rPr>
              <w:t>1.8</w:t>
            </w:r>
          </w:p>
        </w:tc>
        <w:tc>
          <w:tcPr>
            <w:tcW w:w="1038" w:type="dxa"/>
          </w:tcPr>
          <w:p>
            <w:pPr>
              <w:pStyle w:val="TableParagraph"/>
              <w:spacing w:line="252" w:lineRule="exact"/>
              <w:ind w:left="8"/>
              <w:rPr>
                <w:sz w:val="21"/>
              </w:rPr>
            </w:pPr>
            <w:r>
              <w:rPr>
                <w:w w:val="99"/>
                <w:sz w:val="21"/>
              </w:rPr>
              <w:t>—</w:t>
            </w:r>
          </w:p>
        </w:tc>
      </w:tr>
      <w:tr>
        <w:trPr>
          <w:trHeight w:val="320" w:hRule="atLeast"/>
        </w:trPr>
        <w:tc>
          <w:tcPr>
            <w:tcW w:w="1961" w:type="dxa"/>
          </w:tcPr>
          <w:p>
            <w:pPr>
              <w:pStyle w:val="TableParagraph"/>
              <w:spacing w:before="23"/>
              <w:ind w:left="6"/>
              <w:rPr>
                <w:sz w:val="21"/>
              </w:rPr>
            </w:pPr>
            <w:r>
              <w:rPr>
                <w:w w:val="99"/>
                <w:sz w:val="21"/>
              </w:rPr>
              <w:t>砷</w:t>
            </w:r>
          </w:p>
        </w:tc>
        <w:tc>
          <w:tcPr>
            <w:tcW w:w="864" w:type="dxa"/>
          </w:tcPr>
          <w:p>
            <w:pPr>
              <w:pStyle w:val="TableParagraph"/>
              <w:spacing w:line="239" w:lineRule="exact" w:before="61"/>
              <w:ind w:left="95" w:right="88"/>
              <w:rPr>
                <w:rFonts w:ascii="Times New Roman"/>
                <w:sz w:val="21"/>
              </w:rPr>
            </w:pPr>
            <w:bookmarkStart w:name="mg/kg" w:id="838"/>
            <w:bookmarkEnd w:id="838"/>
            <w:r>
              <w:rPr/>
            </w:r>
            <w:r>
              <w:rPr>
                <w:rFonts w:ascii="Times New Roman"/>
                <w:sz w:val="21"/>
              </w:rPr>
              <w:t>mg/kg</w:t>
            </w:r>
          </w:p>
        </w:tc>
        <w:tc>
          <w:tcPr>
            <w:tcW w:w="1070" w:type="dxa"/>
          </w:tcPr>
          <w:p>
            <w:pPr>
              <w:pStyle w:val="TableParagraph"/>
              <w:spacing w:before="39"/>
              <w:ind w:right="338"/>
              <w:jc w:val="right"/>
              <w:rPr>
                <w:rFonts w:ascii="Times New Roman"/>
                <w:sz w:val="21"/>
              </w:rPr>
            </w:pPr>
            <w:r>
              <w:rPr>
                <w:rFonts w:ascii="Times New Roman"/>
                <w:sz w:val="21"/>
              </w:rPr>
              <w:t>10.7</w:t>
            </w:r>
          </w:p>
        </w:tc>
        <w:tc>
          <w:tcPr>
            <w:tcW w:w="1070" w:type="dxa"/>
          </w:tcPr>
          <w:p>
            <w:pPr>
              <w:pStyle w:val="TableParagraph"/>
              <w:spacing w:before="39"/>
              <w:ind w:left="82" w:right="72"/>
              <w:rPr>
                <w:rFonts w:ascii="Times New Roman"/>
                <w:sz w:val="21"/>
              </w:rPr>
            </w:pPr>
            <w:r>
              <w:rPr>
                <w:rFonts w:ascii="Times New Roman"/>
                <w:sz w:val="21"/>
              </w:rPr>
              <w:t>8.97</w:t>
            </w:r>
          </w:p>
        </w:tc>
        <w:tc>
          <w:tcPr>
            <w:tcW w:w="1070" w:type="dxa"/>
          </w:tcPr>
          <w:p>
            <w:pPr>
              <w:pStyle w:val="TableParagraph"/>
              <w:spacing w:before="39"/>
              <w:ind w:left="82" w:right="73"/>
              <w:rPr>
                <w:rFonts w:ascii="Times New Roman"/>
                <w:sz w:val="21"/>
              </w:rPr>
            </w:pPr>
            <w:r>
              <w:rPr>
                <w:rFonts w:ascii="Times New Roman"/>
                <w:sz w:val="21"/>
              </w:rPr>
              <w:t>11.2</w:t>
            </w:r>
          </w:p>
        </w:tc>
        <w:tc>
          <w:tcPr>
            <w:tcW w:w="1070" w:type="dxa"/>
          </w:tcPr>
          <w:p>
            <w:pPr>
              <w:pStyle w:val="TableParagraph"/>
              <w:spacing w:before="39"/>
              <w:ind w:left="81" w:right="74"/>
              <w:rPr>
                <w:rFonts w:ascii="Times New Roman"/>
                <w:sz w:val="21"/>
              </w:rPr>
            </w:pPr>
            <w:r>
              <w:rPr>
                <w:rFonts w:ascii="Times New Roman"/>
                <w:sz w:val="21"/>
              </w:rPr>
              <w:t>9.67</w:t>
            </w:r>
          </w:p>
        </w:tc>
        <w:tc>
          <w:tcPr>
            <w:tcW w:w="1070" w:type="dxa"/>
          </w:tcPr>
          <w:p>
            <w:pPr>
              <w:pStyle w:val="TableParagraph"/>
              <w:spacing w:before="39"/>
              <w:ind w:right="341"/>
              <w:jc w:val="right"/>
              <w:rPr>
                <w:rFonts w:ascii="Times New Roman"/>
                <w:sz w:val="21"/>
              </w:rPr>
            </w:pPr>
            <w:r>
              <w:rPr>
                <w:rFonts w:ascii="Times New Roman"/>
                <w:sz w:val="21"/>
              </w:rPr>
              <w:t>11.1</w:t>
            </w:r>
          </w:p>
        </w:tc>
        <w:tc>
          <w:tcPr>
            <w:tcW w:w="1070" w:type="dxa"/>
          </w:tcPr>
          <w:p>
            <w:pPr>
              <w:pStyle w:val="TableParagraph"/>
              <w:spacing w:before="39"/>
              <w:ind w:left="355"/>
              <w:jc w:val="left"/>
              <w:rPr>
                <w:rFonts w:ascii="Times New Roman"/>
                <w:sz w:val="21"/>
              </w:rPr>
            </w:pPr>
            <w:r>
              <w:rPr>
                <w:rFonts w:ascii="Times New Roman"/>
                <w:sz w:val="21"/>
              </w:rPr>
              <w:t>11.0</w:t>
            </w:r>
          </w:p>
        </w:tc>
        <w:tc>
          <w:tcPr>
            <w:tcW w:w="1070" w:type="dxa"/>
          </w:tcPr>
          <w:p>
            <w:pPr>
              <w:pStyle w:val="TableParagraph"/>
              <w:spacing w:before="39"/>
              <w:ind w:left="350"/>
              <w:jc w:val="left"/>
              <w:rPr>
                <w:rFonts w:ascii="Times New Roman"/>
                <w:sz w:val="21"/>
              </w:rPr>
            </w:pPr>
            <w:r>
              <w:rPr>
                <w:rFonts w:ascii="Times New Roman"/>
                <w:sz w:val="21"/>
              </w:rPr>
              <w:t>8.96</w:t>
            </w:r>
          </w:p>
        </w:tc>
        <w:tc>
          <w:tcPr>
            <w:tcW w:w="1070" w:type="dxa"/>
          </w:tcPr>
          <w:p>
            <w:pPr>
              <w:pStyle w:val="TableParagraph"/>
              <w:spacing w:before="39"/>
              <w:ind w:right="338"/>
              <w:jc w:val="right"/>
              <w:rPr>
                <w:rFonts w:ascii="Times New Roman"/>
                <w:sz w:val="21"/>
              </w:rPr>
            </w:pPr>
            <w:r>
              <w:rPr>
                <w:rFonts w:ascii="Times New Roman"/>
                <w:sz w:val="21"/>
              </w:rPr>
              <w:t>8.91</w:t>
            </w:r>
          </w:p>
        </w:tc>
        <w:tc>
          <w:tcPr>
            <w:tcW w:w="1070" w:type="dxa"/>
          </w:tcPr>
          <w:p>
            <w:pPr>
              <w:pStyle w:val="TableParagraph"/>
              <w:spacing w:before="39"/>
              <w:ind w:right="337"/>
              <w:jc w:val="right"/>
              <w:rPr>
                <w:rFonts w:ascii="Times New Roman"/>
                <w:sz w:val="21"/>
              </w:rPr>
            </w:pPr>
            <w:r>
              <w:rPr>
                <w:rFonts w:ascii="Times New Roman"/>
                <w:sz w:val="21"/>
              </w:rPr>
              <w:t>7.00</w:t>
            </w:r>
          </w:p>
        </w:tc>
        <w:tc>
          <w:tcPr>
            <w:tcW w:w="1076" w:type="dxa"/>
          </w:tcPr>
          <w:p>
            <w:pPr>
              <w:pStyle w:val="TableParagraph"/>
              <w:spacing w:before="39"/>
              <w:ind w:left="116" w:right="105"/>
              <w:rPr>
                <w:rFonts w:ascii="Times New Roman"/>
                <w:sz w:val="21"/>
              </w:rPr>
            </w:pPr>
            <w:r>
              <w:rPr>
                <w:rFonts w:ascii="Times New Roman"/>
                <w:sz w:val="21"/>
              </w:rPr>
              <w:t>9.49</w:t>
            </w:r>
          </w:p>
        </w:tc>
        <w:tc>
          <w:tcPr>
            <w:tcW w:w="1038" w:type="dxa"/>
          </w:tcPr>
          <w:p>
            <w:pPr>
              <w:pStyle w:val="TableParagraph"/>
              <w:spacing w:before="39"/>
              <w:ind w:left="182" w:right="173"/>
              <w:rPr>
                <w:rFonts w:ascii="Times New Roman"/>
                <w:sz w:val="21"/>
              </w:rPr>
            </w:pPr>
            <w:r>
              <w:rPr>
                <w:rFonts w:ascii="Times New Roman"/>
                <w:sz w:val="21"/>
              </w:rPr>
              <w:t>60</w:t>
            </w:r>
          </w:p>
        </w:tc>
      </w:tr>
      <w:tr>
        <w:trPr>
          <w:trHeight w:val="320" w:hRule="atLeast"/>
        </w:trPr>
        <w:tc>
          <w:tcPr>
            <w:tcW w:w="1961" w:type="dxa"/>
          </w:tcPr>
          <w:p>
            <w:pPr>
              <w:pStyle w:val="TableParagraph"/>
              <w:spacing w:before="24"/>
              <w:ind w:left="6"/>
              <w:rPr>
                <w:sz w:val="21"/>
              </w:rPr>
            </w:pPr>
            <w:r>
              <w:rPr>
                <w:w w:val="99"/>
                <w:sz w:val="21"/>
              </w:rPr>
              <w:t>镉</w:t>
            </w:r>
          </w:p>
        </w:tc>
        <w:tc>
          <w:tcPr>
            <w:tcW w:w="864" w:type="dxa"/>
          </w:tcPr>
          <w:p>
            <w:pPr>
              <w:pStyle w:val="TableParagraph"/>
              <w:spacing w:line="240" w:lineRule="exact" w:before="59"/>
              <w:ind w:left="95" w:right="88"/>
              <w:rPr>
                <w:rFonts w:ascii="Times New Roman"/>
                <w:sz w:val="21"/>
              </w:rPr>
            </w:pPr>
            <w:bookmarkStart w:name="mg/kg" w:id="839"/>
            <w:bookmarkEnd w:id="839"/>
            <w:r>
              <w:rPr/>
            </w:r>
            <w:r>
              <w:rPr>
                <w:rFonts w:ascii="Times New Roman"/>
                <w:sz w:val="21"/>
              </w:rPr>
              <w:t>mg/kg</w:t>
            </w:r>
          </w:p>
        </w:tc>
        <w:tc>
          <w:tcPr>
            <w:tcW w:w="1070" w:type="dxa"/>
          </w:tcPr>
          <w:p>
            <w:pPr>
              <w:pStyle w:val="TableParagraph"/>
              <w:spacing w:before="38"/>
              <w:ind w:right="338"/>
              <w:jc w:val="right"/>
              <w:rPr>
                <w:rFonts w:ascii="Times New Roman"/>
                <w:sz w:val="21"/>
              </w:rPr>
            </w:pPr>
            <w:r>
              <w:rPr>
                <w:rFonts w:ascii="Times New Roman"/>
                <w:sz w:val="21"/>
              </w:rPr>
              <w:t>0.10</w:t>
            </w:r>
          </w:p>
        </w:tc>
        <w:tc>
          <w:tcPr>
            <w:tcW w:w="1070" w:type="dxa"/>
          </w:tcPr>
          <w:p>
            <w:pPr>
              <w:pStyle w:val="TableParagraph"/>
              <w:spacing w:before="38"/>
              <w:ind w:left="82" w:right="72"/>
              <w:rPr>
                <w:rFonts w:ascii="Times New Roman"/>
                <w:sz w:val="21"/>
              </w:rPr>
            </w:pPr>
            <w:r>
              <w:rPr>
                <w:rFonts w:ascii="Times New Roman"/>
                <w:sz w:val="21"/>
              </w:rPr>
              <w:t>0.10</w:t>
            </w:r>
          </w:p>
        </w:tc>
        <w:tc>
          <w:tcPr>
            <w:tcW w:w="1070" w:type="dxa"/>
          </w:tcPr>
          <w:p>
            <w:pPr>
              <w:pStyle w:val="TableParagraph"/>
              <w:spacing w:before="38"/>
              <w:ind w:left="82" w:right="71"/>
              <w:rPr>
                <w:rFonts w:ascii="Times New Roman"/>
                <w:sz w:val="21"/>
              </w:rPr>
            </w:pPr>
            <w:r>
              <w:rPr>
                <w:rFonts w:ascii="Times New Roman"/>
                <w:sz w:val="21"/>
              </w:rPr>
              <w:t>0.10</w:t>
            </w:r>
          </w:p>
        </w:tc>
        <w:tc>
          <w:tcPr>
            <w:tcW w:w="1070" w:type="dxa"/>
          </w:tcPr>
          <w:p>
            <w:pPr>
              <w:pStyle w:val="TableParagraph"/>
              <w:spacing w:before="38"/>
              <w:ind w:left="81" w:right="74"/>
              <w:rPr>
                <w:rFonts w:ascii="Times New Roman"/>
                <w:sz w:val="21"/>
              </w:rPr>
            </w:pPr>
            <w:r>
              <w:rPr>
                <w:rFonts w:ascii="Times New Roman"/>
                <w:sz w:val="21"/>
              </w:rPr>
              <w:t>0.09</w:t>
            </w:r>
          </w:p>
        </w:tc>
        <w:tc>
          <w:tcPr>
            <w:tcW w:w="1070" w:type="dxa"/>
          </w:tcPr>
          <w:p>
            <w:pPr>
              <w:pStyle w:val="TableParagraph"/>
              <w:spacing w:before="38"/>
              <w:ind w:right="339"/>
              <w:jc w:val="right"/>
              <w:rPr>
                <w:rFonts w:ascii="Times New Roman"/>
                <w:sz w:val="21"/>
              </w:rPr>
            </w:pPr>
            <w:r>
              <w:rPr>
                <w:rFonts w:ascii="Times New Roman"/>
                <w:sz w:val="21"/>
              </w:rPr>
              <w:t>0.10</w:t>
            </w:r>
          </w:p>
        </w:tc>
        <w:tc>
          <w:tcPr>
            <w:tcW w:w="1070" w:type="dxa"/>
          </w:tcPr>
          <w:p>
            <w:pPr>
              <w:pStyle w:val="TableParagraph"/>
              <w:spacing w:before="38"/>
              <w:ind w:left="350"/>
              <w:jc w:val="left"/>
              <w:rPr>
                <w:rFonts w:ascii="Times New Roman"/>
                <w:sz w:val="21"/>
              </w:rPr>
            </w:pPr>
            <w:r>
              <w:rPr>
                <w:rFonts w:ascii="Times New Roman"/>
                <w:sz w:val="21"/>
              </w:rPr>
              <w:t>0.10</w:t>
            </w:r>
          </w:p>
        </w:tc>
        <w:tc>
          <w:tcPr>
            <w:tcW w:w="1070" w:type="dxa"/>
          </w:tcPr>
          <w:p>
            <w:pPr>
              <w:pStyle w:val="TableParagraph"/>
              <w:spacing w:before="38"/>
              <w:ind w:left="350"/>
              <w:jc w:val="left"/>
              <w:rPr>
                <w:rFonts w:ascii="Times New Roman"/>
                <w:sz w:val="21"/>
              </w:rPr>
            </w:pPr>
            <w:r>
              <w:rPr>
                <w:rFonts w:ascii="Times New Roman"/>
                <w:sz w:val="21"/>
              </w:rPr>
              <w:t>0.10</w:t>
            </w:r>
          </w:p>
        </w:tc>
        <w:tc>
          <w:tcPr>
            <w:tcW w:w="1070" w:type="dxa"/>
          </w:tcPr>
          <w:p>
            <w:pPr>
              <w:pStyle w:val="TableParagraph"/>
              <w:spacing w:before="38"/>
              <w:ind w:right="338"/>
              <w:jc w:val="right"/>
              <w:rPr>
                <w:rFonts w:ascii="Times New Roman"/>
                <w:sz w:val="21"/>
              </w:rPr>
            </w:pPr>
            <w:r>
              <w:rPr>
                <w:rFonts w:ascii="Times New Roman"/>
                <w:sz w:val="21"/>
              </w:rPr>
              <w:t>0.10</w:t>
            </w:r>
          </w:p>
        </w:tc>
        <w:tc>
          <w:tcPr>
            <w:tcW w:w="1070" w:type="dxa"/>
          </w:tcPr>
          <w:p>
            <w:pPr>
              <w:pStyle w:val="TableParagraph"/>
              <w:spacing w:before="38"/>
              <w:ind w:right="337"/>
              <w:jc w:val="right"/>
              <w:rPr>
                <w:rFonts w:ascii="Times New Roman"/>
                <w:sz w:val="21"/>
              </w:rPr>
            </w:pPr>
            <w:r>
              <w:rPr>
                <w:rFonts w:ascii="Times New Roman"/>
                <w:sz w:val="21"/>
              </w:rPr>
              <w:t>0.10</w:t>
            </w:r>
          </w:p>
        </w:tc>
        <w:tc>
          <w:tcPr>
            <w:tcW w:w="1076" w:type="dxa"/>
          </w:tcPr>
          <w:p>
            <w:pPr>
              <w:pStyle w:val="TableParagraph"/>
              <w:spacing w:before="38"/>
              <w:ind w:left="116" w:right="105"/>
              <w:rPr>
                <w:rFonts w:ascii="Times New Roman"/>
                <w:sz w:val="21"/>
              </w:rPr>
            </w:pPr>
            <w:r>
              <w:rPr>
                <w:rFonts w:ascii="Times New Roman"/>
                <w:sz w:val="21"/>
              </w:rPr>
              <w:t>0.11</w:t>
            </w:r>
          </w:p>
        </w:tc>
        <w:tc>
          <w:tcPr>
            <w:tcW w:w="1038" w:type="dxa"/>
          </w:tcPr>
          <w:p>
            <w:pPr>
              <w:pStyle w:val="TableParagraph"/>
              <w:spacing w:before="38"/>
              <w:ind w:left="182" w:right="173"/>
              <w:rPr>
                <w:rFonts w:ascii="Times New Roman"/>
                <w:sz w:val="21"/>
              </w:rPr>
            </w:pPr>
            <w:r>
              <w:rPr>
                <w:rFonts w:ascii="Times New Roman"/>
                <w:sz w:val="21"/>
              </w:rPr>
              <w:t>65</w:t>
            </w:r>
          </w:p>
        </w:tc>
      </w:tr>
      <w:tr>
        <w:trPr>
          <w:trHeight w:val="320" w:hRule="atLeast"/>
        </w:trPr>
        <w:tc>
          <w:tcPr>
            <w:tcW w:w="1961" w:type="dxa"/>
          </w:tcPr>
          <w:p>
            <w:pPr>
              <w:pStyle w:val="TableParagraph"/>
              <w:spacing w:before="23"/>
              <w:ind w:left="24" w:right="16"/>
              <w:rPr>
                <w:sz w:val="21"/>
              </w:rPr>
            </w:pPr>
            <w:r>
              <w:rPr>
                <w:sz w:val="21"/>
              </w:rPr>
              <w:t>六价铬</w:t>
            </w:r>
          </w:p>
        </w:tc>
        <w:tc>
          <w:tcPr>
            <w:tcW w:w="864" w:type="dxa"/>
          </w:tcPr>
          <w:p>
            <w:pPr>
              <w:pStyle w:val="TableParagraph"/>
              <w:spacing w:line="239" w:lineRule="exact" w:before="61"/>
              <w:ind w:left="95" w:right="88"/>
              <w:rPr>
                <w:rFonts w:ascii="Times New Roman"/>
                <w:sz w:val="21"/>
              </w:rPr>
            </w:pPr>
            <w:bookmarkStart w:name="mg/kg" w:id="840"/>
            <w:bookmarkEnd w:id="840"/>
            <w:r>
              <w:rPr/>
            </w:r>
            <w:r>
              <w:rPr>
                <w:rFonts w:ascii="Times New Roman"/>
                <w:sz w:val="21"/>
              </w:rPr>
              <w:t>mg/kg</w:t>
            </w:r>
          </w:p>
        </w:tc>
        <w:tc>
          <w:tcPr>
            <w:tcW w:w="1070" w:type="dxa"/>
          </w:tcPr>
          <w:p>
            <w:pPr>
              <w:pStyle w:val="TableParagraph"/>
              <w:spacing w:before="39"/>
              <w:ind w:left="81" w:right="74"/>
              <w:rPr>
                <w:rFonts w:ascii="Times New Roman"/>
                <w:sz w:val="21"/>
              </w:rPr>
            </w:pPr>
            <w:r>
              <w:rPr>
                <w:rFonts w:ascii="Times New Roman"/>
                <w:sz w:val="21"/>
              </w:rPr>
              <w:t>&lt;2</w:t>
            </w:r>
          </w:p>
        </w:tc>
        <w:tc>
          <w:tcPr>
            <w:tcW w:w="1070" w:type="dxa"/>
          </w:tcPr>
          <w:p>
            <w:pPr>
              <w:pStyle w:val="TableParagraph"/>
              <w:spacing w:before="39"/>
              <w:ind w:left="82" w:right="74"/>
              <w:rPr>
                <w:rFonts w:ascii="Times New Roman"/>
                <w:sz w:val="21"/>
              </w:rPr>
            </w:pPr>
            <w:r>
              <w:rPr>
                <w:rFonts w:ascii="Times New Roman"/>
                <w:sz w:val="21"/>
              </w:rPr>
              <w:t>&lt;2</w:t>
            </w:r>
          </w:p>
        </w:tc>
        <w:tc>
          <w:tcPr>
            <w:tcW w:w="1070" w:type="dxa"/>
          </w:tcPr>
          <w:p>
            <w:pPr>
              <w:pStyle w:val="TableParagraph"/>
              <w:spacing w:before="39"/>
              <w:ind w:left="82" w:right="73"/>
              <w:rPr>
                <w:rFonts w:ascii="Times New Roman"/>
                <w:sz w:val="21"/>
              </w:rPr>
            </w:pPr>
            <w:r>
              <w:rPr>
                <w:rFonts w:ascii="Times New Roman"/>
                <w:sz w:val="21"/>
              </w:rPr>
              <w:t>&lt;2</w:t>
            </w:r>
          </w:p>
        </w:tc>
        <w:tc>
          <w:tcPr>
            <w:tcW w:w="1070" w:type="dxa"/>
          </w:tcPr>
          <w:p>
            <w:pPr>
              <w:pStyle w:val="TableParagraph"/>
              <w:spacing w:before="39"/>
              <w:ind w:left="79" w:right="74"/>
              <w:rPr>
                <w:rFonts w:ascii="Times New Roman"/>
                <w:sz w:val="21"/>
              </w:rPr>
            </w:pPr>
            <w:r>
              <w:rPr>
                <w:rFonts w:ascii="Times New Roman"/>
                <w:sz w:val="21"/>
              </w:rPr>
              <w:t>&lt;2</w:t>
            </w:r>
          </w:p>
        </w:tc>
        <w:tc>
          <w:tcPr>
            <w:tcW w:w="1070" w:type="dxa"/>
          </w:tcPr>
          <w:p>
            <w:pPr>
              <w:pStyle w:val="TableParagraph"/>
              <w:spacing w:before="39"/>
              <w:ind w:left="80" w:right="74"/>
              <w:rPr>
                <w:rFonts w:ascii="Times New Roman"/>
                <w:sz w:val="21"/>
              </w:rPr>
            </w:pPr>
            <w:r>
              <w:rPr>
                <w:rFonts w:ascii="Times New Roman"/>
                <w:sz w:val="21"/>
              </w:rPr>
              <w:t>&lt;2</w:t>
            </w:r>
          </w:p>
        </w:tc>
        <w:tc>
          <w:tcPr>
            <w:tcW w:w="1070" w:type="dxa"/>
          </w:tcPr>
          <w:p>
            <w:pPr>
              <w:pStyle w:val="TableParagraph"/>
              <w:spacing w:before="39"/>
              <w:ind w:left="80" w:right="74"/>
              <w:rPr>
                <w:rFonts w:ascii="Times New Roman"/>
                <w:sz w:val="21"/>
              </w:rPr>
            </w:pPr>
            <w:r>
              <w:rPr>
                <w:rFonts w:ascii="Times New Roman"/>
                <w:sz w:val="21"/>
              </w:rPr>
              <w:t>&lt;2</w:t>
            </w:r>
          </w:p>
        </w:tc>
        <w:tc>
          <w:tcPr>
            <w:tcW w:w="1070" w:type="dxa"/>
          </w:tcPr>
          <w:p>
            <w:pPr>
              <w:pStyle w:val="TableParagraph"/>
              <w:spacing w:before="39"/>
              <w:ind w:left="81" w:right="74"/>
              <w:rPr>
                <w:rFonts w:ascii="Times New Roman"/>
                <w:sz w:val="21"/>
              </w:rPr>
            </w:pPr>
            <w:r>
              <w:rPr>
                <w:rFonts w:ascii="Times New Roman"/>
                <w:sz w:val="21"/>
              </w:rPr>
              <w:t>&lt;2</w:t>
            </w:r>
          </w:p>
        </w:tc>
        <w:tc>
          <w:tcPr>
            <w:tcW w:w="1070" w:type="dxa"/>
          </w:tcPr>
          <w:p>
            <w:pPr>
              <w:pStyle w:val="TableParagraph"/>
              <w:spacing w:before="39"/>
              <w:ind w:left="82" w:right="74"/>
              <w:rPr>
                <w:rFonts w:ascii="Times New Roman"/>
                <w:sz w:val="21"/>
              </w:rPr>
            </w:pPr>
            <w:r>
              <w:rPr>
                <w:rFonts w:ascii="Times New Roman"/>
                <w:sz w:val="21"/>
              </w:rPr>
              <w:t>&lt;2</w:t>
            </w:r>
          </w:p>
        </w:tc>
        <w:tc>
          <w:tcPr>
            <w:tcW w:w="1070" w:type="dxa"/>
          </w:tcPr>
          <w:p>
            <w:pPr>
              <w:pStyle w:val="TableParagraph"/>
              <w:spacing w:before="39"/>
              <w:ind w:left="82" w:right="73"/>
              <w:rPr>
                <w:rFonts w:ascii="Times New Roman"/>
                <w:sz w:val="21"/>
              </w:rPr>
            </w:pPr>
            <w:r>
              <w:rPr>
                <w:rFonts w:ascii="Times New Roman"/>
                <w:sz w:val="21"/>
              </w:rPr>
              <w:t>&lt;2</w:t>
            </w:r>
          </w:p>
        </w:tc>
        <w:tc>
          <w:tcPr>
            <w:tcW w:w="1076" w:type="dxa"/>
          </w:tcPr>
          <w:p>
            <w:pPr>
              <w:pStyle w:val="TableParagraph"/>
              <w:spacing w:before="39"/>
              <w:ind w:left="116" w:right="108"/>
              <w:rPr>
                <w:rFonts w:ascii="Times New Roman"/>
                <w:sz w:val="21"/>
              </w:rPr>
            </w:pPr>
            <w:r>
              <w:rPr>
                <w:rFonts w:ascii="Times New Roman"/>
                <w:sz w:val="21"/>
              </w:rPr>
              <w:t>&lt;2</w:t>
            </w:r>
          </w:p>
        </w:tc>
        <w:tc>
          <w:tcPr>
            <w:tcW w:w="1038" w:type="dxa"/>
          </w:tcPr>
          <w:p>
            <w:pPr>
              <w:pStyle w:val="TableParagraph"/>
              <w:spacing w:before="39"/>
              <w:ind w:left="182" w:right="173"/>
              <w:rPr>
                <w:rFonts w:ascii="Times New Roman"/>
                <w:sz w:val="21"/>
              </w:rPr>
            </w:pPr>
            <w:r>
              <w:rPr>
                <w:rFonts w:ascii="Times New Roman"/>
                <w:sz w:val="21"/>
              </w:rPr>
              <w:t>5.7</w:t>
            </w:r>
          </w:p>
        </w:tc>
      </w:tr>
      <w:tr>
        <w:trPr>
          <w:trHeight w:val="320" w:hRule="atLeast"/>
        </w:trPr>
        <w:tc>
          <w:tcPr>
            <w:tcW w:w="1961" w:type="dxa"/>
          </w:tcPr>
          <w:p>
            <w:pPr>
              <w:pStyle w:val="TableParagraph"/>
              <w:spacing w:before="24"/>
              <w:ind w:left="6"/>
              <w:rPr>
                <w:sz w:val="21"/>
              </w:rPr>
            </w:pPr>
            <w:r>
              <w:rPr>
                <w:w w:val="99"/>
                <w:sz w:val="21"/>
              </w:rPr>
              <w:t>铜</w:t>
            </w:r>
          </w:p>
        </w:tc>
        <w:tc>
          <w:tcPr>
            <w:tcW w:w="864" w:type="dxa"/>
          </w:tcPr>
          <w:p>
            <w:pPr>
              <w:pStyle w:val="TableParagraph"/>
              <w:spacing w:line="240" w:lineRule="exact" w:before="59"/>
              <w:ind w:left="95" w:right="88"/>
              <w:rPr>
                <w:rFonts w:ascii="Times New Roman"/>
                <w:sz w:val="21"/>
              </w:rPr>
            </w:pPr>
            <w:bookmarkStart w:name="mg/kg" w:id="841"/>
            <w:bookmarkEnd w:id="841"/>
            <w:r>
              <w:rPr/>
            </w:r>
            <w:r>
              <w:rPr>
                <w:rFonts w:ascii="Times New Roman"/>
                <w:sz w:val="21"/>
              </w:rPr>
              <w:t>mg/kg</w:t>
            </w:r>
          </w:p>
        </w:tc>
        <w:tc>
          <w:tcPr>
            <w:tcW w:w="1070" w:type="dxa"/>
          </w:tcPr>
          <w:p>
            <w:pPr>
              <w:pStyle w:val="TableParagraph"/>
              <w:spacing w:before="38"/>
              <w:ind w:left="82" w:right="72"/>
              <w:rPr>
                <w:rFonts w:ascii="Times New Roman"/>
                <w:sz w:val="21"/>
              </w:rPr>
            </w:pPr>
            <w:r>
              <w:rPr>
                <w:rFonts w:ascii="Times New Roman"/>
                <w:sz w:val="21"/>
              </w:rPr>
              <w:t>18</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79" w:right="173"/>
              <w:rPr>
                <w:rFonts w:ascii="Times New Roman"/>
                <w:sz w:val="21"/>
              </w:rPr>
            </w:pPr>
            <w:r>
              <w:rPr>
                <w:rFonts w:ascii="Times New Roman"/>
                <w:sz w:val="21"/>
              </w:rPr>
              <w:t>18000</w:t>
            </w:r>
          </w:p>
        </w:tc>
      </w:tr>
      <w:tr>
        <w:trPr>
          <w:trHeight w:val="272" w:hRule="atLeast"/>
        </w:trPr>
        <w:tc>
          <w:tcPr>
            <w:tcW w:w="1961" w:type="dxa"/>
          </w:tcPr>
          <w:p>
            <w:pPr>
              <w:pStyle w:val="TableParagraph"/>
              <w:spacing w:line="251" w:lineRule="exact" w:before="1"/>
              <w:ind w:left="6"/>
              <w:rPr>
                <w:sz w:val="21"/>
              </w:rPr>
            </w:pPr>
            <w:r>
              <w:rPr>
                <w:w w:val="99"/>
                <w:sz w:val="21"/>
              </w:rPr>
              <w:t>铅</w:t>
            </w:r>
          </w:p>
        </w:tc>
        <w:tc>
          <w:tcPr>
            <w:tcW w:w="864" w:type="dxa"/>
          </w:tcPr>
          <w:p>
            <w:pPr>
              <w:pStyle w:val="TableParagraph"/>
              <w:spacing w:line="237" w:lineRule="exact" w:before="15"/>
              <w:ind w:left="95" w:right="88"/>
              <w:rPr>
                <w:rFonts w:ascii="Times New Roman"/>
                <w:sz w:val="21"/>
              </w:rPr>
            </w:pPr>
            <w:r>
              <w:rPr>
                <w:rFonts w:ascii="Times New Roman"/>
                <w:sz w:val="21"/>
              </w:rPr>
              <w:t>mg/kg</w:t>
            </w:r>
          </w:p>
        </w:tc>
        <w:tc>
          <w:tcPr>
            <w:tcW w:w="1070" w:type="dxa"/>
          </w:tcPr>
          <w:p>
            <w:pPr>
              <w:pStyle w:val="TableParagraph"/>
              <w:spacing w:line="237" w:lineRule="exact" w:before="15"/>
              <w:ind w:right="338"/>
              <w:jc w:val="right"/>
              <w:rPr>
                <w:rFonts w:ascii="Times New Roman"/>
                <w:sz w:val="21"/>
              </w:rPr>
            </w:pPr>
            <w:r>
              <w:rPr>
                <w:rFonts w:ascii="Times New Roman"/>
                <w:sz w:val="21"/>
              </w:rPr>
              <w:t>17.4</w:t>
            </w:r>
          </w:p>
        </w:tc>
        <w:tc>
          <w:tcPr>
            <w:tcW w:w="1070" w:type="dxa"/>
          </w:tcPr>
          <w:p>
            <w:pPr>
              <w:pStyle w:val="TableParagraph"/>
              <w:spacing w:line="237" w:lineRule="exact" w:before="15"/>
              <w:ind w:left="82" w:right="72"/>
              <w:rPr>
                <w:rFonts w:ascii="Times New Roman"/>
                <w:sz w:val="21"/>
              </w:rPr>
            </w:pPr>
            <w:r>
              <w:rPr>
                <w:rFonts w:ascii="Times New Roman"/>
                <w:sz w:val="21"/>
              </w:rPr>
              <w:t>16.6</w:t>
            </w:r>
          </w:p>
        </w:tc>
        <w:tc>
          <w:tcPr>
            <w:tcW w:w="1070" w:type="dxa"/>
          </w:tcPr>
          <w:p>
            <w:pPr>
              <w:pStyle w:val="TableParagraph"/>
              <w:spacing w:line="237" w:lineRule="exact" w:before="15"/>
              <w:ind w:left="82" w:right="71"/>
              <w:rPr>
                <w:rFonts w:ascii="Times New Roman"/>
                <w:sz w:val="21"/>
              </w:rPr>
            </w:pPr>
            <w:r>
              <w:rPr>
                <w:rFonts w:ascii="Times New Roman"/>
                <w:sz w:val="21"/>
              </w:rPr>
              <w:t>18.1</w:t>
            </w:r>
          </w:p>
        </w:tc>
        <w:tc>
          <w:tcPr>
            <w:tcW w:w="1070" w:type="dxa"/>
          </w:tcPr>
          <w:p>
            <w:pPr>
              <w:pStyle w:val="TableParagraph"/>
              <w:spacing w:line="237" w:lineRule="exact" w:before="15"/>
              <w:ind w:left="81" w:right="74"/>
              <w:rPr>
                <w:rFonts w:ascii="Times New Roman"/>
                <w:sz w:val="21"/>
              </w:rPr>
            </w:pPr>
            <w:r>
              <w:rPr>
                <w:rFonts w:ascii="Times New Roman"/>
                <w:sz w:val="21"/>
              </w:rPr>
              <w:t>16.1</w:t>
            </w:r>
          </w:p>
        </w:tc>
        <w:tc>
          <w:tcPr>
            <w:tcW w:w="1070" w:type="dxa"/>
          </w:tcPr>
          <w:p>
            <w:pPr>
              <w:pStyle w:val="TableParagraph"/>
              <w:spacing w:line="237" w:lineRule="exact" w:before="15"/>
              <w:ind w:right="339"/>
              <w:jc w:val="right"/>
              <w:rPr>
                <w:rFonts w:ascii="Times New Roman"/>
                <w:sz w:val="21"/>
              </w:rPr>
            </w:pPr>
            <w:r>
              <w:rPr>
                <w:rFonts w:ascii="Times New Roman"/>
                <w:sz w:val="21"/>
              </w:rPr>
              <w:t>18.3</w:t>
            </w:r>
          </w:p>
        </w:tc>
        <w:tc>
          <w:tcPr>
            <w:tcW w:w="1070" w:type="dxa"/>
          </w:tcPr>
          <w:p>
            <w:pPr>
              <w:pStyle w:val="TableParagraph"/>
              <w:spacing w:line="237" w:lineRule="exact" w:before="15"/>
              <w:ind w:left="350"/>
              <w:jc w:val="left"/>
              <w:rPr>
                <w:rFonts w:ascii="Times New Roman"/>
                <w:sz w:val="21"/>
              </w:rPr>
            </w:pPr>
            <w:r>
              <w:rPr>
                <w:rFonts w:ascii="Times New Roman"/>
                <w:sz w:val="21"/>
              </w:rPr>
              <w:t>17.5</w:t>
            </w:r>
          </w:p>
        </w:tc>
        <w:tc>
          <w:tcPr>
            <w:tcW w:w="1070" w:type="dxa"/>
          </w:tcPr>
          <w:p>
            <w:pPr>
              <w:pStyle w:val="TableParagraph"/>
              <w:spacing w:line="237" w:lineRule="exact" w:before="15"/>
              <w:ind w:left="350"/>
              <w:jc w:val="left"/>
              <w:rPr>
                <w:rFonts w:ascii="Times New Roman"/>
                <w:sz w:val="21"/>
              </w:rPr>
            </w:pPr>
            <w:r>
              <w:rPr>
                <w:rFonts w:ascii="Times New Roman"/>
                <w:sz w:val="21"/>
              </w:rPr>
              <w:t>18.3</w:t>
            </w:r>
          </w:p>
        </w:tc>
        <w:tc>
          <w:tcPr>
            <w:tcW w:w="1070" w:type="dxa"/>
          </w:tcPr>
          <w:p>
            <w:pPr>
              <w:pStyle w:val="TableParagraph"/>
              <w:spacing w:line="237" w:lineRule="exact" w:before="15"/>
              <w:ind w:right="338"/>
              <w:jc w:val="right"/>
              <w:rPr>
                <w:rFonts w:ascii="Times New Roman"/>
                <w:sz w:val="21"/>
              </w:rPr>
            </w:pPr>
            <w:r>
              <w:rPr>
                <w:rFonts w:ascii="Times New Roman"/>
                <w:sz w:val="21"/>
              </w:rPr>
              <w:t>17.3</w:t>
            </w:r>
          </w:p>
        </w:tc>
        <w:tc>
          <w:tcPr>
            <w:tcW w:w="1070" w:type="dxa"/>
          </w:tcPr>
          <w:p>
            <w:pPr>
              <w:pStyle w:val="TableParagraph"/>
              <w:spacing w:line="237" w:lineRule="exact" w:before="15"/>
              <w:ind w:right="337"/>
              <w:jc w:val="right"/>
              <w:rPr>
                <w:rFonts w:ascii="Times New Roman"/>
                <w:sz w:val="21"/>
              </w:rPr>
            </w:pPr>
            <w:r>
              <w:rPr>
                <w:rFonts w:ascii="Times New Roman"/>
                <w:sz w:val="21"/>
              </w:rPr>
              <w:t>17.6</w:t>
            </w:r>
          </w:p>
        </w:tc>
        <w:tc>
          <w:tcPr>
            <w:tcW w:w="1076" w:type="dxa"/>
          </w:tcPr>
          <w:p>
            <w:pPr>
              <w:pStyle w:val="TableParagraph"/>
              <w:spacing w:line="237" w:lineRule="exact" w:before="15"/>
              <w:ind w:left="116" w:right="105"/>
              <w:rPr>
                <w:rFonts w:ascii="Times New Roman"/>
                <w:sz w:val="21"/>
              </w:rPr>
            </w:pPr>
            <w:r>
              <w:rPr>
                <w:rFonts w:ascii="Times New Roman"/>
                <w:sz w:val="21"/>
              </w:rPr>
              <w:t>17.1</w:t>
            </w:r>
          </w:p>
        </w:tc>
        <w:tc>
          <w:tcPr>
            <w:tcW w:w="1038" w:type="dxa"/>
          </w:tcPr>
          <w:p>
            <w:pPr>
              <w:pStyle w:val="TableParagraph"/>
              <w:spacing w:line="237" w:lineRule="exact" w:before="15"/>
              <w:ind w:left="182" w:right="173"/>
              <w:rPr>
                <w:rFonts w:ascii="Times New Roman"/>
                <w:sz w:val="21"/>
              </w:rPr>
            </w:pPr>
            <w:r>
              <w:rPr>
                <w:rFonts w:ascii="Times New Roman"/>
                <w:sz w:val="21"/>
              </w:rPr>
              <w:t>800</w:t>
            </w:r>
          </w:p>
        </w:tc>
      </w:tr>
      <w:tr>
        <w:trPr>
          <w:trHeight w:val="272" w:hRule="atLeast"/>
        </w:trPr>
        <w:tc>
          <w:tcPr>
            <w:tcW w:w="1961" w:type="dxa"/>
          </w:tcPr>
          <w:p>
            <w:pPr>
              <w:pStyle w:val="TableParagraph"/>
              <w:spacing w:line="253" w:lineRule="exact"/>
              <w:ind w:left="6"/>
              <w:rPr>
                <w:sz w:val="21"/>
              </w:rPr>
            </w:pPr>
            <w:r>
              <w:rPr>
                <w:w w:val="99"/>
                <w:sz w:val="21"/>
              </w:rPr>
              <w:t>汞</w:t>
            </w:r>
          </w:p>
        </w:tc>
        <w:tc>
          <w:tcPr>
            <w:tcW w:w="864" w:type="dxa"/>
          </w:tcPr>
          <w:p>
            <w:pPr>
              <w:pStyle w:val="TableParagraph"/>
              <w:spacing w:line="239" w:lineRule="exact" w:before="14"/>
              <w:ind w:left="95" w:right="88"/>
              <w:rPr>
                <w:rFonts w:ascii="Times New Roman"/>
                <w:sz w:val="21"/>
              </w:rPr>
            </w:pPr>
            <w:r>
              <w:rPr>
                <w:rFonts w:ascii="Times New Roman"/>
                <w:sz w:val="21"/>
              </w:rPr>
              <w:t>mg/kg</w:t>
            </w:r>
          </w:p>
        </w:tc>
        <w:tc>
          <w:tcPr>
            <w:tcW w:w="1070" w:type="dxa"/>
          </w:tcPr>
          <w:p>
            <w:pPr>
              <w:pStyle w:val="TableParagraph"/>
              <w:spacing w:line="239" w:lineRule="exact" w:before="14"/>
              <w:ind w:right="285"/>
              <w:jc w:val="right"/>
              <w:rPr>
                <w:rFonts w:ascii="Times New Roman"/>
                <w:sz w:val="21"/>
              </w:rPr>
            </w:pPr>
            <w:r>
              <w:rPr>
                <w:rFonts w:ascii="Times New Roman"/>
                <w:sz w:val="21"/>
              </w:rPr>
              <w:t>0.051</w:t>
            </w:r>
          </w:p>
        </w:tc>
        <w:tc>
          <w:tcPr>
            <w:tcW w:w="1070" w:type="dxa"/>
          </w:tcPr>
          <w:p>
            <w:pPr>
              <w:pStyle w:val="TableParagraph"/>
              <w:spacing w:line="239" w:lineRule="exact" w:before="14"/>
              <w:ind w:left="82" w:right="72"/>
              <w:rPr>
                <w:rFonts w:ascii="Times New Roman"/>
                <w:sz w:val="21"/>
              </w:rPr>
            </w:pPr>
            <w:r>
              <w:rPr>
                <w:rFonts w:ascii="Times New Roman"/>
                <w:sz w:val="21"/>
              </w:rPr>
              <w:t>0.035</w:t>
            </w:r>
          </w:p>
        </w:tc>
        <w:tc>
          <w:tcPr>
            <w:tcW w:w="1070" w:type="dxa"/>
          </w:tcPr>
          <w:p>
            <w:pPr>
              <w:pStyle w:val="TableParagraph"/>
              <w:spacing w:line="239" w:lineRule="exact" w:before="14"/>
              <w:ind w:left="82" w:right="71"/>
              <w:rPr>
                <w:rFonts w:ascii="Times New Roman"/>
                <w:sz w:val="21"/>
              </w:rPr>
            </w:pPr>
            <w:r>
              <w:rPr>
                <w:rFonts w:ascii="Times New Roman"/>
                <w:sz w:val="21"/>
              </w:rPr>
              <w:t>0.041</w:t>
            </w:r>
          </w:p>
        </w:tc>
        <w:tc>
          <w:tcPr>
            <w:tcW w:w="1070" w:type="dxa"/>
          </w:tcPr>
          <w:p>
            <w:pPr>
              <w:pStyle w:val="TableParagraph"/>
              <w:spacing w:line="239" w:lineRule="exact" w:before="14"/>
              <w:ind w:left="82" w:right="72"/>
              <w:rPr>
                <w:rFonts w:ascii="Times New Roman"/>
                <w:sz w:val="21"/>
              </w:rPr>
            </w:pPr>
            <w:r>
              <w:rPr>
                <w:rFonts w:ascii="Times New Roman"/>
                <w:sz w:val="21"/>
              </w:rPr>
              <w:t>0.037</w:t>
            </w:r>
          </w:p>
        </w:tc>
        <w:tc>
          <w:tcPr>
            <w:tcW w:w="1070" w:type="dxa"/>
          </w:tcPr>
          <w:p>
            <w:pPr>
              <w:pStyle w:val="TableParagraph"/>
              <w:spacing w:line="239" w:lineRule="exact" w:before="14"/>
              <w:ind w:right="286"/>
              <w:jc w:val="right"/>
              <w:rPr>
                <w:rFonts w:ascii="Times New Roman"/>
                <w:sz w:val="21"/>
              </w:rPr>
            </w:pPr>
            <w:r>
              <w:rPr>
                <w:rFonts w:ascii="Times New Roman"/>
                <w:w w:val="95"/>
                <w:sz w:val="21"/>
              </w:rPr>
              <w:t>0.048</w:t>
            </w:r>
          </w:p>
        </w:tc>
        <w:tc>
          <w:tcPr>
            <w:tcW w:w="1070" w:type="dxa"/>
          </w:tcPr>
          <w:p>
            <w:pPr>
              <w:pStyle w:val="TableParagraph"/>
              <w:spacing w:line="239" w:lineRule="exact" w:before="14"/>
              <w:ind w:left="297"/>
              <w:jc w:val="left"/>
              <w:rPr>
                <w:rFonts w:ascii="Times New Roman"/>
                <w:sz w:val="21"/>
              </w:rPr>
            </w:pPr>
            <w:r>
              <w:rPr>
                <w:rFonts w:ascii="Times New Roman"/>
                <w:sz w:val="21"/>
              </w:rPr>
              <w:t>0.041</w:t>
            </w:r>
          </w:p>
        </w:tc>
        <w:tc>
          <w:tcPr>
            <w:tcW w:w="1070" w:type="dxa"/>
          </w:tcPr>
          <w:p>
            <w:pPr>
              <w:pStyle w:val="TableParagraph"/>
              <w:spacing w:line="239" w:lineRule="exact" w:before="14"/>
              <w:ind w:left="297"/>
              <w:jc w:val="left"/>
              <w:rPr>
                <w:rFonts w:ascii="Times New Roman"/>
                <w:sz w:val="21"/>
              </w:rPr>
            </w:pPr>
            <w:r>
              <w:rPr>
                <w:rFonts w:ascii="Times New Roman"/>
                <w:sz w:val="21"/>
              </w:rPr>
              <w:t>0.046</w:t>
            </w:r>
          </w:p>
        </w:tc>
        <w:tc>
          <w:tcPr>
            <w:tcW w:w="1070" w:type="dxa"/>
          </w:tcPr>
          <w:p>
            <w:pPr>
              <w:pStyle w:val="TableParagraph"/>
              <w:spacing w:line="239" w:lineRule="exact" w:before="14"/>
              <w:ind w:right="285"/>
              <w:jc w:val="right"/>
              <w:rPr>
                <w:rFonts w:ascii="Times New Roman"/>
                <w:sz w:val="21"/>
              </w:rPr>
            </w:pPr>
            <w:r>
              <w:rPr>
                <w:rFonts w:ascii="Times New Roman"/>
                <w:sz w:val="21"/>
              </w:rPr>
              <w:t>0.037</w:t>
            </w:r>
          </w:p>
        </w:tc>
        <w:tc>
          <w:tcPr>
            <w:tcW w:w="1070" w:type="dxa"/>
          </w:tcPr>
          <w:p>
            <w:pPr>
              <w:pStyle w:val="TableParagraph"/>
              <w:spacing w:line="239" w:lineRule="exact" w:before="14"/>
              <w:ind w:right="285"/>
              <w:jc w:val="right"/>
              <w:rPr>
                <w:rFonts w:ascii="Times New Roman"/>
                <w:sz w:val="21"/>
              </w:rPr>
            </w:pPr>
            <w:r>
              <w:rPr>
                <w:rFonts w:ascii="Times New Roman"/>
                <w:sz w:val="21"/>
              </w:rPr>
              <w:t>0.055</w:t>
            </w:r>
          </w:p>
        </w:tc>
        <w:tc>
          <w:tcPr>
            <w:tcW w:w="1076" w:type="dxa"/>
          </w:tcPr>
          <w:p>
            <w:pPr>
              <w:pStyle w:val="TableParagraph"/>
              <w:spacing w:line="239" w:lineRule="exact" w:before="14"/>
              <w:ind w:left="116" w:right="105"/>
              <w:rPr>
                <w:rFonts w:ascii="Times New Roman"/>
                <w:sz w:val="21"/>
              </w:rPr>
            </w:pPr>
            <w:r>
              <w:rPr>
                <w:rFonts w:ascii="Times New Roman"/>
                <w:sz w:val="21"/>
              </w:rPr>
              <w:t>0.044</w:t>
            </w:r>
          </w:p>
        </w:tc>
        <w:tc>
          <w:tcPr>
            <w:tcW w:w="1038" w:type="dxa"/>
          </w:tcPr>
          <w:p>
            <w:pPr>
              <w:pStyle w:val="TableParagraph"/>
              <w:spacing w:line="239" w:lineRule="exact" w:before="14"/>
              <w:ind w:left="182" w:right="173"/>
              <w:rPr>
                <w:rFonts w:ascii="Times New Roman"/>
                <w:sz w:val="21"/>
              </w:rPr>
            </w:pPr>
            <w:r>
              <w:rPr>
                <w:rFonts w:ascii="Times New Roman"/>
                <w:sz w:val="21"/>
              </w:rPr>
              <w:t>38</w:t>
            </w:r>
          </w:p>
        </w:tc>
      </w:tr>
      <w:tr>
        <w:trPr>
          <w:trHeight w:val="272" w:hRule="atLeast"/>
        </w:trPr>
        <w:tc>
          <w:tcPr>
            <w:tcW w:w="1961" w:type="dxa"/>
          </w:tcPr>
          <w:p>
            <w:pPr>
              <w:pStyle w:val="TableParagraph"/>
              <w:spacing w:line="252" w:lineRule="exact"/>
              <w:ind w:left="6"/>
              <w:rPr>
                <w:sz w:val="21"/>
              </w:rPr>
            </w:pPr>
            <w:r>
              <w:rPr>
                <w:w w:val="99"/>
                <w:sz w:val="21"/>
              </w:rPr>
              <w:t>镍</w:t>
            </w:r>
          </w:p>
        </w:tc>
        <w:tc>
          <w:tcPr>
            <w:tcW w:w="864" w:type="dxa"/>
          </w:tcPr>
          <w:p>
            <w:pPr>
              <w:pStyle w:val="TableParagraph"/>
              <w:spacing w:line="238" w:lineRule="exact" w:before="14"/>
              <w:ind w:left="95" w:right="88"/>
              <w:rPr>
                <w:rFonts w:ascii="Times New Roman"/>
                <w:sz w:val="21"/>
              </w:rPr>
            </w:pPr>
            <w:r>
              <w:rPr>
                <w:rFonts w:ascii="Times New Roman"/>
                <w:sz w:val="21"/>
              </w:rPr>
              <w:t>mg/kg</w:t>
            </w:r>
          </w:p>
        </w:tc>
        <w:tc>
          <w:tcPr>
            <w:tcW w:w="1070" w:type="dxa"/>
          </w:tcPr>
          <w:p>
            <w:pPr>
              <w:pStyle w:val="TableParagraph"/>
              <w:spacing w:line="238" w:lineRule="exact" w:before="14"/>
              <w:ind w:left="82" w:right="72"/>
              <w:rPr>
                <w:rFonts w:ascii="Times New Roman"/>
                <w:sz w:val="21"/>
              </w:rPr>
            </w:pPr>
            <w:r>
              <w:rPr>
                <w:rFonts w:ascii="Times New Roman"/>
                <w:sz w:val="21"/>
              </w:rPr>
              <w:t>15</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0" w:type="dxa"/>
          </w:tcPr>
          <w:p>
            <w:pPr>
              <w:pStyle w:val="TableParagraph"/>
              <w:spacing w:line="238" w:lineRule="exact" w:before="14"/>
              <w:ind w:left="9"/>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1"/>
              <w:rPr>
                <w:rFonts w:ascii="Times New Roman"/>
                <w:sz w:val="21"/>
              </w:rPr>
            </w:pPr>
            <w:r>
              <w:rPr>
                <w:rFonts w:ascii="Times New Roman"/>
                <w:w w:val="99"/>
                <w:sz w:val="21"/>
              </w:rPr>
              <w:t>/</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6"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82" w:right="173"/>
              <w:rPr>
                <w:rFonts w:ascii="Times New Roman"/>
                <w:sz w:val="21"/>
              </w:rPr>
            </w:pPr>
            <w:r>
              <w:rPr>
                <w:rFonts w:ascii="Times New Roman"/>
                <w:sz w:val="21"/>
              </w:rPr>
              <w:t>900</w:t>
            </w:r>
          </w:p>
        </w:tc>
      </w:tr>
      <w:tr>
        <w:trPr>
          <w:trHeight w:val="271" w:hRule="atLeast"/>
        </w:trPr>
        <w:tc>
          <w:tcPr>
            <w:tcW w:w="1961" w:type="dxa"/>
          </w:tcPr>
          <w:p>
            <w:pPr>
              <w:pStyle w:val="TableParagraph"/>
              <w:spacing w:line="250" w:lineRule="exact" w:before="1"/>
              <w:ind w:left="22" w:right="16"/>
              <w:rPr>
                <w:sz w:val="21"/>
              </w:rPr>
            </w:pPr>
            <w:r>
              <w:rPr>
                <w:sz w:val="21"/>
              </w:rPr>
              <w:t>四氯化碳</w:t>
            </w:r>
          </w:p>
        </w:tc>
        <w:tc>
          <w:tcPr>
            <w:tcW w:w="864" w:type="dxa"/>
          </w:tcPr>
          <w:p>
            <w:pPr>
              <w:pStyle w:val="TableParagraph"/>
              <w:spacing w:line="236" w:lineRule="exact" w:before="15"/>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4" w:lineRule="exact" w:before="18"/>
              <w:ind w:left="81" w:right="74"/>
              <w:rPr>
                <w:rFonts w:ascii="Times New Roman"/>
                <w:sz w:val="21"/>
              </w:rPr>
            </w:pPr>
            <w:bookmarkStart w:name="&lt;2" w:id="842"/>
            <w:bookmarkEnd w:id="842"/>
            <w:r>
              <w:rPr/>
            </w:r>
            <w:r>
              <w:rPr>
                <w:rFonts w:ascii="Times New Roman"/>
                <w:sz w:val="21"/>
              </w:rPr>
              <w:t>&lt;2</w:t>
            </w:r>
          </w:p>
        </w:tc>
        <w:tc>
          <w:tcPr>
            <w:tcW w:w="1070" w:type="dxa"/>
          </w:tcPr>
          <w:p>
            <w:pPr>
              <w:pStyle w:val="TableParagraph"/>
              <w:spacing w:line="236" w:lineRule="exact" w:before="15"/>
              <w:ind w:left="7"/>
              <w:rPr>
                <w:rFonts w:ascii="Times New Roman"/>
                <w:sz w:val="21"/>
              </w:rPr>
            </w:pPr>
            <w:r>
              <w:rPr>
                <w:rFonts w:ascii="Times New Roman"/>
                <w:w w:val="99"/>
                <w:sz w:val="21"/>
              </w:rPr>
              <w:t>/</w:t>
            </w:r>
          </w:p>
        </w:tc>
        <w:tc>
          <w:tcPr>
            <w:tcW w:w="1070" w:type="dxa"/>
          </w:tcPr>
          <w:p>
            <w:pPr>
              <w:pStyle w:val="TableParagraph"/>
              <w:spacing w:line="236" w:lineRule="exact" w:before="15"/>
              <w:ind w:left="8"/>
              <w:rPr>
                <w:rFonts w:ascii="Times New Roman"/>
                <w:sz w:val="21"/>
              </w:rPr>
            </w:pPr>
            <w:r>
              <w:rPr>
                <w:rFonts w:ascii="Times New Roman"/>
                <w:w w:val="99"/>
                <w:sz w:val="21"/>
              </w:rPr>
              <w:t>/</w:t>
            </w:r>
          </w:p>
        </w:tc>
        <w:tc>
          <w:tcPr>
            <w:tcW w:w="1070" w:type="dxa"/>
          </w:tcPr>
          <w:p>
            <w:pPr>
              <w:pStyle w:val="TableParagraph"/>
              <w:spacing w:line="236" w:lineRule="exact" w:before="15"/>
              <w:ind w:left="9"/>
              <w:rPr>
                <w:rFonts w:ascii="Times New Roman"/>
                <w:sz w:val="21"/>
              </w:rPr>
            </w:pPr>
            <w:r>
              <w:rPr>
                <w:rFonts w:ascii="Times New Roman"/>
                <w:w w:val="99"/>
                <w:sz w:val="21"/>
              </w:rPr>
              <w:t>/</w:t>
            </w:r>
          </w:p>
        </w:tc>
        <w:tc>
          <w:tcPr>
            <w:tcW w:w="1070" w:type="dxa"/>
          </w:tcPr>
          <w:p>
            <w:pPr>
              <w:pStyle w:val="TableParagraph"/>
              <w:spacing w:line="236" w:lineRule="exact" w:before="15"/>
              <w:ind w:left="10"/>
              <w:rPr>
                <w:rFonts w:ascii="Times New Roman"/>
                <w:sz w:val="21"/>
              </w:rPr>
            </w:pPr>
            <w:r>
              <w:rPr>
                <w:rFonts w:ascii="Times New Roman"/>
                <w:w w:val="99"/>
                <w:sz w:val="21"/>
              </w:rPr>
              <w:t>/</w:t>
            </w:r>
          </w:p>
        </w:tc>
        <w:tc>
          <w:tcPr>
            <w:tcW w:w="1070" w:type="dxa"/>
          </w:tcPr>
          <w:p>
            <w:pPr>
              <w:pStyle w:val="TableParagraph"/>
              <w:spacing w:line="236" w:lineRule="exact" w:before="15"/>
              <w:ind w:left="10"/>
              <w:rPr>
                <w:rFonts w:ascii="Times New Roman"/>
                <w:sz w:val="21"/>
              </w:rPr>
            </w:pPr>
            <w:r>
              <w:rPr>
                <w:rFonts w:ascii="Times New Roman"/>
                <w:w w:val="99"/>
                <w:sz w:val="21"/>
              </w:rPr>
              <w:t>/</w:t>
            </w:r>
          </w:p>
        </w:tc>
        <w:tc>
          <w:tcPr>
            <w:tcW w:w="1070" w:type="dxa"/>
          </w:tcPr>
          <w:p>
            <w:pPr>
              <w:pStyle w:val="TableParagraph"/>
              <w:spacing w:line="236" w:lineRule="exact" w:before="15"/>
              <w:ind w:left="11"/>
              <w:rPr>
                <w:rFonts w:ascii="Times New Roman"/>
                <w:sz w:val="21"/>
              </w:rPr>
            </w:pPr>
            <w:r>
              <w:rPr>
                <w:rFonts w:ascii="Times New Roman"/>
                <w:w w:val="99"/>
                <w:sz w:val="21"/>
              </w:rPr>
              <w:t>/</w:t>
            </w:r>
          </w:p>
        </w:tc>
        <w:tc>
          <w:tcPr>
            <w:tcW w:w="1070" w:type="dxa"/>
          </w:tcPr>
          <w:p>
            <w:pPr>
              <w:pStyle w:val="TableParagraph"/>
              <w:spacing w:line="236" w:lineRule="exact" w:before="15"/>
              <w:ind w:left="7"/>
              <w:rPr>
                <w:rFonts w:ascii="Times New Roman"/>
                <w:sz w:val="21"/>
              </w:rPr>
            </w:pPr>
            <w:r>
              <w:rPr>
                <w:rFonts w:ascii="Times New Roman"/>
                <w:w w:val="99"/>
                <w:sz w:val="21"/>
              </w:rPr>
              <w:t>/</w:t>
            </w:r>
          </w:p>
        </w:tc>
        <w:tc>
          <w:tcPr>
            <w:tcW w:w="1070" w:type="dxa"/>
          </w:tcPr>
          <w:p>
            <w:pPr>
              <w:pStyle w:val="TableParagraph"/>
              <w:spacing w:line="236" w:lineRule="exact" w:before="15"/>
              <w:ind w:left="8"/>
              <w:rPr>
                <w:rFonts w:ascii="Times New Roman"/>
                <w:sz w:val="21"/>
              </w:rPr>
            </w:pPr>
            <w:r>
              <w:rPr>
                <w:rFonts w:ascii="Times New Roman"/>
                <w:w w:val="99"/>
                <w:sz w:val="21"/>
              </w:rPr>
              <w:t>/</w:t>
            </w:r>
          </w:p>
        </w:tc>
        <w:tc>
          <w:tcPr>
            <w:tcW w:w="1076"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36" w:lineRule="exact" w:before="15"/>
              <w:ind w:left="182" w:right="173"/>
              <w:rPr>
                <w:rFonts w:ascii="Times New Roman"/>
                <w:sz w:val="21"/>
              </w:rPr>
            </w:pPr>
            <w:r>
              <w:rPr>
                <w:rFonts w:ascii="Times New Roman"/>
                <w:sz w:val="21"/>
              </w:rPr>
              <w:t>2800</w:t>
            </w:r>
          </w:p>
        </w:tc>
      </w:tr>
      <w:tr>
        <w:trPr>
          <w:trHeight w:val="273" w:hRule="atLeast"/>
        </w:trPr>
        <w:tc>
          <w:tcPr>
            <w:tcW w:w="1961" w:type="dxa"/>
          </w:tcPr>
          <w:p>
            <w:pPr>
              <w:pStyle w:val="TableParagraph"/>
              <w:spacing w:line="253" w:lineRule="exact"/>
              <w:ind w:left="24" w:right="16"/>
              <w:rPr>
                <w:sz w:val="21"/>
              </w:rPr>
            </w:pPr>
            <w:r>
              <w:rPr>
                <w:sz w:val="21"/>
              </w:rPr>
              <w:t>氯甲烷</w:t>
            </w:r>
          </w:p>
        </w:tc>
        <w:tc>
          <w:tcPr>
            <w:tcW w:w="864" w:type="dxa"/>
          </w:tcPr>
          <w:p>
            <w:pPr>
              <w:pStyle w:val="TableParagraph"/>
              <w:spacing w:line="239" w:lineRule="exact" w:before="14"/>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4" w:lineRule="exact" w:before="19"/>
              <w:ind w:left="81" w:right="74"/>
              <w:rPr>
                <w:rFonts w:ascii="Times New Roman"/>
                <w:sz w:val="21"/>
              </w:rPr>
            </w:pPr>
            <w:bookmarkStart w:name="&lt;3" w:id="843"/>
            <w:bookmarkEnd w:id="843"/>
            <w:r>
              <w:rPr/>
            </w:r>
            <w:r>
              <w:rPr>
                <w:rFonts w:ascii="Times New Roman"/>
                <w:sz w:val="21"/>
              </w:rPr>
              <w:t>&lt;3</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0" w:type="dxa"/>
          </w:tcPr>
          <w:p>
            <w:pPr>
              <w:pStyle w:val="TableParagraph"/>
              <w:spacing w:line="239" w:lineRule="exact" w:before="14"/>
              <w:ind w:left="9"/>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1"/>
              <w:rPr>
                <w:rFonts w:ascii="Times New Roman"/>
                <w:sz w:val="21"/>
              </w:rPr>
            </w:pPr>
            <w:r>
              <w:rPr>
                <w:rFonts w:ascii="Times New Roman"/>
                <w:w w:val="99"/>
                <w:sz w:val="21"/>
              </w:rPr>
              <w:t>/</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6"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79" w:right="173"/>
              <w:rPr>
                <w:rFonts w:ascii="Times New Roman"/>
                <w:sz w:val="21"/>
              </w:rPr>
            </w:pPr>
            <w:r>
              <w:rPr>
                <w:rFonts w:ascii="Times New Roman"/>
                <w:sz w:val="21"/>
              </w:rPr>
              <w:t>37000</w:t>
            </w:r>
          </w:p>
        </w:tc>
      </w:tr>
      <w:tr>
        <w:trPr>
          <w:trHeight w:val="271" w:hRule="atLeast"/>
        </w:trPr>
        <w:tc>
          <w:tcPr>
            <w:tcW w:w="1961" w:type="dxa"/>
          </w:tcPr>
          <w:p>
            <w:pPr>
              <w:pStyle w:val="TableParagraph"/>
              <w:spacing w:line="251" w:lineRule="exact"/>
              <w:ind w:left="19" w:right="16"/>
              <w:rPr>
                <w:sz w:val="21"/>
              </w:rPr>
            </w:pPr>
            <w:r>
              <w:rPr>
                <w:sz w:val="21"/>
              </w:rPr>
              <w:t>氯仿</w:t>
            </w:r>
          </w:p>
        </w:tc>
        <w:tc>
          <w:tcPr>
            <w:tcW w:w="864" w:type="dxa"/>
          </w:tcPr>
          <w:p>
            <w:pPr>
              <w:pStyle w:val="TableParagraph"/>
              <w:spacing w:line="237" w:lineRule="exact" w:before="14"/>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7"/>
              <w:ind w:left="81" w:right="74"/>
              <w:rPr>
                <w:rFonts w:ascii="Times New Roman"/>
                <w:sz w:val="21"/>
              </w:rPr>
            </w:pPr>
            <w:bookmarkStart w:name="&lt;2" w:id="844"/>
            <w:bookmarkEnd w:id="844"/>
            <w:r>
              <w:rPr/>
            </w:r>
            <w:r>
              <w:rPr>
                <w:rFonts w:ascii="Times New Roman"/>
                <w:sz w:val="21"/>
              </w:rPr>
              <w:t>&lt;2</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0" w:type="dxa"/>
          </w:tcPr>
          <w:p>
            <w:pPr>
              <w:pStyle w:val="TableParagraph"/>
              <w:spacing w:line="237" w:lineRule="exact" w:before="14"/>
              <w:ind w:left="9"/>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1"/>
              <w:rPr>
                <w:rFonts w:ascii="Times New Roman"/>
                <w:sz w:val="21"/>
              </w:rPr>
            </w:pPr>
            <w:r>
              <w:rPr>
                <w:rFonts w:ascii="Times New Roman"/>
                <w:w w:val="99"/>
                <w:sz w:val="21"/>
              </w:rPr>
              <w:t>/</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6" w:type="dxa"/>
          </w:tcPr>
          <w:p>
            <w:pPr>
              <w:pStyle w:val="TableParagraph"/>
              <w:spacing w:line="237" w:lineRule="exact" w:before="14"/>
              <w:ind w:left="8"/>
              <w:rPr>
                <w:rFonts w:ascii="Times New Roman"/>
                <w:sz w:val="21"/>
              </w:rPr>
            </w:pPr>
            <w:r>
              <w:rPr>
                <w:rFonts w:ascii="Times New Roman"/>
                <w:w w:val="99"/>
                <w:sz w:val="21"/>
              </w:rPr>
              <w:t>/</w:t>
            </w:r>
          </w:p>
        </w:tc>
        <w:tc>
          <w:tcPr>
            <w:tcW w:w="1038" w:type="dxa"/>
          </w:tcPr>
          <w:p>
            <w:pPr>
              <w:pStyle w:val="TableParagraph"/>
              <w:spacing w:line="237" w:lineRule="exact" w:before="14"/>
              <w:ind w:left="182" w:right="173"/>
              <w:rPr>
                <w:rFonts w:ascii="Times New Roman"/>
                <w:sz w:val="21"/>
              </w:rPr>
            </w:pPr>
            <w:r>
              <w:rPr>
                <w:rFonts w:ascii="Times New Roman"/>
                <w:sz w:val="21"/>
              </w:rPr>
              <w:t>900</w:t>
            </w:r>
          </w:p>
        </w:tc>
      </w:tr>
      <w:tr>
        <w:trPr>
          <w:trHeight w:val="273" w:hRule="atLeast"/>
        </w:trPr>
        <w:tc>
          <w:tcPr>
            <w:tcW w:w="1961" w:type="dxa"/>
          </w:tcPr>
          <w:p>
            <w:pPr>
              <w:pStyle w:val="TableParagraph"/>
              <w:spacing w:line="251" w:lineRule="exact" w:before="1"/>
              <w:ind w:left="24" w:right="16"/>
              <w:rPr>
                <w:sz w:val="21"/>
              </w:rPr>
            </w:pPr>
            <w:r>
              <w:rPr>
                <w:rFonts w:ascii="Times New Roman" w:eastAsia="Times New Roman"/>
                <w:sz w:val="21"/>
              </w:rPr>
              <w:t>1,1-</w:t>
            </w:r>
            <w:r>
              <w:rPr>
                <w:sz w:val="21"/>
              </w:rPr>
              <w:t>二氯乙烷</w:t>
            </w:r>
          </w:p>
        </w:tc>
        <w:tc>
          <w:tcPr>
            <w:tcW w:w="864" w:type="dxa"/>
          </w:tcPr>
          <w:p>
            <w:pPr>
              <w:pStyle w:val="TableParagraph"/>
              <w:spacing w:line="237" w:lineRule="exact" w:before="15"/>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8"/>
              <w:ind w:left="81" w:right="74"/>
              <w:rPr>
                <w:rFonts w:ascii="Times New Roman"/>
                <w:sz w:val="21"/>
              </w:rPr>
            </w:pPr>
            <w:bookmarkStart w:name="&lt;2" w:id="845"/>
            <w:bookmarkEnd w:id="845"/>
            <w:r>
              <w:rPr/>
            </w:r>
            <w:r>
              <w:rPr>
                <w:rFonts w:ascii="Times New Roman"/>
                <w:sz w:val="21"/>
              </w:rPr>
              <w:t>&lt;2</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0" w:type="dxa"/>
          </w:tcPr>
          <w:p>
            <w:pPr>
              <w:pStyle w:val="TableParagraph"/>
              <w:spacing w:line="237" w:lineRule="exact" w:before="15"/>
              <w:ind w:left="9"/>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6"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82" w:right="173"/>
              <w:rPr>
                <w:rFonts w:ascii="Times New Roman"/>
                <w:sz w:val="21"/>
              </w:rPr>
            </w:pPr>
            <w:r>
              <w:rPr>
                <w:rFonts w:ascii="Times New Roman"/>
                <w:sz w:val="21"/>
              </w:rPr>
              <w:t>9000</w:t>
            </w:r>
          </w:p>
        </w:tc>
      </w:tr>
      <w:tr>
        <w:trPr>
          <w:trHeight w:val="271" w:hRule="atLeast"/>
        </w:trPr>
        <w:tc>
          <w:tcPr>
            <w:tcW w:w="1961" w:type="dxa"/>
          </w:tcPr>
          <w:p>
            <w:pPr>
              <w:pStyle w:val="TableParagraph"/>
              <w:spacing w:line="252" w:lineRule="exact"/>
              <w:ind w:left="24" w:right="16"/>
              <w:rPr>
                <w:sz w:val="21"/>
              </w:rPr>
            </w:pPr>
            <w:r>
              <w:rPr>
                <w:rFonts w:ascii="Times New Roman" w:eastAsia="Times New Roman"/>
                <w:sz w:val="21"/>
              </w:rPr>
              <w:t>1,2-</w:t>
            </w:r>
            <w:r>
              <w:rPr>
                <w:sz w:val="21"/>
              </w:rPr>
              <w:t>二氯乙烷</w:t>
            </w:r>
          </w:p>
        </w:tc>
        <w:tc>
          <w:tcPr>
            <w:tcW w:w="864" w:type="dxa"/>
          </w:tcPr>
          <w:p>
            <w:pPr>
              <w:pStyle w:val="TableParagraph"/>
              <w:spacing w:line="238" w:lineRule="exact" w:before="13"/>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6" w:lineRule="exact" w:before="16"/>
              <w:ind w:left="81" w:right="74"/>
              <w:rPr>
                <w:rFonts w:ascii="Times New Roman"/>
                <w:sz w:val="21"/>
              </w:rPr>
            </w:pPr>
            <w:bookmarkStart w:name="&lt;3" w:id="846"/>
            <w:bookmarkEnd w:id="846"/>
            <w:r>
              <w:rPr/>
            </w:r>
            <w:r>
              <w:rPr>
                <w:rFonts w:ascii="Times New Roman"/>
                <w:sz w:val="21"/>
              </w:rPr>
              <w:t>&lt;3</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0" w:type="dxa"/>
          </w:tcPr>
          <w:p>
            <w:pPr>
              <w:pStyle w:val="TableParagraph"/>
              <w:spacing w:line="238" w:lineRule="exact" w:before="13"/>
              <w:ind w:left="9"/>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1"/>
              <w:rPr>
                <w:rFonts w:ascii="Times New Roman"/>
                <w:sz w:val="21"/>
              </w:rPr>
            </w:pPr>
            <w:r>
              <w:rPr>
                <w:rFonts w:ascii="Times New Roman"/>
                <w:w w:val="99"/>
                <w:sz w:val="21"/>
              </w:rPr>
              <w:t>/</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6" w:type="dxa"/>
          </w:tcPr>
          <w:p>
            <w:pPr>
              <w:pStyle w:val="TableParagraph"/>
              <w:spacing w:line="238" w:lineRule="exact" w:before="13"/>
              <w:ind w:left="8"/>
              <w:rPr>
                <w:rFonts w:ascii="Times New Roman"/>
                <w:sz w:val="21"/>
              </w:rPr>
            </w:pPr>
            <w:r>
              <w:rPr>
                <w:rFonts w:ascii="Times New Roman"/>
                <w:w w:val="99"/>
                <w:sz w:val="21"/>
              </w:rPr>
              <w:t>/</w:t>
            </w:r>
          </w:p>
        </w:tc>
        <w:tc>
          <w:tcPr>
            <w:tcW w:w="1038" w:type="dxa"/>
          </w:tcPr>
          <w:p>
            <w:pPr>
              <w:pStyle w:val="TableParagraph"/>
              <w:spacing w:line="238" w:lineRule="exact" w:before="13"/>
              <w:ind w:left="182" w:right="173"/>
              <w:rPr>
                <w:rFonts w:ascii="Times New Roman"/>
                <w:sz w:val="21"/>
              </w:rPr>
            </w:pPr>
            <w:r>
              <w:rPr>
                <w:rFonts w:ascii="Times New Roman"/>
                <w:sz w:val="21"/>
              </w:rPr>
              <w:t>5000</w:t>
            </w:r>
          </w:p>
        </w:tc>
      </w:tr>
      <w:tr>
        <w:trPr>
          <w:trHeight w:val="272" w:hRule="atLeast"/>
        </w:trPr>
        <w:tc>
          <w:tcPr>
            <w:tcW w:w="1961" w:type="dxa"/>
          </w:tcPr>
          <w:p>
            <w:pPr>
              <w:pStyle w:val="TableParagraph"/>
              <w:spacing w:line="251" w:lineRule="exact" w:before="1"/>
              <w:ind w:left="24" w:right="16"/>
              <w:rPr>
                <w:sz w:val="21"/>
              </w:rPr>
            </w:pPr>
            <w:r>
              <w:rPr>
                <w:rFonts w:ascii="Times New Roman" w:eastAsia="Times New Roman"/>
                <w:sz w:val="21"/>
              </w:rPr>
              <w:t>1,1-</w:t>
            </w:r>
            <w:r>
              <w:rPr>
                <w:sz w:val="21"/>
              </w:rPr>
              <w:t>二氯乙烯</w:t>
            </w:r>
          </w:p>
        </w:tc>
        <w:tc>
          <w:tcPr>
            <w:tcW w:w="864" w:type="dxa"/>
          </w:tcPr>
          <w:p>
            <w:pPr>
              <w:pStyle w:val="TableParagraph"/>
              <w:spacing w:line="237" w:lineRule="exact" w:before="14"/>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7"/>
              <w:ind w:left="81" w:right="74"/>
              <w:rPr>
                <w:rFonts w:ascii="Times New Roman"/>
                <w:sz w:val="21"/>
              </w:rPr>
            </w:pPr>
            <w:bookmarkStart w:name="&lt;2" w:id="847"/>
            <w:bookmarkEnd w:id="847"/>
            <w:r>
              <w:rPr/>
            </w:r>
            <w:r>
              <w:rPr>
                <w:rFonts w:ascii="Times New Roman"/>
                <w:sz w:val="21"/>
              </w:rPr>
              <w:t>&lt;2</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0" w:type="dxa"/>
          </w:tcPr>
          <w:p>
            <w:pPr>
              <w:pStyle w:val="TableParagraph"/>
              <w:spacing w:line="237" w:lineRule="exact" w:before="14"/>
              <w:ind w:left="9"/>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1"/>
              <w:rPr>
                <w:rFonts w:ascii="Times New Roman"/>
                <w:sz w:val="21"/>
              </w:rPr>
            </w:pPr>
            <w:r>
              <w:rPr>
                <w:rFonts w:ascii="Times New Roman"/>
                <w:w w:val="99"/>
                <w:sz w:val="21"/>
              </w:rPr>
              <w:t>/</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6" w:type="dxa"/>
          </w:tcPr>
          <w:p>
            <w:pPr>
              <w:pStyle w:val="TableParagraph"/>
              <w:spacing w:line="237" w:lineRule="exact" w:before="14"/>
              <w:ind w:left="8"/>
              <w:rPr>
                <w:rFonts w:ascii="Times New Roman"/>
                <w:sz w:val="21"/>
              </w:rPr>
            </w:pPr>
            <w:r>
              <w:rPr>
                <w:rFonts w:ascii="Times New Roman"/>
                <w:w w:val="99"/>
                <w:sz w:val="21"/>
              </w:rPr>
              <w:t>/</w:t>
            </w:r>
          </w:p>
        </w:tc>
        <w:tc>
          <w:tcPr>
            <w:tcW w:w="1038" w:type="dxa"/>
          </w:tcPr>
          <w:p>
            <w:pPr>
              <w:pStyle w:val="TableParagraph"/>
              <w:spacing w:line="237" w:lineRule="exact" w:before="14"/>
              <w:ind w:left="179" w:right="173"/>
              <w:rPr>
                <w:rFonts w:ascii="Times New Roman"/>
                <w:sz w:val="21"/>
              </w:rPr>
            </w:pPr>
            <w:r>
              <w:rPr>
                <w:rFonts w:ascii="Times New Roman"/>
                <w:sz w:val="21"/>
              </w:rPr>
              <w:t>66000</w:t>
            </w:r>
          </w:p>
        </w:tc>
      </w:tr>
      <w:tr>
        <w:trPr>
          <w:trHeight w:val="272" w:hRule="atLeast"/>
        </w:trPr>
        <w:tc>
          <w:tcPr>
            <w:tcW w:w="1961" w:type="dxa"/>
          </w:tcPr>
          <w:p>
            <w:pPr>
              <w:pStyle w:val="TableParagraph"/>
              <w:spacing w:line="251" w:lineRule="exact" w:before="2"/>
              <w:ind w:left="24" w:right="16"/>
              <w:rPr>
                <w:sz w:val="21"/>
              </w:rPr>
            </w:pPr>
            <w:r>
              <w:rPr>
                <w:sz w:val="21"/>
              </w:rPr>
              <w:t>顺</w:t>
            </w:r>
            <w:r>
              <w:rPr>
                <w:rFonts w:ascii="Times New Roman" w:eastAsia="Times New Roman"/>
                <w:sz w:val="21"/>
              </w:rPr>
              <w:t>-1,2-</w:t>
            </w:r>
            <w:r>
              <w:rPr>
                <w:sz w:val="21"/>
              </w:rPr>
              <w:t>二氯乙烯</w:t>
            </w:r>
          </w:p>
        </w:tc>
        <w:tc>
          <w:tcPr>
            <w:tcW w:w="864" w:type="dxa"/>
          </w:tcPr>
          <w:p>
            <w:pPr>
              <w:pStyle w:val="TableParagraph"/>
              <w:spacing w:line="237" w:lineRule="exact" w:before="16"/>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8"/>
              <w:ind w:left="81" w:right="74"/>
              <w:rPr>
                <w:rFonts w:ascii="Times New Roman"/>
                <w:sz w:val="21"/>
              </w:rPr>
            </w:pPr>
            <w:bookmarkStart w:name="&lt;3" w:id="848"/>
            <w:bookmarkEnd w:id="848"/>
            <w:r>
              <w:rPr/>
            </w:r>
            <w:r>
              <w:rPr>
                <w:rFonts w:ascii="Times New Roman"/>
                <w:sz w:val="21"/>
              </w:rPr>
              <w:t>&lt;3</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0" w:type="dxa"/>
          </w:tcPr>
          <w:p>
            <w:pPr>
              <w:pStyle w:val="TableParagraph"/>
              <w:spacing w:line="237" w:lineRule="exact" w:before="16"/>
              <w:ind w:left="9"/>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1"/>
              <w:rPr>
                <w:rFonts w:ascii="Times New Roman"/>
                <w:sz w:val="21"/>
              </w:rPr>
            </w:pPr>
            <w:r>
              <w:rPr>
                <w:rFonts w:ascii="Times New Roman"/>
                <w:w w:val="99"/>
                <w:sz w:val="21"/>
              </w:rPr>
              <w:t>/</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6"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83" w:right="172"/>
              <w:rPr>
                <w:rFonts w:ascii="Times New Roman"/>
                <w:sz w:val="21"/>
              </w:rPr>
            </w:pPr>
            <w:r>
              <w:rPr>
                <w:rFonts w:ascii="Times New Roman"/>
                <w:sz w:val="21"/>
              </w:rPr>
              <w:t>596000</w:t>
            </w:r>
          </w:p>
        </w:tc>
      </w:tr>
      <w:tr>
        <w:trPr>
          <w:trHeight w:val="272" w:hRule="atLeast"/>
        </w:trPr>
        <w:tc>
          <w:tcPr>
            <w:tcW w:w="1961" w:type="dxa"/>
          </w:tcPr>
          <w:p>
            <w:pPr>
              <w:pStyle w:val="TableParagraph"/>
              <w:spacing w:line="252" w:lineRule="exact"/>
              <w:ind w:left="24" w:right="16"/>
              <w:rPr>
                <w:sz w:val="21"/>
              </w:rPr>
            </w:pPr>
            <w:r>
              <w:rPr>
                <w:sz w:val="21"/>
              </w:rPr>
              <w:t>反</w:t>
            </w:r>
            <w:r>
              <w:rPr>
                <w:rFonts w:ascii="Times New Roman" w:eastAsia="Times New Roman"/>
                <w:sz w:val="21"/>
              </w:rPr>
              <w:t>-1,2-</w:t>
            </w:r>
            <w:r>
              <w:rPr>
                <w:sz w:val="21"/>
              </w:rPr>
              <w:t>二氯乙烯</w:t>
            </w:r>
          </w:p>
        </w:tc>
        <w:tc>
          <w:tcPr>
            <w:tcW w:w="864" w:type="dxa"/>
          </w:tcPr>
          <w:p>
            <w:pPr>
              <w:pStyle w:val="TableParagraph"/>
              <w:spacing w:line="238" w:lineRule="exact" w:before="13"/>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6" w:lineRule="exact" w:before="16"/>
              <w:ind w:left="81" w:right="74"/>
              <w:rPr>
                <w:rFonts w:ascii="Times New Roman"/>
                <w:sz w:val="21"/>
              </w:rPr>
            </w:pPr>
            <w:bookmarkStart w:name="&lt;3" w:id="849"/>
            <w:bookmarkEnd w:id="849"/>
            <w:r>
              <w:rPr/>
            </w:r>
            <w:r>
              <w:rPr>
                <w:rFonts w:ascii="Times New Roman"/>
                <w:sz w:val="21"/>
              </w:rPr>
              <w:t>&lt;3</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0" w:type="dxa"/>
          </w:tcPr>
          <w:p>
            <w:pPr>
              <w:pStyle w:val="TableParagraph"/>
              <w:spacing w:line="238" w:lineRule="exact" w:before="13"/>
              <w:ind w:left="9"/>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1"/>
              <w:rPr>
                <w:rFonts w:ascii="Times New Roman"/>
                <w:sz w:val="21"/>
              </w:rPr>
            </w:pPr>
            <w:r>
              <w:rPr>
                <w:rFonts w:ascii="Times New Roman"/>
                <w:w w:val="99"/>
                <w:sz w:val="21"/>
              </w:rPr>
              <w:t>/</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6" w:type="dxa"/>
          </w:tcPr>
          <w:p>
            <w:pPr>
              <w:pStyle w:val="TableParagraph"/>
              <w:spacing w:line="238" w:lineRule="exact" w:before="13"/>
              <w:ind w:left="8"/>
              <w:rPr>
                <w:rFonts w:ascii="Times New Roman"/>
                <w:sz w:val="21"/>
              </w:rPr>
            </w:pPr>
            <w:r>
              <w:rPr>
                <w:rFonts w:ascii="Times New Roman"/>
                <w:w w:val="99"/>
                <w:sz w:val="21"/>
              </w:rPr>
              <w:t>/</w:t>
            </w:r>
          </w:p>
        </w:tc>
        <w:tc>
          <w:tcPr>
            <w:tcW w:w="1038" w:type="dxa"/>
          </w:tcPr>
          <w:p>
            <w:pPr>
              <w:pStyle w:val="TableParagraph"/>
              <w:spacing w:line="238" w:lineRule="exact" w:before="13"/>
              <w:ind w:left="179" w:right="173"/>
              <w:rPr>
                <w:rFonts w:ascii="Times New Roman"/>
                <w:sz w:val="21"/>
              </w:rPr>
            </w:pPr>
            <w:r>
              <w:rPr>
                <w:rFonts w:ascii="Times New Roman"/>
                <w:sz w:val="21"/>
              </w:rPr>
              <w:t>54000</w:t>
            </w:r>
          </w:p>
        </w:tc>
      </w:tr>
      <w:tr>
        <w:trPr>
          <w:trHeight w:val="271" w:hRule="atLeast"/>
        </w:trPr>
        <w:tc>
          <w:tcPr>
            <w:tcW w:w="1961" w:type="dxa"/>
          </w:tcPr>
          <w:p>
            <w:pPr>
              <w:pStyle w:val="TableParagraph"/>
              <w:spacing w:line="251" w:lineRule="exact" w:before="1"/>
              <w:ind w:left="22" w:right="16"/>
              <w:rPr>
                <w:sz w:val="21"/>
              </w:rPr>
            </w:pPr>
            <w:r>
              <w:rPr>
                <w:sz w:val="21"/>
              </w:rPr>
              <w:t>二氯甲烷</w:t>
            </w:r>
          </w:p>
        </w:tc>
        <w:tc>
          <w:tcPr>
            <w:tcW w:w="864" w:type="dxa"/>
          </w:tcPr>
          <w:p>
            <w:pPr>
              <w:pStyle w:val="TableParagraph"/>
              <w:spacing w:line="237" w:lineRule="exact" w:before="15"/>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7"/>
              <w:ind w:left="81" w:right="74"/>
              <w:rPr>
                <w:rFonts w:ascii="Times New Roman"/>
                <w:sz w:val="21"/>
              </w:rPr>
            </w:pPr>
            <w:bookmarkStart w:name="&lt;3" w:id="850"/>
            <w:bookmarkEnd w:id="850"/>
            <w:r>
              <w:rPr/>
            </w:r>
            <w:r>
              <w:rPr>
                <w:rFonts w:ascii="Times New Roman"/>
                <w:sz w:val="21"/>
              </w:rPr>
              <w:t>&lt;3</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0" w:type="dxa"/>
          </w:tcPr>
          <w:p>
            <w:pPr>
              <w:pStyle w:val="TableParagraph"/>
              <w:spacing w:line="237" w:lineRule="exact" w:before="15"/>
              <w:ind w:left="9"/>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6"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83" w:right="172"/>
              <w:rPr>
                <w:rFonts w:ascii="Times New Roman"/>
                <w:sz w:val="21"/>
              </w:rPr>
            </w:pPr>
            <w:r>
              <w:rPr>
                <w:rFonts w:ascii="Times New Roman"/>
                <w:sz w:val="21"/>
              </w:rPr>
              <w:t>616000</w:t>
            </w:r>
          </w:p>
        </w:tc>
      </w:tr>
      <w:tr>
        <w:trPr>
          <w:trHeight w:val="273" w:hRule="atLeast"/>
        </w:trPr>
        <w:tc>
          <w:tcPr>
            <w:tcW w:w="1961" w:type="dxa"/>
          </w:tcPr>
          <w:p>
            <w:pPr>
              <w:pStyle w:val="TableParagraph"/>
              <w:spacing w:line="251" w:lineRule="exact" w:before="2"/>
              <w:ind w:left="24" w:right="16"/>
              <w:rPr>
                <w:sz w:val="21"/>
              </w:rPr>
            </w:pPr>
            <w:r>
              <w:rPr>
                <w:rFonts w:ascii="Times New Roman" w:eastAsia="Times New Roman"/>
                <w:sz w:val="21"/>
              </w:rPr>
              <w:t>1,2-</w:t>
            </w:r>
            <w:r>
              <w:rPr>
                <w:sz w:val="21"/>
              </w:rPr>
              <w:t>二氯丙烷</w:t>
            </w:r>
          </w:p>
        </w:tc>
        <w:tc>
          <w:tcPr>
            <w:tcW w:w="864" w:type="dxa"/>
          </w:tcPr>
          <w:p>
            <w:pPr>
              <w:pStyle w:val="TableParagraph"/>
              <w:spacing w:line="237" w:lineRule="exact" w:before="16"/>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4" w:lineRule="exact" w:before="18"/>
              <w:ind w:left="81" w:right="74"/>
              <w:rPr>
                <w:rFonts w:ascii="Times New Roman"/>
                <w:sz w:val="21"/>
              </w:rPr>
            </w:pPr>
            <w:bookmarkStart w:name="&lt;2" w:id="851"/>
            <w:bookmarkEnd w:id="851"/>
            <w:r>
              <w:rPr/>
            </w:r>
            <w:r>
              <w:rPr>
                <w:rFonts w:ascii="Times New Roman"/>
                <w:sz w:val="21"/>
              </w:rPr>
              <w:t>&lt;2</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0" w:type="dxa"/>
          </w:tcPr>
          <w:p>
            <w:pPr>
              <w:pStyle w:val="TableParagraph"/>
              <w:spacing w:line="237" w:lineRule="exact" w:before="16"/>
              <w:ind w:left="9"/>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1"/>
              <w:rPr>
                <w:rFonts w:ascii="Times New Roman"/>
                <w:sz w:val="21"/>
              </w:rPr>
            </w:pPr>
            <w:r>
              <w:rPr>
                <w:rFonts w:ascii="Times New Roman"/>
                <w:w w:val="99"/>
                <w:sz w:val="21"/>
              </w:rPr>
              <w:t>/</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6"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82" w:right="173"/>
              <w:rPr>
                <w:rFonts w:ascii="Times New Roman"/>
                <w:sz w:val="21"/>
              </w:rPr>
            </w:pPr>
            <w:r>
              <w:rPr>
                <w:rFonts w:ascii="Times New Roman"/>
                <w:sz w:val="21"/>
              </w:rPr>
              <w:t>5000</w:t>
            </w:r>
          </w:p>
        </w:tc>
      </w:tr>
      <w:tr>
        <w:trPr>
          <w:trHeight w:val="271" w:hRule="atLeast"/>
        </w:trPr>
        <w:tc>
          <w:tcPr>
            <w:tcW w:w="1961" w:type="dxa"/>
          </w:tcPr>
          <w:p>
            <w:pPr>
              <w:pStyle w:val="TableParagraph"/>
              <w:spacing w:line="252" w:lineRule="exact"/>
              <w:ind w:left="24" w:right="16"/>
              <w:rPr>
                <w:sz w:val="21"/>
              </w:rPr>
            </w:pPr>
            <w:r>
              <w:rPr>
                <w:rFonts w:ascii="Times New Roman" w:eastAsia="Times New Roman"/>
                <w:sz w:val="21"/>
              </w:rPr>
              <w:t>1,1,1,2-</w:t>
            </w:r>
            <w:r>
              <w:rPr>
                <w:sz w:val="21"/>
              </w:rPr>
              <w:t>四氯乙烷</w:t>
            </w:r>
          </w:p>
        </w:tc>
        <w:tc>
          <w:tcPr>
            <w:tcW w:w="864" w:type="dxa"/>
          </w:tcPr>
          <w:p>
            <w:pPr>
              <w:pStyle w:val="TableParagraph"/>
              <w:spacing w:line="238" w:lineRule="exact" w:before="14"/>
              <w:ind w:left="93" w:right="89"/>
              <w:rPr>
                <w:rFonts w:ascii="Times New Roman" w:hAnsi="Times New Roman"/>
                <w:sz w:val="21"/>
              </w:rPr>
            </w:pPr>
            <w:r>
              <w:rPr>
                <w:rFonts w:ascii="Times New Roman" w:hAnsi="Times New Roman"/>
                <w:sz w:val="21"/>
              </w:rPr>
              <w:t>μg/kg</w:t>
            </w:r>
          </w:p>
        </w:tc>
        <w:tc>
          <w:tcPr>
            <w:tcW w:w="1070" w:type="dxa"/>
          </w:tcPr>
          <w:p>
            <w:pPr>
              <w:pStyle w:val="TableParagraph"/>
              <w:spacing w:line="236" w:lineRule="exact" w:before="16"/>
              <w:ind w:left="81" w:right="74"/>
              <w:rPr>
                <w:rFonts w:ascii="Times New Roman"/>
                <w:sz w:val="21"/>
              </w:rPr>
            </w:pPr>
            <w:bookmarkStart w:name="&lt;3" w:id="852"/>
            <w:bookmarkEnd w:id="852"/>
            <w:r>
              <w:rPr/>
            </w:r>
            <w:r>
              <w:rPr>
                <w:rFonts w:ascii="Times New Roman"/>
                <w:sz w:val="21"/>
              </w:rPr>
              <w:t>&lt;3</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0" w:type="dxa"/>
          </w:tcPr>
          <w:p>
            <w:pPr>
              <w:pStyle w:val="TableParagraph"/>
              <w:spacing w:line="238" w:lineRule="exact" w:before="14"/>
              <w:ind w:left="9"/>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1"/>
              <w:rPr>
                <w:rFonts w:ascii="Times New Roman"/>
                <w:sz w:val="21"/>
              </w:rPr>
            </w:pPr>
            <w:r>
              <w:rPr>
                <w:rFonts w:ascii="Times New Roman"/>
                <w:w w:val="99"/>
                <w:sz w:val="21"/>
              </w:rPr>
              <w:t>/</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6"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79" w:right="173"/>
              <w:rPr>
                <w:rFonts w:ascii="Times New Roman"/>
                <w:sz w:val="21"/>
              </w:rPr>
            </w:pPr>
            <w:r>
              <w:rPr>
                <w:rFonts w:ascii="Times New Roman"/>
                <w:sz w:val="21"/>
              </w:rPr>
              <w:t>10000</w:t>
            </w:r>
          </w:p>
        </w:tc>
      </w:tr>
      <w:tr>
        <w:trPr>
          <w:trHeight w:val="320" w:hRule="atLeast"/>
        </w:trPr>
        <w:tc>
          <w:tcPr>
            <w:tcW w:w="1961" w:type="dxa"/>
          </w:tcPr>
          <w:p>
            <w:pPr>
              <w:pStyle w:val="TableParagraph"/>
              <w:spacing w:before="23"/>
              <w:ind w:left="24" w:right="16"/>
              <w:rPr>
                <w:sz w:val="21"/>
              </w:rPr>
            </w:pPr>
            <w:r>
              <w:rPr>
                <w:rFonts w:ascii="Times New Roman" w:eastAsia="Times New Roman"/>
                <w:sz w:val="21"/>
              </w:rPr>
              <w:t>1,1,2,2-</w:t>
            </w:r>
            <w:r>
              <w:rPr>
                <w:sz w:val="21"/>
              </w:rPr>
              <w:t>四氯乙烷</w:t>
            </w:r>
          </w:p>
        </w:tc>
        <w:tc>
          <w:tcPr>
            <w:tcW w:w="864" w:type="dxa"/>
          </w:tcPr>
          <w:p>
            <w:pPr>
              <w:pStyle w:val="TableParagraph"/>
              <w:spacing w:before="58"/>
              <w:ind w:left="93" w:right="89"/>
              <w:rPr>
                <w:rFonts w:ascii="Times New Roman" w:hAnsi="Times New Roman"/>
                <w:sz w:val="21"/>
              </w:rPr>
            </w:pPr>
            <w:bookmarkStart w:name="μg/kg" w:id="853"/>
            <w:bookmarkEnd w:id="853"/>
            <w:r>
              <w:rPr/>
            </w:r>
            <w:r>
              <w:rPr>
                <w:rFonts w:ascii="Times New Roman" w:hAnsi="Times New Roman"/>
                <w:sz w:val="21"/>
              </w:rPr>
              <w:t>μg/kg</w:t>
            </w:r>
          </w:p>
        </w:tc>
        <w:tc>
          <w:tcPr>
            <w:tcW w:w="1070" w:type="dxa"/>
          </w:tcPr>
          <w:p>
            <w:pPr>
              <w:pStyle w:val="TableParagraph"/>
              <w:spacing w:before="58"/>
              <w:ind w:left="81" w:right="74"/>
              <w:rPr>
                <w:rFonts w:ascii="Times New Roman"/>
                <w:sz w:val="21"/>
              </w:rPr>
            </w:pPr>
            <w:bookmarkStart w:name="&lt;3" w:id="854"/>
            <w:bookmarkEnd w:id="854"/>
            <w:r>
              <w:rPr/>
            </w:r>
            <w:r>
              <w:rPr>
                <w:rFonts w:ascii="Times New Roman"/>
                <w:sz w:val="21"/>
              </w:rPr>
              <w:t>&lt;3</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0" w:type="dxa"/>
          </w:tcPr>
          <w:p>
            <w:pPr>
              <w:pStyle w:val="TableParagraph"/>
              <w:spacing w:before="39"/>
              <w:ind w:left="9"/>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1"/>
              <w:rPr>
                <w:rFonts w:ascii="Times New Roman"/>
                <w:sz w:val="21"/>
              </w:rPr>
            </w:pPr>
            <w:r>
              <w:rPr>
                <w:rFonts w:ascii="Times New Roman"/>
                <w:w w:val="99"/>
                <w:sz w:val="21"/>
              </w:rPr>
              <w:t>/</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6"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82" w:right="173"/>
              <w:rPr>
                <w:rFonts w:ascii="Times New Roman"/>
                <w:sz w:val="21"/>
              </w:rPr>
            </w:pPr>
            <w:r>
              <w:rPr>
                <w:rFonts w:ascii="Times New Roman"/>
                <w:sz w:val="21"/>
              </w:rPr>
              <w:t>6800</w:t>
            </w:r>
          </w:p>
        </w:tc>
      </w:tr>
      <w:tr>
        <w:trPr>
          <w:trHeight w:val="320" w:hRule="atLeast"/>
        </w:trPr>
        <w:tc>
          <w:tcPr>
            <w:tcW w:w="1961" w:type="dxa"/>
          </w:tcPr>
          <w:p>
            <w:pPr>
              <w:pStyle w:val="TableParagraph"/>
              <w:spacing w:before="24"/>
              <w:ind w:left="22" w:right="16"/>
              <w:rPr>
                <w:sz w:val="21"/>
              </w:rPr>
            </w:pPr>
            <w:r>
              <w:rPr>
                <w:sz w:val="21"/>
              </w:rPr>
              <w:t>四氯乙烯</w:t>
            </w:r>
          </w:p>
        </w:tc>
        <w:tc>
          <w:tcPr>
            <w:tcW w:w="864" w:type="dxa"/>
          </w:tcPr>
          <w:p>
            <w:pPr>
              <w:pStyle w:val="TableParagraph"/>
              <w:spacing w:line="240" w:lineRule="exact" w:before="59"/>
              <w:ind w:left="93" w:right="89"/>
              <w:rPr>
                <w:rFonts w:ascii="Times New Roman" w:hAnsi="Times New Roman"/>
                <w:sz w:val="21"/>
              </w:rPr>
            </w:pPr>
            <w:bookmarkStart w:name="μg/kg" w:id="855"/>
            <w:bookmarkEnd w:id="855"/>
            <w:r>
              <w:rPr/>
            </w:r>
            <w:r>
              <w:rPr>
                <w:rFonts w:ascii="Times New Roman" w:hAnsi="Times New Roman"/>
                <w:sz w:val="21"/>
              </w:rPr>
              <w:t>μg/kg</w:t>
            </w:r>
          </w:p>
        </w:tc>
        <w:tc>
          <w:tcPr>
            <w:tcW w:w="1070" w:type="dxa"/>
          </w:tcPr>
          <w:p>
            <w:pPr>
              <w:pStyle w:val="TableParagraph"/>
              <w:spacing w:line="240" w:lineRule="exact" w:before="59"/>
              <w:ind w:left="81" w:right="74"/>
              <w:rPr>
                <w:rFonts w:ascii="Times New Roman"/>
                <w:sz w:val="21"/>
              </w:rPr>
            </w:pPr>
            <w:bookmarkStart w:name="&lt;2" w:id="856"/>
            <w:bookmarkEnd w:id="856"/>
            <w:r>
              <w:rPr/>
            </w:r>
            <w:r>
              <w:rPr>
                <w:rFonts w:ascii="Times New Roman"/>
                <w:sz w:val="21"/>
              </w:rPr>
              <w:t>&lt;2</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79" w:right="173"/>
              <w:rPr>
                <w:rFonts w:ascii="Times New Roman"/>
                <w:sz w:val="21"/>
              </w:rPr>
            </w:pPr>
            <w:r>
              <w:rPr>
                <w:rFonts w:ascii="Times New Roman"/>
                <w:sz w:val="21"/>
              </w:rPr>
              <w:t>53000</w:t>
            </w:r>
          </w:p>
        </w:tc>
      </w:tr>
      <w:tr>
        <w:trPr>
          <w:trHeight w:val="320" w:hRule="atLeast"/>
        </w:trPr>
        <w:tc>
          <w:tcPr>
            <w:tcW w:w="1961" w:type="dxa"/>
          </w:tcPr>
          <w:p>
            <w:pPr>
              <w:pStyle w:val="TableParagraph"/>
              <w:spacing w:before="23"/>
              <w:ind w:left="22" w:right="16"/>
              <w:rPr>
                <w:sz w:val="21"/>
              </w:rPr>
            </w:pPr>
            <w:r>
              <w:rPr>
                <w:rFonts w:ascii="Times New Roman" w:eastAsia="Times New Roman"/>
                <w:sz w:val="21"/>
              </w:rPr>
              <w:t>1,1,1-</w:t>
            </w:r>
            <w:r>
              <w:rPr>
                <w:sz w:val="21"/>
              </w:rPr>
              <w:t>三氯乙烷</w:t>
            </w:r>
          </w:p>
        </w:tc>
        <w:tc>
          <w:tcPr>
            <w:tcW w:w="864" w:type="dxa"/>
          </w:tcPr>
          <w:p>
            <w:pPr>
              <w:pStyle w:val="TableParagraph"/>
              <w:spacing w:before="58"/>
              <w:ind w:left="93" w:right="89"/>
              <w:rPr>
                <w:rFonts w:ascii="Times New Roman" w:hAnsi="Times New Roman"/>
                <w:sz w:val="21"/>
              </w:rPr>
            </w:pPr>
            <w:bookmarkStart w:name="μg/kg" w:id="857"/>
            <w:bookmarkEnd w:id="857"/>
            <w:r>
              <w:rPr/>
            </w:r>
            <w:r>
              <w:rPr>
                <w:rFonts w:ascii="Times New Roman" w:hAnsi="Times New Roman"/>
                <w:sz w:val="21"/>
              </w:rPr>
              <w:t>μg/kg</w:t>
            </w:r>
          </w:p>
        </w:tc>
        <w:tc>
          <w:tcPr>
            <w:tcW w:w="1070" w:type="dxa"/>
          </w:tcPr>
          <w:p>
            <w:pPr>
              <w:pStyle w:val="TableParagraph"/>
              <w:spacing w:before="58"/>
              <w:ind w:left="81" w:right="74"/>
              <w:rPr>
                <w:rFonts w:ascii="Times New Roman"/>
                <w:sz w:val="21"/>
              </w:rPr>
            </w:pPr>
            <w:bookmarkStart w:name="&lt;2" w:id="858"/>
            <w:bookmarkEnd w:id="858"/>
            <w:r>
              <w:rPr/>
            </w:r>
            <w:r>
              <w:rPr>
                <w:rFonts w:ascii="Times New Roman"/>
                <w:sz w:val="21"/>
              </w:rPr>
              <w:t>&lt;2</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0" w:type="dxa"/>
          </w:tcPr>
          <w:p>
            <w:pPr>
              <w:pStyle w:val="TableParagraph"/>
              <w:spacing w:before="39"/>
              <w:ind w:left="9"/>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1"/>
              <w:rPr>
                <w:rFonts w:ascii="Times New Roman"/>
                <w:sz w:val="21"/>
              </w:rPr>
            </w:pPr>
            <w:r>
              <w:rPr>
                <w:rFonts w:ascii="Times New Roman"/>
                <w:w w:val="99"/>
                <w:sz w:val="21"/>
              </w:rPr>
              <w:t>/</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6"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83" w:right="172"/>
              <w:rPr>
                <w:rFonts w:ascii="Times New Roman"/>
                <w:sz w:val="21"/>
              </w:rPr>
            </w:pPr>
            <w:r>
              <w:rPr>
                <w:rFonts w:ascii="Times New Roman"/>
                <w:sz w:val="21"/>
              </w:rPr>
              <w:t>840000</w:t>
            </w:r>
          </w:p>
        </w:tc>
      </w:tr>
      <w:tr>
        <w:trPr>
          <w:trHeight w:val="318" w:hRule="atLeast"/>
        </w:trPr>
        <w:tc>
          <w:tcPr>
            <w:tcW w:w="1961" w:type="dxa"/>
          </w:tcPr>
          <w:p>
            <w:pPr>
              <w:pStyle w:val="TableParagraph"/>
              <w:spacing w:before="24"/>
              <w:ind w:left="22" w:right="16"/>
              <w:rPr>
                <w:sz w:val="21"/>
              </w:rPr>
            </w:pPr>
            <w:r>
              <w:rPr>
                <w:rFonts w:ascii="Times New Roman" w:eastAsia="Times New Roman"/>
                <w:sz w:val="21"/>
              </w:rPr>
              <w:t>1,1,2-</w:t>
            </w:r>
            <w:r>
              <w:rPr>
                <w:sz w:val="21"/>
              </w:rPr>
              <w:t>三氯乙烷</w:t>
            </w:r>
          </w:p>
        </w:tc>
        <w:tc>
          <w:tcPr>
            <w:tcW w:w="864" w:type="dxa"/>
          </w:tcPr>
          <w:p>
            <w:pPr>
              <w:pStyle w:val="TableParagraph"/>
              <w:spacing w:line="238" w:lineRule="exact" w:before="59"/>
              <w:ind w:left="93" w:right="89"/>
              <w:rPr>
                <w:rFonts w:ascii="Times New Roman" w:hAnsi="Times New Roman"/>
                <w:sz w:val="21"/>
              </w:rPr>
            </w:pPr>
            <w:bookmarkStart w:name="μg/kg" w:id="859"/>
            <w:bookmarkEnd w:id="859"/>
            <w:r>
              <w:rPr/>
            </w:r>
            <w:r>
              <w:rPr>
                <w:rFonts w:ascii="Times New Roman" w:hAnsi="Times New Roman"/>
                <w:sz w:val="21"/>
              </w:rPr>
              <w:t>μg/kg</w:t>
            </w:r>
          </w:p>
        </w:tc>
        <w:tc>
          <w:tcPr>
            <w:tcW w:w="1070" w:type="dxa"/>
          </w:tcPr>
          <w:p>
            <w:pPr>
              <w:pStyle w:val="TableParagraph"/>
              <w:spacing w:line="238" w:lineRule="exact" w:before="59"/>
              <w:ind w:left="81" w:right="74"/>
              <w:rPr>
                <w:rFonts w:ascii="Times New Roman"/>
                <w:sz w:val="21"/>
              </w:rPr>
            </w:pPr>
            <w:bookmarkStart w:name="&lt;2" w:id="860"/>
            <w:bookmarkEnd w:id="860"/>
            <w:r>
              <w:rPr/>
            </w:r>
            <w:r>
              <w:rPr>
                <w:rFonts w:ascii="Times New Roman"/>
                <w:sz w:val="21"/>
              </w:rPr>
              <w:t>&lt;2</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79" w:right="173"/>
              <w:rPr>
                <w:rFonts w:ascii="Times New Roman"/>
                <w:sz w:val="21"/>
              </w:rPr>
            </w:pPr>
            <w:r>
              <w:rPr>
                <w:rFonts w:ascii="Times New Roman"/>
                <w:sz w:val="21"/>
              </w:rPr>
              <w:t>280</w:t>
            </w:r>
          </w:p>
        </w:tc>
      </w:tr>
    </w:tbl>
    <w:p>
      <w:pPr>
        <w:spacing w:after="0"/>
        <w:rPr>
          <w:rFonts w:ascii="Times New Roman"/>
          <w:sz w:val="21"/>
        </w:rPr>
        <w:sectPr>
          <w:footerReference w:type="default" r:id="rId58"/>
          <w:pgSz w:w="16840" w:h="11910" w:orient="landscape"/>
          <w:pgMar w:footer="1089" w:header="0" w:top="1100" w:bottom="1280" w:left="1360" w:right="680"/>
          <w:pgNumType w:start="150"/>
        </w:sectPr>
      </w:pPr>
    </w:p>
    <w:p>
      <w:pPr>
        <w:pStyle w:val="BodyText"/>
        <w:rPr>
          <w:rFonts w:ascii="Times New Roman"/>
          <w:sz w:val="20"/>
        </w:rPr>
      </w:pPr>
    </w:p>
    <w:p>
      <w:pPr>
        <w:pStyle w:val="BodyText"/>
        <w:spacing w:before="1"/>
        <w:rPr>
          <w:rFonts w:ascii="Times New Roman"/>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864"/>
        <w:gridCol w:w="1070"/>
        <w:gridCol w:w="1070"/>
        <w:gridCol w:w="1070"/>
        <w:gridCol w:w="1070"/>
        <w:gridCol w:w="1070"/>
        <w:gridCol w:w="1070"/>
        <w:gridCol w:w="1070"/>
        <w:gridCol w:w="1070"/>
        <w:gridCol w:w="1070"/>
        <w:gridCol w:w="1076"/>
        <w:gridCol w:w="1038"/>
      </w:tblGrid>
      <w:tr>
        <w:trPr>
          <w:trHeight w:val="320" w:hRule="atLeast"/>
        </w:trPr>
        <w:tc>
          <w:tcPr>
            <w:tcW w:w="1961" w:type="dxa"/>
          </w:tcPr>
          <w:p>
            <w:pPr>
              <w:pStyle w:val="TableParagraph"/>
              <w:spacing w:before="24"/>
              <w:ind w:left="22" w:right="16"/>
              <w:rPr>
                <w:sz w:val="21"/>
              </w:rPr>
            </w:pPr>
            <w:r>
              <w:rPr>
                <w:sz w:val="21"/>
              </w:rPr>
              <w:t>三氯乙烯</w:t>
            </w:r>
          </w:p>
        </w:tc>
        <w:tc>
          <w:tcPr>
            <w:tcW w:w="864" w:type="dxa"/>
          </w:tcPr>
          <w:p>
            <w:pPr>
              <w:pStyle w:val="TableParagraph"/>
              <w:spacing w:line="240" w:lineRule="exact" w:before="60"/>
              <w:ind w:left="187"/>
              <w:jc w:val="left"/>
              <w:rPr>
                <w:rFonts w:ascii="Times New Roman" w:hAnsi="Times New Roman"/>
                <w:sz w:val="21"/>
              </w:rPr>
            </w:pPr>
            <w:bookmarkStart w:name="μg/kg" w:id="861"/>
            <w:bookmarkEnd w:id="861"/>
            <w:r>
              <w:rPr/>
            </w:r>
            <w:r>
              <w:rPr>
                <w:rFonts w:ascii="Times New Roman" w:hAnsi="Times New Roman"/>
                <w:sz w:val="21"/>
              </w:rPr>
              <w:t>μg/kg</w:t>
            </w:r>
          </w:p>
        </w:tc>
        <w:tc>
          <w:tcPr>
            <w:tcW w:w="1070" w:type="dxa"/>
          </w:tcPr>
          <w:p>
            <w:pPr>
              <w:pStyle w:val="TableParagraph"/>
              <w:spacing w:line="240" w:lineRule="exact" w:before="60"/>
              <w:ind w:left="81" w:right="74"/>
              <w:rPr>
                <w:rFonts w:ascii="Times New Roman"/>
                <w:sz w:val="21"/>
              </w:rPr>
            </w:pPr>
            <w:bookmarkStart w:name="&lt;2" w:id="862"/>
            <w:bookmarkEnd w:id="862"/>
            <w:r>
              <w:rPr/>
            </w:r>
            <w:r>
              <w:rPr>
                <w:rFonts w:ascii="Times New Roman"/>
                <w:sz w:val="21"/>
              </w:rPr>
              <w:t>&lt;2</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82" w:right="173"/>
              <w:rPr>
                <w:rFonts w:ascii="Times New Roman"/>
                <w:sz w:val="21"/>
              </w:rPr>
            </w:pPr>
            <w:r>
              <w:rPr>
                <w:rFonts w:ascii="Times New Roman"/>
                <w:sz w:val="21"/>
              </w:rPr>
              <w:t>280</w:t>
            </w:r>
          </w:p>
        </w:tc>
      </w:tr>
      <w:tr>
        <w:trPr>
          <w:trHeight w:val="320" w:hRule="atLeast"/>
        </w:trPr>
        <w:tc>
          <w:tcPr>
            <w:tcW w:w="1961" w:type="dxa"/>
          </w:tcPr>
          <w:p>
            <w:pPr>
              <w:pStyle w:val="TableParagraph"/>
              <w:spacing w:before="23"/>
              <w:ind w:left="22" w:right="16"/>
              <w:rPr>
                <w:sz w:val="21"/>
              </w:rPr>
            </w:pPr>
            <w:r>
              <w:rPr>
                <w:rFonts w:ascii="Times New Roman" w:eastAsia="Times New Roman"/>
                <w:sz w:val="21"/>
              </w:rPr>
              <w:t>1,2,3-</w:t>
            </w:r>
            <w:r>
              <w:rPr>
                <w:sz w:val="21"/>
              </w:rPr>
              <w:t>三氯丙烷</w:t>
            </w:r>
          </w:p>
        </w:tc>
        <w:tc>
          <w:tcPr>
            <w:tcW w:w="864" w:type="dxa"/>
          </w:tcPr>
          <w:p>
            <w:pPr>
              <w:pStyle w:val="TableParagraph"/>
              <w:spacing w:line="241" w:lineRule="exact" w:before="59"/>
              <w:ind w:left="187"/>
              <w:jc w:val="left"/>
              <w:rPr>
                <w:rFonts w:ascii="Times New Roman" w:hAnsi="Times New Roman"/>
                <w:sz w:val="21"/>
              </w:rPr>
            </w:pPr>
            <w:bookmarkStart w:name="μg/kg" w:id="863"/>
            <w:bookmarkEnd w:id="863"/>
            <w:r>
              <w:rPr/>
            </w:r>
            <w:r>
              <w:rPr>
                <w:rFonts w:ascii="Times New Roman" w:hAnsi="Times New Roman"/>
                <w:sz w:val="21"/>
              </w:rPr>
              <w:t>μg/kg</w:t>
            </w:r>
          </w:p>
        </w:tc>
        <w:tc>
          <w:tcPr>
            <w:tcW w:w="1070" w:type="dxa"/>
          </w:tcPr>
          <w:p>
            <w:pPr>
              <w:pStyle w:val="TableParagraph"/>
              <w:spacing w:line="241" w:lineRule="exact" w:before="59"/>
              <w:ind w:left="81" w:right="74"/>
              <w:rPr>
                <w:rFonts w:ascii="Times New Roman"/>
                <w:sz w:val="21"/>
              </w:rPr>
            </w:pPr>
            <w:bookmarkStart w:name="&lt;3" w:id="864"/>
            <w:bookmarkEnd w:id="864"/>
            <w:r>
              <w:rPr/>
            </w:r>
            <w:r>
              <w:rPr>
                <w:rFonts w:ascii="Times New Roman"/>
                <w:sz w:val="21"/>
              </w:rPr>
              <w:t>&lt;3</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0" w:type="dxa"/>
          </w:tcPr>
          <w:p>
            <w:pPr>
              <w:pStyle w:val="TableParagraph"/>
              <w:spacing w:before="40"/>
              <w:ind w:left="9"/>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1"/>
              <w:rPr>
                <w:rFonts w:ascii="Times New Roman"/>
                <w:sz w:val="21"/>
              </w:rPr>
            </w:pPr>
            <w:r>
              <w:rPr>
                <w:rFonts w:ascii="Times New Roman"/>
                <w:w w:val="99"/>
                <w:sz w:val="21"/>
              </w:rPr>
              <w:t>/</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6"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40"/>
              <w:ind w:left="182" w:right="173"/>
              <w:rPr>
                <w:rFonts w:ascii="Times New Roman"/>
                <w:sz w:val="21"/>
              </w:rPr>
            </w:pPr>
            <w:r>
              <w:rPr>
                <w:rFonts w:ascii="Times New Roman"/>
                <w:sz w:val="21"/>
              </w:rPr>
              <w:t>500</w:t>
            </w:r>
          </w:p>
        </w:tc>
      </w:tr>
      <w:tr>
        <w:trPr>
          <w:trHeight w:val="320" w:hRule="atLeast"/>
        </w:trPr>
        <w:tc>
          <w:tcPr>
            <w:tcW w:w="1961" w:type="dxa"/>
          </w:tcPr>
          <w:p>
            <w:pPr>
              <w:pStyle w:val="TableParagraph"/>
              <w:spacing w:before="24"/>
              <w:ind w:left="24" w:right="16"/>
              <w:rPr>
                <w:sz w:val="21"/>
              </w:rPr>
            </w:pPr>
            <w:r>
              <w:rPr>
                <w:sz w:val="21"/>
              </w:rPr>
              <w:t>氯乙烯</w:t>
            </w:r>
          </w:p>
        </w:tc>
        <w:tc>
          <w:tcPr>
            <w:tcW w:w="864" w:type="dxa"/>
          </w:tcPr>
          <w:p>
            <w:pPr>
              <w:pStyle w:val="TableParagraph"/>
              <w:spacing w:line="240" w:lineRule="exact" w:before="60"/>
              <w:ind w:left="187"/>
              <w:jc w:val="left"/>
              <w:rPr>
                <w:rFonts w:ascii="Times New Roman" w:hAnsi="Times New Roman"/>
                <w:sz w:val="21"/>
              </w:rPr>
            </w:pPr>
            <w:bookmarkStart w:name="μg/kg" w:id="865"/>
            <w:bookmarkEnd w:id="865"/>
            <w:r>
              <w:rPr/>
            </w:r>
            <w:r>
              <w:rPr>
                <w:rFonts w:ascii="Times New Roman" w:hAnsi="Times New Roman"/>
                <w:sz w:val="21"/>
              </w:rPr>
              <w:t>μg/kg</w:t>
            </w:r>
          </w:p>
        </w:tc>
        <w:tc>
          <w:tcPr>
            <w:tcW w:w="1070" w:type="dxa"/>
          </w:tcPr>
          <w:p>
            <w:pPr>
              <w:pStyle w:val="TableParagraph"/>
              <w:spacing w:line="240" w:lineRule="exact" w:before="60"/>
              <w:ind w:left="81" w:right="74"/>
              <w:rPr>
                <w:rFonts w:ascii="Times New Roman"/>
                <w:sz w:val="21"/>
              </w:rPr>
            </w:pPr>
            <w:bookmarkStart w:name="&lt;2" w:id="866"/>
            <w:bookmarkEnd w:id="866"/>
            <w:r>
              <w:rPr/>
            </w:r>
            <w:r>
              <w:rPr>
                <w:rFonts w:ascii="Times New Roman"/>
                <w:sz w:val="21"/>
              </w:rPr>
              <w:t>&lt;2</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82" w:right="173"/>
              <w:rPr>
                <w:rFonts w:ascii="Times New Roman"/>
                <w:sz w:val="21"/>
              </w:rPr>
            </w:pPr>
            <w:r>
              <w:rPr>
                <w:rFonts w:ascii="Times New Roman"/>
                <w:sz w:val="21"/>
              </w:rPr>
              <w:t>430</w:t>
            </w:r>
          </w:p>
        </w:tc>
      </w:tr>
      <w:tr>
        <w:trPr>
          <w:trHeight w:val="320" w:hRule="atLeast"/>
        </w:trPr>
        <w:tc>
          <w:tcPr>
            <w:tcW w:w="1961" w:type="dxa"/>
          </w:tcPr>
          <w:p>
            <w:pPr>
              <w:pStyle w:val="TableParagraph"/>
              <w:spacing w:before="23"/>
              <w:ind w:left="6"/>
              <w:rPr>
                <w:sz w:val="21"/>
              </w:rPr>
            </w:pPr>
            <w:r>
              <w:rPr>
                <w:w w:val="99"/>
                <w:sz w:val="21"/>
              </w:rPr>
              <w:t>苯</w:t>
            </w:r>
          </w:p>
        </w:tc>
        <w:tc>
          <w:tcPr>
            <w:tcW w:w="864" w:type="dxa"/>
          </w:tcPr>
          <w:p>
            <w:pPr>
              <w:pStyle w:val="TableParagraph"/>
              <w:spacing w:line="241" w:lineRule="exact" w:before="59"/>
              <w:ind w:left="163"/>
              <w:jc w:val="left"/>
              <w:rPr>
                <w:rFonts w:ascii="Times New Roman"/>
                <w:sz w:val="21"/>
              </w:rPr>
            </w:pPr>
            <w:bookmarkStart w:name="mg/kg" w:id="867"/>
            <w:bookmarkEnd w:id="867"/>
            <w:r>
              <w:rPr/>
            </w:r>
            <w:r>
              <w:rPr>
                <w:rFonts w:ascii="Times New Roman"/>
                <w:sz w:val="21"/>
              </w:rPr>
              <w:t>mg/kg</w:t>
            </w:r>
          </w:p>
        </w:tc>
        <w:tc>
          <w:tcPr>
            <w:tcW w:w="1070" w:type="dxa"/>
          </w:tcPr>
          <w:p>
            <w:pPr>
              <w:pStyle w:val="TableParagraph"/>
              <w:spacing w:line="241" w:lineRule="exact" w:before="59"/>
              <w:ind w:left="81" w:right="74"/>
              <w:rPr>
                <w:rFonts w:ascii="Times New Roman"/>
                <w:sz w:val="21"/>
              </w:rPr>
            </w:pPr>
            <w:bookmarkStart w:name="&lt;0.01" w:id="868"/>
            <w:bookmarkEnd w:id="868"/>
            <w:r>
              <w:rPr/>
            </w:r>
            <w:r>
              <w:rPr>
                <w:rFonts w:ascii="Times New Roman"/>
                <w:sz w:val="21"/>
              </w:rPr>
              <w:t>&lt;0.01</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0" w:type="dxa"/>
          </w:tcPr>
          <w:p>
            <w:pPr>
              <w:pStyle w:val="TableParagraph"/>
              <w:spacing w:before="40"/>
              <w:ind w:left="9"/>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1"/>
              <w:rPr>
                <w:rFonts w:ascii="Times New Roman"/>
                <w:sz w:val="21"/>
              </w:rPr>
            </w:pPr>
            <w:r>
              <w:rPr>
                <w:rFonts w:ascii="Times New Roman"/>
                <w:w w:val="99"/>
                <w:sz w:val="21"/>
              </w:rPr>
              <w:t>/</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6"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40"/>
              <w:ind w:left="9"/>
              <w:rPr>
                <w:rFonts w:ascii="Times New Roman"/>
                <w:sz w:val="21"/>
              </w:rPr>
            </w:pPr>
            <w:r>
              <w:rPr>
                <w:rFonts w:ascii="Times New Roman"/>
                <w:w w:val="99"/>
                <w:sz w:val="21"/>
              </w:rPr>
              <w:t>4</w:t>
            </w:r>
          </w:p>
        </w:tc>
      </w:tr>
      <w:tr>
        <w:trPr>
          <w:trHeight w:val="320" w:hRule="atLeast"/>
        </w:trPr>
        <w:tc>
          <w:tcPr>
            <w:tcW w:w="1961" w:type="dxa"/>
          </w:tcPr>
          <w:p>
            <w:pPr>
              <w:pStyle w:val="TableParagraph"/>
              <w:spacing w:before="24"/>
              <w:ind w:left="19" w:right="16"/>
              <w:rPr>
                <w:sz w:val="21"/>
              </w:rPr>
            </w:pPr>
            <w:r>
              <w:rPr>
                <w:sz w:val="21"/>
              </w:rPr>
              <w:t>氯苯</w:t>
            </w:r>
          </w:p>
        </w:tc>
        <w:tc>
          <w:tcPr>
            <w:tcW w:w="864" w:type="dxa"/>
          </w:tcPr>
          <w:p>
            <w:pPr>
              <w:pStyle w:val="TableParagraph"/>
              <w:spacing w:line="240" w:lineRule="exact" w:before="60"/>
              <w:ind w:left="187"/>
              <w:jc w:val="left"/>
              <w:rPr>
                <w:rFonts w:ascii="Times New Roman" w:hAnsi="Times New Roman"/>
                <w:sz w:val="21"/>
              </w:rPr>
            </w:pPr>
            <w:bookmarkStart w:name="μg/kg" w:id="869"/>
            <w:bookmarkEnd w:id="869"/>
            <w:r>
              <w:rPr/>
            </w:r>
            <w:r>
              <w:rPr>
                <w:rFonts w:ascii="Times New Roman" w:hAnsi="Times New Roman"/>
                <w:sz w:val="21"/>
              </w:rPr>
              <w:t>μg/kg</w:t>
            </w:r>
          </w:p>
        </w:tc>
        <w:tc>
          <w:tcPr>
            <w:tcW w:w="1070" w:type="dxa"/>
          </w:tcPr>
          <w:p>
            <w:pPr>
              <w:pStyle w:val="TableParagraph"/>
              <w:spacing w:line="240" w:lineRule="exact" w:before="60"/>
              <w:ind w:left="82" w:right="72"/>
              <w:rPr>
                <w:rFonts w:ascii="Times New Roman"/>
                <w:sz w:val="21"/>
              </w:rPr>
            </w:pPr>
            <w:bookmarkStart w:name="&lt;1.1" w:id="870"/>
            <w:bookmarkEnd w:id="870"/>
            <w:r>
              <w:rPr/>
            </w:r>
            <w:r>
              <w:rPr>
                <w:rFonts w:ascii="Times New Roman"/>
                <w:sz w:val="21"/>
              </w:rPr>
              <w:t>&lt;1.1</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0" w:type="dxa"/>
          </w:tcPr>
          <w:p>
            <w:pPr>
              <w:pStyle w:val="TableParagraph"/>
              <w:spacing w:before="38"/>
              <w:ind w:left="9"/>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0"/>
              <w:rPr>
                <w:rFonts w:ascii="Times New Roman"/>
                <w:sz w:val="21"/>
              </w:rPr>
            </w:pPr>
            <w:r>
              <w:rPr>
                <w:rFonts w:ascii="Times New Roman"/>
                <w:w w:val="99"/>
                <w:sz w:val="21"/>
              </w:rPr>
              <w:t>/</w:t>
            </w:r>
          </w:p>
        </w:tc>
        <w:tc>
          <w:tcPr>
            <w:tcW w:w="1070" w:type="dxa"/>
          </w:tcPr>
          <w:p>
            <w:pPr>
              <w:pStyle w:val="TableParagraph"/>
              <w:spacing w:before="38"/>
              <w:ind w:left="11"/>
              <w:rPr>
                <w:rFonts w:ascii="Times New Roman"/>
                <w:sz w:val="21"/>
              </w:rPr>
            </w:pPr>
            <w:r>
              <w:rPr>
                <w:rFonts w:ascii="Times New Roman"/>
                <w:w w:val="99"/>
                <w:sz w:val="21"/>
              </w:rPr>
              <w:t>/</w:t>
            </w:r>
          </w:p>
        </w:tc>
        <w:tc>
          <w:tcPr>
            <w:tcW w:w="1070" w:type="dxa"/>
          </w:tcPr>
          <w:p>
            <w:pPr>
              <w:pStyle w:val="TableParagraph"/>
              <w:spacing w:before="38"/>
              <w:ind w:left="7"/>
              <w:rPr>
                <w:rFonts w:ascii="Times New Roman"/>
                <w:sz w:val="21"/>
              </w:rPr>
            </w:pPr>
            <w:r>
              <w:rPr>
                <w:rFonts w:ascii="Times New Roman"/>
                <w:w w:val="99"/>
                <w:sz w:val="21"/>
              </w:rPr>
              <w:t>/</w:t>
            </w:r>
          </w:p>
        </w:tc>
        <w:tc>
          <w:tcPr>
            <w:tcW w:w="1070" w:type="dxa"/>
          </w:tcPr>
          <w:p>
            <w:pPr>
              <w:pStyle w:val="TableParagraph"/>
              <w:spacing w:before="38"/>
              <w:ind w:left="8"/>
              <w:rPr>
                <w:rFonts w:ascii="Times New Roman"/>
                <w:sz w:val="21"/>
              </w:rPr>
            </w:pPr>
            <w:r>
              <w:rPr>
                <w:rFonts w:ascii="Times New Roman"/>
                <w:w w:val="99"/>
                <w:sz w:val="21"/>
              </w:rPr>
              <w:t>/</w:t>
            </w:r>
          </w:p>
        </w:tc>
        <w:tc>
          <w:tcPr>
            <w:tcW w:w="1076"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83" w:right="172"/>
              <w:rPr>
                <w:rFonts w:ascii="Times New Roman"/>
                <w:sz w:val="21"/>
              </w:rPr>
            </w:pPr>
            <w:r>
              <w:rPr>
                <w:rFonts w:ascii="Times New Roman"/>
                <w:sz w:val="21"/>
              </w:rPr>
              <w:t>270000</w:t>
            </w:r>
          </w:p>
        </w:tc>
      </w:tr>
      <w:tr>
        <w:trPr>
          <w:trHeight w:val="320" w:hRule="atLeast"/>
        </w:trPr>
        <w:tc>
          <w:tcPr>
            <w:tcW w:w="1961" w:type="dxa"/>
          </w:tcPr>
          <w:p>
            <w:pPr>
              <w:pStyle w:val="TableParagraph"/>
              <w:spacing w:before="23"/>
              <w:ind w:left="24" w:right="16"/>
              <w:rPr>
                <w:sz w:val="21"/>
              </w:rPr>
            </w:pPr>
            <w:r>
              <w:rPr>
                <w:rFonts w:ascii="Times New Roman" w:eastAsia="Times New Roman"/>
                <w:sz w:val="21"/>
              </w:rPr>
              <w:t>1,2-</w:t>
            </w:r>
            <w:r>
              <w:rPr>
                <w:sz w:val="21"/>
              </w:rPr>
              <w:t>二氯苯</w:t>
            </w:r>
          </w:p>
        </w:tc>
        <w:tc>
          <w:tcPr>
            <w:tcW w:w="864" w:type="dxa"/>
          </w:tcPr>
          <w:p>
            <w:pPr>
              <w:pStyle w:val="TableParagraph"/>
              <w:spacing w:line="241" w:lineRule="exact" w:before="59"/>
              <w:ind w:left="187"/>
              <w:jc w:val="left"/>
              <w:rPr>
                <w:rFonts w:ascii="Times New Roman" w:hAnsi="Times New Roman"/>
                <w:sz w:val="21"/>
              </w:rPr>
            </w:pPr>
            <w:bookmarkStart w:name="μg/kg" w:id="871"/>
            <w:bookmarkEnd w:id="871"/>
            <w:r>
              <w:rPr/>
            </w:r>
            <w:r>
              <w:rPr>
                <w:rFonts w:ascii="Times New Roman" w:hAnsi="Times New Roman"/>
                <w:sz w:val="21"/>
              </w:rPr>
              <w:t>μg/kg</w:t>
            </w:r>
          </w:p>
        </w:tc>
        <w:tc>
          <w:tcPr>
            <w:tcW w:w="1070" w:type="dxa"/>
          </w:tcPr>
          <w:p>
            <w:pPr>
              <w:pStyle w:val="TableParagraph"/>
              <w:spacing w:line="241" w:lineRule="exact" w:before="59"/>
              <w:ind w:left="82" w:right="72"/>
              <w:rPr>
                <w:rFonts w:ascii="Times New Roman"/>
                <w:sz w:val="21"/>
              </w:rPr>
            </w:pPr>
            <w:bookmarkStart w:name="&lt;1.0" w:id="872"/>
            <w:bookmarkEnd w:id="872"/>
            <w:r>
              <w:rPr/>
            </w:r>
            <w:r>
              <w:rPr>
                <w:rFonts w:ascii="Times New Roman"/>
                <w:sz w:val="21"/>
              </w:rPr>
              <w:t>&lt;1.0</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0" w:type="dxa"/>
          </w:tcPr>
          <w:p>
            <w:pPr>
              <w:pStyle w:val="TableParagraph"/>
              <w:spacing w:before="40"/>
              <w:ind w:left="9"/>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0"/>
              <w:rPr>
                <w:rFonts w:ascii="Times New Roman"/>
                <w:sz w:val="21"/>
              </w:rPr>
            </w:pPr>
            <w:r>
              <w:rPr>
                <w:rFonts w:ascii="Times New Roman"/>
                <w:w w:val="99"/>
                <w:sz w:val="21"/>
              </w:rPr>
              <w:t>/</w:t>
            </w:r>
          </w:p>
        </w:tc>
        <w:tc>
          <w:tcPr>
            <w:tcW w:w="1070" w:type="dxa"/>
          </w:tcPr>
          <w:p>
            <w:pPr>
              <w:pStyle w:val="TableParagraph"/>
              <w:spacing w:before="40"/>
              <w:ind w:left="11"/>
              <w:rPr>
                <w:rFonts w:ascii="Times New Roman"/>
                <w:sz w:val="21"/>
              </w:rPr>
            </w:pPr>
            <w:r>
              <w:rPr>
                <w:rFonts w:ascii="Times New Roman"/>
                <w:w w:val="99"/>
                <w:sz w:val="21"/>
              </w:rPr>
              <w:t>/</w:t>
            </w:r>
          </w:p>
        </w:tc>
        <w:tc>
          <w:tcPr>
            <w:tcW w:w="1070" w:type="dxa"/>
          </w:tcPr>
          <w:p>
            <w:pPr>
              <w:pStyle w:val="TableParagraph"/>
              <w:spacing w:before="40"/>
              <w:ind w:left="7"/>
              <w:rPr>
                <w:rFonts w:ascii="Times New Roman"/>
                <w:sz w:val="21"/>
              </w:rPr>
            </w:pPr>
            <w:r>
              <w:rPr>
                <w:rFonts w:ascii="Times New Roman"/>
                <w:w w:val="99"/>
                <w:sz w:val="21"/>
              </w:rPr>
              <w:t>/</w:t>
            </w:r>
          </w:p>
        </w:tc>
        <w:tc>
          <w:tcPr>
            <w:tcW w:w="1070" w:type="dxa"/>
          </w:tcPr>
          <w:p>
            <w:pPr>
              <w:pStyle w:val="TableParagraph"/>
              <w:spacing w:before="40"/>
              <w:ind w:left="8"/>
              <w:rPr>
                <w:rFonts w:ascii="Times New Roman"/>
                <w:sz w:val="21"/>
              </w:rPr>
            </w:pPr>
            <w:r>
              <w:rPr>
                <w:rFonts w:ascii="Times New Roman"/>
                <w:w w:val="99"/>
                <w:sz w:val="21"/>
              </w:rPr>
              <w:t>/</w:t>
            </w:r>
          </w:p>
        </w:tc>
        <w:tc>
          <w:tcPr>
            <w:tcW w:w="1076"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40"/>
              <w:ind w:left="183" w:right="172"/>
              <w:rPr>
                <w:rFonts w:ascii="Times New Roman"/>
                <w:sz w:val="21"/>
              </w:rPr>
            </w:pPr>
            <w:r>
              <w:rPr>
                <w:rFonts w:ascii="Times New Roman"/>
                <w:sz w:val="21"/>
              </w:rPr>
              <w:t>560000</w:t>
            </w:r>
          </w:p>
        </w:tc>
      </w:tr>
      <w:tr>
        <w:trPr>
          <w:trHeight w:val="271" w:hRule="atLeast"/>
        </w:trPr>
        <w:tc>
          <w:tcPr>
            <w:tcW w:w="1961" w:type="dxa"/>
          </w:tcPr>
          <w:p>
            <w:pPr>
              <w:pStyle w:val="TableParagraph"/>
              <w:spacing w:line="251" w:lineRule="exact"/>
              <w:ind w:left="24" w:right="16"/>
              <w:rPr>
                <w:sz w:val="21"/>
              </w:rPr>
            </w:pPr>
            <w:r>
              <w:rPr>
                <w:rFonts w:ascii="Times New Roman" w:eastAsia="Times New Roman"/>
                <w:sz w:val="21"/>
              </w:rPr>
              <w:t>1,4-</w:t>
            </w:r>
            <w:r>
              <w:rPr>
                <w:sz w:val="21"/>
              </w:rPr>
              <w:t>二氯苯</w:t>
            </w:r>
          </w:p>
        </w:tc>
        <w:tc>
          <w:tcPr>
            <w:tcW w:w="864" w:type="dxa"/>
          </w:tcPr>
          <w:p>
            <w:pPr>
              <w:pStyle w:val="TableParagraph"/>
              <w:spacing w:line="237" w:lineRule="exact" w:before="14"/>
              <w:ind w:left="187"/>
              <w:jc w:val="left"/>
              <w:rPr>
                <w:rFonts w:ascii="Times New Roman" w:hAnsi="Times New Roman"/>
                <w:sz w:val="21"/>
              </w:rPr>
            </w:pPr>
            <w:r>
              <w:rPr>
                <w:rFonts w:ascii="Times New Roman" w:hAnsi="Times New Roman"/>
                <w:sz w:val="21"/>
              </w:rPr>
              <w:t>μg/kg</w:t>
            </w:r>
          </w:p>
        </w:tc>
        <w:tc>
          <w:tcPr>
            <w:tcW w:w="1070" w:type="dxa"/>
          </w:tcPr>
          <w:p>
            <w:pPr>
              <w:pStyle w:val="TableParagraph"/>
              <w:spacing w:line="235" w:lineRule="exact" w:before="17"/>
              <w:ind w:left="82" w:right="72"/>
              <w:rPr>
                <w:rFonts w:ascii="Times New Roman"/>
                <w:sz w:val="21"/>
              </w:rPr>
            </w:pPr>
            <w:bookmarkStart w:name="&lt;1.2" w:id="873"/>
            <w:bookmarkEnd w:id="873"/>
            <w:r>
              <w:rPr/>
            </w:r>
            <w:r>
              <w:rPr>
                <w:rFonts w:ascii="Times New Roman"/>
                <w:sz w:val="21"/>
              </w:rPr>
              <w:t>&lt;1.2</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0" w:type="dxa"/>
          </w:tcPr>
          <w:p>
            <w:pPr>
              <w:pStyle w:val="TableParagraph"/>
              <w:spacing w:line="237" w:lineRule="exact" w:before="14"/>
              <w:ind w:left="9"/>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0"/>
              <w:rPr>
                <w:rFonts w:ascii="Times New Roman"/>
                <w:sz w:val="21"/>
              </w:rPr>
            </w:pPr>
            <w:r>
              <w:rPr>
                <w:rFonts w:ascii="Times New Roman"/>
                <w:w w:val="99"/>
                <w:sz w:val="21"/>
              </w:rPr>
              <w:t>/</w:t>
            </w:r>
          </w:p>
        </w:tc>
        <w:tc>
          <w:tcPr>
            <w:tcW w:w="1070" w:type="dxa"/>
          </w:tcPr>
          <w:p>
            <w:pPr>
              <w:pStyle w:val="TableParagraph"/>
              <w:spacing w:line="237" w:lineRule="exact" w:before="14"/>
              <w:ind w:left="11"/>
              <w:rPr>
                <w:rFonts w:ascii="Times New Roman"/>
                <w:sz w:val="21"/>
              </w:rPr>
            </w:pPr>
            <w:r>
              <w:rPr>
                <w:rFonts w:ascii="Times New Roman"/>
                <w:w w:val="99"/>
                <w:sz w:val="21"/>
              </w:rPr>
              <w:t>/</w:t>
            </w:r>
          </w:p>
        </w:tc>
        <w:tc>
          <w:tcPr>
            <w:tcW w:w="1070" w:type="dxa"/>
          </w:tcPr>
          <w:p>
            <w:pPr>
              <w:pStyle w:val="TableParagraph"/>
              <w:spacing w:line="237" w:lineRule="exact" w:before="14"/>
              <w:ind w:left="7"/>
              <w:rPr>
                <w:rFonts w:ascii="Times New Roman"/>
                <w:sz w:val="21"/>
              </w:rPr>
            </w:pPr>
            <w:r>
              <w:rPr>
                <w:rFonts w:ascii="Times New Roman"/>
                <w:w w:val="99"/>
                <w:sz w:val="21"/>
              </w:rPr>
              <w:t>/</w:t>
            </w:r>
          </w:p>
        </w:tc>
        <w:tc>
          <w:tcPr>
            <w:tcW w:w="1070" w:type="dxa"/>
          </w:tcPr>
          <w:p>
            <w:pPr>
              <w:pStyle w:val="TableParagraph"/>
              <w:spacing w:line="237" w:lineRule="exact" w:before="14"/>
              <w:ind w:left="8"/>
              <w:rPr>
                <w:rFonts w:ascii="Times New Roman"/>
                <w:sz w:val="21"/>
              </w:rPr>
            </w:pPr>
            <w:r>
              <w:rPr>
                <w:rFonts w:ascii="Times New Roman"/>
                <w:w w:val="99"/>
                <w:sz w:val="21"/>
              </w:rPr>
              <w:t>/</w:t>
            </w:r>
          </w:p>
        </w:tc>
        <w:tc>
          <w:tcPr>
            <w:tcW w:w="1076" w:type="dxa"/>
          </w:tcPr>
          <w:p>
            <w:pPr>
              <w:pStyle w:val="TableParagraph"/>
              <w:spacing w:line="237" w:lineRule="exact" w:before="14"/>
              <w:ind w:left="8"/>
              <w:rPr>
                <w:rFonts w:ascii="Times New Roman"/>
                <w:sz w:val="21"/>
              </w:rPr>
            </w:pPr>
            <w:r>
              <w:rPr>
                <w:rFonts w:ascii="Times New Roman"/>
                <w:w w:val="99"/>
                <w:sz w:val="21"/>
              </w:rPr>
              <w:t>/</w:t>
            </w:r>
          </w:p>
        </w:tc>
        <w:tc>
          <w:tcPr>
            <w:tcW w:w="1038" w:type="dxa"/>
          </w:tcPr>
          <w:p>
            <w:pPr>
              <w:pStyle w:val="TableParagraph"/>
              <w:spacing w:line="237" w:lineRule="exact" w:before="14"/>
              <w:ind w:left="179" w:right="173"/>
              <w:rPr>
                <w:rFonts w:ascii="Times New Roman"/>
                <w:sz w:val="21"/>
              </w:rPr>
            </w:pPr>
            <w:r>
              <w:rPr>
                <w:rFonts w:ascii="Times New Roman"/>
                <w:sz w:val="21"/>
              </w:rPr>
              <w:t>20000</w:t>
            </w:r>
          </w:p>
        </w:tc>
      </w:tr>
      <w:tr>
        <w:trPr>
          <w:trHeight w:val="273" w:hRule="atLeast"/>
        </w:trPr>
        <w:tc>
          <w:tcPr>
            <w:tcW w:w="1961" w:type="dxa"/>
          </w:tcPr>
          <w:p>
            <w:pPr>
              <w:pStyle w:val="TableParagraph"/>
              <w:spacing w:line="251" w:lineRule="exact" w:before="2"/>
              <w:ind w:left="19" w:right="16"/>
              <w:rPr>
                <w:sz w:val="21"/>
              </w:rPr>
            </w:pPr>
            <w:r>
              <w:rPr>
                <w:sz w:val="21"/>
              </w:rPr>
              <w:t>乙苯</w:t>
            </w:r>
          </w:p>
        </w:tc>
        <w:tc>
          <w:tcPr>
            <w:tcW w:w="864" w:type="dxa"/>
          </w:tcPr>
          <w:p>
            <w:pPr>
              <w:pStyle w:val="TableParagraph"/>
              <w:spacing w:line="237" w:lineRule="exact" w:before="16"/>
              <w:ind w:left="163"/>
              <w:jc w:val="left"/>
              <w:rPr>
                <w:rFonts w:ascii="Times New Roman"/>
                <w:sz w:val="21"/>
              </w:rPr>
            </w:pPr>
            <w:r>
              <w:rPr>
                <w:rFonts w:ascii="Times New Roman"/>
                <w:sz w:val="21"/>
              </w:rPr>
              <w:t>mg/kg</w:t>
            </w:r>
          </w:p>
        </w:tc>
        <w:tc>
          <w:tcPr>
            <w:tcW w:w="1070" w:type="dxa"/>
          </w:tcPr>
          <w:p>
            <w:pPr>
              <w:pStyle w:val="TableParagraph"/>
              <w:spacing w:line="235" w:lineRule="exact" w:before="18"/>
              <w:ind w:left="82" w:right="70"/>
              <w:rPr>
                <w:rFonts w:ascii="Times New Roman"/>
                <w:sz w:val="21"/>
              </w:rPr>
            </w:pPr>
            <w:bookmarkStart w:name="&lt;0.006" w:id="874"/>
            <w:bookmarkEnd w:id="874"/>
            <w:r>
              <w:rPr/>
            </w:r>
            <w:r>
              <w:rPr>
                <w:rFonts w:ascii="Times New Roman"/>
                <w:sz w:val="21"/>
              </w:rPr>
              <w:t>&lt;0.006</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0" w:type="dxa"/>
          </w:tcPr>
          <w:p>
            <w:pPr>
              <w:pStyle w:val="TableParagraph"/>
              <w:spacing w:line="237" w:lineRule="exact" w:before="16"/>
              <w:ind w:left="9"/>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1"/>
              <w:rPr>
                <w:rFonts w:ascii="Times New Roman"/>
                <w:sz w:val="21"/>
              </w:rPr>
            </w:pPr>
            <w:r>
              <w:rPr>
                <w:rFonts w:ascii="Times New Roman"/>
                <w:w w:val="99"/>
                <w:sz w:val="21"/>
              </w:rPr>
              <w:t>/</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6"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82" w:right="173"/>
              <w:rPr>
                <w:rFonts w:ascii="Times New Roman"/>
                <w:sz w:val="21"/>
              </w:rPr>
            </w:pPr>
            <w:r>
              <w:rPr>
                <w:rFonts w:ascii="Times New Roman"/>
                <w:sz w:val="21"/>
              </w:rPr>
              <w:t>28</w:t>
            </w:r>
          </w:p>
        </w:tc>
      </w:tr>
      <w:tr>
        <w:trPr>
          <w:trHeight w:val="320" w:hRule="atLeast"/>
        </w:trPr>
        <w:tc>
          <w:tcPr>
            <w:tcW w:w="1961" w:type="dxa"/>
          </w:tcPr>
          <w:p>
            <w:pPr>
              <w:pStyle w:val="TableParagraph"/>
              <w:spacing w:before="24"/>
              <w:ind w:left="24" w:right="16"/>
              <w:rPr>
                <w:sz w:val="21"/>
              </w:rPr>
            </w:pPr>
            <w:r>
              <w:rPr>
                <w:sz w:val="21"/>
              </w:rPr>
              <w:t>苯乙烯</w:t>
            </w:r>
          </w:p>
        </w:tc>
        <w:tc>
          <w:tcPr>
            <w:tcW w:w="864" w:type="dxa"/>
          </w:tcPr>
          <w:p>
            <w:pPr>
              <w:pStyle w:val="TableParagraph"/>
              <w:spacing w:line="241" w:lineRule="exact" w:before="59"/>
              <w:ind w:left="163"/>
              <w:jc w:val="left"/>
              <w:rPr>
                <w:rFonts w:ascii="Times New Roman"/>
                <w:sz w:val="21"/>
              </w:rPr>
            </w:pPr>
            <w:bookmarkStart w:name="mg/kg" w:id="875"/>
            <w:bookmarkEnd w:id="875"/>
            <w:r>
              <w:rPr/>
            </w:r>
            <w:r>
              <w:rPr>
                <w:rFonts w:ascii="Times New Roman"/>
                <w:sz w:val="21"/>
              </w:rPr>
              <w:t>mg/kg</w:t>
            </w:r>
          </w:p>
        </w:tc>
        <w:tc>
          <w:tcPr>
            <w:tcW w:w="1070" w:type="dxa"/>
          </w:tcPr>
          <w:p>
            <w:pPr>
              <w:pStyle w:val="TableParagraph"/>
              <w:spacing w:before="40"/>
              <w:ind w:left="82" w:right="70"/>
              <w:rPr>
                <w:rFonts w:ascii="Times New Roman"/>
                <w:sz w:val="21"/>
              </w:rPr>
            </w:pPr>
            <w:bookmarkStart w:name="&lt;0.002" w:id="876"/>
            <w:bookmarkEnd w:id="876"/>
            <w:r>
              <w:rPr/>
            </w:r>
            <w:r>
              <w:rPr>
                <w:rFonts w:ascii="Times New Roman"/>
                <w:sz w:val="21"/>
              </w:rPr>
              <w:t>&lt;0.002</w:t>
            </w:r>
          </w:p>
        </w:tc>
        <w:tc>
          <w:tcPr>
            <w:tcW w:w="1070" w:type="dxa"/>
          </w:tcPr>
          <w:p>
            <w:pPr>
              <w:pStyle w:val="TableParagraph"/>
              <w:spacing w:before="37"/>
              <w:ind w:left="7"/>
              <w:rPr>
                <w:rFonts w:ascii="Times New Roman"/>
                <w:sz w:val="21"/>
              </w:rPr>
            </w:pPr>
            <w:r>
              <w:rPr>
                <w:rFonts w:ascii="Times New Roman"/>
                <w:w w:val="99"/>
                <w:sz w:val="21"/>
              </w:rPr>
              <w:t>/</w:t>
            </w:r>
          </w:p>
        </w:tc>
        <w:tc>
          <w:tcPr>
            <w:tcW w:w="1070" w:type="dxa"/>
          </w:tcPr>
          <w:p>
            <w:pPr>
              <w:pStyle w:val="TableParagraph"/>
              <w:spacing w:before="37"/>
              <w:ind w:left="8"/>
              <w:rPr>
                <w:rFonts w:ascii="Times New Roman"/>
                <w:sz w:val="21"/>
              </w:rPr>
            </w:pPr>
            <w:r>
              <w:rPr>
                <w:rFonts w:ascii="Times New Roman"/>
                <w:w w:val="99"/>
                <w:sz w:val="21"/>
              </w:rPr>
              <w:t>/</w:t>
            </w:r>
          </w:p>
        </w:tc>
        <w:tc>
          <w:tcPr>
            <w:tcW w:w="1070" w:type="dxa"/>
          </w:tcPr>
          <w:p>
            <w:pPr>
              <w:pStyle w:val="TableParagraph"/>
              <w:spacing w:before="37"/>
              <w:ind w:left="9"/>
              <w:rPr>
                <w:rFonts w:ascii="Times New Roman"/>
                <w:sz w:val="21"/>
              </w:rPr>
            </w:pPr>
            <w:r>
              <w:rPr>
                <w:rFonts w:ascii="Times New Roman"/>
                <w:w w:val="99"/>
                <w:sz w:val="21"/>
              </w:rPr>
              <w:t>/</w:t>
            </w:r>
          </w:p>
        </w:tc>
        <w:tc>
          <w:tcPr>
            <w:tcW w:w="1070" w:type="dxa"/>
          </w:tcPr>
          <w:p>
            <w:pPr>
              <w:pStyle w:val="TableParagraph"/>
              <w:spacing w:before="37"/>
              <w:ind w:left="10"/>
              <w:rPr>
                <w:rFonts w:ascii="Times New Roman"/>
                <w:sz w:val="21"/>
              </w:rPr>
            </w:pPr>
            <w:r>
              <w:rPr>
                <w:rFonts w:ascii="Times New Roman"/>
                <w:w w:val="99"/>
                <w:sz w:val="21"/>
              </w:rPr>
              <w:t>/</w:t>
            </w:r>
          </w:p>
        </w:tc>
        <w:tc>
          <w:tcPr>
            <w:tcW w:w="1070" w:type="dxa"/>
          </w:tcPr>
          <w:p>
            <w:pPr>
              <w:pStyle w:val="TableParagraph"/>
              <w:spacing w:before="37"/>
              <w:ind w:left="10"/>
              <w:rPr>
                <w:rFonts w:ascii="Times New Roman"/>
                <w:sz w:val="21"/>
              </w:rPr>
            </w:pPr>
            <w:r>
              <w:rPr>
                <w:rFonts w:ascii="Times New Roman"/>
                <w:w w:val="99"/>
                <w:sz w:val="21"/>
              </w:rPr>
              <w:t>/</w:t>
            </w:r>
          </w:p>
        </w:tc>
        <w:tc>
          <w:tcPr>
            <w:tcW w:w="1070" w:type="dxa"/>
          </w:tcPr>
          <w:p>
            <w:pPr>
              <w:pStyle w:val="TableParagraph"/>
              <w:spacing w:before="37"/>
              <w:ind w:left="11"/>
              <w:rPr>
                <w:rFonts w:ascii="Times New Roman"/>
                <w:sz w:val="21"/>
              </w:rPr>
            </w:pPr>
            <w:r>
              <w:rPr>
                <w:rFonts w:ascii="Times New Roman"/>
                <w:w w:val="99"/>
                <w:sz w:val="21"/>
              </w:rPr>
              <w:t>/</w:t>
            </w:r>
          </w:p>
        </w:tc>
        <w:tc>
          <w:tcPr>
            <w:tcW w:w="1070" w:type="dxa"/>
          </w:tcPr>
          <w:p>
            <w:pPr>
              <w:pStyle w:val="TableParagraph"/>
              <w:spacing w:before="37"/>
              <w:ind w:left="7"/>
              <w:rPr>
                <w:rFonts w:ascii="Times New Roman"/>
                <w:sz w:val="21"/>
              </w:rPr>
            </w:pPr>
            <w:r>
              <w:rPr>
                <w:rFonts w:ascii="Times New Roman"/>
                <w:w w:val="99"/>
                <w:sz w:val="21"/>
              </w:rPr>
              <w:t>/</w:t>
            </w:r>
          </w:p>
        </w:tc>
        <w:tc>
          <w:tcPr>
            <w:tcW w:w="1070" w:type="dxa"/>
          </w:tcPr>
          <w:p>
            <w:pPr>
              <w:pStyle w:val="TableParagraph"/>
              <w:spacing w:before="37"/>
              <w:ind w:left="8"/>
              <w:rPr>
                <w:rFonts w:ascii="Times New Roman"/>
                <w:sz w:val="21"/>
              </w:rPr>
            </w:pPr>
            <w:r>
              <w:rPr>
                <w:rFonts w:ascii="Times New Roman"/>
                <w:w w:val="99"/>
                <w:sz w:val="21"/>
              </w:rPr>
              <w:t>/</w:t>
            </w:r>
          </w:p>
        </w:tc>
        <w:tc>
          <w:tcPr>
            <w:tcW w:w="1076" w:type="dxa"/>
          </w:tcPr>
          <w:p>
            <w:pPr>
              <w:pStyle w:val="TableParagraph"/>
              <w:spacing w:before="37"/>
              <w:ind w:left="8"/>
              <w:rPr>
                <w:rFonts w:ascii="Times New Roman"/>
                <w:sz w:val="21"/>
              </w:rPr>
            </w:pPr>
            <w:r>
              <w:rPr>
                <w:rFonts w:ascii="Times New Roman"/>
                <w:w w:val="99"/>
                <w:sz w:val="21"/>
              </w:rPr>
              <w:t>/</w:t>
            </w:r>
          </w:p>
        </w:tc>
        <w:tc>
          <w:tcPr>
            <w:tcW w:w="1038" w:type="dxa"/>
          </w:tcPr>
          <w:p>
            <w:pPr>
              <w:pStyle w:val="TableParagraph"/>
              <w:spacing w:before="37"/>
              <w:ind w:left="182" w:right="173"/>
              <w:rPr>
                <w:rFonts w:ascii="Times New Roman"/>
                <w:sz w:val="21"/>
              </w:rPr>
            </w:pPr>
            <w:r>
              <w:rPr>
                <w:rFonts w:ascii="Times New Roman"/>
                <w:sz w:val="21"/>
              </w:rPr>
              <w:t>1290</w:t>
            </w:r>
          </w:p>
        </w:tc>
      </w:tr>
      <w:tr>
        <w:trPr>
          <w:trHeight w:val="320" w:hRule="atLeast"/>
        </w:trPr>
        <w:tc>
          <w:tcPr>
            <w:tcW w:w="1961" w:type="dxa"/>
          </w:tcPr>
          <w:p>
            <w:pPr>
              <w:pStyle w:val="TableParagraph"/>
              <w:spacing w:before="22"/>
              <w:ind w:left="19" w:right="16"/>
              <w:rPr>
                <w:sz w:val="21"/>
              </w:rPr>
            </w:pPr>
            <w:r>
              <w:rPr>
                <w:sz w:val="21"/>
              </w:rPr>
              <w:t>甲苯</w:t>
            </w:r>
          </w:p>
        </w:tc>
        <w:tc>
          <w:tcPr>
            <w:tcW w:w="864" w:type="dxa"/>
          </w:tcPr>
          <w:p>
            <w:pPr>
              <w:pStyle w:val="TableParagraph"/>
              <w:spacing w:before="58"/>
              <w:ind w:left="163"/>
              <w:jc w:val="left"/>
              <w:rPr>
                <w:rFonts w:ascii="Times New Roman"/>
                <w:sz w:val="21"/>
              </w:rPr>
            </w:pPr>
            <w:bookmarkStart w:name="mg/kg" w:id="877"/>
            <w:bookmarkEnd w:id="877"/>
            <w:r>
              <w:rPr/>
            </w:r>
            <w:r>
              <w:rPr>
                <w:rFonts w:ascii="Times New Roman"/>
                <w:sz w:val="21"/>
              </w:rPr>
              <w:t>mg/kg</w:t>
            </w:r>
          </w:p>
        </w:tc>
        <w:tc>
          <w:tcPr>
            <w:tcW w:w="1070" w:type="dxa"/>
          </w:tcPr>
          <w:p>
            <w:pPr>
              <w:pStyle w:val="TableParagraph"/>
              <w:spacing w:before="41"/>
              <w:ind w:left="82" w:right="70"/>
              <w:rPr>
                <w:rFonts w:ascii="Times New Roman"/>
                <w:sz w:val="21"/>
              </w:rPr>
            </w:pPr>
            <w:bookmarkStart w:name="&lt;0.006" w:id="878"/>
            <w:bookmarkEnd w:id="878"/>
            <w:r>
              <w:rPr/>
            </w:r>
            <w:r>
              <w:rPr>
                <w:rFonts w:ascii="Times New Roman"/>
                <w:sz w:val="21"/>
              </w:rPr>
              <w:t>&lt;0.006</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0" w:type="dxa"/>
          </w:tcPr>
          <w:p>
            <w:pPr>
              <w:pStyle w:val="TableParagraph"/>
              <w:spacing w:before="39"/>
              <w:ind w:left="9"/>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1"/>
              <w:rPr>
                <w:rFonts w:ascii="Times New Roman"/>
                <w:sz w:val="21"/>
              </w:rPr>
            </w:pPr>
            <w:r>
              <w:rPr>
                <w:rFonts w:ascii="Times New Roman"/>
                <w:w w:val="99"/>
                <w:sz w:val="21"/>
              </w:rPr>
              <w:t>/</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6"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82" w:right="173"/>
              <w:rPr>
                <w:rFonts w:ascii="Times New Roman"/>
                <w:sz w:val="21"/>
              </w:rPr>
            </w:pPr>
            <w:r>
              <w:rPr>
                <w:rFonts w:ascii="Times New Roman"/>
                <w:sz w:val="21"/>
              </w:rPr>
              <w:t>1200</w:t>
            </w:r>
          </w:p>
        </w:tc>
      </w:tr>
      <w:tr>
        <w:trPr>
          <w:trHeight w:val="319" w:hRule="atLeast"/>
        </w:trPr>
        <w:tc>
          <w:tcPr>
            <w:tcW w:w="1961" w:type="dxa"/>
          </w:tcPr>
          <w:p>
            <w:pPr>
              <w:pStyle w:val="TableParagraph"/>
              <w:spacing w:before="24"/>
              <w:ind w:left="22" w:right="16"/>
              <w:rPr>
                <w:sz w:val="21"/>
              </w:rPr>
            </w:pPr>
            <w:r>
              <w:rPr>
                <w:sz w:val="21"/>
              </w:rPr>
              <w:t>间二甲苯</w:t>
            </w:r>
          </w:p>
        </w:tc>
        <w:tc>
          <w:tcPr>
            <w:tcW w:w="864" w:type="dxa"/>
          </w:tcPr>
          <w:p>
            <w:pPr>
              <w:pStyle w:val="TableParagraph"/>
              <w:spacing w:line="241" w:lineRule="exact" w:before="59"/>
              <w:ind w:left="163"/>
              <w:jc w:val="left"/>
              <w:rPr>
                <w:rFonts w:ascii="Times New Roman"/>
                <w:sz w:val="21"/>
              </w:rPr>
            </w:pPr>
            <w:bookmarkStart w:name="mg/kg" w:id="879"/>
            <w:bookmarkEnd w:id="879"/>
            <w:r>
              <w:rPr/>
            </w:r>
            <w:r>
              <w:rPr>
                <w:rFonts w:ascii="Times New Roman"/>
                <w:sz w:val="21"/>
              </w:rPr>
              <w:t>mg/kg</w:t>
            </w:r>
          </w:p>
        </w:tc>
        <w:tc>
          <w:tcPr>
            <w:tcW w:w="1070" w:type="dxa"/>
          </w:tcPr>
          <w:p>
            <w:pPr>
              <w:pStyle w:val="TableParagraph"/>
              <w:spacing w:before="40"/>
              <w:ind w:left="82" w:right="70"/>
              <w:rPr>
                <w:rFonts w:ascii="Times New Roman"/>
                <w:sz w:val="21"/>
              </w:rPr>
            </w:pPr>
            <w:bookmarkStart w:name="&lt;0.009" w:id="880"/>
            <w:bookmarkEnd w:id="880"/>
            <w:r>
              <w:rPr/>
            </w:r>
            <w:r>
              <w:rPr>
                <w:rFonts w:ascii="Times New Roman"/>
                <w:sz w:val="21"/>
              </w:rPr>
              <w:t>&lt;0.009</w:t>
            </w:r>
          </w:p>
        </w:tc>
        <w:tc>
          <w:tcPr>
            <w:tcW w:w="1070" w:type="dxa"/>
          </w:tcPr>
          <w:p>
            <w:pPr>
              <w:pStyle w:val="TableParagraph"/>
              <w:spacing w:before="37"/>
              <w:ind w:left="7"/>
              <w:rPr>
                <w:rFonts w:ascii="Times New Roman"/>
                <w:sz w:val="21"/>
              </w:rPr>
            </w:pPr>
            <w:r>
              <w:rPr>
                <w:rFonts w:ascii="Times New Roman"/>
                <w:w w:val="99"/>
                <w:sz w:val="21"/>
              </w:rPr>
              <w:t>/</w:t>
            </w:r>
          </w:p>
        </w:tc>
        <w:tc>
          <w:tcPr>
            <w:tcW w:w="1070" w:type="dxa"/>
          </w:tcPr>
          <w:p>
            <w:pPr>
              <w:pStyle w:val="TableParagraph"/>
              <w:spacing w:before="37"/>
              <w:ind w:left="8"/>
              <w:rPr>
                <w:rFonts w:ascii="Times New Roman"/>
                <w:sz w:val="21"/>
              </w:rPr>
            </w:pPr>
            <w:r>
              <w:rPr>
                <w:rFonts w:ascii="Times New Roman"/>
                <w:w w:val="99"/>
                <w:sz w:val="21"/>
              </w:rPr>
              <w:t>/</w:t>
            </w:r>
          </w:p>
        </w:tc>
        <w:tc>
          <w:tcPr>
            <w:tcW w:w="1070" w:type="dxa"/>
          </w:tcPr>
          <w:p>
            <w:pPr>
              <w:pStyle w:val="TableParagraph"/>
              <w:spacing w:before="37"/>
              <w:ind w:left="9"/>
              <w:rPr>
                <w:rFonts w:ascii="Times New Roman"/>
                <w:sz w:val="21"/>
              </w:rPr>
            </w:pPr>
            <w:r>
              <w:rPr>
                <w:rFonts w:ascii="Times New Roman"/>
                <w:w w:val="99"/>
                <w:sz w:val="21"/>
              </w:rPr>
              <w:t>/</w:t>
            </w:r>
          </w:p>
        </w:tc>
        <w:tc>
          <w:tcPr>
            <w:tcW w:w="1070" w:type="dxa"/>
          </w:tcPr>
          <w:p>
            <w:pPr>
              <w:pStyle w:val="TableParagraph"/>
              <w:spacing w:before="37"/>
              <w:ind w:left="10"/>
              <w:rPr>
                <w:rFonts w:ascii="Times New Roman"/>
                <w:sz w:val="21"/>
              </w:rPr>
            </w:pPr>
            <w:r>
              <w:rPr>
                <w:rFonts w:ascii="Times New Roman"/>
                <w:w w:val="99"/>
                <w:sz w:val="21"/>
              </w:rPr>
              <w:t>/</w:t>
            </w:r>
          </w:p>
        </w:tc>
        <w:tc>
          <w:tcPr>
            <w:tcW w:w="1070" w:type="dxa"/>
          </w:tcPr>
          <w:p>
            <w:pPr>
              <w:pStyle w:val="TableParagraph"/>
              <w:spacing w:before="37"/>
              <w:ind w:left="10"/>
              <w:rPr>
                <w:rFonts w:ascii="Times New Roman"/>
                <w:sz w:val="21"/>
              </w:rPr>
            </w:pPr>
            <w:r>
              <w:rPr>
                <w:rFonts w:ascii="Times New Roman"/>
                <w:w w:val="99"/>
                <w:sz w:val="21"/>
              </w:rPr>
              <w:t>/</w:t>
            </w:r>
          </w:p>
        </w:tc>
        <w:tc>
          <w:tcPr>
            <w:tcW w:w="1070" w:type="dxa"/>
          </w:tcPr>
          <w:p>
            <w:pPr>
              <w:pStyle w:val="TableParagraph"/>
              <w:spacing w:before="37"/>
              <w:ind w:left="11"/>
              <w:rPr>
                <w:rFonts w:ascii="Times New Roman"/>
                <w:sz w:val="21"/>
              </w:rPr>
            </w:pPr>
            <w:r>
              <w:rPr>
                <w:rFonts w:ascii="Times New Roman"/>
                <w:w w:val="99"/>
                <w:sz w:val="21"/>
              </w:rPr>
              <w:t>/</w:t>
            </w:r>
          </w:p>
        </w:tc>
        <w:tc>
          <w:tcPr>
            <w:tcW w:w="1070" w:type="dxa"/>
          </w:tcPr>
          <w:p>
            <w:pPr>
              <w:pStyle w:val="TableParagraph"/>
              <w:spacing w:before="37"/>
              <w:ind w:left="7"/>
              <w:rPr>
                <w:rFonts w:ascii="Times New Roman"/>
                <w:sz w:val="21"/>
              </w:rPr>
            </w:pPr>
            <w:r>
              <w:rPr>
                <w:rFonts w:ascii="Times New Roman"/>
                <w:w w:val="99"/>
                <w:sz w:val="21"/>
              </w:rPr>
              <w:t>/</w:t>
            </w:r>
          </w:p>
        </w:tc>
        <w:tc>
          <w:tcPr>
            <w:tcW w:w="1070" w:type="dxa"/>
          </w:tcPr>
          <w:p>
            <w:pPr>
              <w:pStyle w:val="TableParagraph"/>
              <w:spacing w:before="37"/>
              <w:ind w:left="8"/>
              <w:rPr>
                <w:rFonts w:ascii="Times New Roman"/>
                <w:sz w:val="21"/>
              </w:rPr>
            </w:pPr>
            <w:r>
              <w:rPr>
                <w:rFonts w:ascii="Times New Roman"/>
                <w:w w:val="99"/>
                <w:sz w:val="21"/>
              </w:rPr>
              <w:t>/</w:t>
            </w:r>
          </w:p>
        </w:tc>
        <w:tc>
          <w:tcPr>
            <w:tcW w:w="1076" w:type="dxa"/>
          </w:tcPr>
          <w:p>
            <w:pPr>
              <w:pStyle w:val="TableParagraph"/>
              <w:spacing w:before="37"/>
              <w:ind w:left="8"/>
              <w:rPr>
                <w:rFonts w:ascii="Times New Roman"/>
                <w:sz w:val="21"/>
              </w:rPr>
            </w:pPr>
            <w:r>
              <w:rPr>
                <w:rFonts w:ascii="Times New Roman"/>
                <w:w w:val="99"/>
                <w:sz w:val="21"/>
              </w:rPr>
              <w:t>/</w:t>
            </w:r>
          </w:p>
        </w:tc>
        <w:tc>
          <w:tcPr>
            <w:tcW w:w="1038" w:type="dxa"/>
          </w:tcPr>
          <w:p>
            <w:pPr>
              <w:pStyle w:val="TableParagraph"/>
              <w:spacing w:before="37"/>
              <w:ind w:left="182" w:right="173"/>
              <w:rPr>
                <w:rFonts w:ascii="Times New Roman"/>
                <w:sz w:val="21"/>
              </w:rPr>
            </w:pPr>
            <w:r>
              <w:rPr>
                <w:rFonts w:ascii="Times New Roman"/>
                <w:sz w:val="21"/>
              </w:rPr>
              <w:t>570</w:t>
            </w:r>
          </w:p>
        </w:tc>
      </w:tr>
      <w:tr>
        <w:trPr>
          <w:trHeight w:val="320" w:hRule="atLeast"/>
        </w:trPr>
        <w:tc>
          <w:tcPr>
            <w:tcW w:w="1961" w:type="dxa"/>
          </w:tcPr>
          <w:p>
            <w:pPr>
              <w:pStyle w:val="TableParagraph"/>
              <w:spacing w:before="22"/>
              <w:ind w:left="22" w:right="16"/>
              <w:rPr>
                <w:sz w:val="21"/>
              </w:rPr>
            </w:pPr>
            <w:r>
              <w:rPr>
                <w:sz w:val="21"/>
              </w:rPr>
              <w:t>对二甲苯</w:t>
            </w:r>
          </w:p>
        </w:tc>
        <w:tc>
          <w:tcPr>
            <w:tcW w:w="864" w:type="dxa"/>
          </w:tcPr>
          <w:p>
            <w:pPr>
              <w:pStyle w:val="TableParagraph"/>
              <w:spacing w:before="58"/>
              <w:ind w:left="163"/>
              <w:jc w:val="left"/>
              <w:rPr>
                <w:rFonts w:ascii="Times New Roman"/>
                <w:sz w:val="21"/>
              </w:rPr>
            </w:pPr>
            <w:bookmarkStart w:name="mg/kg" w:id="881"/>
            <w:bookmarkEnd w:id="881"/>
            <w:r>
              <w:rPr/>
            </w:r>
            <w:r>
              <w:rPr>
                <w:rFonts w:ascii="Times New Roman"/>
                <w:sz w:val="21"/>
              </w:rPr>
              <w:t>mg/kg</w:t>
            </w:r>
          </w:p>
        </w:tc>
        <w:tc>
          <w:tcPr>
            <w:tcW w:w="1070" w:type="dxa"/>
          </w:tcPr>
          <w:p>
            <w:pPr>
              <w:pStyle w:val="TableParagraph"/>
              <w:spacing w:before="41"/>
              <w:ind w:left="82" w:right="70"/>
              <w:rPr>
                <w:rFonts w:ascii="Times New Roman"/>
                <w:sz w:val="21"/>
              </w:rPr>
            </w:pPr>
            <w:bookmarkStart w:name="&lt;0.009" w:id="882"/>
            <w:bookmarkEnd w:id="882"/>
            <w:r>
              <w:rPr/>
            </w:r>
            <w:r>
              <w:rPr>
                <w:rFonts w:ascii="Times New Roman"/>
                <w:sz w:val="21"/>
              </w:rPr>
              <w:t>&lt;0.009</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0" w:type="dxa"/>
          </w:tcPr>
          <w:p>
            <w:pPr>
              <w:pStyle w:val="TableParagraph"/>
              <w:spacing w:before="39"/>
              <w:ind w:left="9"/>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0"/>
              <w:rPr>
                <w:rFonts w:ascii="Times New Roman"/>
                <w:sz w:val="21"/>
              </w:rPr>
            </w:pPr>
            <w:r>
              <w:rPr>
                <w:rFonts w:ascii="Times New Roman"/>
                <w:w w:val="99"/>
                <w:sz w:val="21"/>
              </w:rPr>
              <w:t>/</w:t>
            </w:r>
          </w:p>
        </w:tc>
        <w:tc>
          <w:tcPr>
            <w:tcW w:w="1070" w:type="dxa"/>
          </w:tcPr>
          <w:p>
            <w:pPr>
              <w:pStyle w:val="TableParagraph"/>
              <w:spacing w:before="39"/>
              <w:ind w:left="11"/>
              <w:rPr>
                <w:rFonts w:ascii="Times New Roman"/>
                <w:sz w:val="21"/>
              </w:rPr>
            </w:pPr>
            <w:r>
              <w:rPr>
                <w:rFonts w:ascii="Times New Roman"/>
                <w:w w:val="99"/>
                <w:sz w:val="21"/>
              </w:rPr>
              <w:t>/</w:t>
            </w:r>
          </w:p>
        </w:tc>
        <w:tc>
          <w:tcPr>
            <w:tcW w:w="1070" w:type="dxa"/>
          </w:tcPr>
          <w:p>
            <w:pPr>
              <w:pStyle w:val="TableParagraph"/>
              <w:spacing w:before="39"/>
              <w:ind w:left="7"/>
              <w:rPr>
                <w:rFonts w:ascii="Times New Roman"/>
                <w:sz w:val="21"/>
              </w:rPr>
            </w:pPr>
            <w:r>
              <w:rPr>
                <w:rFonts w:ascii="Times New Roman"/>
                <w:w w:val="99"/>
                <w:sz w:val="21"/>
              </w:rPr>
              <w:t>/</w:t>
            </w:r>
          </w:p>
        </w:tc>
        <w:tc>
          <w:tcPr>
            <w:tcW w:w="1070" w:type="dxa"/>
          </w:tcPr>
          <w:p>
            <w:pPr>
              <w:pStyle w:val="TableParagraph"/>
              <w:spacing w:before="39"/>
              <w:ind w:left="8"/>
              <w:rPr>
                <w:rFonts w:ascii="Times New Roman"/>
                <w:sz w:val="21"/>
              </w:rPr>
            </w:pPr>
            <w:r>
              <w:rPr>
                <w:rFonts w:ascii="Times New Roman"/>
                <w:w w:val="99"/>
                <w:sz w:val="21"/>
              </w:rPr>
              <w:t>/</w:t>
            </w:r>
          </w:p>
        </w:tc>
        <w:tc>
          <w:tcPr>
            <w:tcW w:w="1076"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82" w:right="173"/>
              <w:rPr>
                <w:rFonts w:ascii="Times New Roman"/>
                <w:sz w:val="21"/>
              </w:rPr>
            </w:pPr>
            <w:r>
              <w:rPr>
                <w:rFonts w:ascii="Times New Roman"/>
                <w:sz w:val="21"/>
              </w:rPr>
              <w:t>570</w:t>
            </w:r>
          </w:p>
        </w:tc>
      </w:tr>
      <w:tr>
        <w:trPr>
          <w:trHeight w:val="272" w:hRule="atLeast"/>
        </w:trPr>
        <w:tc>
          <w:tcPr>
            <w:tcW w:w="1961" w:type="dxa"/>
          </w:tcPr>
          <w:p>
            <w:pPr>
              <w:pStyle w:val="TableParagraph"/>
              <w:spacing w:line="252" w:lineRule="exact"/>
              <w:ind w:left="22" w:right="16"/>
              <w:rPr>
                <w:sz w:val="21"/>
              </w:rPr>
            </w:pPr>
            <w:r>
              <w:rPr>
                <w:sz w:val="21"/>
              </w:rPr>
              <w:t>邻二甲苯</w:t>
            </w:r>
          </w:p>
        </w:tc>
        <w:tc>
          <w:tcPr>
            <w:tcW w:w="864" w:type="dxa"/>
          </w:tcPr>
          <w:p>
            <w:pPr>
              <w:pStyle w:val="TableParagraph"/>
              <w:spacing w:line="238" w:lineRule="exact" w:before="13"/>
              <w:ind w:left="163"/>
              <w:jc w:val="left"/>
              <w:rPr>
                <w:rFonts w:ascii="Times New Roman"/>
                <w:sz w:val="21"/>
              </w:rPr>
            </w:pPr>
            <w:r>
              <w:rPr>
                <w:rFonts w:ascii="Times New Roman"/>
                <w:sz w:val="21"/>
              </w:rPr>
              <w:t>mg/kg</w:t>
            </w:r>
          </w:p>
        </w:tc>
        <w:tc>
          <w:tcPr>
            <w:tcW w:w="1070" w:type="dxa"/>
          </w:tcPr>
          <w:p>
            <w:pPr>
              <w:pStyle w:val="TableParagraph"/>
              <w:spacing w:line="236" w:lineRule="exact" w:before="16"/>
              <w:ind w:left="82" w:right="70"/>
              <w:rPr>
                <w:rFonts w:ascii="Times New Roman"/>
                <w:sz w:val="21"/>
              </w:rPr>
            </w:pPr>
            <w:bookmarkStart w:name="&lt;0.002" w:id="883"/>
            <w:bookmarkEnd w:id="883"/>
            <w:r>
              <w:rPr/>
            </w:r>
            <w:r>
              <w:rPr>
                <w:rFonts w:ascii="Times New Roman"/>
                <w:sz w:val="21"/>
              </w:rPr>
              <w:t>&lt;0.002</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0" w:type="dxa"/>
          </w:tcPr>
          <w:p>
            <w:pPr>
              <w:pStyle w:val="TableParagraph"/>
              <w:spacing w:line="238" w:lineRule="exact" w:before="13"/>
              <w:ind w:left="9"/>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0"/>
              <w:rPr>
                <w:rFonts w:ascii="Times New Roman"/>
                <w:sz w:val="21"/>
              </w:rPr>
            </w:pPr>
            <w:r>
              <w:rPr>
                <w:rFonts w:ascii="Times New Roman"/>
                <w:w w:val="99"/>
                <w:sz w:val="21"/>
              </w:rPr>
              <w:t>/</w:t>
            </w:r>
          </w:p>
        </w:tc>
        <w:tc>
          <w:tcPr>
            <w:tcW w:w="1070" w:type="dxa"/>
          </w:tcPr>
          <w:p>
            <w:pPr>
              <w:pStyle w:val="TableParagraph"/>
              <w:spacing w:line="238" w:lineRule="exact" w:before="13"/>
              <w:ind w:left="11"/>
              <w:rPr>
                <w:rFonts w:ascii="Times New Roman"/>
                <w:sz w:val="21"/>
              </w:rPr>
            </w:pPr>
            <w:r>
              <w:rPr>
                <w:rFonts w:ascii="Times New Roman"/>
                <w:w w:val="99"/>
                <w:sz w:val="21"/>
              </w:rPr>
              <w:t>/</w:t>
            </w:r>
          </w:p>
        </w:tc>
        <w:tc>
          <w:tcPr>
            <w:tcW w:w="1070" w:type="dxa"/>
          </w:tcPr>
          <w:p>
            <w:pPr>
              <w:pStyle w:val="TableParagraph"/>
              <w:spacing w:line="238" w:lineRule="exact" w:before="13"/>
              <w:ind w:left="7"/>
              <w:rPr>
                <w:rFonts w:ascii="Times New Roman"/>
                <w:sz w:val="21"/>
              </w:rPr>
            </w:pPr>
            <w:r>
              <w:rPr>
                <w:rFonts w:ascii="Times New Roman"/>
                <w:w w:val="99"/>
                <w:sz w:val="21"/>
              </w:rPr>
              <w:t>/</w:t>
            </w:r>
          </w:p>
        </w:tc>
        <w:tc>
          <w:tcPr>
            <w:tcW w:w="1070" w:type="dxa"/>
          </w:tcPr>
          <w:p>
            <w:pPr>
              <w:pStyle w:val="TableParagraph"/>
              <w:spacing w:line="238" w:lineRule="exact" w:before="13"/>
              <w:ind w:left="8"/>
              <w:rPr>
                <w:rFonts w:ascii="Times New Roman"/>
                <w:sz w:val="21"/>
              </w:rPr>
            </w:pPr>
            <w:r>
              <w:rPr>
                <w:rFonts w:ascii="Times New Roman"/>
                <w:w w:val="99"/>
                <w:sz w:val="21"/>
              </w:rPr>
              <w:t>/</w:t>
            </w:r>
          </w:p>
        </w:tc>
        <w:tc>
          <w:tcPr>
            <w:tcW w:w="1076" w:type="dxa"/>
          </w:tcPr>
          <w:p>
            <w:pPr>
              <w:pStyle w:val="TableParagraph"/>
              <w:spacing w:line="238" w:lineRule="exact" w:before="13"/>
              <w:ind w:left="8"/>
              <w:rPr>
                <w:rFonts w:ascii="Times New Roman"/>
                <w:sz w:val="21"/>
              </w:rPr>
            </w:pPr>
            <w:r>
              <w:rPr>
                <w:rFonts w:ascii="Times New Roman"/>
                <w:w w:val="99"/>
                <w:sz w:val="21"/>
              </w:rPr>
              <w:t>/</w:t>
            </w:r>
          </w:p>
        </w:tc>
        <w:tc>
          <w:tcPr>
            <w:tcW w:w="1038" w:type="dxa"/>
          </w:tcPr>
          <w:p>
            <w:pPr>
              <w:pStyle w:val="TableParagraph"/>
              <w:spacing w:line="238" w:lineRule="exact" w:before="13"/>
              <w:ind w:left="182" w:right="173"/>
              <w:rPr>
                <w:rFonts w:ascii="Times New Roman"/>
                <w:sz w:val="21"/>
              </w:rPr>
            </w:pPr>
            <w:r>
              <w:rPr>
                <w:rFonts w:ascii="Times New Roman"/>
                <w:sz w:val="21"/>
              </w:rPr>
              <w:t>640</w:t>
            </w:r>
          </w:p>
        </w:tc>
      </w:tr>
      <w:tr>
        <w:trPr>
          <w:trHeight w:val="272" w:hRule="atLeast"/>
        </w:trPr>
        <w:tc>
          <w:tcPr>
            <w:tcW w:w="1961" w:type="dxa"/>
          </w:tcPr>
          <w:p>
            <w:pPr>
              <w:pStyle w:val="TableParagraph"/>
              <w:spacing w:line="251" w:lineRule="exact" w:before="1"/>
              <w:ind w:left="24" w:right="16"/>
              <w:rPr>
                <w:sz w:val="21"/>
              </w:rPr>
            </w:pPr>
            <w:r>
              <w:rPr>
                <w:sz w:val="21"/>
              </w:rPr>
              <w:t>硝基苯</w:t>
            </w:r>
          </w:p>
        </w:tc>
        <w:tc>
          <w:tcPr>
            <w:tcW w:w="864" w:type="dxa"/>
          </w:tcPr>
          <w:p>
            <w:pPr>
              <w:pStyle w:val="TableParagraph"/>
              <w:spacing w:line="237" w:lineRule="exact" w:before="15"/>
              <w:ind w:left="163"/>
              <w:jc w:val="left"/>
              <w:rPr>
                <w:rFonts w:ascii="Times New Roman"/>
                <w:sz w:val="21"/>
              </w:rPr>
            </w:pPr>
            <w:r>
              <w:rPr>
                <w:rFonts w:ascii="Times New Roman"/>
                <w:sz w:val="21"/>
              </w:rPr>
              <w:t>mg/kg</w:t>
            </w:r>
          </w:p>
        </w:tc>
        <w:tc>
          <w:tcPr>
            <w:tcW w:w="1070" w:type="dxa"/>
          </w:tcPr>
          <w:p>
            <w:pPr>
              <w:pStyle w:val="TableParagraph"/>
              <w:spacing w:line="235" w:lineRule="exact" w:before="17"/>
              <w:ind w:left="81" w:right="74"/>
              <w:rPr>
                <w:rFonts w:ascii="Times New Roman"/>
                <w:sz w:val="21"/>
              </w:rPr>
            </w:pPr>
            <w:bookmarkStart w:name="&lt;0.09" w:id="884"/>
            <w:bookmarkEnd w:id="884"/>
            <w:r>
              <w:rPr/>
            </w:r>
            <w:r>
              <w:rPr>
                <w:rFonts w:ascii="Times New Roman"/>
                <w:sz w:val="21"/>
              </w:rPr>
              <w:t>&lt;0.09</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0" w:type="dxa"/>
          </w:tcPr>
          <w:p>
            <w:pPr>
              <w:pStyle w:val="TableParagraph"/>
              <w:spacing w:line="237" w:lineRule="exact" w:before="15"/>
              <w:ind w:left="9"/>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6"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82" w:right="173"/>
              <w:rPr>
                <w:rFonts w:ascii="Times New Roman"/>
                <w:sz w:val="21"/>
              </w:rPr>
            </w:pPr>
            <w:r>
              <w:rPr>
                <w:rFonts w:ascii="Times New Roman"/>
                <w:sz w:val="21"/>
              </w:rPr>
              <w:t>76</w:t>
            </w:r>
          </w:p>
        </w:tc>
      </w:tr>
      <w:tr>
        <w:trPr>
          <w:trHeight w:val="272" w:hRule="atLeast"/>
        </w:trPr>
        <w:tc>
          <w:tcPr>
            <w:tcW w:w="1961" w:type="dxa"/>
          </w:tcPr>
          <w:p>
            <w:pPr>
              <w:pStyle w:val="TableParagraph"/>
              <w:spacing w:line="251" w:lineRule="exact" w:before="2"/>
              <w:ind w:left="19" w:right="16"/>
              <w:rPr>
                <w:sz w:val="21"/>
              </w:rPr>
            </w:pPr>
            <w:r>
              <w:rPr>
                <w:sz w:val="21"/>
              </w:rPr>
              <w:t>苯胺</w:t>
            </w:r>
          </w:p>
        </w:tc>
        <w:tc>
          <w:tcPr>
            <w:tcW w:w="864" w:type="dxa"/>
          </w:tcPr>
          <w:p>
            <w:pPr>
              <w:pStyle w:val="TableParagraph"/>
              <w:spacing w:line="237" w:lineRule="exact" w:before="16"/>
              <w:ind w:left="163"/>
              <w:jc w:val="left"/>
              <w:rPr>
                <w:rFonts w:ascii="Times New Roman"/>
                <w:sz w:val="21"/>
              </w:rPr>
            </w:pPr>
            <w:r>
              <w:rPr>
                <w:rFonts w:ascii="Times New Roman"/>
                <w:sz w:val="21"/>
              </w:rPr>
              <w:t>mg/kg</w:t>
            </w:r>
          </w:p>
        </w:tc>
        <w:tc>
          <w:tcPr>
            <w:tcW w:w="1070" w:type="dxa"/>
          </w:tcPr>
          <w:p>
            <w:pPr>
              <w:pStyle w:val="TableParagraph"/>
              <w:spacing w:line="234" w:lineRule="exact" w:before="18"/>
              <w:ind w:left="81" w:right="74"/>
              <w:rPr>
                <w:rFonts w:ascii="Times New Roman"/>
                <w:sz w:val="21"/>
              </w:rPr>
            </w:pPr>
            <w:bookmarkStart w:name="&lt;0.37" w:id="885"/>
            <w:bookmarkEnd w:id="885"/>
            <w:r>
              <w:rPr/>
            </w:r>
            <w:r>
              <w:rPr>
                <w:rFonts w:ascii="Times New Roman"/>
                <w:sz w:val="21"/>
              </w:rPr>
              <w:t>&lt;0.37</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0" w:type="dxa"/>
          </w:tcPr>
          <w:p>
            <w:pPr>
              <w:pStyle w:val="TableParagraph"/>
              <w:spacing w:line="237" w:lineRule="exact" w:before="16"/>
              <w:ind w:left="9"/>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0"/>
              <w:rPr>
                <w:rFonts w:ascii="Times New Roman"/>
                <w:sz w:val="21"/>
              </w:rPr>
            </w:pPr>
            <w:r>
              <w:rPr>
                <w:rFonts w:ascii="Times New Roman"/>
                <w:w w:val="99"/>
                <w:sz w:val="21"/>
              </w:rPr>
              <w:t>/</w:t>
            </w:r>
          </w:p>
        </w:tc>
        <w:tc>
          <w:tcPr>
            <w:tcW w:w="1070" w:type="dxa"/>
          </w:tcPr>
          <w:p>
            <w:pPr>
              <w:pStyle w:val="TableParagraph"/>
              <w:spacing w:line="237" w:lineRule="exact" w:before="16"/>
              <w:ind w:left="11"/>
              <w:rPr>
                <w:rFonts w:ascii="Times New Roman"/>
                <w:sz w:val="21"/>
              </w:rPr>
            </w:pPr>
            <w:r>
              <w:rPr>
                <w:rFonts w:ascii="Times New Roman"/>
                <w:w w:val="99"/>
                <w:sz w:val="21"/>
              </w:rPr>
              <w:t>/</w:t>
            </w:r>
          </w:p>
        </w:tc>
        <w:tc>
          <w:tcPr>
            <w:tcW w:w="1070" w:type="dxa"/>
          </w:tcPr>
          <w:p>
            <w:pPr>
              <w:pStyle w:val="TableParagraph"/>
              <w:spacing w:line="237" w:lineRule="exact" w:before="16"/>
              <w:ind w:left="7"/>
              <w:rPr>
                <w:rFonts w:ascii="Times New Roman"/>
                <w:sz w:val="21"/>
              </w:rPr>
            </w:pPr>
            <w:r>
              <w:rPr>
                <w:rFonts w:ascii="Times New Roman"/>
                <w:w w:val="99"/>
                <w:sz w:val="21"/>
              </w:rPr>
              <w:t>/</w:t>
            </w:r>
          </w:p>
        </w:tc>
        <w:tc>
          <w:tcPr>
            <w:tcW w:w="1070" w:type="dxa"/>
          </w:tcPr>
          <w:p>
            <w:pPr>
              <w:pStyle w:val="TableParagraph"/>
              <w:spacing w:line="237" w:lineRule="exact" w:before="16"/>
              <w:ind w:left="8"/>
              <w:rPr>
                <w:rFonts w:ascii="Times New Roman"/>
                <w:sz w:val="21"/>
              </w:rPr>
            </w:pPr>
            <w:r>
              <w:rPr>
                <w:rFonts w:ascii="Times New Roman"/>
                <w:w w:val="99"/>
                <w:sz w:val="21"/>
              </w:rPr>
              <w:t>/</w:t>
            </w:r>
          </w:p>
        </w:tc>
        <w:tc>
          <w:tcPr>
            <w:tcW w:w="1076"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82" w:right="173"/>
              <w:rPr>
                <w:rFonts w:ascii="Times New Roman"/>
                <w:sz w:val="21"/>
              </w:rPr>
            </w:pPr>
            <w:r>
              <w:rPr>
                <w:rFonts w:ascii="Times New Roman"/>
                <w:sz w:val="21"/>
              </w:rPr>
              <w:t>260</w:t>
            </w:r>
          </w:p>
        </w:tc>
      </w:tr>
      <w:tr>
        <w:trPr>
          <w:trHeight w:val="272" w:hRule="atLeast"/>
        </w:trPr>
        <w:tc>
          <w:tcPr>
            <w:tcW w:w="1961" w:type="dxa"/>
          </w:tcPr>
          <w:p>
            <w:pPr>
              <w:pStyle w:val="TableParagraph"/>
              <w:spacing w:line="252" w:lineRule="exact"/>
              <w:ind w:left="6"/>
              <w:rPr>
                <w:sz w:val="21"/>
              </w:rPr>
            </w:pPr>
            <w:r>
              <w:rPr>
                <w:w w:val="99"/>
                <w:sz w:val="21"/>
              </w:rPr>
              <w:t>萘</w:t>
            </w:r>
          </w:p>
        </w:tc>
        <w:tc>
          <w:tcPr>
            <w:tcW w:w="864" w:type="dxa"/>
          </w:tcPr>
          <w:p>
            <w:pPr>
              <w:pStyle w:val="TableParagraph"/>
              <w:spacing w:line="238" w:lineRule="exact" w:before="14"/>
              <w:ind w:left="163"/>
              <w:jc w:val="left"/>
              <w:rPr>
                <w:rFonts w:ascii="Times New Roman"/>
                <w:sz w:val="21"/>
              </w:rPr>
            </w:pPr>
            <w:r>
              <w:rPr>
                <w:rFonts w:ascii="Times New Roman"/>
                <w:sz w:val="21"/>
              </w:rPr>
              <w:t>mg/kg</w:t>
            </w:r>
          </w:p>
        </w:tc>
        <w:tc>
          <w:tcPr>
            <w:tcW w:w="1070" w:type="dxa"/>
          </w:tcPr>
          <w:p>
            <w:pPr>
              <w:pStyle w:val="TableParagraph"/>
              <w:spacing w:line="236" w:lineRule="exact" w:before="16"/>
              <w:ind w:left="81" w:right="74"/>
              <w:rPr>
                <w:rFonts w:ascii="Times New Roman"/>
                <w:sz w:val="21"/>
              </w:rPr>
            </w:pPr>
            <w:bookmarkStart w:name="&lt;0.09" w:id="886"/>
            <w:bookmarkEnd w:id="886"/>
            <w:r>
              <w:rPr/>
            </w:r>
            <w:r>
              <w:rPr>
                <w:rFonts w:ascii="Times New Roman"/>
                <w:sz w:val="21"/>
              </w:rPr>
              <w:t>&lt;0.09</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0" w:type="dxa"/>
          </w:tcPr>
          <w:p>
            <w:pPr>
              <w:pStyle w:val="TableParagraph"/>
              <w:spacing w:line="238" w:lineRule="exact" w:before="14"/>
              <w:ind w:left="9"/>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1"/>
              <w:rPr>
                <w:rFonts w:ascii="Times New Roman"/>
                <w:sz w:val="21"/>
              </w:rPr>
            </w:pPr>
            <w:r>
              <w:rPr>
                <w:rFonts w:ascii="Times New Roman"/>
                <w:w w:val="99"/>
                <w:sz w:val="21"/>
              </w:rPr>
              <w:t>/</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6"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82" w:right="173"/>
              <w:rPr>
                <w:rFonts w:ascii="Times New Roman"/>
                <w:sz w:val="21"/>
              </w:rPr>
            </w:pPr>
            <w:r>
              <w:rPr>
                <w:rFonts w:ascii="Times New Roman"/>
                <w:sz w:val="21"/>
              </w:rPr>
              <w:t>70</w:t>
            </w:r>
          </w:p>
        </w:tc>
      </w:tr>
      <w:tr>
        <w:trPr>
          <w:trHeight w:val="271" w:hRule="atLeast"/>
        </w:trPr>
        <w:tc>
          <w:tcPr>
            <w:tcW w:w="1961" w:type="dxa"/>
          </w:tcPr>
          <w:p>
            <w:pPr>
              <w:pStyle w:val="TableParagraph"/>
              <w:spacing w:line="251" w:lineRule="exact" w:before="1"/>
              <w:ind w:left="22" w:right="16"/>
              <w:rPr>
                <w:sz w:val="21"/>
              </w:rPr>
            </w:pPr>
            <w:r>
              <w:rPr>
                <w:rFonts w:ascii="Times New Roman" w:eastAsia="Times New Roman"/>
                <w:sz w:val="21"/>
              </w:rPr>
              <w:t>2-</w:t>
            </w:r>
            <w:r>
              <w:rPr>
                <w:sz w:val="21"/>
              </w:rPr>
              <w:t>氯酚</w:t>
            </w:r>
          </w:p>
        </w:tc>
        <w:tc>
          <w:tcPr>
            <w:tcW w:w="864" w:type="dxa"/>
          </w:tcPr>
          <w:p>
            <w:pPr>
              <w:pStyle w:val="TableParagraph"/>
              <w:spacing w:line="237" w:lineRule="exact" w:before="15"/>
              <w:ind w:left="163"/>
              <w:jc w:val="left"/>
              <w:rPr>
                <w:rFonts w:ascii="Times New Roman"/>
                <w:sz w:val="21"/>
              </w:rPr>
            </w:pPr>
            <w:r>
              <w:rPr>
                <w:rFonts w:ascii="Times New Roman"/>
                <w:sz w:val="21"/>
              </w:rPr>
              <w:t>mg/kg</w:t>
            </w:r>
          </w:p>
        </w:tc>
        <w:tc>
          <w:tcPr>
            <w:tcW w:w="1070" w:type="dxa"/>
          </w:tcPr>
          <w:p>
            <w:pPr>
              <w:pStyle w:val="TableParagraph"/>
              <w:spacing w:line="234" w:lineRule="exact" w:before="17"/>
              <w:ind w:left="81" w:right="74"/>
              <w:rPr>
                <w:rFonts w:ascii="Times New Roman"/>
                <w:sz w:val="21"/>
              </w:rPr>
            </w:pPr>
            <w:bookmarkStart w:name="&lt;0.06" w:id="887"/>
            <w:bookmarkEnd w:id="887"/>
            <w:r>
              <w:rPr/>
            </w:r>
            <w:r>
              <w:rPr>
                <w:rFonts w:ascii="Times New Roman"/>
                <w:sz w:val="21"/>
              </w:rPr>
              <w:t>&lt;0.06</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0" w:type="dxa"/>
          </w:tcPr>
          <w:p>
            <w:pPr>
              <w:pStyle w:val="TableParagraph"/>
              <w:spacing w:line="237" w:lineRule="exact" w:before="15"/>
              <w:ind w:left="9"/>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6"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82" w:right="173"/>
              <w:rPr>
                <w:rFonts w:ascii="Times New Roman"/>
                <w:sz w:val="21"/>
              </w:rPr>
            </w:pPr>
            <w:r>
              <w:rPr>
                <w:rFonts w:ascii="Times New Roman"/>
                <w:sz w:val="21"/>
              </w:rPr>
              <w:t>2256</w:t>
            </w:r>
          </w:p>
        </w:tc>
      </w:tr>
      <w:tr>
        <w:trPr>
          <w:trHeight w:val="273" w:hRule="atLeast"/>
        </w:trPr>
        <w:tc>
          <w:tcPr>
            <w:tcW w:w="1961" w:type="dxa"/>
          </w:tcPr>
          <w:p>
            <w:pPr>
              <w:pStyle w:val="TableParagraph"/>
              <w:spacing w:line="253" w:lineRule="exact"/>
              <w:ind w:left="27" w:right="16"/>
              <w:rPr>
                <w:sz w:val="21"/>
              </w:rPr>
            </w:pPr>
            <w:r>
              <w:rPr>
                <w:sz w:val="21"/>
              </w:rPr>
              <w:t>苯并</w:t>
            </w:r>
            <w:r>
              <w:rPr>
                <w:rFonts w:ascii="Times New Roman" w:eastAsia="Times New Roman"/>
                <w:sz w:val="21"/>
              </w:rPr>
              <w:t>[a]</w:t>
            </w:r>
            <w:r>
              <w:rPr>
                <w:sz w:val="21"/>
              </w:rPr>
              <w:t>蒽</w:t>
            </w:r>
          </w:p>
        </w:tc>
        <w:tc>
          <w:tcPr>
            <w:tcW w:w="864" w:type="dxa"/>
          </w:tcPr>
          <w:p>
            <w:pPr>
              <w:pStyle w:val="TableParagraph"/>
              <w:spacing w:line="239" w:lineRule="exact" w:before="14"/>
              <w:ind w:left="163"/>
              <w:jc w:val="left"/>
              <w:rPr>
                <w:rFonts w:ascii="Times New Roman"/>
                <w:sz w:val="21"/>
              </w:rPr>
            </w:pPr>
            <w:r>
              <w:rPr>
                <w:rFonts w:ascii="Times New Roman"/>
                <w:sz w:val="21"/>
              </w:rPr>
              <w:t>mg/kg</w:t>
            </w:r>
          </w:p>
        </w:tc>
        <w:tc>
          <w:tcPr>
            <w:tcW w:w="1070" w:type="dxa"/>
          </w:tcPr>
          <w:p>
            <w:pPr>
              <w:pStyle w:val="TableParagraph"/>
              <w:spacing w:line="234" w:lineRule="exact" w:before="18"/>
              <w:ind w:left="81" w:right="74"/>
              <w:rPr>
                <w:rFonts w:ascii="Times New Roman"/>
                <w:sz w:val="21"/>
              </w:rPr>
            </w:pPr>
            <w:bookmarkStart w:name="&lt;0.12" w:id="888"/>
            <w:bookmarkEnd w:id="888"/>
            <w:r>
              <w:rPr/>
            </w:r>
            <w:r>
              <w:rPr>
                <w:rFonts w:ascii="Times New Roman"/>
                <w:sz w:val="21"/>
              </w:rPr>
              <w:t>&lt;0.12</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0" w:type="dxa"/>
          </w:tcPr>
          <w:p>
            <w:pPr>
              <w:pStyle w:val="TableParagraph"/>
              <w:spacing w:line="239" w:lineRule="exact" w:before="14"/>
              <w:ind w:left="9"/>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1"/>
              <w:rPr>
                <w:rFonts w:ascii="Times New Roman"/>
                <w:sz w:val="21"/>
              </w:rPr>
            </w:pPr>
            <w:r>
              <w:rPr>
                <w:rFonts w:ascii="Times New Roman"/>
                <w:w w:val="99"/>
                <w:sz w:val="21"/>
              </w:rPr>
              <w:t>/</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6"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82" w:right="173"/>
              <w:rPr>
                <w:rFonts w:ascii="Times New Roman"/>
                <w:sz w:val="21"/>
              </w:rPr>
            </w:pPr>
            <w:r>
              <w:rPr>
                <w:rFonts w:ascii="Times New Roman"/>
                <w:sz w:val="21"/>
              </w:rPr>
              <w:t>15</w:t>
            </w:r>
          </w:p>
        </w:tc>
      </w:tr>
      <w:tr>
        <w:trPr>
          <w:trHeight w:val="271" w:hRule="atLeast"/>
        </w:trPr>
        <w:tc>
          <w:tcPr>
            <w:tcW w:w="1961" w:type="dxa"/>
          </w:tcPr>
          <w:p>
            <w:pPr>
              <w:pStyle w:val="TableParagraph"/>
              <w:spacing w:line="252" w:lineRule="exact"/>
              <w:ind w:left="27" w:right="16"/>
              <w:rPr>
                <w:sz w:val="21"/>
              </w:rPr>
            </w:pPr>
            <w:r>
              <w:rPr>
                <w:sz w:val="21"/>
              </w:rPr>
              <w:t>苯并</w:t>
            </w:r>
            <w:r>
              <w:rPr>
                <w:rFonts w:ascii="Times New Roman" w:eastAsia="Times New Roman"/>
                <w:sz w:val="21"/>
              </w:rPr>
              <w:t>[a]</w:t>
            </w:r>
            <w:r>
              <w:rPr>
                <w:sz w:val="21"/>
              </w:rPr>
              <w:t>芘</w:t>
            </w:r>
          </w:p>
        </w:tc>
        <w:tc>
          <w:tcPr>
            <w:tcW w:w="864" w:type="dxa"/>
          </w:tcPr>
          <w:p>
            <w:pPr>
              <w:pStyle w:val="TableParagraph"/>
              <w:spacing w:line="238" w:lineRule="exact" w:before="14"/>
              <w:ind w:left="163"/>
              <w:jc w:val="left"/>
              <w:rPr>
                <w:rFonts w:ascii="Times New Roman"/>
                <w:sz w:val="21"/>
              </w:rPr>
            </w:pPr>
            <w:r>
              <w:rPr>
                <w:rFonts w:ascii="Times New Roman"/>
                <w:sz w:val="21"/>
              </w:rPr>
              <w:t>mg/kg</w:t>
            </w:r>
          </w:p>
        </w:tc>
        <w:tc>
          <w:tcPr>
            <w:tcW w:w="1070" w:type="dxa"/>
          </w:tcPr>
          <w:p>
            <w:pPr>
              <w:pStyle w:val="TableParagraph"/>
              <w:spacing w:line="235" w:lineRule="exact" w:before="16"/>
              <w:ind w:left="81" w:right="74"/>
              <w:rPr>
                <w:rFonts w:ascii="Times New Roman"/>
                <w:sz w:val="21"/>
              </w:rPr>
            </w:pPr>
            <w:bookmarkStart w:name="&lt;0.17" w:id="889"/>
            <w:bookmarkEnd w:id="889"/>
            <w:r>
              <w:rPr/>
            </w:r>
            <w:r>
              <w:rPr>
                <w:rFonts w:ascii="Times New Roman"/>
                <w:sz w:val="21"/>
              </w:rPr>
              <w:t>&lt;0.17</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0" w:type="dxa"/>
          </w:tcPr>
          <w:p>
            <w:pPr>
              <w:pStyle w:val="TableParagraph"/>
              <w:spacing w:line="238" w:lineRule="exact" w:before="14"/>
              <w:ind w:left="9"/>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1"/>
              <w:rPr>
                <w:rFonts w:ascii="Times New Roman"/>
                <w:sz w:val="21"/>
              </w:rPr>
            </w:pPr>
            <w:r>
              <w:rPr>
                <w:rFonts w:ascii="Times New Roman"/>
                <w:w w:val="99"/>
                <w:sz w:val="21"/>
              </w:rPr>
              <w:t>/</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6"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82" w:right="173"/>
              <w:rPr>
                <w:rFonts w:ascii="Times New Roman"/>
                <w:sz w:val="21"/>
              </w:rPr>
            </w:pPr>
            <w:r>
              <w:rPr>
                <w:rFonts w:ascii="Times New Roman"/>
                <w:sz w:val="21"/>
              </w:rPr>
              <w:t>1.5</w:t>
            </w:r>
          </w:p>
        </w:tc>
      </w:tr>
      <w:tr>
        <w:trPr>
          <w:trHeight w:val="272" w:hRule="atLeast"/>
        </w:trPr>
        <w:tc>
          <w:tcPr>
            <w:tcW w:w="1961" w:type="dxa"/>
          </w:tcPr>
          <w:p>
            <w:pPr>
              <w:pStyle w:val="TableParagraph"/>
              <w:spacing w:line="251" w:lineRule="exact" w:before="1"/>
              <w:ind w:left="24" w:right="16"/>
              <w:rPr>
                <w:sz w:val="21"/>
              </w:rPr>
            </w:pPr>
            <w:r>
              <w:rPr>
                <w:sz w:val="21"/>
              </w:rPr>
              <w:t>苯并</w:t>
            </w:r>
            <w:r>
              <w:rPr>
                <w:rFonts w:ascii="Times New Roman" w:eastAsia="Times New Roman"/>
                <w:sz w:val="21"/>
              </w:rPr>
              <w:t>[b]</w:t>
            </w:r>
            <w:r>
              <w:rPr>
                <w:sz w:val="21"/>
              </w:rPr>
              <w:t>荧蒽</w:t>
            </w:r>
          </w:p>
        </w:tc>
        <w:tc>
          <w:tcPr>
            <w:tcW w:w="864" w:type="dxa"/>
          </w:tcPr>
          <w:p>
            <w:pPr>
              <w:pStyle w:val="TableParagraph"/>
              <w:spacing w:line="237" w:lineRule="exact" w:before="15"/>
              <w:ind w:left="163"/>
              <w:jc w:val="left"/>
              <w:rPr>
                <w:rFonts w:ascii="Times New Roman"/>
                <w:sz w:val="21"/>
              </w:rPr>
            </w:pPr>
            <w:r>
              <w:rPr>
                <w:rFonts w:ascii="Times New Roman"/>
                <w:sz w:val="21"/>
              </w:rPr>
              <w:t>mg/kg</w:t>
            </w:r>
          </w:p>
        </w:tc>
        <w:tc>
          <w:tcPr>
            <w:tcW w:w="1070" w:type="dxa"/>
          </w:tcPr>
          <w:p>
            <w:pPr>
              <w:pStyle w:val="TableParagraph"/>
              <w:spacing w:line="234" w:lineRule="exact" w:before="17"/>
              <w:ind w:left="81" w:right="74"/>
              <w:rPr>
                <w:rFonts w:ascii="Times New Roman"/>
                <w:sz w:val="21"/>
              </w:rPr>
            </w:pPr>
            <w:bookmarkStart w:name="&lt;0.17" w:id="890"/>
            <w:bookmarkEnd w:id="890"/>
            <w:r>
              <w:rPr/>
            </w:r>
            <w:r>
              <w:rPr>
                <w:rFonts w:ascii="Times New Roman"/>
                <w:sz w:val="21"/>
              </w:rPr>
              <w:t>&lt;0.17</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0" w:type="dxa"/>
          </w:tcPr>
          <w:p>
            <w:pPr>
              <w:pStyle w:val="TableParagraph"/>
              <w:spacing w:line="237" w:lineRule="exact" w:before="15"/>
              <w:ind w:left="9"/>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0"/>
              <w:rPr>
                <w:rFonts w:ascii="Times New Roman"/>
                <w:sz w:val="21"/>
              </w:rPr>
            </w:pPr>
            <w:r>
              <w:rPr>
                <w:rFonts w:ascii="Times New Roman"/>
                <w:w w:val="99"/>
                <w:sz w:val="21"/>
              </w:rPr>
              <w:t>/</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7" w:lineRule="exact" w:before="15"/>
              <w:ind w:left="7"/>
              <w:rPr>
                <w:rFonts w:ascii="Times New Roman"/>
                <w:sz w:val="21"/>
              </w:rPr>
            </w:pPr>
            <w:r>
              <w:rPr>
                <w:rFonts w:ascii="Times New Roman"/>
                <w:w w:val="99"/>
                <w:sz w:val="21"/>
              </w:rPr>
              <w:t>/</w:t>
            </w:r>
          </w:p>
        </w:tc>
        <w:tc>
          <w:tcPr>
            <w:tcW w:w="1070" w:type="dxa"/>
          </w:tcPr>
          <w:p>
            <w:pPr>
              <w:pStyle w:val="TableParagraph"/>
              <w:spacing w:line="237" w:lineRule="exact" w:before="15"/>
              <w:ind w:left="8"/>
              <w:rPr>
                <w:rFonts w:ascii="Times New Roman"/>
                <w:sz w:val="21"/>
              </w:rPr>
            </w:pPr>
            <w:r>
              <w:rPr>
                <w:rFonts w:ascii="Times New Roman"/>
                <w:w w:val="99"/>
                <w:sz w:val="21"/>
              </w:rPr>
              <w:t>/</w:t>
            </w:r>
          </w:p>
        </w:tc>
        <w:tc>
          <w:tcPr>
            <w:tcW w:w="1076"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82" w:right="173"/>
              <w:rPr>
                <w:rFonts w:ascii="Times New Roman"/>
                <w:sz w:val="21"/>
              </w:rPr>
            </w:pPr>
            <w:r>
              <w:rPr>
                <w:rFonts w:ascii="Times New Roman"/>
                <w:sz w:val="21"/>
              </w:rPr>
              <w:t>15</w:t>
            </w:r>
          </w:p>
        </w:tc>
      </w:tr>
      <w:tr>
        <w:trPr>
          <w:trHeight w:val="272" w:hRule="atLeast"/>
        </w:trPr>
        <w:tc>
          <w:tcPr>
            <w:tcW w:w="1961" w:type="dxa"/>
          </w:tcPr>
          <w:p>
            <w:pPr>
              <w:pStyle w:val="TableParagraph"/>
              <w:spacing w:line="253" w:lineRule="exact"/>
              <w:ind w:left="24" w:right="16"/>
              <w:rPr>
                <w:sz w:val="21"/>
              </w:rPr>
            </w:pPr>
            <w:r>
              <w:rPr>
                <w:sz w:val="21"/>
              </w:rPr>
              <w:t>苯并</w:t>
            </w:r>
            <w:r>
              <w:rPr>
                <w:rFonts w:ascii="Times New Roman" w:eastAsia="Times New Roman"/>
                <w:sz w:val="21"/>
              </w:rPr>
              <w:t>[k]</w:t>
            </w:r>
            <w:r>
              <w:rPr>
                <w:sz w:val="21"/>
              </w:rPr>
              <w:t>荧蒽</w:t>
            </w:r>
          </w:p>
        </w:tc>
        <w:tc>
          <w:tcPr>
            <w:tcW w:w="864" w:type="dxa"/>
          </w:tcPr>
          <w:p>
            <w:pPr>
              <w:pStyle w:val="TableParagraph"/>
              <w:spacing w:line="239" w:lineRule="exact" w:before="14"/>
              <w:ind w:left="163"/>
              <w:jc w:val="left"/>
              <w:rPr>
                <w:rFonts w:ascii="Times New Roman"/>
                <w:sz w:val="21"/>
              </w:rPr>
            </w:pPr>
            <w:r>
              <w:rPr>
                <w:rFonts w:ascii="Times New Roman"/>
                <w:sz w:val="21"/>
              </w:rPr>
              <w:t>mg/kg</w:t>
            </w:r>
          </w:p>
        </w:tc>
        <w:tc>
          <w:tcPr>
            <w:tcW w:w="1070" w:type="dxa"/>
          </w:tcPr>
          <w:p>
            <w:pPr>
              <w:pStyle w:val="TableParagraph"/>
              <w:spacing w:line="234" w:lineRule="exact" w:before="19"/>
              <w:ind w:left="82" w:right="70"/>
              <w:rPr>
                <w:rFonts w:ascii="Times New Roman"/>
                <w:sz w:val="21"/>
              </w:rPr>
            </w:pPr>
            <w:bookmarkStart w:name="&lt;0.11" w:id="891"/>
            <w:bookmarkEnd w:id="891"/>
            <w:r>
              <w:rPr/>
            </w:r>
            <w:r>
              <w:rPr>
                <w:rFonts w:ascii="Times New Roman"/>
                <w:sz w:val="21"/>
              </w:rPr>
              <w:t>&lt;0.11</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0" w:type="dxa"/>
          </w:tcPr>
          <w:p>
            <w:pPr>
              <w:pStyle w:val="TableParagraph"/>
              <w:spacing w:line="239" w:lineRule="exact" w:before="14"/>
              <w:ind w:left="9"/>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1"/>
              <w:rPr>
                <w:rFonts w:ascii="Times New Roman"/>
                <w:sz w:val="21"/>
              </w:rPr>
            </w:pPr>
            <w:r>
              <w:rPr>
                <w:rFonts w:ascii="Times New Roman"/>
                <w:w w:val="99"/>
                <w:sz w:val="21"/>
              </w:rPr>
              <w:t>/</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6"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82" w:right="173"/>
              <w:rPr>
                <w:rFonts w:ascii="Times New Roman"/>
                <w:sz w:val="21"/>
              </w:rPr>
            </w:pPr>
            <w:r>
              <w:rPr>
                <w:rFonts w:ascii="Times New Roman"/>
                <w:sz w:val="21"/>
              </w:rPr>
              <w:t>151</w:t>
            </w:r>
          </w:p>
        </w:tc>
      </w:tr>
      <w:tr>
        <w:trPr>
          <w:trHeight w:val="272" w:hRule="atLeast"/>
        </w:trPr>
        <w:tc>
          <w:tcPr>
            <w:tcW w:w="1961" w:type="dxa"/>
          </w:tcPr>
          <w:p>
            <w:pPr>
              <w:pStyle w:val="TableParagraph"/>
              <w:spacing w:line="252" w:lineRule="exact"/>
              <w:ind w:left="6"/>
              <w:rPr>
                <w:sz w:val="21"/>
              </w:rPr>
            </w:pPr>
            <w:r>
              <w:rPr>
                <w:w w:val="99"/>
                <w:sz w:val="21"/>
              </w:rPr>
              <w:t>䓛</w:t>
            </w:r>
          </w:p>
        </w:tc>
        <w:tc>
          <w:tcPr>
            <w:tcW w:w="864" w:type="dxa"/>
          </w:tcPr>
          <w:p>
            <w:pPr>
              <w:pStyle w:val="TableParagraph"/>
              <w:spacing w:line="238" w:lineRule="exact" w:before="14"/>
              <w:ind w:left="163"/>
              <w:jc w:val="left"/>
              <w:rPr>
                <w:rFonts w:ascii="Times New Roman"/>
                <w:sz w:val="21"/>
              </w:rPr>
            </w:pPr>
            <w:r>
              <w:rPr>
                <w:rFonts w:ascii="Times New Roman"/>
                <w:sz w:val="21"/>
              </w:rPr>
              <w:t>mg/kg</w:t>
            </w:r>
          </w:p>
        </w:tc>
        <w:tc>
          <w:tcPr>
            <w:tcW w:w="1070" w:type="dxa"/>
          </w:tcPr>
          <w:p>
            <w:pPr>
              <w:pStyle w:val="TableParagraph"/>
              <w:spacing w:line="235" w:lineRule="exact" w:before="16"/>
              <w:ind w:left="81" w:right="74"/>
              <w:rPr>
                <w:rFonts w:ascii="Times New Roman"/>
                <w:sz w:val="21"/>
              </w:rPr>
            </w:pPr>
            <w:bookmarkStart w:name="&lt;0.14" w:id="892"/>
            <w:bookmarkEnd w:id="892"/>
            <w:r>
              <w:rPr/>
            </w:r>
            <w:r>
              <w:rPr>
                <w:rFonts w:ascii="Times New Roman"/>
                <w:sz w:val="21"/>
              </w:rPr>
              <w:t>&lt;0.14</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0" w:type="dxa"/>
          </w:tcPr>
          <w:p>
            <w:pPr>
              <w:pStyle w:val="TableParagraph"/>
              <w:spacing w:line="238" w:lineRule="exact" w:before="14"/>
              <w:ind w:left="9"/>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0"/>
              <w:rPr>
                <w:rFonts w:ascii="Times New Roman"/>
                <w:sz w:val="21"/>
              </w:rPr>
            </w:pPr>
            <w:r>
              <w:rPr>
                <w:rFonts w:ascii="Times New Roman"/>
                <w:w w:val="99"/>
                <w:sz w:val="21"/>
              </w:rPr>
              <w:t>/</w:t>
            </w:r>
          </w:p>
        </w:tc>
        <w:tc>
          <w:tcPr>
            <w:tcW w:w="1070" w:type="dxa"/>
          </w:tcPr>
          <w:p>
            <w:pPr>
              <w:pStyle w:val="TableParagraph"/>
              <w:spacing w:line="238" w:lineRule="exact" w:before="14"/>
              <w:ind w:left="11"/>
              <w:rPr>
                <w:rFonts w:ascii="Times New Roman"/>
                <w:sz w:val="21"/>
              </w:rPr>
            </w:pPr>
            <w:r>
              <w:rPr>
                <w:rFonts w:ascii="Times New Roman"/>
                <w:w w:val="99"/>
                <w:sz w:val="21"/>
              </w:rPr>
              <w:t>/</w:t>
            </w:r>
          </w:p>
        </w:tc>
        <w:tc>
          <w:tcPr>
            <w:tcW w:w="1070" w:type="dxa"/>
          </w:tcPr>
          <w:p>
            <w:pPr>
              <w:pStyle w:val="TableParagraph"/>
              <w:spacing w:line="238" w:lineRule="exact" w:before="14"/>
              <w:ind w:left="7"/>
              <w:rPr>
                <w:rFonts w:ascii="Times New Roman"/>
                <w:sz w:val="21"/>
              </w:rPr>
            </w:pPr>
            <w:r>
              <w:rPr>
                <w:rFonts w:ascii="Times New Roman"/>
                <w:w w:val="99"/>
                <w:sz w:val="21"/>
              </w:rPr>
              <w:t>/</w:t>
            </w:r>
          </w:p>
        </w:tc>
        <w:tc>
          <w:tcPr>
            <w:tcW w:w="1070" w:type="dxa"/>
          </w:tcPr>
          <w:p>
            <w:pPr>
              <w:pStyle w:val="TableParagraph"/>
              <w:spacing w:line="238" w:lineRule="exact" w:before="14"/>
              <w:ind w:left="8"/>
              <w:rPr>
                <w:rFonts w:ascii="Times New Roman"/>
                <w:sz w:val="21"/>
              </w:rPr>
            </w:pPr>
            <w:r>
              <w:rPr>
                <w:rFonts w:ascii="Times New Roman"/>
                <w:w w:val="99"/>
                <w:sz w:val="21"/>
              </w:rPr>
              <w:t>/</w:t>
            </w:r>
          </w:p>
        </w:tc>
        <w:tc>
          <w:tcPr>
            <w:tcW w:w="1076"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82" w:right="173"/>
              <w:rPr>
                <w:rFonts w:ascii="Times New Roman"/>
                <w:sz w:val="21"/>
              </w:rPr>
            </w:pPr>
            <w:r>
              <w:rPr>
                <w:rFonts w:ascii="Times New Roman"/>
                <w:sz w:val="21"/>
              </w:rPr>
              <w:t>1293</w:t>
            </w:r>
          </w:p>
        </w:tc>
      </w:tr>
      <w:tr>
        <w:trPr>
          <w:trHeight w:val="271" w:hRule="atLeast"/>
        </w:trPr>
        <w:tc>
          <w:tcPr>
            <w:tcW w:w="1961" w:type="dxa"/>
          </w:tcPr>
          <w:p>
            <w:pPr>
              <w:pStyle w:val="TableParagraph"/>
              <w:spacing w:line="250" w:lineRule="exact" w:before="1"/>
              <w:ind w:left="27" w:right="16"/>
              <w:rPr>
                <w:sz w:val="21"/>
              </w:rPr>
            </w:pPr>
            <w:r>
              <w:rPr>
                <w:sz w:val="21"/>
              </w:rPr>
              <w:t>茚并</w:t>
            </w:r>
            <w:r>
              <w:rPr>
                <w:rFonts w:ascii="Times New Roman" w:eastAsia="Times New Roman"/>
                <w:sz w:val="21"/>
              </w:rPr>
              <w:t>[1,2,3-cd]</w:t>
            </w:r>
            <w:r>
              <w:rPr>
                <w:sz w:val="21"/>
              </w:rPr>
              <w:t>芘</w:t>
            </w:r>
          </w:p>
        </w:tc>
        <w:tc>
          <w:tcPr>
            <w:tcW w:w="864" w:type="dxa"/>
          </w:tcPr>
          <w:p>
            <w:pPr>
              <w:pStyle w:val="TableParagraph"/>
              <w:spacing w:line="236" w:lineRule="exact" w:before="15"/>
              <w:ind w:left="163"/>
              <w:jc w:val="left"/>
              <w:rPr>
                <w:rFonts w:ascii="Times New Roman"/>
                <w:sz w:val="21"/>
              </w:rPr>
            </w:pPr>
            <w:r>
              <w:rPr>
                <w:rFonts w:ascii="Times New Roman"/>
                <w:sz w:val="21"/>
              </w:rPr>
              <w:t>mg/kg</w:t>
            </w:r>
          </w:p>
        </w:tc>
        <w:tc>
          <w:tcPr>
            <w:tcW w:w="1070" w:type="dxa"/>
          </w:tcPr>
          <w:p>
            <w:pPr>
              <w:pStyle w:val="TableParagraph"/>
              <w:spacing w:line="234" w:lineRule="exact" w:before="18"/>
              <w:ind w:left="81" w:right="74"/>
              <w:rPr>
                <w:rFonts w:ascii="Times New Roman"/>
                <w:sz w:val="21"/>
              </w:rPr>
            </w:pPr>
            <w:bookmarkStart w:name="&lt;0.13" w:id="893"/>
            <w:bookmarkEnd w:id="893"/>
            <w:r>
              <w:rPr/>
            </w:r>
            <w:r>
              <w:rPr>
                <w:rFonts w:ascii="Times New Roman"/>
                <w:sz w:val="21"/>
              </w:rPr>
              <w:t>&lt;0.13</w:t>
            </w:r>
          </w:p>
        </w:tc>
        <w:tc>
          <w:tcPr>
            <w:tcW w:w="1070" w:type="dxa"/>
          </w:tcPr>
          <w:p>
            <w:pPr>
              <w:pStyle w:val="TableParagraph"/>
              <w:spacing w:line="236" w:lineRule="exact" w:before="15"/>
              <w:ind w:left="7"/>
              <w:rPr>
                <w:rFonts w:ascii="Times New Roman"/>
                <w:sz w:val="21"/>
              </w:rPr>
            </w:pPr>
            <w:r>
              <w:rPr>
                <w:rFonts w:ascii="Times New Roman"/>
                <w:w w:val="99"/>
                <w:sz w:val="21"/>
              </w:rPr>
              <w:t>/</w:t>
            </w:r>
          </w:p>
        </w:tc>
        <w:tc>
          <w:tcPr>
            <w:tcW w:w="1070" w:type="dxa"/>
          </w:tcPr>
          <w:p>
            <w:pPr>
              <w:pStyle w:val="TableParagraph"/>
              <w:spacing w:line="236" w:lineRule="exact" w:before="15"/>
              <w:ind w:left="8"/>
              <w:rPr>
                <w:rFonts w:ascii="Times New Roman"/>
                <w:sz w:val="21"/>
              </w:rPr>
            </w:pPr>
            <w:r>
              <w:rPr>
                <w:rFonts w:ascii="Times New Roman"/>
                <w:w w:val="99"/>
                <w:sz w:val="21"/>
              </w:rPr>
              <w:t>/</w:t>
            </w:r>
          </w:p>
        </w:tc>
        <w:tc>
          <w:tcPr>
            <w:tcW w:w="1070" w:type="dxa"/>
          </w:tcPr>
          <w:p>
            <w:pPr>
              <w:pStyle w:val="TableParagraph"/>
              <w:spacing w:line="236" w:lineRule="exact" w:before="15"/>
              <w:ind w:left="9"/>
              <w:rPr>
                <w:rFonts w:ascii="Times New Roman"/>
                <w:sz w:val="21"/>
              </w:rPr>
            </w:pPr>
            <w:r>
              <w:rPr>
                <w:rFonts w:ascii="Times New Roman"/>
                <w:w w:val="99"/>
                <w:sz w:val="21"/>
              </w:rPr>
              <w:t>/</w:t>
            </w:r>
          </w:p>
        </w:tc>
        <w:tc>
          <w:tcPr>
            <w:tcW w:w="1070" w:type="dxa"/>
          </w:tcPr>
          <w:p>
            <w:pPr>
              <w:pStyle w:val="TableParagraph"/>
              <w:spacing w:line="236" w:lineRule="exact" w:before="15"/>
              <w:ind w:left="10"/>
              <w:rPr>
                <w:rFonts w:ascii="Times New Roman"/>
                <w:sz w:val="21"/>
              </w:rPr>
            </w:pPr>
            <w:r>
              <w:rPr>
                <w:rFonts w:ascii="Times New Roman"/>
                <w:w w:val="99"/>
                <w:sz w:val="21"/>
              </w:rPr>
              <w:t>/</w:t>
            </w:r>
          </w:p>
        </w:tc>
        <w:tc>
          <w:tcPr>
            <w:tcW w:w="1070" w:type="dxa"/>
          </w:tcPr>
          <w:p>
            <w:pPr>
              <w:pStyle w:val="TableParagraph"/>
              <w:spacing w:line="236" w:lineRule="exact" w:before="15"/>
              <w:ind w:left="10"/>
              <w:rPr>
                <w:rFonts w:ascii="Times New Roman"/>
                <w:sz w:val="21"/>
              </w:rPr>
            </w:pPr>
            <w:r>
              <w:rPr>
                <w:rFonts w:ascii="Times New Roman"/>
                <w:w w:val="99"/>
                <w:sz w:val="21"/>
              </w:rPr>
              <w:t>/</w:t>
            </w:r>
          </w:p>
        </w:tc>
        <w:tc>
          <w:tcPr>
            <w:tcW w:w="1070" w:type="dxa"/>
          </w:tcPr>
          <w:p>
            <w:pPr>
              <w:pStyle w:val="TableParagraph"/>
              <w:spacing w:line="236" w:lineRule="exact" w:before="15"/>
              <w:ind w:left="11"/>
              <w:rPr>
                <w:rFonts w:ascii="Times New Roman"/>
                <w:sz w:val="21"/>
              </w:rPr>
            </w:pPr>
            <w:r>
              <w:rPr>
                <w:rFonts w:ascii="Times New Roman"/>
                <w:w w:val="99"/>
                <w:sz w:val="21"/>
              </w:rPr>
              <w:t>/</w:t>
            </w:r>
          </w:p>
        </w:tc>
        <w:tc>
          <w:tcPr>
            <w:tcW w:w="1070" w:type="dxa"/>
          </w:tcPr>
          <w:p>
            <w:pPr>
              <w:pStyle w:val="TableParagraph"/>
              <w:spacing w:line="236" w:lineRule="exact" w:before="15"/>
              <w:ind w:left="7"/>
              <w:rPr>
                <w:rFonts w:ascii="Times New Roman"/>
                <w:sz w:val="21"/>
              </w:rPr>
            </w:pPr>
            <w:r>
              <w:rPr>
                <w:rFonts w:ascii="Times New Roman"/>
                <w:w w:val="99"/>
                <w:sz w:val="21"/>
              </w:rPr>
              <w:t>/</w:t>
            </w:r>
          </w:p>
        </w:tc>
        <w:tc>
          <w:tcPr>
            <w:tcW w:w="1070" w:type="dxa"/>
          </w:tcPr>
          <w:p>
            <w:pPr>
              <w:pStyle w:val="TableParagraph"/>
              <w:spacing w:line="236" w:lineRule="exact" w:before="15"/>
              <w:ind w:left="8"/>
              <w:rPr>
                <w:rFonts w:ascii="Times New Roman"/>
                <w:sz w:val="21"/>
              </w:rPr>
            </w:pPr>
            <w:r>
              <w:rPr>
                <w:rFonts w:ascii="Times New Roman"/>
                <w:w w:val="99"/>
                <w:sz w:val="21"/>
              </w:rPr>
              <w:t>/</w:t>
            </w:r>
          </w:p>
        </w:tc>
        <w:tc>
          <w:tcPr>
            <w:tcW w:w="1076"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36" w:lineRule="exact" w:before="15"/>
              <w:ind w:left="182" w:right="173"/>
              <w:rPr>
                <w:rFonts w:ascii="Times New Roman"/>
                <w:sz w:val="21"/>
              </w:rPr>
            </w:pPr>
            <w:r>
              <w:rPr>
                <w:rFonts w:ascii="Times New Roman"/>
                <w:sz w:val="21"/>
              </w:rPr>
              <w:t>1.5</w:t>
            </w:r>
          </w:p>
        </w:tc>
      </w:tr>
      <w:tr>
        <w:trPr>
          <w:trHeight w:val="273" w:hRule="atLeast"/>
        </w:trPr>
        <w:tc>
          <w:tcPr>
            <w:tcW w:w="1961" w:type="dxa"/>
          </w:tcPr>
          <w:p>
            <w:pPr>
              <w:pStyle w:val="TableParagraph"/>
              <w:spacing w:line="253" w:lineRule="exact"/>
              <w:ind w:left="24" w:right="16"/>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864" w:type="dxa"/>
          </w:tcPr>
          <w:p>
            <w:pPr>
              <w:pStyle w:val="TableParagraph"/>
              <w:spacing w:line="239" w:lineRule="exact" w:before="14"/>
              <w:ind w:left="163"/>
              <w:jc w:val="left"/>
              <w:rPr>
                <w:rFonts w:ascii="Times New Roman"/>
                <w:sz w:val="21"/>
              </w:rPr>
            </w:pPr>
            <w:r>
              <w:rPr>
                <w:rFonts w:ascii="Times New Roman"/>
                <w:sz w:val="21"/>
              </w:rPr>
              <w:t>mg/kg</w:t>
            </w:r>
          </w:p>
        </w:tc>
        <w:tc>
          <w:tcPr>
            <w:tcW w:w="1070" w:type="dxa"/>
          </w:tcPr>
          <w:p>
            <w:pPr>
              <w:pStyle w:val="TableParagraph"/>
              <w:spacing w:line="234" w:lineRule="exact" w:before="19"/>
              <w:ind w:left="81" w:right="74"/>
              <w:rPr>
                <w:rFonts w:ascii="Times New Roman"/>
                <w:sz w:val="21"/>
              </w:rPr>
            </w:pPr>
            <w:bookmarkStart w:name="&lt;0.13" w:id="894"/>
            <w:bookmarkEnd w:id="894"/>
            <w:r>
              <w:rPr/>
            </w:r>
            <w:r>
              <w:rPr>
                <w:rFonts w:ascii="Times New Roman"/>
                <w:sz w:val="21"/>
              </w:rPr>
              <w:t>&lt;0.13</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0" w:type="dxa"/>
          </w:tcPr>
          <w:p>
            <w:pPr>
              <w:pStyle w:val="TableParagraph"/>
              <w:spacing w:line="239" w:lineRule="exact" w:before="14"/>
              <w:ind w:left="9"/>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0"/>
              <w:rPr>
                <w:rFonts w:ascii="Times New Roman"/>
                <w:sz w:val="21"/>
              </w:rPr>
            </w:pPr>
            <w:r>
              <w:rPr>
                <w:rFonts w:ascii="Times New Roman"/>
                <w:w w:val="99"/>
                <w:sz w:val="21"/>
              </w:rPr>
              <w:t>/</w:t>
            </w:r>
          </w:p>
        </w:tc>
        <w:tc>
          <w:tcPr>
            <w:tcW w:w="1070" w:type="dxa"/>
          </w:tcPr>
          <w:p>
            <w:pPr>
              <w:pStyle w:val="TableParagraph"/>
              <w:spacing w:line="239" w:lineRule="exact" w:before="14"/>
              <w:ind w:left="11"/>
              <w:rPr>
                <w:rFonts w:ascii="Times New Roman"/>
                <w:sz w:val="21"/>
              </w:rPr>
            </w:pPr>
            <w:r>
              <w:rPr>
                <w:rFonts w:ascii="Times New Roman"/>
                <w:w w:val="99"/>
                <w:sz w:val="21"/>
              </w:rPr>
              <w:t>/</w:t>
            </w:r>
          </w:p>
        </w:tc>
        <w:tc>
          <w:tcPr>
            <w:tcW w:w="1070" w:type="dxa"/>
          </w:tcPr>
          <w:p>
            <w:pPr>
              <w:pStyle w:val="TableParagraph"/>
              <w:spacing w:line="239" w:lineRule="exact" w:before="14"/>
              <w:ind w:left="7"/>
              <w:rPr>
                <w:rFonts w:ascii="Times New Roman"/>
                <w:sz w:val="21"/>
              </w:rPr>
            </w:pPr>
            <w:r>
              <w:rPr>
                <w:rFonts w:ascii="Times New Roman"/>
                <w:w w:val="99"/>
                <w:sz w:val="21"/>
              </w:rPr>
              <w:t>/</w:t>
            </w:r>
          </w:p>
        </w:tc>
        <w:tc>
          <w:tcPr>
            <w:tcW w:w="1070" w:type="dxa"/>
          </w:tcPr>
          <w:p>
            <w:pPr>
              <w:pStyle w:val="TableParagraph"/>
              <w:spacing w:line="239" w:lineRule="exact" w:before="14"/>
              <w:ind w:left="8"/>
              <w:rPr>
                <w:rFonts w:ascii="Times New Roman"/>
                <w:sz w:val="21"/>
              </w:rPr>
            </w:pPr>
            <w:r>
              <w:rPr>
                <w:rFonts w:ascii="Times New Roman"/>
                <w:w w:val="99"/>
                <w:sz w:val="21"/>
              </w:rPr>
              <w:t>/</w:t>
            </w:r>
          </w:p>
        </w:tc>
        <w:tc>
          <w:tcPr>
            <w:tcW w:w="1076"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82" w:right="173"/>
              <w:rPr>
                <w:rFonts w:ascii="Times New Roman"/>
                <w:sz w:val="21"/>
              </w:rPr>
            </w:pPr>
            <w:r>
              <w:rPr>
                <w:rFonts w:ascii="Times New Roman"/>
                <w:sz w:val="21"/>
              </w:rPr>
              <w:t>15</w:t>
            </w:r>
          </w:p>
        </w:tc>
      </w:tr>
      <w:tr>
        <w:trPr>
          <w:trHeight w:val="271" w:hRule="atLeast"/>
        </w:trPr>
        <w:tc>
          <w:tcPr>
            <w:tcW w:w="1961" w:type="dxa"/>
          </w:tcPr>
          <w:p>
            <w:pPr>
              <w:pStyle w:val="TableParagraph"/>
              <w:spacing w:line="251" w:lineRule="exact"/>
              <w:ind w:left="139" w:right="16"/>
              <w:rPr>
                <w:sz w:val="21"/>
              </w:rPr>
            </w:pPr>
            <w:r>
              <w:rPr>
                <w:spacing w:val="-5"/>
                <w:w w:val="95"/>
                <w:sz w:val="21"/>
              </w:rPr>
              <w:t>石油烃</w:t>
            </w:r>
            <w:r>
              <w:rPr>
                <w:w w:val="95"/>
                <w:sz w:val="21"/>
              </w:rPr>
              <w:t>（</w:t>
            </w:r>
            <w:r>
              <w:rPr>
                <w:rFonts w:ascii="Times New Roman" w:eastAsia="Times New Roman"/>
                <w:w w:val="95"/>
                <w:sz w:val="21"/>
              </w:rPr>
              <w:t>C10~C40</w:t>
            </w:r>
            <w:r>
              <w:rPr>
                <w:w w:val="95"/>
                <w:sz w:val="21"/>
              </w:rPr>
              <w:t>）</w:t>
            </w:r>
          </w:p>
        </w:tc>
        <w:tc>
          <w:tcPr>
            <w:tcW w:w="864" w:type="dxa"/>
          </w:tcPr>
          <w:p>
            <w:pPr>
              <w:pStyle w:val="TableParagraph"/>
              <w:spacing w:line="237" w:lineRule="exact" w:before="14"/>
              <w:ind w:left="163"/>
              <w:jc w:val="left"/>
              <w:rPr>
                <w:rFonts w:ascii="Times New Roman"/>
                <w:sz w:val="21"/>
              </w:rPr>
            </w:pPr>
            <w:r>
              <w:rPr>
                <w:rFonts w:ascii="Times New Roman"/>
                <w:sz w:val="21"/>
              </w:rPr>
              <w:t>mg/kg</w:t>
            </w:r>
          </w:p>
        </w:tc>
        <w:tc>
          <w:tcPr>
            <w:tcW w:w="1070" w:type="dxa"/>
          </w:tcPr>
          <w:p>
            <w:pPr>
              <w:pStyle w:val="TableParagraph"/>
              <w:spacing w:line="235" w:lineRule="exact" w:before="17"/>
              <w:ind w:left="81" w:right="74"/>
              <w:rPr>
                <w:rFonts w:ascii="Times New Roman"/>
                <w:sz w:val="21"/>
              </w:rPr>
            </w:pPr>
            <w:bookmarkStart w:name="&lt;6" w:id="895"/>
            <w:bookmarkEnd w:id="895"/>
            <w:r>
              <w:rPr/>
            </w:r>
            <w:r>
              <w:rPr>
                <w:rFonts w:ascii="Times New Roman"/>
                <w:sz w:val="21"/>
              </w:rPr>
              <w:t>&lt;6</w:t>
            </w:r>
          </w:p>
        </w:tc>
        <w:tc>
          <w:tcPr>
            <w:tcW w:w="1070" w:type="dxa"/>
          </w:tcPr>
          <w:p>
            <w:pPr>
              <w:pStyle w:val="TableParagraph"/>
              <w:spacing w:line="237" w:lineRule="exact" w:before="14"/>
              <w:ind w:left="82" w:right="74"/>
              <w:rPr>
                <w:rFonts w:ascii="Times New Roman"/>
                <w:sz w:val="21"/>
              </w:rPr>
            </w:pPr>
            <w:r>
              <w:rPr>
                <w:rFonts w:ascii="Times New Roman"/>
                <w:sz w:val="21"/>
              </w:rPr>
              <w:t>&lt;6</w:t>
            </w:r>
          </w:p>
        </w:tc>
        <w:tc>
          <w:tcPr>
            <w:tcW w:w="1070" w:type="dxa"/>
          </w:tcPr>
          <w:p>
            <w:pPr>
              <w:pStyle w:val="TableParagraph"/>
              <w:spacing w:line="237" w:lineRule="exact" w:before="14"/>
              <w:ind w:left="82" w:right="73"/>
              <w:rPr>
                <w:rFonts w:ascii="Times New Roman"/>
                <w:sz w:val="21"/>
              </w:rPr>
            </w:pPr>
            <w:r>
              <w:rPr>
                <w:rFonts w:ascii="Times New Roman"/>
                <w:sz w:val="21"/>
              </w:rPr>
              <w:t>&lt;6</w:t>
            </w:r>
          </w:p>
        </w:tc>
        <w:tc>
          <w:tcPr>
            <w:tcW w:w="1070" w:type="dxa"/>
          </w:tcPr>
          <w:p>
            <w:pPr>
              <w:pStyle w:val="TableParagraph"/>
              <w:spacing w:line="237" w:lineRule="exact" w:before="14"/>
              <w:ind w:left="81" w:right="74"/>
              <w:rPr>
                <w:rFonts w:ascii="Times New Roman"/>
                <w:sz w:val="21"/>
              </w:rPr>
            </w:pPr>
            <w:r>
              <w:rPr>
                <w:rFonts w:ascii="Times New Roman"/>
                <w:sz w:val="21"/>
              </w:rPr>
              <w:t>&lt;6</w:t>
            </w:r>
          </w:p>
        </w:tc>
        <w:tc>
          <w:tcPr>
            <w:tcW w:w="1070" w:type="dxa"/>
          </w:tcPr>
          <w:p>
            <w:pPr>
              <w:pStyle w:val="TableParagraph"/>
              <w:spacing w:line="235" w:lineRule="exact" w:before="17"/>
              <w:ind w:right="413"/>
              <w:jc w:val="right"/>
              <w:rPr>
                <w:rFonts w:ascii="Times New Roman"/>
                <w:sz w:val="21"/>
              </w:rPr>
            </w:pPr>
            <w:bookmarkStart w:name="&lt;6" w:id="896"/>
            <w:bookmarkEnd w:id="896"/>
            <w:r>
              <w:rPr/>
            </w:r>
            <w:r>
              <w:rPr>
                <w:rFonts w:ascii="Times New Roman"/>
                <w:w w:val="95"/>
                <w:sz w:val="21"/>
              </w:rPr>
              <w:t>&lt;6</w:t>
            </w:r>
          </w:p>
        </w:tc>
        <w:tc>
          <w:tcPr>
            <w:tcW w:w="1070" w:type="dxa"/>
          </w:tcPr>
          <w:p>
            <w:pPr>
              <w:pStyle w:val="TableParagraph"/>
              <w:spacing w:line="235" w:lineRule="exact" w:before="17"/>
              <w:ind w:left="80" w:right="74"/>
              <w:rPr>
                <w:rFonts w:ascii="Times New Roman"/>
                <w:sz w:val="21"/>
              </w:rPr>
            </w:pPr>
            <w:bookmarkStart w:name="&lt;6" w:id="897"/>
            <w:bookmarkEnd w:id="897"/>
            <w:r>
              <w:rPr/>
            </w:r>
            <w:r>
              <w:rPr>
                <w:rFonts w:ascii="Times New Roman"/>
                <w:sz w:val="21"/>
              </w:rPr>
              <w:t>&lt;6</w:t>
            </w:r>
          </w:p>
        </w:tc>
        <w:tc>
          <w:tcPr>
            <w:tcW w:w="1070" w:type="dxa"/>
          </w:tcPr>
          <w:p>
            <w:pPr>
              <w:pStyle w:val="TableParagraph"/>
              <w:spacing w:line="235" w:lineRule="exact" w:before="17"/>
              <w:ind w:left="81" w:right="74"/>
              <w:rPr>
                <w:rFonts w:ascii="Times New Roman"/>
                <w:sz w:val="21"/>
              </w:rPr>
            </w:pPr>
            <w:bookmarkStart w:name="&lt;6" w:id="898"/>
            <w:bookmarkEnd w:id="898"/>
            <w:r>
              <w:rPr/>
            </w:r>
            <w:r>
              <w:rPr>
                <w:rFonts w:ascii="Times New Roman"/>
                <w:sz w:val="21"/>
              </w:rPr>
              <w:t>&lt;6</w:t>
            </w:r>
          </w:p>
        </w:tc>
        <w:tc>
          <w:tcPr>
            <w:tcW w:w="1070" w:type="dxa"/>
          </w:tcPr>
          <w:p>
            <w:pPr>
              <w:pStyle w:val="TableParagraph"/>
              <w:spacing w:line="237" w:lineRule="exact" w:before="14"/>
              <w:ind w:left="82" w:right="74"/>
              <w:rPr>
                <w:rFonts w:ascii="Times New Roman"/>
                <w:sz w:val="21"/>
              </w:rPr>
            </w:pPr>
            <w:r>
              <w:rPr>
                <w:rFonts w:ascii="Times New Roman"/>
                <w:sz w:val="21"/>
              </w:rPr>
              <w:t>&lt;6</w:t>
            </w:r>
          </w:p>
        </w:tc>
        <w:tc>
          <w:tcPr>
            <w:tcW w:w="1070" w:type="dxa"/>
          </w:tcPr>
          <w:p>
            <w:pPr>
              <w:pStyle w:val="TableParagraph"/>
              <w:spacing w:line="237" w:lineRule="exact" w:before="14"/>
              <w:ind w:left="82" w:right="73"/>
              <w:rPr>
                <w:rFonts w:ascii="Times New Roman"/>
                <w:sz w:val="21"/>
              </w:rPr>
            </w:pPr>
            <w:r>
              <w:rPr>
                <w:rFonts w:ascii="Times New Roman"/>
                <w:sz w:val="21"/>
              </w:rPr>
              <w:t>&lt;6</w:t>
            </w:r>
          </w:p>
        </w:tc>
        <w:tc>
          <w:tcPr>
            <w:tcW w:w="1076" w:type="dxa"/>
          </w:tcPr>
          <w:p>
            <w:pPr>
              <w:pStyle w:val="TableParagraph"/>
              <w:spacing w:line="237" w:lineRule="exact" w:before="14"/>
              <w:ind w:left="116" w:right="108"/>
              <w:rPr>
                <w:rFonts w:ascii="Times New Roman"/>
                <w:sz w:val="21"/>
              </w:rPr>
            </w:pPr>
            <w:r>
              <w:rPr>
                <w:rFonts w:ascii="Times New Roman"/>
                <w:sz w:val="21"/>
              </w:rPr>
              <w:t>&lt;6</w:t>
            </w:r>
          </w:p>
        </w:tc>
        <w:tc>
          <w:tcPr>
            <w:tcW w:w="1038" w:type="dxa"/>
          </w:tcPr>
          <w:p>
            <w:pPr>
              <w:pStyle w:val="TableParagraph"/>
              <w:spacing w:line="237" w:lineRule="exact" w:before="14"/>
              <w:ind w:left="182" w:right="173"/>
              <w:rPr>
                <w:rFonts w:ascii="Times New Roman"/>
                <w:sz w:val="21"/>
              </w:rPr>
            </w:pPr>
            <w:r>
              <w:rPr>
                <w:rFonts w:ascii="Times New Roman"/>
                <w:sz w:val="21"/>
              </w:rPr>
              <w:t>4500</w:t>
            </w:r>
          </w:p>
        </w:tc>
      </w:tr>
      <w:tr>
        <w:trPr>
          <w:trHeight w:val="273" w:hRule="atLeast"/>
        </w:trPr>
        <w:tc>
          <w:tcPr>
            <w:tcW w:w="1961" w:type="dxa"/>
          </w:tcPr>
          <w:p>
            <w:pPr>
              <w:pStyle w:val="TableParagraph"/>
              <w:spacing w:line="251" w:lineRule="exact" w:before="1"/>
              <w:ind w:left="6"/>
              <w:rPr>
                <w:sz w:val="21"/>
              </w:rPr>
            </w:pPr>
            <w:r>
              <w:rPr>
                <w:w w:val="99"/>
                <w:sz w:val="21"/>
              </w:rPr>
              <w:t>铬</w:t>
            </w:r>
          </w:p>
        </w:tc>
        <w:tc>
          <w:tcPr>
            <w:tcW w:w="864" w:type="dxa"/>
          </w:tcPr>
          <w:p>
            <w:pPr>
              <w:pStyle w:val="TableParagraph"/>
              <w:spacing w:line="237" w:lineRule="exact" w:before="15"/>
              <w:ind w:left="163"/>
              <w:jc w:val="left"/>
              <w:rPr>
                <w:rFonts w:ascii="Times New Roman"/>
                <w:sz w:val="21"/>
              </w:rPr>
            </w:pPr>
            <w:r>
              <w:rPr>
                <w:rFonts w:ascii="Times New Roman"/>
                <w:sz w:val="21"/>
              </w:rPr>
              <w:t>mg/kg</w:t>
            </w:r>
          </w:p>
        </w:tc>
        <w:tc>
          <w:tcPr>
            <w:tcW w:w="1070" w:type="dxa"/>
          </w:tcPr>
          <w:p>
            <w:pPr>
              <w:pStyle w:val="TableParagraph"/>
              <w:spacing w:line="237" w:lineRule="exact" w:before="15"/>
              <w:ind w:left="11"/>
              <w:rPr>
                <w:rFonts w:ascii="Times New Roman"/>
                <w:sz w:val="21"/>
              </w:rPr>
            </w:pPr>
            <w:r>
              <w:rPr>
                <w:rFonts w:ascii="Times New Roman"/>
                <w:w w:val="99"/>
                <w:sz w:val="21"/>
              </w:rPr>
              <w:t>/</w:t>
            </w:r>
          </w:p>
        </w:tc>
        <w:tc>
          <w:tcPr>
            <w:tcW w:w="1070" w:type="dxa"/>
          </w:tcPr>
          <w:p>
            <w:pPr>
              <w:pStyle w:val="TableParagraph"/>
              <w:spacing w:line="235" w:lineRule="exact" w:before="18"/>
              <w:ind w:left="82" w:right="72"/>
              <w:rPr>
                <w:rFonts w:ascii="Times New Roman"/>
                <w:sz w:val="21"/>
              </w:rPr>
            </w:pPr>
            <w:bookmarkStart w:name="32" w:id="899"/>
            <w:bookmarkEnd w:id="899"/>
            <w:r>
              <w:rPr/>
            </w:r>
            <w:r>
              <w:rPr>
                <w:rFonts w:ascii="Times New Roman"/>
                <w:sz w:val="21"/>
              </w:rPr>
              <w:t>32</w:t>
            </w:r>
          </w:p>
        </w:tc>
        <w:tc>
          <w:tcPr>
            <w:tcW w:w="1070" w:type="dxa"/>
          </w:tcPr>
          <w:p>
            <w:pPr>
              <w:pStyle w:val="TableParagraph"/>
              <w:spacing w:line="235" w:lineRule="exact" w:before="18"/>
              <w:ind w:left="82" w:right="71"/>
              <w:rPr>
                <w:rFonts w:ascii="Times New Roman"/>
                <w:sz w:val="21"/>
              </w:rPr>
            </w:pPr>
            <w:bookmarkStart w:name="36" w:id="900"/>
            <w:bookmarkEnd w:id="900"/>
            <w:r>
              <w:rPr/>
            </w:r>
            <w:r>
              <w:rPr>
                <w:rFonts w:ascii="Times New Roman"/>
                <w:sz w:val="21"/>
              </w:rPr>
              <w:t>36</w:t>
            </w:r>
          </w:p>
        </w:tc>
        <w:tc>
          <w:tcPr>
            <w:tcW w:w="1070" w:type="dxa"/>
          </w:tcPr>
          <w:p>
            <w:pPr>
              <w:pStyle w:val="TableParagraph"/>
              <w:spacing w:line="235" w:lineRule="exact" w:before="18"/>
              <w:ind w:left="81" w:right="74"/>
              <w:rPr>
                <w:rFonts w:ascii="Times New Roman"/>
                <w:sz w:val="21"/>
              </w:rPr>
            </w:pPr>
            <w:bookmarkStart w:name="39" w:id="901"/>
            <w:bookmarkEnd w:id="901"/>
            <w:r>
              <w:rPr/>
            </w:r>
            <w:r>
              <w:rPr>
                <w:rFonts w:ascii="Times New Roman"/>
                <w:sz w:val="21"/>
              </w:rPr>
              <w:t>39</w:t>
            </w:r>
          </w:p>
        </w:tc>
        <w:tc>
          <w:tcPr>
            <w:tcW w:w="1070" w:type="dxa"/>
          </w:tcPr>
          <w:p>
            <w:pPr>
              <w:pStyle w:val="TableParagraph"/>
              <w:spacing w:line="235" w:lineRule="exact" w:before="18"/>
              <w:ind w:right="418"/>
              <w:jc w:val="right"/>
              <w:rPr>
                <w:rFonts w:ascii="Times New Roman"/>
                <w:sz w:val="21"/>
              </w:rPr>
            </w:pPr>
            <w:bookmarkStart w:name="53" w:id="902"/>
            <w:bookmarkEnd w:id="902"/>
            <w:r>
              <w:rPr/>
            </w:r>
            <w:r>
              <w:rPr>
                <w:rFonts w:ascii="Times New Roman"/>
                <w:sz w:val="21"/>
              </w:rPr>
              <w:t>53</w:t>
            </w:r>
          </w:p>
        </w:tc>
        <w:tc>
          <w:tcPr>
            <w:tcW w:w="1070" w:type="dxa"/>
          </w:tcPr>
          <w:p>
            <w:pPr>
              <w:pStyle w:val="TableParagraph"/>
              <w:spacing w:line="235" w:lineRule="exact" w:before="18"/>
              <w:ind w:left="82" w:right="73"/>
              <w:rPr>
                <w:rFonts w:ascii="Times New Roman"/>
                <w:sz w:val="21"/>
              </w:rPr>
            </w:pPr>
            <w:bookmarkStart w:name="32" w:id="903"/>
            <w:bookmarkEnd w:id="903"/>
            <w:r>
              <w:rPr/>
            </w:r>
            <w:r>
              <w:rPr>
                <w:rFonts w:ascii="Times New Roman"/>
                <w:sz w:val="21"/>
              </w:rPr>
              <w:t>32</w:t>
            </w:r>
          </w:p>
        </w:tc>
        <w:tc>
          <w:tcPr>
            <w:tcW w:w="1070" w:type="dxa"/>
          </w:tcPr>
          <w:p>
            <w:pPr>
              <w:pStyle w:val="TableParagraph"/>
              <w:spacing w:line="235" w:lineRule="exact" w:before="18"/>
              <w:ind w:left="82" w:right="72"/>
              <w:rPr>
                <w:rFonts w:ascii="Times New Roman"/>
                <w:sz w:val="21"/>
              </w:rPr>
            </w:pPr>
            <w:bookmarkStart w:name="51" w:id="904"/>
            <w:bookmarkEnd w:id="904"/>
            <w:r>
              <w:rPr/>
            </w:r>
            <w:r>
              <w:rPr>
                <w:rFonts w:ascii="Times New Roman"/>
                <w:sz w:val="21"/>
              </w:rPr>
              <w:t>51</w:t>
            </w:r>
          </w:p>
        </w:tc>
        <w:tc>
          <w:tcPr>
            <w:tcW w:w="1070" w:type="dxa"/>
          </w:tcPr>
          <w:p>
            <w:pPr>
              <w:pStyle w:val="TableParagraph"/>
              <w:spacing w:line="237" w:lineRule="exact" w:before="15"/>
              <w:ind w:left="82" w:right="72"/>
              <w:rPr>
                <w:rFonts w:ascii="Times New Roman"/>
                <w:sz w:val="21"/>
              </w:rPr>
            </w:pPr>
            <w:r>
              <w:rPr>
                <w:rFonts w:ascii="Times New Roman"/>
                <w:sz w:val="21"/>
              </w:rPr>
              <w:t>71</w:t>
            </w:r>
          </w:p>
        </w:tc>
        <w:tc>
          <w:tcPr>
            <w:tcW w:w="1070" w:type="dxa"/>
          </w:tcPr>
          <w:p>
            <w:pPr>
              <w:pStyle w:val="TableParagraph"/>
              <w:spacing w:line="237" w:lineRule="exact" w:before="15"/>
              <w:ind w:left="82" w:right="71"/>
              <w:rPr>
                <w:rFonts w:ascii="Times New Roman"/>
                <w:sz w:val="21"/>
              </w:rPr>
            </w:pPr>
            <w:r>
              <w:rPr>
                <w:rFonts w:ascii="Times New Roman"/>
                <w:sz w:val="21"/>
              </w:rPr>
              <w:t>70</w:t>
            </w:r>
          </w:p>
        </w:tc>
        <w:tc>
          <w:tcPr>
            <w:tcW w:w="1076" w:type="dxa"/>
          </w:tcPr>
          <w:p>
            <w:pPr>
              <w:pStyle w:val="TableParagraph"/>
              <w:spacing w:line="237" w:lineRule="exact" w:before="15"/>
              <w:ind w:left="116" w:right="105"/>
              <w:rPr>
                <w:rFonts w:ascii="Times New Roman"/>
                <w:sz w:val="21"/>
              </w:rPr>
            </w:pPr>
            <w:r>
              <w:rPr>
                <w:rFonts w:ascii="Times New Roman"/>
                <w:sz w:val="21"/>
              </w:rPr>
              <w:t>52</w:t>
            </w:r>
          </w:p>
        </w:tc>
        <w:tc>
          <w:tcPr>
            <w:tcW w:w="1038" w:type="dxa"/>
          </w:tcPr>
          <w:p>
            <w:pPr>
              <w:pStyle w:val="TableParagraph"/>
              <w:spacing w:line="251" w:lineRule="exact" w:before="1"/>
              <w:ind w:left="8"/>
              <w:rPr>
                <w:sz w:val="21"/>
              </w:rPr>
            </w:pPr>
            <w:r>
              <w:rPr>
                <w:w w:val="99"/>
                <w:sz w:val="21"/>
              </w:rPr>
              <w:t>—</w:t>
            </w:r>
          </w:p>
        </w:tc>
      </w:tr>
      <w:tr>
        <w:trPr>
          <w:trHeight w:val="271" w:hRule="atLeast"/>
        </w:trPr>
        <w:tc>
          <w:tcPr>
            <w:tcW w:w="1961" w:type="dxa"/>
          </w:tcPr>
          <w:p>
            <w:pPr>
              <w:pStyle w:val="TableParagraph"/>
              <w:spacing w:line="252" w:lineRule="exact"/>
              <w:ind w:left="6"/>
              <w:rPr>
                <w:sz w:val="21"/>
              </w:rPr>
            </w:pPr>
            <w:r>
              <w:rPr>
                <w:w w:val="99"/>
                <w:sz w:val="21"/>
              </w:rPr>
              <w:t>锌</w:t>
            </w:r>
          </w:p>
        </w:tc>
        <w:tc>
          <w:tcPr>
            <w:tcW w:w="864" w:type="dxa"/>
          </w:tcPr>
          <w:p>
            <w:pPr>
              <w:pStyle w:val="TableParagraph"/>
              <w:spacing w:line="238" w:lineRule="exact" w:before="13"/>
              <w:ind w:left="163"/>
              <w:jc w:val="left"/>
              <w:rPr>
                <w:rFonts w:ascii="Times New Roman"/>
                <w:sz w:val="21"/>
              </w:rPr>
            </w:pPr>
            <w:r>
              <w:rPr>
                <w:rFonts w:ascii="Times New Roman"/>
                <w:sz w:val="21"/>
              </w:rPr>
              <w:t>mg/kg</w:t>
            </w:r>
          </w:p>
        </w:tc>
        <w:tc>
          <w:tcPr>
            <w:tcW w:w="1070" w:type="dxa"/>
          </w:tcPr>
          <w:p>
            <w:pPr>
              <w:pStyle w:val="TableParagraph"/>
              <w:spacing w:line="238" w:lineRule="exact" w:before="13"/>
              <w:ind w:left="11"/>
              <w:rPr>
                <w:rFonts w:ascii="Times New Roman"/>
                <w:sz w:val="21"/>
              </w:rPr>
            </w:pPr>
            <w:r>
              <w:rPr>
                <w:rFonts w:ascii="Times New Roman"/>
                <w:w w:val="99"/>
                <w:sz w:val="21"/>
              </w:rPr>
              <w:t>/</w:t>
            </w:r>
          </w:p>
        </w:tc>
        <w:tc>
          <w:tcPr>
            <w:tcW w:w="1070" w:type="dxa"/>
          </w:tcPr>
          <w:p>
            <w:pPr>
              <w:pStyle w:val="TableParagraph"/>
              <w:spacing w:line="236" w:lineRule="exact" w:before="16"/>
              <w:ind w:left="82" w:right="72"/>
              <w:rPr>
                <w:rFonts w:ascii="Times New Roman"/>
                <w:sz w:val="21"/>
              </w:rPr>
            </w:pPr>
            <w:bookmarkStart w:name="60" w:id="905"/>
            <w:bookmarkEnd w:id="905"/>
            <w:r>
              <w:rPr/>
            </w:r>
            <w:r>
              <w:rPr>
                <w:rFonts w:ascii="Times New Roman"/>
                <w:sz w:val="21"/>
              </w:rPr>
              <w:t>60</w:t>
            </w:r>
          </w:p>
        </w:tc>
        <w:tc>
          <w:tcPr>
            <w:tcW w:w="1070" w:type="dxa"/>
          </w:tcPr>
          <w:p>
            <w:pPr>
              <w:pStyle w:val="TableParagraph"/>
              <w:spacing w:line="236" w:lineRule="exact" w:before="16"/>
              <w:ind w:left="82" w:right="71"/>
              <w:rPr>
                <w:rFonts w:ascii="Times New Roman"/>
                <w:sz w:val="21"/>
              </w:rPr>
            </w:pPr>
            <w:bookmarkStart w:name="73" w:id="906"/>
            <w:bookmarkEnd w:id="906"/>
            <w:r>
              <w:rPr/>
            </w:r>
            <w:r>
              <w:rPr>
                <w:rFonts w:ascii="Times New Roman"/>
                <w:sz w:val="21"/>
              </w:rPr>
              <w:t>73</w:t>
            </w:r>
          </w:p>
        </w:tc>
        <w:tc>
          <w:tcPr>
            <w:tcW w:w="1070" w:type="dxa"/>
          </w:tcPr>
          <w:p>
            <w:pPr>
              <w:pStyle w:val="TableParagraph"/>
              <w:spacing w:line="236" w:lineRule="exact" w:before="16"/>
              <w:ind w:left="81" w:right="74"/>
              <w:rPr>
                <w:rFonts w:ascii="Times New Roman"/>
                <w:sz w:val="21"/>
              </w:rPr>
            </w:pPr>
            <w:bookmarkStart w:name="65" w:id="907"/>
            <w:bookmarkEnd w:id="907"/>
            <w:r>
              <w:rPr/>
            </w:r>
            <w:r>
              <w:rPr>
                <w:rFonts w:ascii="Times New Roman"/>
                <w:sz w:val="21"/>
              </w:rPr>
              <w:t>65</w:t>
            </w:r>
          </w:p>
        </w:tc>
        <w:tc>
          <w:tcPr>
            <w:tcW w:w="1070" w:type="dxa"/>
          </w:tcPr>
          <w:p>
            <w:pPr>
              <w:pStyle w:val="TableParagraph"/>
              <w:spacing w:line="236" w:lineRule="exact" w:before="16"/>
              <w:ind w:right="418"/>
              <w:jc w:val="right"/>
              <w:rPr>
                <w:rFonts w:ascii="Times New Roman"/>
                <w:sz w:val="21"/>
              </w:rPr>
            </w:pPr>
            <w:bookmarkStart w:name="88" w:id="908"/>
            <w:bookmarkEnd w:id="908"/>
            <w:r>
              <w:rPr/>
            </w:r>
            <w:r>
              <w:rPr>
                <w:rFonts w:ascii="Times New Roman"/>
                <w:sz w:val="21"/>
              </w:rPr>
              <w:t>88</w:t>
            </w:r>
          </w:p>
        </w:tc>
        <w:tc>
          <w:tcPr>
            <w:tcW w:w="1070" w:type="dxa"/>
          </w:tcPr>
          <w:p>
            <w:pPr>
              <w:pStyle w:val="TableParagraph"/>
              <w:spacing w:line="236" w:lineRule="exact" w:before="16"/>
              <w:ind w:left="82" w:right="73"/>
              <w:rPr>
                <w:rFonts w:ascii="Times New Roman"/>
                <w:sz w:val="21"/>
              </w:rPr>
            </w:pPr>
            <w:bookmarkStart w:name="88" w:id="909"/>
            <w:bookmarkEnd w:id="909"/>
            <w:r>
              <w:rPr/>
            </w:r>
            <w:r>
              <w:rPr>
                <w:rFonts w:ascii="Times New Roman"/>
                <w:sz w:val="21"/>
              </w:rPr>
              <w:t>88</w:t>
            </w:r>
          </w:p>
        </w:tc>
        <w:tc>
          <w:tcPr>
            <w:tcW w:w="1070" w:type="dxa"/>
          </w:tcPr>
          <w:p>
            <w:pPr>
              <w:pStyle w:val="TableParagraph"/>
              <w:spacing w:line="236" w:lineRule="exact" w:before="16"/>
              <w:ind w:left="82" w:right="72"/>
              <w:rPr>
                <w:rFonts w:ascii="Times New Roman"/>
                <w:sz w:val="21"/>
              </w:rPr>
            </w:pPr>
            <w:bookmarkStart w:name="73" w:id="910"/>
            <w:bookmarkEnd w:id="910"/>
            <w:r>
              <w:rPr/>
            </w:r>
            <w:r>
              <w:rPr>
                <w:rFonts w:ascii="Times New Roman"/>
                <w:sz w:val="21"/>
              </w:rPr>
              <w:t>73</w:t>
            </w:r>
          </w:p>
        </w:tc>
        <w:tc>
          <w:tcPr>
            <w:tcW w:w="1070" w:type="dxa"/>
          </w:tcPr>
          <w:p>
            <w:pPr>
              <w:pStyle w:val="TableParagraph"/>
              <w:spacing w:line="238" w:lineRule="exact" w:before="13"/>
              <w:ind w:left="82" w:right="72"/>
              <w:rPr>
                <w:rFonts w:ascii="Times New Roman"/>
                <w:sz w:val="21"/>
              </w:rPr>
            </w:pPr>
            <w:r>
              <w:rPr>
                <w:rFonts w:ascii="Times New Roman"/>
                <w:sz w:val="21"/>
              </w:rPr>
              <w:t>82</w:t>
            </w:r>
          </w:p>
        </w:tc>
        <w:tc>
          <w:tcPr>
            <w:tcW w:w="1070" w:type="dxa"/>
          </w:tcPr>
          <w:p>
            <w:pPr>
              <w:pStyle w:val="TableParagraph"/>
              <w:spacing w:line="238" w:lineRule="exact" w:before="13"/>
              <w:ind w:left="82" w:right="71"/>
              <w:rPr>
                <w:rFonts w:ascii="Times New Roman"/>
                <w:sz w:val="21"/>
              </w:rPr>
            </w:pPr>
            <w:r>
              <w:rPr>
                <w:rFonts w:ascii="Times New Roman"/>
                <w:sz w:val="21"/>
              </w:rPr>
              <w:t>74</w:t>
            </w:r>
          </w:p>
        </w:tc>
        <w:tc>
          <w:tcPr>
            <w:tcW w:w="1076" w:type="dxa"/>
          </w:tcPr>
          <w:p>
            <w:pPr>
              <w:pStyle w:val="TableParagraph"/>
              <w:spacing w:line="238" w:lineRule="exact" w:before="13"/>
              <w:ind w:left="116" w:right="105"/>
              <w:rPr>
                <w:rFonts w:ascii="Times New Roman"/>
                <w:sz w:val="21"/>
              </w:rPr>
            </w:pPr>
            <w:r>
              <w:rPr>
                <w:rFonts w:ascii="Times New Roman"/>
                <w:sz w:val="21"/>
              </w:rPr>
              <w:t>62</w:t>
            </w:r>
          </w:p>
        </w:tc>
        <w:tc>
          <w:tcPr>
            <w:tcW w:w="1038" w:type="dxa"/>
          </w:tcPr>
          <w:p>
            <w:pPr>
              <w:pStyle w:val="TableParagraph"/>
              <w:spacing w:line="252" w:lineRule="exact"/>
              <w:ind w:left="8"/>
              <w:rPr>
                <w:sz w:val="21"/>
              </w:rPr>
            </w:pPr>
            <w:r>
              <w:rPr>
                <w:w w:val="99"/>
                <w:sz w:val="21"/>
              </w:rPr>
              <w:t>—</w:t>
            </w:r>
          </w:p>
        </w:tc>
      </w:tr>
    </w:tbl>
    <w:p>
      <w:pPr>
        <w:spacing w:after="0" w:line="252" w:lineRule="exact"/>
        <w:rPr>
          <w:sz w:val="21"/>
        </w:rPr>
        <w:sectPr>
          <w:pgSz w:w="16840" w:h="11910" w:orient="landscape"/>
          <w:pgMar w:header="0" w:footer="1089" w:top="1100" w:bottom="1280" w:left="1360" w:right="680"/>
        </w:sectPr>
      </w:pPr>
    </w:p>
    <w:p>
      <w:pPr>
        <w:pStyle w:val="BodyText"/>
        <w:rPr>
          <w:rFonts w:ascii="Times New Roman"/>
          <w:sz w:val="20"/>
        </w:rPr>
      </w:pPr>
    </w:p>
    <w:p>
      <w:pPr>
        <w:pStyle w:val="BodyText"/>
        <w:spacing w:before="7"/>
        <w:rPr>
          <w:rFonts w:ascii="Times New Roman"/>
          <w:sz w:val="16"/>
        </w:rPr>
      </w:pPr>
    </w:p>
    <w:p>
      <w:pPr>
        <w:spacing w:before="77"/>
        <w:ind w:left="4896" w:right="0" w:firstLine="0"/>
        <w:jc w:val="left"/>
        <w:rPr>
          <w:b/>
          <w:sz w:val="24"/>
        </w:rPr>
      </w:pPr>
      <w:r>
        <w:rPr>
          <w:b/>
          <w:sz w:val="24"/>
        </w:rPr>
        <w:t>表 </w:t>
      </w:r>
      <w:r>
        <w:rPr>
          <w:rFonts w:ascii="Times New Roman" w:eastAsia="Times New Roman"/>
          <w:b/>
          <w:sz w:val="24"/>
        </w:rPr>
        <w:t>11.3-8 </w:t>
      </w:r>
      <w:r>
        <w:rPr>
          <w:b/>
          <w:sz w:val="24"/>
        </w:rPr>
        <w:t>建设用地土壤环境质量评价结果</w:t>
      </w:r>
    </w:p>
    <w:p>
      <w:pPr>
        <w:pStyle w:val="BodyText"/>
        <w:spacing w:before="3"/>
        <w:rPr>
          <w:b/>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9"/>
        <w:gridCol w:w="1084"/>
        <w:gridCol w:w="1034"/>
        <w:gridCol w:w="1035"/>
        <w:gridCol w:w="1037"/>
        <w:gridCol w:w="1037"/>
        <w:gridCol w:w="1037"/>
        <w:gridCol w:w="1037"/>
        <w:gridCol w:w="1037"/>
        <w:gridCol w:w="1038"/>
        <w:gridCol w:w="1038"/>
        <w:gridCol w:w="1038"/>
        <w:gridCol w:w="1038"/>
      </w:tblGrid>
      <w:tr>
        <w:trPr>
          <w:trHeight w:val="272" w:hRule="atLeast"/>
        </w:trPr>
        <w:tc>
          <w:tcPr>
            <w:tcW w:w="2079" w:type="dxa"/>
            <w:vMerge w:val="restart"/>
          </w:tcPr>
          <w:p>
            <w:pPr>
              <w:pStyle w:val="TableParagraph"/>
              <w:jc w:val="left"/>
              <w:rPr>
                <w:b/>
                <w:sz w:val="20"/>
              </w:rPr>
            </w:pPr>
          </w:p>
          <w:p>
            <w:pPr>
              <w:pStyle w:val="TableParagraph"/>
              <w:spacing w:before="10"/>
              <w:jc w:val="left"/>
              <w:rPr>
                <w:b/>
                <w:sz w:val="22"/>
              </w:rPr>
            </w:pPr>
          </w:p>
          <w:p>
            <w:pPr>
              <w:pStyle w:val="TableParagraph"/>
              <w:spacing w:before="1"/>
              <w:ind w:left="619"/>
              <w:jc w:val="left"/>
              <w:rPr>
                <w:sz w:val="21"/>
              </w:rPr>
            </w:pPr>
            <w:r>
              <w:rPr>
                <w:sz w:val="21"/>
              </w:rPr>
              <w:t>监测项目</w:t>
            </w:r>
          </w:p>
        </w:tc>
        <w:tc>
          <w:tcPr>
            <w:tcW w:w="1084" w:type="dxa"/>
            <w:vMerge w:val="restart"/>
          </w:tcPr>
          <w:p>
            <w:pPr>
              <w:pStyle w:val="TableParagraph"/>
              <w:jc w:val="left"/>
              <w:rPr>
                <w:b/>
                <w:sz w:val="20"/>
              </w:rPr>
            </w:pPr>
          </w:p>
          <w:p>
            <w:pPr>
              <w:pStyle w:val="TableParagraph"/>
              <w:spacing w:before="10"/>
              <w:jc w:val="left"/>
              <w:rPr>
                <w:b/>
                <w:sz w:val="22"/>
              </w:rPr>
            </w:pPr>
          </w:p>
          <w:p>
            <w:pPr>
              <w:pStyle w:val="TableParagraph"/>
              <w:spacing w:before="1"/>
              <w:ind w:left="331"/>
              <w:jc w:val="left"/>
              <w:rPr>
                <w:sz w:val="21"/>
              </w:rPr>
            </w:pPr>
            <w:r>
              <w:rPr>
                <w:sz w:val="21"/>
              </w:rPr>
              <w:t>单位</w:t>
            </w:r>
          </w:p>
        </w:tc>
        <w:tc>
          <w:tcPr>
            <w:tcW w:w="10368" w:type="dxa"/>
            <w:gridSpan w:val="10"/>
          </w:tcPr>
          <w:p>
            <w:pPr>
              <w:pStyle w:val="TableParagraph"/>
              <w:spacing w:line="252" w:lineRule="exact"/>
              <w:ind w:left="4551" w:right="4542"/>
              <w:rPr>
                <w:sz w:val="21"/>
              </w:rPr>
            </w:pPr>
            <w:r>
              <w:rPr>
                <w:sz w:val="21"/>
              </w:rPr>
              <w:t>占标率（</w:t>
            </w:r>
            <w:r>
              <w:rPr>
                <w:rFonts w:ascii="Times New Roman" w:eastAsia="Times New Roman"/>
                <w:sz w:val="21"/>
              </w:rPr>
              <w:t>%</w:t>
            </w:r>
            <w:r>
              <w:rPr>
                <w:sz w:val="21"/>
              </w:rPr>
              <w:t>）</w:t>
            </w:r>
          </w:p>
        </w:tc>
        <w:tc>
          <w:tcPr>
            <w:tcW w:w="1038" w:type="dxa"/>
            <w:vMerge w:val="restart"/>
          </w:tcPr>
          <w:p>
            <w:pPr>
              <w:pStyle w:val="TableParagraph"/>
              <w:jc w:val="left"/>
              <w:rPr>
                <w:b/>
                <w:sz w:val="20"/>
              </w:rPr>
            </w:pPr>
          </w:p>
          <w:p>
            <w:pPr>
              <w:pStyle w:val="TableParagraph"/>
              <w:spacing w:line="244" w:lineRule="auto" w:before="156"/>
              <w:ind w:left="307" w:right="300"/>
              <w:jc w:val="left"/>
              <w:rPr>
                <w:sz w:val="21"/>
              </w:rPr>
            </w:pPr>
            <w:r>
              <w:rPr>
                <w:sz w:val="21"/>
              </w:rPr>
              <w:t>达标情况</w:t>
            </w:r>
          </w:p>
        </w:tc>
      </w:tr>
      <w:tr>
        <w:trPr>
          <w:trHeight w:val="1089" w:hRule="atLeast"/>
        </w:trPr>
        <w:tc>
          <w:tcPr>
            <w:tcW w:w="2079" w:type="dxa"/>
            <w:vMerge/>
            <w:tcBorders>
              <w:top w:val="nil"/>
            </w:tcBorders>
          </w:tcPr>
          <w:p>
            <w:pPr>
              <w:rPr>
                <w:sz w:val="2"/>
                <w:szCs w:val="2"/>
              </w:rPr>
            </w:pPr>
          </w:p>
        </w:tc>
        <w:tc>
          <w:tcPr>
            <w:tcW w:w="1084" w:type="dxa"/>
            <w:vMerge/>
            <w:tcBorders>
              <w:top w:val="nil"/>
            </w:tcBorders>
          </w:tcPr>
          <w:p>
            <w:pPr>
              <w:rPr>
                <w:sz w:val="2"/>
                <w:szCs w:val="2"/>
              </w:rPr>
            </w:pPr>
          </w:p>
        </w:tc>
        <w:tc>
          <w:tcPr>
            <w:tcW w:w="1034" w:type="dxa"/>
          </w:tcPr>
          <w:p>
            <w:pPr>
              <w:pStyle w:val="TableParagraph"/>
              <w:spacing w:line="242" w:lineRule="auto" w:before="135"/>
              <w:ind w:left="202" w:right="190"/>
              <w:rPr>
                <w:sz w:val="21"/>
              </w:rPr>
            </w:pPr>
            <w:r>
              <w:rPr>
                <w:sz w:val="21"/>
              </w:rPr>
              <w:t>工业场地表层土</w:t>
            </w:r>
          </w:p>
        </w:tc>
        <w:tc>
          <w:tcPr>
            <w:tcW w:w="1035" w:type="dxa"/>
          </w:tcPr>
          <w:p>
            <w:pPr>
              <w:pStyle w:val="TableParagraph"/>
              <w:spacing w:line="242" w:lineRule="auto"/>
              <w:ind w:left="106" w:right="127" w:firstLine="96"/>
              <w:jc w:val="both"/>
              <w:rPr>
                <w:rFonts w:ascii="Times New Roman" w:eastAsia="Times New Roman"/>
                <w:sz w:val="21"/>
              </w:rPr>
            </w:pPr>
            <w:r>
              <w:rPr>
                <w:sz w:val="21"/>
              </w:rPr>
              <w:t>工业场地表层</w:t>
            </w:r>
            <w:r>
              <w:rPr>
                <w:spacing w:val="-13"/>
                <w:sz w:val="21"/>
              </w:rPr>
              <w:t>柱状土 </w:t>
            </w:r>
            <w:r>
              <w:rPr>
                <w:rFonts w:ascii="Times New Roman" w:eastAsia="Times New Roman"/>
                <w:spacing w:val="-16"/>
                <w:sz w:val="21"/>
              </w:rPr>
              <w:t>1</w:t>
            </w:r>
          </w:p>
          <w:p>
            <w:pPr>
              <w:pStyle w:val="TableParagraph"/>
              <w:spacing w:line="251" w:lineRule="exact" w:before="3"/>
              <w:ind w:left="7"/>
              <w:rPr>
                <w:sz w:val="21"/>
              </w:rPr>
            </w:pPr>
            <w:r>
              <w:rPr>
                <w:w w:val="99"/>
                <w:sz w:val="21"/>
              </w:rPr>
              <w:t>上</w:t>
            </w:r>
          </w:p>
        </w:tc>
        <w:tc>
          <w:tcPr>
            <w:tcW w:w="1037" w:type="dxa"/>
          </w:tcPr>
          <w:p>
            <w:pPr>
              <w:pStyle w:val="TableParagraph"/>
              <w:spacing w:line="242" w:lineRule="auto"/>
              <w:ind w:left="108" w:right="130" w:firstLine="93"/>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1</w:t>
            </w:r>
          </w:p>
          <w:p>
            <w:pPr>
              <w:pStyle w:val="TableParagraph"/>
              <w:spacing w:line="251" w:lineRule="exact" w:before="3"/>
              <w:ind w:left="8"/>
              <w:rPr>
                <w:sz w:val="21"/>
              </w:rPr>
            </w:pPr>
            <w:r>
              <w:rPr>
                <w:w w:val="99"/>
                <w:sz w:val="21"/>
              </w:rPr>
              <w:t>中</w:t>
            </w:r>
          </w:p>
        </w:tc>
        <w:tc>
          <w:tcPr>
            <w:tcW w:w="1037" w:type="dxa"/>
          </w:tcPr>
          <w:p>
            <w:pPr>
              <w:pStyle w:val="TableParagraph"/>
              <w:spacing w:line="242" w:lineRule="auto"/>
              <w:ind w:left="108" w:right="130" w:firstLine="93"/>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1</w:t>
            </w:r>
          </w:p>
          <w:p>
            <w:pPr>
              <w:pStyle w:val="TableParagraph"/>
              <w:spacing w:line="251" w:lineRule="exact" w:before="3"/>
              <w:ind w:left="8"/>
              <w:rPr>
                <w:sz w:val="21"/>
              </w:rPr>
            </w:pPr>
            <w:r>
              <w:rPr>
                <w:w w:val="99"/>
                <w:sz w:val="21"/>
              </w:rPr>
              <w:t>下</w:t>
            </w:r>
          </w:p>
        </w:tc>
        <w:tc>
          <w:tcPr>
            <w:tcW w:w="1037" w:type="dxa"/>
          </w:tcPr>
          <w:p>
            <w:pPr>
              <w:pStyle w:val="TableParagraph"/>
              <w:spacing w:line="242" w:lineRule="auto"/>
              <w:ind w:left="108" w:right="130" w:firstLine="93"/>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2</w:t>
            </w:r>
          </w:p>
          <w:p>
            <w:pPr>
              <w:pStyle w:val="TableParagraph"/>
              <w:spacing w:line="251" w:lineRule="exact" w:before="3"/>
              <w:ind w:left="7"/>
              <w:rPr>
                <w:sz w:val="21"/>
              </w:rPr>
            </w:pPr>
            <w:r>
              <w:rPr>
                <w:w w:val="99"/>
                <w:sz w:val="21"/>
              </w:rPr>
              <w:t>上</w:t>
            </w:r>
          </w:p>
        </w:tc>
        <w:tc>
          <w:tcPr>
            <w:tcW w:w="1037" w:type="dxa"/>
          </w:tcPr>
          <w:p>
            <w:pPr>
              <w:pStyle w:val="TableParagraph"/>
              <w:spacing w:line="242" w:lineRule="auto"/>
              <w:ind w:left="107" w:right="130" w:firstLine="93"/>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5"/>
                <w:sz w:val="21"/>
              </w:rPr>
              <w:t>2</w:t>
            </w:r>
          </w:p>
          <w:p>
            <w:pPr>
              <w:pStyle w:val="TableParagraph"/>
              <w:spacing w:line="251" w:lineRule="exact" w:before="3"/>
              <w:ind w:left="7"/>
              <w:rPr>
                <w:sz w:val="21"/>
              </w:rPr>
            </w:pPr>
            <w:r>
              <w:rPr>
                <w:w w:val="99"/>
                <w:sz w:val="21"/>
              </w:rPr>
              <w:t>中</w:t>
            </w:r>
          </w:p>
        </w:tc>
        <w:tc>
          <w:tcPr>
            <w:tcW w:w="1037" w:type="dxa"/>
          </w:tcPr>
          <w:p>
            <w:pPr>
              <w:pStyle w:val="TableParagraph"/>
              <w:spacing w:line="242" w:lineRule="auto"/>
              <w:ind w:left="107" w:right="131" w:firstLine="96"/>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2</w:t>
            </w:r>
          </w:p>
          <w:p>
            <w:pPr>
              <w:pStyle w:val="TableParagraph"/>
              <w:spacing w:line="251" w:lineRule="exact" w:before="3"/>
              <w:ind w:left="7"/>
              <w:rPr>
                <w:sz w:val="21"/>
              </w:rPr>
            </w:pPr>
            <w:r>
              <w:rPr>
                <w:w w:val="99"/>
                <w:sz w:val="21"/>
              </w:rPr>
              <w:t>下</w:t>
            </w:r>
          </w:p>
        </w:tc>
        <w:tc>
          <w:tcPr>
            <w:tcW w:w="1038" w:type="dxa"/>
          </w:tcPr>
          <w:p>
            <w:pPr>
              <w:pStyle w:val="TableParagraph"/>
              <w:spacing w:line="242" w:lineRule="auto"/>
              <w:ind w:left="107" w:right="132" w:firstLine="96"/>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3</w:t>
            </w:r>
          </w:p>
          <w:p>
            <w:pPr>
              <w:pStyle w:val="TableParagraph"/>
              <w:spacing w:line="251" w:lineRule="exact" w:before="3"/>
              <w:ind w:left="10"/>
              <w:rPr>
                <w:sz w:val="21"/>
              </w:rPr>
            </w:pPr>
            <w:r>
              <w:rPr>
                <w:w w:val="99"/>
                <w:sz w:val="21"/>
              </w:rPr>
              <w:t>上</w:t>
            </w:r>
          </w:p>
        </w:tc>
        <w:tc>
          <w:tcPr>
            <w:tcW w:w="1038" w:type="dxa"/>
          </w:tcPr>
          <w:p>
            <w:pPr>
              <w:pStyle w:val="TableParagraph"/>
              <w:spacing w:line="242" w:lineRule="auto"/>
              <w:ind w:left="108" w:right="131" w:firstLine="96"/>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3</w:t>
            </w:r>
          </w:p>
          <w:p>
            <w:pPr>
              <w:pStyle w:val="TableParagraph"/>
              <w:spacing w:line="251" w:lineRule="exact" w:before="3"/>
              <w:ind w:left="8"/>
              <w:rPr>
                <w:sz w:val="21"/>
              </w:rPr>
            </w:pPr>
            <w:r>
              <w:rPr>
                <w:w w:val="99"/>
                <w:sz w:val="21"/>
              </w:rPr>
              <w:t>中</w:t>
            </w:r>
          </w:p>
        </w:tc>
        <w:tc>
          <w:tcPr>
            <w:tcW w:w="1038" w:type="dxa"/>
          </w:tcPr>
          <w:p>
            <w:pPr>
              <w:pStyle w:val="TableParagraph"/>
              <w:spacing w:line="242" w:lineRule="auto"/>
              <w:ind w:left="107" w:right="132" w:firstLine="96"/>
              <w:jc w:val="both"/>
              <w:rPr>
                <w:rFonts w:ascii="Times New Roman" w:eastAsia="Times New Roman"/>
                <w:sz w:val="21"/>
              </w:rPr>
            </w:pPr>
            <w:r>
              <w:rPr>
                <w:sz w:val="21"/>
              </w:rPr>
              <w:t>工业场地表层</w:t>
            </w:r>
            <w:r>
              <w:rPr>
                <w:spacing w:val="-14"/>
                <w:sz w:val="21"/>
              </w:rPr>
              <w:t>柱状土 </w:t>
            </w:r>
            <w:r>
              <w:rPr>
                <w:rFonts w:ascii="Times New Roman" w:eastAsia="Times New Roman"/>
                <w:spacing w:val="-16"/>
                <w:sz w:val="21"/>
              </w:rPr>
              <w:t>3</w:t>
            </w:r>
          </w:p>
          <w:p>
            <w:pPr>
              <w:pStyle w:val="TableParagraph"/>
              <w:spacing w:line="251" w:lineRule="exact" w:before="3"/>
              <w:ind w:left="10"/>
              <w:rPr>
                <w:sz w:val="21"/>
              </w:rPr>
            </w:pPr>
            <w:r>
              <w:rPr>
                <w:w w:val="99"/>
                <w:sz w:val="21"/>
              </w:rPr>
              <w:t>下</w:t>
            </w:r>
          </w:p>
        </w:tc>
        <w:tc>
          <w:tcPr>
            <w:tcW w:w="1038" w:type="dxa"/>
            <w:vMerge/>
            <w:tcBorders>
              <w:top w:val="nil"/>
            </w:tcBorders>
          </w:tcPr>
          <w:p>
            <w:pPr>
              <w:rPr>
                <w:sz w:val="2"/>
                <w:szCs w:val="2"/>
              </w:rPr>
            </w:pPr>
          </w:p>
        </w:tc>
      </w:tr>
      <w:tr>
        <w:trPr>
          <w:trHeight w:val="320" w:hRule="atLeast"/>
        </w:trPr>
        <w:tc>
          <w:tcPr>
            <w:tcW w:w="2079" w:type="dxa"/>
          </w:tcPr>
          <w:p>
            <w:pPr>
              <w:pStyle w:val="TableParagraph"/>
              <w:spacing w:before="23"/>
              <w:ind w:left="8"/>
              <w:rPr>
                <w:sz w:val="21"/>
              </w:rPr>
            </w:pPr>
            <w:r>
              <w:rPr>
                <w:w w:val="99"/>
                <w:sz w:val="21"/>
              </w:rPr>
              <w:t>砷</w:t>
            </w:r>
          </w:p>
        </w:tc>
        <w:tc>
          <w:tcPr>
            <w:tcW w:w="1084" w:type="dxa"/>
          </w:tcPr>
          <w:p>
            <w:pPr>
              <w:pStyle w:val="TableParagraph"/>
              <w:spacing w:line="241" w:lineRule="exact" w:before="59"/>
              <w:ind w:left="252" w:right="245"/>
              <w:rPr>
                <w:rFonts w:ascii="Times New Roman"/>
                <w:sz w:val="21"/>
              </w:rPr>
            </w:pPr>
            <w:bookmarkStart w:name="mg/kg" w:id="911"/>
            <w:bookmarkEnd w:id="911"/>
            <w:r>
              <w:rPr/>
            </w:r>
            <w:r>
              <w:rPr>
                <w:rFonts w:ascii="Times New Roman"/>
                <w:sz w:val="21"/>
              </w:rPr>
              <w:t>mg/kg</w:t>
            </w:r>
          </w:p>
        </w:tc>
        <w:tc>
          <w:tcPr>
            <w:tcW w:w="1034" w:type="dxa"/>
          </w:tcPr>
          <w:p>
            <w:pPr>
              <w:pStyle w:val="TableParagraph"/>
              <w:spacing w:before="37"/>
              <w:ind w:left="198" w:right="190"/>
              <w:rPr>
                <w:rFonts w:ascii="Times New Roman"/>
                <w:sz w:val="21"/>
              </w:rPr>
            </w:pPr>
            <w:r>
              <w:rPr>
                <w:rFonts w:ascii="Times New Roman"/>
                <w:sz w:val="21"/>
              </w:rPr>
              <w:t>0.18</w:t>
            </w:r>
          </w:p>
        </w:tc>
        <w:tc>
          <w:tcPr>
            <w:tcW w:w="1035" w:type="dxa"/>
          </w:tcPr>
          <w:p>
            <w:pPr>
              <w:pStyle w:val="TableParagraph"/>
              <w:spacing w:before="37"/>
              <w:ind w:left="182" w:right="172"/>
              <w:rPr>
                <w:rFonts w:ascii="Times New Roman"/>
                <w:sz w:val="21"/>
              </w:rPr>
            </w:pPr>
            <w:r>
              <w:rPr>
                <w:rFonts w:ascii="Times New Roman"/>
                <w:sz w:val="21"/>
              </w:rPr>
              <w:t>0.15</w:t>
            </w:r>
          </w:p>
        </w:tc>
        <w:tc>
          <w:tcPr>
            <w:tcW w:w="1037" w:type="dxa"/>
          </w:tcPr>
          <w:p>
            <w:pPr>
              <w:pStyle w:val="TableParagraph"/>
              <w:spacing w:before="37"/>
              <w:ind w:left="181" w:right="172"/>
              <w:rPr>
                <w:rFonts w:ascii="Times New Roman"/>
                <w:sz w:val="21"/>
              </w:rPr>
            </w:pPr>
            <w:r>
              <w:rPr>
                <w:rFonts w:ascii="Times New Roman"/>
                <w:sz w:val="21"/>
              </w:rPr>
              <w:t>0.19</w:t>
            </w:r>
          </w:p>
        </w:tc>
        <w:tc>
          <w:tcPr>
            <w:tcW w:w="1037" w:type="dxa"/>
          </w:tcPr>
          <w:p>
            <w:pPr>
              <w:pStyle w:val="TableParagraph"/>
              <w:spacing w:before="37"/>
              <w:ind w:left="181" w:right="172"/>
              <w:rPr>
                <w:rFonts w:ascii="Times New Roman"/>
                <w:sz w:val="21"/>
              </w:rPr>
            </w:pPr>
            <w:r>
              <w:rPr>
                <w:rFonts w:ascii="Times New Roman"/>
                <w:sz w:val="21"/>
              </w:rPr>
              <w:t>0.16</w:t>
            </w:r>
          </w:p>
        </w:tc>
        <w:tc>
          <w:tcPr>
            <w:tcW w:w="1037" w:type="dxa"/>
          </w:tcPr>
          <w:p>
            <w:pPr>
              <w:pStyle w:val="TableParagraph"/>
              <w:spacing w:before="37"/>
              <w:ind w:left="181" w:right="172"/>
              <w:rPr>
                <w:rFonts w:ascii="Times New Roman"/>
                <w:sz w:val="21"/>
              </w:rPr>
            </w:pPr>
            <w:r>
              <w:rPr>
                <w:rFonts w:ascii="Times New Roman"/>
                <w:sz w:val="21"/>
              </w:rPr>
              <w:t>0.19</w:t>
            </w:r>
          </w:p>
        </w:tc>
        <w:tc>
          <w:tcPr>
            <w:tcW w:w="1037" w:type="dxa"/>
          </w:tcPr>
          <w:p>
            <w:pPr>
              <w:pStyle w:val="TableParagraph"/>
              <w:spacing w:before="37"/>
              <w:ind w:left="181" w:right="173"/>
              <w:rPr>
                <w:rFonts w:ascii="Times New Roman"/>
                <w:sz w:val="21"/>
              </w:rPr>
            </w:pPr>
            <w:r>
              <w:rPr>
                <w:rFonts w:ascii="Times New Roman"/>
                <w:sz w:val="21"/>
              </w:rPr>
              <w:t>0.18</w:t>
            </w:r>
          </w:p>
        </w:tc>
        <w:tc>
          <w:tcPr>
            <w:tcW w:w="1037" w:type="dxa"/>
          </w:tcPr>
          <w:p>
            <w:pPr>
              <w:pStyle w:val="TableParagraph"/>
              <w:spacing w:before="37"/>
              <w:ind w:left="181" w:right="171"/>
              <w:rPr>
                <w:rFonts w:ascii="Times New Roman"/>
                <w:sz w:val="21"/>
              </w:rPr>
            </w:pPr>
            <w:r>
              <w:rPr>
                <w:rFonts w:ascii="Times New Roman"/>
                <w:sz w:val="21"/>
              </w:rPr>
              <w:t>0.15</w:t>
            </w:r>
          </w:p>
        </w:tc>
        <w:tc>
          <w:tcPr>
            <w:tcW w:w="1038" w:type="dxa"/>
          </w:tcPr>
          <w:p>
            <w:pPr>
              <w:pStyle w:val="TableParagraph"/>
              <w:spacing w:before="37"/>
              <w:ind w:left="335"/>
              <w:jc w:val="left"/>
              <w:rPr>
                <w:rFonts w:ascii="Times New Roman"/>
                <w:sz w:val="21"/>
              </w:rPr>
            </w:pPr>
            <w:r>
              <w:rPr>
                <w:rFonts w:ascii="Times New Roman"/>
                <w:sz w:val="21"/>
              </w:rPr>
              <w:t>0.15</w:t>
            </w:r>
          </w:p>
        </w:tc>
        <w:tc>
          <w:tcPr>
            <w:tcW w:w="1038" w:type="dxa"/>
          </w:tcPr>
          <w:p>
            <w:pPr>
              <w:pStyle w:val="TableParagraph"/>
              <w:spacing w:before="37"/>
              <w:ind w:left="182" w:right="173"/>
              <w:rPr>
                <w:rFonts w:ascii="Times New Roman"/>
                <w:sz w:val="21"/>
              </w:rPr>
            </w:pPr>
            <w:r>
              <w:rPr>
                <w:rFonts w:ascii="Times New Roman"/>
                <w:sz w:val="21"/>
              </w:rPr>
              <w:t>0.12</w:t>
            </w:r>
          </w:p>
        </w:tc>
        <w:tc>
          <w:tcPr>
            <w:tcW w:w="1038" w:type="dxa"/>
          </w:tcPr>
          <w:p>
            <w:pPr>
              <w:pStyle w:val="TableParagraph"/>
              <w:spacing w:before="37"/>
              <w:ind w:left="183" w:right="172"/>
              <w:rPr>
                <w:rFonts w:ascii="Times New Roman"/>
                <w:sz w:val="21"/>
              </w:rPr>
            </w:pPr>
            <w:r>
              <w:rPr>
                <w:rFonts w:ascii="Times New Roman"/>
                <w:sz w:val="21"/>
              </w:rPr>
              <w:t>0.16</w:t>
            </w:r>
          </w:p>
        </w:tc>
        <w:tc>
          <w:tcPr>
            <w:tcW w:w="1038" w:type="dxa"/>
          </w:tcPr>
          <w:p>
            <w:pPr>
              <w:pStyle w:val="TableParagraph"/>
              <w:spacing w:before="23"/>
              <w:ind w:right="300"/>
              <w:jc w:val="right"/>
              <w:rPr>
                <w:sz w:val="21"/>
              </w:rPr>
            </w:pPr>
            <w:r>
              <w:rPr>
                <w:w w:val="95"/>
                <w:sz w:val="21"/>
              </w:rPr>
              <w:t>达标</w:t>
            </w:r>
          </w:p>
        </w:tc>
      </w:tr>
      <w:tr>
        <w:trPr>
          <w:trHeight w:val="320" w:hRule="atLeast"/>
        </w:trPr>
        <w:tc>
          <w:tcPr>
            <w:tcW w:w="2079" w:type="dxa"/>
          </w:tcPr>
          <w:p>
            <w:pPr>
              <w:pStyle w:val="TableParagraph"/>
              <w:spacing w:before="22"/>
              <w:ind w:left="8"/>
              <w:rPr>
                <w:sz w:val="21"/>
              </w:rPr>
            </w:pPr>
            <w:r>
              <w:rPr>
                <w:w w:val="99"/>
                <w:sz w:val="21"/>
              </w:rPr>
              <w:t>镉</w:t>
            </w:r>
          </w:p>
        </w:tc>
        <w:tc>
          <w:tcPr>
            <w:tcW w:w="1084" w:type="dxa"/>
          </w:tcPr>
          <w:p>
            <w:pPr>
              <w:pStyle w:val="TableParagraph"/>
              <w:spacing w:before="58"/>
              <w:ind w:left="252" w:right="245"/>
              <w:rPr>
                <w:rFonts w:ascii="Times New Roman"/>
                <w:sz w:val="21"/>
              </w:rPr>
            </w:pPr>
            <w:bookmarkStart w:name="mg/kg" w:id="912"/>
            <w:bookmarkEnd w:id="912"/>
            <w:r>
              <w:rPr/>
            </w:r>
            <w:r>
              <w:rPr>
                <w:rFonts w:ascii="Times New Roman"/>
                <w:sz w:val="21"/>
              </w:rPr>
              <w:t>mg/kg</w:t>
            </w:r>
          </w:p>
        </w:tc>
        <w:tc>
          <w:tcPr>
            <w:tcW w:w="1034" w:type="dxa"/>
          </w:tcPr>
          <w:p>
            <w:pPr>
              <w:pStyle w:val="TableParagraph"/>
              <w:spacing w:before="39"/>
              <w:ind w:left="200" w:right="190"/>
              <w:rPr>
                <w:rFonts w:ascii="Times New Roman"/>
                <w:sz w:val="21"/>
              </w:rPr>
            </w:pPr>
            <w:r>
              <w:rPr>
                <w:rFonts w:ascii="Times New Roman"/>
                <w:sz w:val="21"/>
              </w:rPr>
              <w:t>0.002</w:t>
            </w:r>
          </w:p>
        </w:tc>
        <w:tc>
          <w:tcPr>
            <w:tcW w:w="1035" w:type="dxa"/>
          </w:tcPr>
          <w:p>
            <w:pPr>
              <w:pStyle w:val="TableParagraph"/>
              <w:spacing w:before="39"/>
              <w:ind w:left="181" w:right="173"/>
              <w:rPr>
                <w:rFonts w:ascii="Times New Roman"/>
                <w:sz w:val="21"/>
              </w:rPr>
            </w:pPr>
            <w:r>
              <w:rPr>
                <w:rFonts w:ascii="Times New Roman"/>
                <w:sz w:val="21"/>
              </w:rPr>
              <w:t>0.002</w:t>
            </w:r>
          </w:p>
        </w:tc>
        <w:tc>
          <w:tcPr>
            <w:tcW w:w="1037" w:type="dxa"/>
          </w:tcPr>
          <w:p>
            <w:pPr>
              <w:pStyle w:val="TableParagraph"/>
              <w:spacing w:before="39"/>
              <w:ind w:left="181" w:right="172"/>
              <w:rPr>
                <w:rFonts w:ascii="Times New Roman"/>
                <w:sz w:val="21"/>
              </w:rPr>
            </w:pPr>
            <w:r>
              <w:rPr>
                <w:rFonts w:ascii="Times New Roman"/>
                <w:sz w:val="21"/>
              </w:rPr>
              <w:t>0.002</w:t>
            </w:r>
          </w:p>
        </w:tc>
        <w:tc>
          <w:tcPr>
            <w:tcW w:w="1037" w:type="dxa"/>
          </w:tcPr>
          <w:p>
            <w:pPr>
              <w:pStyle w:val="TableParagraph"/>
              <w:spacing w:before="39"/>
              <w:ind w:left="181" w:right="172"/>
              <w:rPr>
                <w:rFonts w:ascii="Times New Roman"/>
                <w:sz w:val="21"/>
              </w:rPr>
            </w:pPr>
            <w:r>
              <w:rPr>
                <w:rFonts w:ascii="Times New Roman"/>
                <w:sz w:val="21"/>
              </w:rPr>
              <w:t>0.001</w:t>
            </w:r>
          </w:p>
        </w:tc>
        <w:tc>
          <w:tcPr>
            <w:tcW w:w="1037" w:type="dxa"/>
          </w:tcPr>
          <w:p>
            <w:pPr>
              <w:pStyle w:val="TableParagraph"/>
              <w:spacing w:before="39"/>
              <w:ind w:left="181" w:right="172"/>
              <w:rPr>
                <w:rFonts w:ascii="Times New Roman"/>
                <w:sz w:val="21"/>
              </w:rPr>
            </w:pPr>
            <w:r>
              <w:rPr>
                <w:rFonts w:ascii="Times New Roman"/>
                <w:sz w:val="21"/>
              </w:rPr>
              <w:t>0.002</w:t>
            </w:r>
          </w:p>
        </w:tc>
        <w:tc>
          <w:tcPr>
            <w:tcW w:w="1037" w:type="dxa"/>
          </w:tcPr>
          <w:p>
            <w:pPr>
              <w:pStyle w:val="TableParagraph"/>
              <w:spacing w:before="39"/>
              <w:ind w:left="181" w:right="173"/>
              <w:rPr>
                <w:rFonts w:ascii="Times New Roman"/>
                <w:sz w:val="21"/>
              </w:rPr>
            </w:pPr>
            <w:r>
              <w:rPr>
                <w:rFonts w:ascii="Times New Roman"/>
                <w:sz w:val="21"/>
              </w:rPr>
              <w:t>0.002</w:t>
            </w:r>
          </w:p>
        </w:tc>
        <w:tc>
          <w:tcPr>
            <w:tcW w:w="1037" w:type="dxa"/>
          </w:tcPr>
          <w:p>
            <w:pPr>
              <w:pStyle w:val="TableParagraph"/>
              <w:spacing w:before="39"/>
              <w:ind w:left="181" w:right="173"/>
              <w:rPr>
                <w:rFonts w:ascii="Times New Roman"/>
                <w:sz w:val="21"/>
              </w:rPr>
            </w:pPr>
            <w:r>
              <w:rPr>
                <w:rFonts w:ascii="Times New Roman"/>
                <w:sz w:val="21"/>
              </w:rPr>
              <w:t>0.002</w:t>
            </w:r>
          </w:p>
        </w:tc>
        <w:tc>
          <w:tcPr>
            <w:tcW w:w="1038" w:type="dxa"/>
          </w:tcPr>
          <w:p>
            <w:pPr>
              <w:pStyle w:val="TableParagraph"/>
              <w:spacing w:before="39"/>
              <w:ind w:right="269"/>
              <w:jc w:val="right"/>
              <w:rPr>
                <w:rFonts w:ascii="Times New Roman"/>
                <w:sz w:val="21"/>
              </w:rPr>
            </w:pPr>
            <w:r>
              <w:rPr>
                <w:rFonts w:ascii="Times New Roman"/>
                <w:sz w:val="21"/>
              </w:rPr>
              <w:t>0.002</w:t>
            </w:r>
          </w:p>
        </w:tc>
        <w:tc>
          <w:tcPr>
            <w:tcW w:w="1038" w:type="dxa"/>
          </w:tcPr>
          <w:p>
            <w:pPr>
              <w:pStyle w:val="TableParagraph"/>
              <w:spacing w:before="39"/>
              <w:ind w:left="182" w:right="173"/>
              <w:rPr>
                <w:rFonts w:ascii="Times New Roman"/>
                <w:sz w:val="21"/>
              </w:rPr>
            </w:pPr>
            <w:r>
              <w:rPr>
                <w:rFonts w:ascii="Times New Roman"/>
                <w:sz w:val="21"/>
              </w:rPr>
              <w:t>0.002</w:t>
            </w:r>
          </w:p>
        </w:tc>
        <w:tc>
          <w:tcPr>
            <w:tcW w:w="1038" w:type="dxa"/>
          </w:tcPr>
          <w:p>
            <w:pPr>
              <w:pStyle w:val="TableParagraph"/>
              <w:spacing w:before="39"/>
              <w:ind w:left="183" w:right="172"/>
              <w:rPr>
                <w:rFonts w:ascii="Times New Roman"/>
                <w:sz w:val="21"/>
              </w:rPr>
            </w:pPr>
            <w:r>
              <w:rPr>
                <w:rFonts w:ascii="Times New Roman"/>
                <w:sz w:val="21"/>
              </w:rPr>
              <w:t>0.002</w:t>
            </w:r>
          </w:p>
        </w:tc>
        <w:tc>
          <w:tcPr>
            <w:tcW w:w="1038" w:type="dxa"/>
          </w:tcPr>
          <w:p>
            <w:pPr>
              <w:pStyle w:val="TableParagraph"/>
              <w:spacing w:before="22"/>
              <w:ind w:right="300"/>
              <w:jc w:val="right"/>
              <w:rPr>
                <w:sz w:val="21"/>
              </w:rPr>
            </w:pPr>
            <w:r>
              <w:rPr>
                <w:w w:val="95"/>
                <w:sz w:val="21"/>
              </w:rPr>
              <w:t>达标</w:t>
            </w:r>
          </w:p>
        </w:tc>
      </w:tr>
      <w:tr>
        <w:trPr>
          <w:trHeight w:val="320" w:hRule="atLeast"/>
        </w:trPr>
        <w:tc>
          <w:tcPr>
            <w:tcW w:w="2079" w:type="dxa"/>
          </w:tcPr>
          <w:p>
            <w:pPr>
              <w:pStyle w:val="TableParagraph"/>
              <w:spacing w:before="23"/>
              <w:ind w:left="83" w:right="78"/>
              <w:rPr>
                <w:sz w:val="21"/>
              </w:rPr>
            </w:pPr>
            <w:r>
              <w:rPr>
                <w:sz w:val="21"/>
              </w:rPr>
              <w:t>六价铬</w:t>
            </w:r>
          </w:p>
        </w:tc>
        <w:tc>
          <w:tcPr>
            <w:tcW w:w="1084" w:type="dxa"/>
          </w:tcPr>
          <w:p>
            <w:pPr>
              <w:pStyle w:val="TableParagraph"/>
              <w:spacing w:line="241" w:lineRule="exact" w:before="59"/>
              <w:ind w:left="252" w:right="245"/>
              <w:rPr>
                <w:rFonts w:ascii="Times New Roman"/>
                <w:sz w:val="21"/>
              </w:rPr>
            </w:pPr>
            <w:bookmarkStart w:name="mg/kg" w:id="913"/>
            <w:bookmarkEnd w:id="913"/>
            <w:r>
              <w:rPr/>
            </w:r>
            <w:r>
              <w:rPr>
                <w:rFonts w:ascii="Times New Roman"/>
                <w:sz w:val="21"/>
              </w:rPr>
              <w:t>mg/kg</w:t>
            </w:r>
          </w:p>
        </w:tc>
        <w:tc>
          <w:tcPr>
            <w:tcW w:w="1034" w:type="dxa"/>
          </w:tcPr>
          <w:p>
            <w:pPr>
              <w:pStyle w:val="TableParagraph"/>
              <w:spacing w:before="23"/>
              <w:ind w:left="181" w:right="172"/>
              <w:rPr>
                <w:sz w:val="21"/>
              </w:rPr>
            </w:pPr>
            <w:r>
              <w:rPr>
                <w:sz w:val="21"/>
              </w:rPr>
              <w:t>未检出</w:t>
            </w:r>
          </w:p>
        </w:tc>
        <w:tc>
          <w:tcPr>
            <w:tcW w:w="1035" w:type="dxa"/>
          </w:tcPr>
          <w:p>
            <w:pPr>
              <w:pStyle w:val="TableParagraph"/>
              <w:spacing w:before="23"/>
              <w:ind w:left="182" w:right="173"/>
              <w:rPr>
                <w:sz w:val="21"/>
              </w:rPr>
            </w:pPr>
            <w:r>
              <w:rPr>
                <w:sz w:val="21"/>
              </w:rPr>
              <w:t>未检出</w:t>
            </w:r>
          </w:p>
        </w:tc>
        <w:tc>
          <w:tcPr>
            <w:tcW w:w="1037" w:type="dxa"/>
          </w:tcPr>
          <w:p>
            <w:pPr>
              <w:pStyle w:val="TableParagraph"/>
              <w:spacing w:before="23"/>
              <w:ind w:left="180" w:right="174"/>
              <w:rPr>
                <w:sz w:val="21"/>
              </w:rPr>
            </w:pPr>
            <w:r>
              <w:rPr>
                <w:sz w:val="21"/>
              </w:rPr>
              <w:t>未检出</w:t>
            </w:r>
          </w:p>
        </w:tc>
        <w:tc>
          <w:tcPr>
            <w:tcW w:w="1037" w:type="dxa"/>
          </w:tcPr>
          <w:p>
            <w:pPr>
              <w:pStyle w:val="TableParagraph"/>
              <w:spacing w:before="23"/>
              <w:ind w:left="179" w:right="174"/>
              <w:rPr>
                <w:sz w:val="21"/>
              </w:rPr>
            </w:pPr>
            <w:r>
              <w:rPr>
                <w:sz w:val="21"/>
              </w:rPr>
              <w:t>未检出</w:t>
            </w:r>
          </w:p>
        </w:tc>
        <w:tc>
          <w:tcPr>
            <w:tcW w:w="1037" w:type="dxa"/>
          </w:tcPr>
          <w:p>
            <w:pPr>
              <w:pStyle w:val="TableParagraph"/>
              <w:spacing w:before="23"/>
              <w:ind w:left="179" w:right="174"/>
              <w:rPr>
                <w:sz w:val="21"/>
              </w:rPr>
            </w:pPr>
            <w:r>
              <w:rPr>
                <w:sz w:val="21"/>
              </w:rPr>
              <w:t>未检出</w:t>
            </w:r>
          </w:p>
        </w:tc>
        <w:tc>
          <w:tcPr>
            <w:tcW w:w="1037" w:type="dxa"/>
          </w:tcPr>
          <w:p>
            <w:pPr>
              <w:pStyle w:val="TableParagraph"/>
              <w:spacing w:before="23"/>
              <w:ind w:left="179" w:right="174"/>
              <w:rPr>
                <w:sz w:val="21"/>
              </w:rPr>
            </w:pPr>
            <w:r>
              <w:rPr>
                <w:sz w:val="21"/>
              </w:rPr>
              <w:t>未检出</w:t>
            </w:r>
          </w:p>
        </w:tc>
        <w:tc>
          <w:tcPr>
            <w:tcW w:w="1037" w:type="dxa"/>
          </w:tcPr>
          <w:p>
            <w:pPr>
              <w:pStyle w:val="TableParagraph"/>
              <w:spacing w:before="23"/>
              <w:ind w:left="181" w:right="172"/>
              <w:rPr>
                <w:sz w:val="21"/>
              </w:rPr>
            </w:pPr>
            <w:r>
              <w:rPr>
                <w:sz w:val="21"/>
              </w:rPr>
              <w:t>未检出</w:t>
            </w:r>
          </w:p>
        </w:tc>
        <w:tc>
          <w:tcPr>
            <w:tcW w:w="1038" w:type="dxa"/>
          </w:tcPr>
          <w:p>
            <w:pPr>
              <w:pStyle w:val="TableParagraph"/>
              <w:spacing w:before="23"/>
              <w:ind w:right="193"/>
              <w:jc w:val="right"/>
              <w:rPr>
                <w:sz w:val="21"/>
              </w:rPr>
            </w:pPr>
            <w:r>
              <w:rPr>
                <w:w w:val="95"/>
                <w:sz w:val="21"/>
              </w:rPr>
              <w:t>未检出</w:t>
            </w:r>
          </w:p>
        </w:tc>
        <w:tc>
          <w:tcPr>
            <w:tcW w:w="1038" w:type="dxa"/>
          </w:tcPr>
          <w:p>
            <w:pPr>
              <w:pStyle w:val="TableParagraph"/>
              <w:spacing w:before="23"/>
              <w:ind w:left="183" w:right="173"/>
              <w:rPr>
                <w:sz w:val="21"/>
              </w:rPr>
            </w:pPr>
            <w:r>
              <w:rPr>
                <w:sz w:val="21"/>
              </w:rPr>
              <w:t>未检出</w:t>
            </w:r>
          </w:p>
        </w:tc>
        <w:tc>
          <w:tcPr>
            <w:tcW w:w="1038" w:type="dxa"/>
          </w:tcPr>
          <w:p>
            <w:pPr>
              <w:pStyle w:val="TableParagraph"/>
              <w:spacing w:before="23"/>
              <w:ind w:left="181" w:right="173"/>
              <w:rPr>
                <w:sz w:val="21"/>
              </w:rPr>
            </w:pPr>
            <w:r>
              <w:rPr>
                <w:sz w:val="21"/>
              </w:rPr>
              <w:t>未检出</w:t>
            </w:r>
          </w:p>
        </w:tc>
        <w:tc>
          <w:tcPr>
            <w:tcW w:w="1038" w:type="dxa"/>
          </w:tcPr>
          <w:p>
            <w:pPr>
              <w:pStyle w:val="TableParagraph"/>
              <w:spacing w:before="23"/>
              <w:ind w:right="300"/>
              <w:jc w:val="right"/>
              <w:rPr>
                <w:sz w:val="21"/>
              </w:rPr>
            </w:pPr>
            <w:r>
              <w:rPr>
                <w:w w:val="95"/>
                <w:sz w:val="21"/>
              </w:rPr>
              <w:t>达标</w:t>
            </w:r>
          </w:p>
        </w:tc>
      </w:tr>
      <w:tr>
        <w:trPr>
          <w:trHeight w:val="320" w:hRule="atLeast"/>
        </w:trPr>
        <w:tc>
          <w:tcPr>
            <w:tcW w:w="2079" w:type="dxa"/>
          </w:tcPr>
          <w:p>
            <w:pPr>
              <w:pStyle w:val="TableParagraph"/>
              <w:spacing w:before="22"/>
              <w:ind w:left="8"/>
              <w:rPr>
                <w:sz w:val="21"/>
              </w:rPr>
            </w:pPr>
            <w:r>
              <w:rPr>
                <w:w w:val="99"/>
                <w:sz w:val="21"/>
              </w:rPr>
              <w:t>铜</w:t>
            </w:r>
          </w:p>
        </w:tc>
        <w:tc>
          <w:tcPr>
            <w:tcW w:w="1084" w:type="dxa"/>
          </w:tcPr>
          <w:p>
            <w:pPr>
              <w:pStyle w:val="TableParagraph"/>
              <w:spacing w:before="58"/>
              <w:ind w:left="252" w:right="245"/>
              <w:rPr>
                <w:rFonts w:ascii="Times New Roman"/>
                <w:sz w:val="21"/>
              </w:rPr>
            </w:pPr>
            <w:bookmarkStart w:name="mg/kg" w:id="914"/>
            <w:bookmarkEnd w:id="914"/>
            <w:r>
              <w:rPr/>
            </w:r>
            <w:r>
              <w:rPr>
                <w:rFonts w:ascii="Times New Roman"/>
                <w:sz w:val="21"/>
              </w:rPr>
              <w:t>mg/kg</w:t>
            </w:r>
          </w:p>
        </w:tc>
        <w:tc>
          <w:tcPr>
            <w:tcW w:w="1034" w:type="dxa"/>
          </w:tcPr>
          <w:p>
            <w:pPr>
              <w:pStyle w:val="TableParagraph"/>
              <w:spacing w:before="39"/>
              <w:ind w:left="200" w:right="190"/>
              <w:rPr>
                <w:rFonts w:ascii="Times New Roman"/>
                <w:sz w:val="21"/>
              </w:rPr>
            </w:pPr>
            <w:r>
              <w:rPr>
                <w:rFonts w:ascii="Times New Roman"/>
                <w:sz w:val="21"/>
              </w:rPr>
              <w:t>0.001</w:t>
            </w:r>
          </w:p>
        </w:tc>
        <w:tc>
          <w:tcPr>
            <w:tcW w:w="1035" w:type="dxa"/>
          </w:tcPr>
          <w:p>
            <w:pPr>
              <w:pStyle w:val="TableParagraph"/>
              <w:spacing w:before="39"/>
              <w:ind w:left="9"/>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9"/>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0"/>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22"/>
              <w:ind w:right="300"/>
              <w:jc w:val="right"/>
              <w:rPr>
                <w:sz w:val="21"/>
              </w:rPr>
            </w:pPr>
            <w:r>
              <w:rPr>
                <w:w w:val="95"/>
                <w:sz w:val="21"/>
              </w:rPr>
              <w:t>达标</w:t>
            </w:r>
          </w:p>
        </w:tc>
      </w:tr>
      <w:tr>
        <w:trPr>
          <w:trHeight w:val="272" w:hRule="atLeast"/>
        </w:trPr>
        <w:tc>
          <w:tcPr>
            <w:tcW w:w="2079" w:type="dxa"/>
          </w:tcPr>
          <w:p>
            <w:pPr>
              <w:pStyle w:val="TableParagraph"/>
              <w:spacing w:line="252" w:lineRule="exact"/>
              <w:ind w:left="8"/>
              <w:rPr>
                <w:sz w:val="21"/>
              </w:rPr>
            </w:pPr>
            <w:r>
              <w:rPr>
                <w:w w:val="99"/>
                <w:sz w:val="21"/>
              </w:rPr>
              <w:t>铅</w:t>
            </w:r>
          </w:p>
        </w:tc>
        <w:tc>
          <w:tcPr>
            <w:tcW w:w="1084" w:type="dxa"/>
          </w:tcPr>
          <w:p>
            <w:pPr>
              <w:pStyle w:val="TableParagraph"/>
              <w:spacing w:line="238" w:lineRule="exact" w:before="13"/>
              <w:ind w:left="252" w:right="245"/>
              <w:rPr>
                <w:rFonts w:ascii="Times New Roman"/>
                <w:sz w:val="21"/>
              </w:rPr>
            </w:pPr>
            <w:r>
              <w:rPr>
                <w:rFonts w:ascii="Times New Roman"/>
                <w:sz w:val="21"/>
              </w:rPr>
              <w:t>mg/kg</w:t>
            </w:r>
          </w:p>
        </w:tc>
        <w:tc>
          <w:tcPr>
            <w:tcW w:w="1034" w:type="dxa"/>
          </w:tcPr>
          <w:p>
            <w:pPr>
              <w:pStyle w:val="TableParagraph"/>
              <w:spacing w:line="238" w:lineRule="exact" w:before="13"/>
              <w:ind w:left="198" w:right="190"/>
              <w:rPr>
                <w:rFonts w:ascii="Times New Roman"/>
                <w:sz w:val="21"/>
              </w:rPr>
            </w:pPr>
            <w:r>
              <w:rPr>
                <w:rFonts w:ascii="Times New Roman"/>
                <w:sz w:val="21"/>
              </w:rPr>
              <w:t>0.02</w:t>
            </w:r>
          </w:p>
        </w:tc>
        <w:tc>
          <w:tcPr>
            <w:tcW w:w="1035" w:type="dxa"/>
          </w:tcPr>
          <w:p>
            <w:pPr>
              <w:pStyle w:val="TableParagraph"/>
              <w:spacing w:line="238" w:lineRule="exact" w:before="13"/>
              <w:ind w:left="182" w:right="172"/>
              <w:rPr>
                <w:rFonts w:ascii="Times New Roman"/>
                <w:sz w:val="21"/>
              </w:rPr>
            </w:pPr>
            <w:r>
              <w:rPr>
                <w:rFonts w:ascii="Times New Roman"/>
                <w:sz w:val="21"/>
              </w:rPr>
              <w:t>0.02</w:t>
            </w:r>
          </w:p>
        </w:tc>
        <w:tc>
          <w:tcPr>
            <w:tcW w:w="1037" w:type="dxa"/>
          </w:tcPr>
          <w:p>
            <w:pPr>
              <w:pStyle w:val="TableParagraph"/>
              <w:spacing w:line="238" w:lineRule="exact" w:before="13"/>
              <w:ind w:left="181" w:right="172"/>
              <w:rPr>
                <w:rFonts w:ascii="Times New Roman"/>
                <w:sz w:val="21"/>
              </w:rPr>
            </w:pPr>
            <w:r>
              <w:rPr>
                <w:rFonts w:ascii="Times New Roman"/>
                <w:sz w:val="21"/>
              </w:rPr>
              <w:t>0.02</w:t>
            </w:r>
          </w:p>
        </w:tc>
        <w:tc>
          <w:tcPr>
            <w:tcW w:w="1037" w:type="dxa"/>
          </w:tcPr>
          <w:p>
            <w:pPr>
              <w:pStyle w:val="TableParagraph"/>
              <w:spacing w:line="238" w:lineRule="exact" w:before="13"/>
              <w:ind w:left="181" w:right="172"/>
              <w:rPr>
                <w:rFonts w:ascii="Times New Roman"/>
                <w:sz w:val="21"/>
              </w:rPr>
            </w:pPr>
            <w:r>
              <w:rPr>
                <w:rFonts w:ascii="Times New Roman"/>
                <w:sz w:val="21"/>
              </w:rPr>
              <w:t>0.02</w:t>
            </w:r>
          </w:p>
        </w:tc>
        <w:tc>
          <w:tcPr>
            <w:tcW w:w="1037" w:type="dxa"/>
          </w:tcPr>
          <w:p>
            <w:pPr>
              <w:pStyle w:val="TableParagraph"/>
              <w:spacing w:line="238" w:lineRule="exact" w:before="13"/>
              <w:ind w:left="181" w:right="172"/>
              <w:rPr>
                <w:rFonts w:ascii="Times New Roman"/>
                <w:sz w:val="21"/>
              </w:rPr>
            </w:pPr>
            <w:r>
              <w:rPr>
                <w:rFonts w:ascii="Times New Roman"/>
                <w:sz w:val="21"/>
              </w:rPr>
              <w:t>0.02</w:t>
            </w:r>
          </w:p>
        </w:tc>
        <w:tc>
          <w:tcPr>
            <w:tcW w:w="1037" w:type="dxa"/>
          </w:tcPr>
          <w:p>
            <w:pPr>
              <w:pStyle w:val="TableParagraph"/>
              <w:spacing w:line="238" w:lineRule="exact" w:before="13"/>
              <w:ind w:left="181" w:right="173"/>
              <w:rPr>
                <w:rFonts w:ascii="Times New Roman"/>
                <w:sz w:val="21"/>
              </w:rPr>
            </w:pPr>
            <w:r>
              <w:rPr>
                <w:rFonts w:ascii="Times New Roman"/>
                <w:sz w:val="21"/>
              </w:rPr>
              <w:t>0.02</w:t>
            </w:r>
          </w:p>
        </w:tc>
        <w:tc>
          <w:tcPr>
            <w:tcW w:w="1037" w:type="dxa"/>
          </w:tcPr>
          <w:p>
            <w:pPr>
              <w:pStyle w:val="TableParagraph"/>
              <w:spacing w:line="238" w:lineRule="exact" w:before="13"/>
              <w:ind w:left="181" w:right="171"/>
              <w:rPr>
                <w:rFonts w:ascii="Times New Roman"/>
                <w:sz w:val="21"/>
              </w:rPr>
            </w:pPr>
            <w:r>
              <w:rPr>
                <w:rFonts w:ascii="Times New Roman"/>
                <w:sz w:val="21"/>
              </w:rPr>
              <w:t>0.02</w:t>
            </w:r>
          </w:p>
        </w:tc>
        <w:tc>
          <w:tcPr>
            <w:tcW w:w="1038" w:type="dxa"/>
          </w:tcPr>
          <w:p>
            <w:pPr>
              <w:pStyle w:val="TableParagraph"/>
              <w:spacing w:line="238" w:lineRule="exact" w:before="13"/>
              <w:ind w:left="335"/>
              <w:jc w:val="left"/>
              <w:rPr>
                <w:rFonts w:ascii="Times New Roman"/>
                <w:sz w:val="21"/>
              </w:rPr>
            </w:pPr>
            <w:r>
              <w:rPr>
                <w:rFonts w:ascii="Times New Roman"/>
                <w:sz w:val="21"/>
              </w:rPr>
              <w:t>0.02</w:t>
            </w:r>
          </w:p>
        </w:tc>
        <w:tc>
          <w:tcPr>
            <w:tcW w:w="1038" w:type="dxa"/>
          </w:tcPr>
          <w:p>
            <w:pPr>
              <w:pStyle w:val="TableParagraph"/>
              <w:spacing w:line="238" w:lineRule="exact" w:before="13"/>
              <w:ind w:left="182" w:right="173"/>
              <w:rPr>
                <w:rFonts w:ascii="Times New Roman"/>
                <w:sz w:val="21"/>
              </w:rPr>
            </w:pPr>
            <w:r>
              <w:rPr>
                <w:rFonts w:ascii="Times New Roman"/>
                <w:sz w:val="21"/>
              </w:rPr>
              <w:t>0.02</w:t>
            </w:r>
          </w:p>
        </w:tc>
        <w:tc>
          <w:tcPr>
            <w:tcW w:w="1038" w:type="dxa"/>
          </w:tcPr>
          <w:p>
            <w:pPr>
              <w:pStyle w:val="TableParagraph"/>
              <w:spacing w:line="238" w:lineRule="exact" w:before="13"/>
              <w:ind w:left="183" w:right="172"/>
              <w:rPr>
                <w:rFonts w:ascii="Times New Roman"/>
                <w:sz w:val="21"/>
              </w:rPr>
            </w:pPr>
            <w:r>
              <w:rPr>
                <w:rFonts w:ascii="Times New Roman"/>
                <w:sz w:val="21"/>
              </w:rPr>
              <w:t>0.02</w:t>
            </w:r>
          </w:p>
        </w:tc>
        <w:tc>
          <w:tcPr>
            <w:tcW w:w="1038" w:type="dxa"/>
          </w:tcPr>
          <w:p>
            <w:pPr>
              <w:pStyle w:val="TableParagraph"/>
              <w:spacing w:line="252" w:lineRule="exact"/>
              <w:ind w:right="300"/>
              <w:jc w:val="right"/>
              <w:rPr>
                <w:sz w:val="21"/>
              </w:rPr>
            </w:pPr>
            <w:r>
              <w:rPr>
                <w:w w:val="95"/>
                <w:sz w:val="21"/>
              </w:rPr>
              <w:t>达标</w:t>
            </w:r>
          </w:p>
        </w:tc>
      </w:tr>
      <w:tr>
        <w:trPr>
          <w:trHeight w:val="272" w:hRule="atLeast"/>
        </w:trPr>
        <w:tc>
          <w:tcPr>
            <w:tcW w:w="2079" w:type="dxa"/>
          </w:tcPr>
          <w:p>
            <w:pPr>
              <w:pStyle w:val="TableParagraph"/>
              <w:spacing w:line="251" w:lineRule="exact" w:before="1"/>
              <w:ind w:left="8"/>
              <w:rPr>
                <w:sz w:val="21"/>
              </w:rPr>
            </w:pPr>
            <w:r>
              <w:rPr>
                <w:w w:val="99"/>
                <w:sz w:val="21"/>
              </w:rPr>
              <w:t>汞</w:t>
            </w:r>
          </w:p>
        </w:tc>
        <w:tc>
          <w:tcPr>
            <w:tcW w:w="1084" w:type="dxa"/>
          </w:tcPr>
          <w:p>
            <w:pPr>
              <w:pStyle w:val="TableParagraph"/>
              <w:spacing w:line="237" w:lineRule="exact" w:before="15"/>
              <w:ind w:left="252" w:right="245"/>
              <w:rPr>
                <w:rFonts w:ascii="Times New Roman"/>
                <w:sz w:val="21"/>
              </w:rPr>
            </w:pPr>
            <w:r>
              <w:rPr>
                <w:rFonts w:ascii="Times New Roman"/>
                <w:sz w:val="21"/>
              </w:rPr>
              <w:t>mg/kg</w:t>
            </w:r>
          </w:p>
        </w:tc>
        <w:tc>
          <w:tcPr>
            <w:tcW w:w="1034" w:type="dxa"/>
          </w:tcPr>
          <w:p>
            <w:pPr>
              <w:pStyle w:val="TableParagraph"/>
              <w:spacing w:line="237" w:lineRule="exact" w:before="15"/>
              <w:ind w:left="200" w:right="190"/>
              <w:rPr>
                <w:rFonts w:ascii="Times New Roman"/>
                <w:sz w:val="21"/>
              </w:rPr>
            </w:pPr>
            <w:r>
              <w:rPr>
                <w:rFonts w:ascii="Times New Roman"/>
                <w:sz w:val="21"/>
              </w:rPr>
              <w:t>0.001</w:t>
            </w:r>
          </w:p>
        </w:tc>
        <w:tc>
          <w:tcPr>
            <w:tcW w:w="1035" w:type="dxa"/>
          </w:tcPr>
          <w:p>
            <w:pPr>
              <w:pStyle w:val="TableParagraph"/>
              <w:spacing w:line="237" w:lineRule="exact" w:before="15"/>
              <w:ind w:left="181" w:right="173"/>
              <w:rPr>
                <w:rFonts w:ascii="Times New Roman"/>
                <w:sz w:val="21"/>
              </w:rPr>
            </w:pPr>
            <w:r>
              <w:rPr>
                <w:rFonts w:ascii="Times New Roman"/>
                <w:sz w:val="21"/>
              </w:rPr>
              <w:t>0.001</w:t>
            </w:r>
          </w:p>
        </w:tc>
        <w:tc>
          <w:tcPr>
            <w:tcW w:w="1037" w:type="dxa"/>
          </w:tcPr>
          <w:p>
            <w:pPr>
              <w:pStyle w:val="TableParagraph"/>
              <w:spacing w:line="237" w:lineRule="exact" w:before="15"/>
              <w:ind w:left="181" w:right="172"/>
              <w:rPr>
                <w:rFonts w:ascii="Times New Roman"/>
                <w:sz w:val="21"/>
              </w:rPr>
            </w:pPr>
            <w:r>
              <w:rPr>
                <w:rFonts w:ascii="Times New Roman"/>
                <w:sz w:val="21"/>
              </w:rPr>
              <w:t>0.001</w:t>
            </w:r>
          </w:p>
        </w:tc>
        <w:tc>
          <w:tcPr>
            <w:tcW w:w="1037" w:type="dxa"/>
          </w:tcPr>
          <w:p>
            <w:pPr>
              <w:pStyle w:val="TableParagraph"/>
              <w:spacing w:line="237" w:lineRule="exact" w:before="15"/>
              <w:ind w:left="181" w:right="172"/>
              <w:rPr>
                <w:rFonts w:ascii="Times New Roman"/>
                <w:sz w:val="21"/>
              </w:rPr>
            </w:pPr>
            <w:r>
              <w:rPr>
                <w:rFonts w:ascii="Times New Roman"/>
                <w:sz w:val="21"/>
              </w:rPr>
              <w:t>0.001</w:t>
            </w:r>
          </w:p>
        </w:tc>
        <w:tc>
          <w:tcPr>
            <w:tcW w:w="1037" w:type="dxa"/>
          </w:tcPr>
          <w:p>
            <w:pPr>
              <w:pStyle w:val="TableParagraph"/>
              <w:spacing w:line="237" w:lineRule="exact" w:before="15"/>
              <w:ind w:left="181" w:right="172"/>
              <w:rPr>
                <w:rFonts w:ascii="Times New Roman"/>
                <w:sz w:val="21"/>
              </w:rPr>
            </w:pPr>
            <w:r>
              <w:rPr>
                <w:rFonts w:ascii="Times New Roman"/>
                <w:sz w:val="21"/>
              </w:rPr>
              <w:t>0.001</w:t>
            </w:r>
          </w:p>
        </w:tc>
        <w:tc>
          <w:tcPr>
            <w:tcW w:w="1037" w:type="dxa"/>
          </w:tcPr>
          <w:p>
            <w:pPr>
              <w:pStyle w:val="TableParagraph"/>
              <w:spacing w:line="237" w:lineRule="exact" w:before="15"/>
              <w:ind w:left="181" w:right="173"/>
              <w:rPr>
                <w:rFonts w:ascii="Times New Roman"/>
                <w:sz w:val="21"/>
              </w:rPr>
            </w:pPr>
            <w:r>
              <w:rPr>
                <w:rFonts w:ascii="Times New Roman"/>
                <w:sz w:val="21"/>
              </w:rPr>
              <w:t>0.001</w:t>
            </w:r>
          </w:p>
        </w:tc>
        <w:tc>
          <w:tcPr>
            <w:tcW w:w="1037" w:type="dxa"/>
          </w:tcPr>
          <w:p>
            <w:pPr>
              <w:pStyle w:val="TableParagraph"/>
              <w:spacing w:line="237" w:lineRule="exact" w:before="15"/>
              <w:ind w:left="181" w:right="173"/>
              <w:rPr>
                <w:rFonts w:ascii="Times New Roman"/>
                <w:sz w:val="21"/>
              </w:rPr>
            </w:pPr>
            <w:r>
              <w:rPr>
                <w:rFonts w:ascii="Times New Roman"/>
                <w:sz w:val="21"/>
              </w:rPr>
              <w:t>0.001</w:t>
            </w:r>
          </w:p>
        </w:tc>
        <w:tc>
          <w:tcPr>
            <w:tcW w:w="1038" w:type="dxa"/>
          </w:tcPr>
          <w:p>
            <w:pPr>
              <w:pStyle w:val="TableParagraph"/>
              <w:spacing w:line="237" w:lineRule="exact" w:before="15"/>
              <w:ind w:right="269"/>
              <w:jc w:val="right"/>
              <w:rPr>
                <w:rFonts w:ascii="Times New Roman"/>
                <w:sz w:val="21"/>
              </w:rPr>
            </w:pPr>
            <w:r>
              <w:rPr>
                <w:rFonts w:ascii="Times New Roman"/>
                <w:sz w:val="21"/>
              </w:rPr>
              <w:t>0.001</w:t>
            </w:r>
          </w:p>
        </w:tc>
        <w:tc>
          <w:tcPr>
            <w:tcW w:w="1038" w:type="dxa"/>
          </w:tcPr>
          <w:p>
            <w:pPr>
              <w:pStyle w:val="TableParagraph"/>
              <w:spacing w:line="237" w:lineRule="exact" w:before="15"/>
              <w:ind w:left="182" w:right="173"/>
              <w:rPr>
                <w:rFonts w:ascii="Times New Roman"/>
                <w:sz w:val="21"/>
              </w:rPr>
            </w:pPr>
            <w:r>
              <w:rPr>
                <w:rFonts w:ascii="Times New Roman"/>
                <w:sz w:val="21"/>
              </w:rPr>
              <w:t>0.001</w:t>
            </w:r>
          </w:p>
        </w:tc>
        <w:tc>
          <w:tcPr>
            <w:tcW w:w="1038" w:type="dxa"/>
          </w:tcPr>
          <w:p>
            <w:pPr>
              <w:pStyle w:val="TableParagraph"/>
              <w:spacing w:line="237" w:lineRule="exact" w:before="15"/>
              <w:ind w:left="183" w:right="172"/>
              <w:rPr>
                <w:rFonts w:ascii="Times New Roman"/>
                <w:sz w:val="21"/>
              </w:rPr>
            </w:pPr>
            <w:r>
              <w:rPr>
                <w:rFonts w:ascii="Times New Roman"/>
                <w:sz w:val="21"/>
              </w:rPr>
              <w:t>0.001</w:t>
            </w:r>
          </w:p>
        </w:tc>
        <w:tc>
          <w:tcPr>
            <w:tcW w:w="1038" w:type="dxa"/>
          </w:tcPr>
          <w:p>
            <w:pPr>
              <w:pStyle w:val="TableParagraph"/>
              <w:spacing w:line="251" w:lineRule="exact" w:before="1"/>
              <w:ind w:right="300"/>
              <w:jc w:val="right"/>
              <w:rPr>
                <w:sz w:val="21"/>
              </w:rPr>
            </w:pPr>
            <w:r>
              <w:rPr>
                <w:w w:val="95"/>
                <w:sz w:val="21"/>
              </w:rPr>
              <w:t>达标</w:t>
            </w:r>
          </w:p>
        </w:tc>
      </w:tr>
      <w:tr>
        <w:trPr>
          <w:trHeight w:val="272" w:hRule="atLeast"/>
        </w:trPr>
        <w:tc>
          <w:tcPr>
            <w:tcW w:w="2079" w:type="dxa"/>
          </w:tcPr>
          <w:p>
            <w:pPr>
              <w:pStyle w:val="TableParagraph"/>
              <w:spacing w:line="251" w:lineRule="exact" w:before="2"/>
              <w:ind w:left="8"/>
              <w:rPr>
                <w:sz w:val="21"/>
              </w:rPr>
            </w:pPr>
            <w:r>
              <w:rPr>
                <w:w w:val="99"/>
                <w:sz w:val="21"/>
              </w:rPr>
              <w:t>镍</w:t>
            </w:r>
          </w:p>
        </w:tc>
        <w:tc>
          <w:tcPr>
            <w:tcW w:w="1084" w:type="dxa"/>
          </w:tcPr>
          <w:p>
            <w:pPr>
              <w:pStyle w:val="TableParagraph"/>
              <w:spacing w:line="237" w:lineRule="exact" w:before="16"/>
              <w:ind w:left="252" w:right="245"/>
              <w:rPr>
                <w:rFonts w:ascii="Times New Roman"/>
                <w:sz w:val="21"/>
              </w:rPr>
            </w:pPr>
            <w:r>
              <w:rPr>
                <w:rFonts w:ascii="Times New Roman"/>
                <w:sz w:val="21"/>
              </w:rPr>
              <w:t>mg/kg</w:t>
            </w:r>
          </w:p>
        </w:tc>
        <w:tc>
          <w:tcPr>
            <w:tcW w:w="1034" w:type="dxa"/>
          </w:tcPr>
          <w:p>
            <w:pPr>
              <w:pStyle w:val="TableParagraph"/>
              <w:spacing w:line="237" w:lineRule="exact" w:before="16"/>
              <w:ind w:left="198" w:right="190"/>
              <w:rPr>
                <w:rFonts w:ascii="Times New Roman"/>
                <w:sz w:val="21"/>
              </w:rPr>
            </w:pPr>
            <w:r>
              <w:rPr>
                <w:rFonts w:ascii="Times New Roman"/>
                <w:sz w:val="21"/>
              </w:rPr>
              <w:t>0.02</w:t>
            </w:r>
          </w:p>
        </w:tc>
        <w:tc>
          <w:tcPr>
            <w:tcW w:w="1035" w:type="dxa"/>
          </w:tcPr>
          <w:p>
            <w:pPr>
              <w:pStyle w:val="TableParagraph"/>
              <w:spacing w:line="237" w:lineRule="exact" w:before="16"/>
              <w:ind w:left="9"/>
              <w:rPr>
                <w:rFonts w:ascii="Times New Roman"/>
                <w:sz w:val="21"/>
              </w:rPr>
            </w:pPr>
            <w:r>
              <w:rPr>
                <w:rFonts w:ascii="Times New Roman"/>
                <w:w w:val="99"/>
                <w:sz w:val="21"/>
              </w:rPr>
              <w:t>/</w:t>
            </w:r>
          </w:p>
        </w:tc>
        <w:tc>
          <w:tcPr>
            <w:tcW w:w="1037" w:type="dxa"/>
          </w:tcPr>
          <w:p>
            <w:pPr>
              <w:pStyle w:val="TableParagraph"/>
              <w:spacing w:line="237" w:lineRule="exact" w:before="16"/>
              <w:ind w:left="6"/>
              <w:rPr>
                <w:rFonts w:ascii="Times New Roman"/>
                <w:sz w:val="21"/>
              </w:rPr>
            </w:pPr>
            <w:r>
              <w:rPr>
                <w:rFonts w:ascii="Times New Roman"/>
                <w:w w:val="99"/>
                <w:sz w:val="21"/>
              </w:rPr>
              <w:t>/</w:t>
            </w:r>
          </w:p>
        </w:tc>
        <w:tc>
          <w:tcPr>
            <w:tcW w:w="1037" w:type="dxa"/>
          </w:tcPr>
          <w:p>
            <w:pPr>
              <w:pStyle w:val="TableParagraph"/>
              <w:spacing w:line="237" w:lineRule="exact" w:before="16"/>
              <w:ind w:left="6"/>
              <w:rPr>
                <w:rFonts w:ascii="Times New Roman"/>
                <w:sz w:val="21"/>
              </w:rPr>
            </w:pPr>
            <w:r>
              <w:rPr>
                <w:rFonts w:ascii="Times New Roman"/>
                <w:w w:val="99"/>
                <w:sz w:val="21"/>
              </w:rPr>
              <w:t>/</w:t>
            </w:r>
          </w:p>
        </w:tc>
        <w:tc>
          <w:tcPr>
            <w:tcW w:w="1037" w:type="dxa"/>
          </w:tcPr>
          <w:p>
            <w:pPr>
              <w:pStyle w:val="TableParagraph"/>
              <w:spacing w:line="237" w:lineRule="exact" w:before="16"/>
              <w:ind w:left="10"/>
              <w:rPr>
                <w:rFonts w:ascii="Times New Roman"/>
                <w:sz w:val="21"/>
              </w:rPr>
            </w:pPr>
            <w:r>
              <w:rPr>
                <w:rFonts w:ascii="Times New Roman"/>
                <w:w w:val="99"/>
                <w:sz w:val="21"/>
              </w:rPr>
              <w:t>/</w:t>
            </w:r>
          </w:p>
        </w:tc>
        <w:tc>
          <w:tcPr>
            <w:tcW w:w="1037" w:type="dxa"/>
          </w:tcPr>
          <w:p>
            <w:pPr>
              <w:pStyle w:val="TableParagraph"/>
              <w:spacing w:line="237" w:lineRule="exact" w:before="16"/>
              <w:ind w:left="10"/>
              <w:rPr>
                <w:rFonts w:ascii="Times New Roman"/>
                <w:sz w:val="21"/>
              </w:rPr>
            </w:pPr>
            <w:r>
              <w:rPr>
                <w:rFonts w:ascii="Times New Roman"/>
                <w:w w:val="99"/>
                <w:sz w:val="21"/>
              </w:rPr>
              <w:t>/</w:t>
            </w:r>
          </w:p>
        </w:tc>
        <w:tc>
          <w:tcPr>
            <w:tcW w:w="1037" w:type="dxa"/>
          </w:tcPr>
          <w:p>
            <w:pPr>
              <w:pStyle w:val="TableParagraph"/>
              <w:spacing w:line="237" w:lineRule="exact" w:before="16"/>
              <w:ind w:left="9"/>
              <w:rPr>
                <w:rFonts w:ascii="Times New Roman"/>
                <w:sz w:val="21"/>
              </w:rPr>
            </w:pPr>
            <w:r>
              <w:rPr>
                <w:rFonts w:ascii="Times New Roman"/>
                <w:w w:val="99"/>
                <w:sz w:val="21"/>
              </w:rPr>
              <w:t>/</w:t>
            </w:r>
          </w:p>
        </w:tc>
        <w:tc>
          <w:tcPr>
            <w:tcW w:w="1038"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0"/>
              <w:rPr>
                <w:rFonts w:ascii="Times New Roman"/>
                <w:sz w:val="21"/>
              </w:rPr>
            </w:pPr>
            <w:r>
              <w:rPr>
                <w:rFonts w:ascii="Times New Roman"/>
                <w:w w:val="99"/>
                <w:sz w:val="21"/>
              </w:rPr>
              <w:t>/</w:t>
            </w:r>
          </w:p>
        </w:tc>
        <w:tc>
          <w:tcPr>
            <w:tcW w:w="1038"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51" w:lineRule="exact" w:before="2"/>
              <w:ind w:right="300"/>
              <w:jc w:val="right"/>
              <w:rPr>
                <w:sz w:val="21"/>
              </w:rPr>
            </w:pPr>
            <w:r>
              <w:rPr>
                <w:w w:val="95"/>
                <w:sz w:val="21"/>
              </w:rPr>
              <w:t>达标</w:t>
            </w:r>
          </w:p>
        </w:tc>
      </w:tr>
      <w:tr>
        <w:trPr>
          <w:trHeight w:val="272" w:hRule="atLeast"/>
        </w:trPr>
        <w:tc>
          <w:tcPr>
            <w:tcW w:w="2079" w:type="dxa"/>
          </w:tcPr>
          <w:p>
            <w:pPr>
              <w:pStyle w:val="TableParagraph"/>
              <w:spacing w:line="252" w:lineRule="exact"/>
              <w:ind w:left="86" w:right="78"/>
              <w:rPr>
                <w:sz w:val="21"/>
              </w:rPr>
            </w:pPr>
            <w:r>
              <w:rPr>
                <w:sz w:val="21"/>
              </w:rPr>
              <w:t>四氯化碳</w:t>
            </w:r>
          </w:p>
        </w:tc>
        <w:tc>
          <w:tcPr>
            <w:tcW w:w="1084" w:type="dxa"/>
          </w:tcPr>
          <w:p>
            <w:pPr>
              <w:pStyle w:val="TableParagraph"/>
              <w:spacing w:line="238"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50" w:lineRule="exact" w:before="2"/>
              <w:ind w:left="181" w:right="172"/>
              <w:rPr>
                <w:sz w:val="21"/>
              </w:rPr>
            </w:pPr>
            <w:bookmarkStart w:name="未检出" w:id="915"/>
            <w:bookmarkEnd w:id="915"/>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1" w:hRule="atLeast"/>
        </w:trPr>
        <w:tc>
          <w:tcPr>
            <w:tcW w:w="2079" w:type="dxa"/>
          </w:tcPr>
          <w:p>
            <w:pPr>
              <w:pStyle w:val="TableParagraph"/>
              <w:spacing w:line="251" w:lineRule="exact" w:before="1"/>
              <w:ind w:left="83" w:right="78"/>
              <w:rPr>
                <w:sz w:val="21"/>
              </w:rPr>
            </w:pPr>
            <w:r>
              <w:rPr>
                <w:sz w:val="21"/>
              </w:rPr>
              <w:t>氯甲烷</w:t>
            </w:r>
          </w:p>
        </w:tc>
        <w:tc>
          <w:tcPr>
            <w:tcW w:w="1084" w:type="dxa"/>
          </w:tcPr>
          <w:p>
            <w:pPr>
              <w:pStyle w:val="TableParagraph"/>
              <w:spacing w:line="237" w:lineRule="exact" w:before="15"/>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3"/>
              <w:ind w:left="181" w:right="172"/>
              <w:rPr>
                <w:sz w:val="21"/>
              </w:rPr>
            </w:pPr>
            <w:bookmarkStart w:name="未检出" w:id="916"/>
            <w:bookmarkEnd w:id="916"/>
            <w:r>
              <w:rPr/>
            </w:r>
            <w:r>
              <w:rPr>
                <w:sz w:val="21"/>
              </w:rPr>
              <w:t>未检出</w:t>
            </w:r>
          </w:p>
        </w:tc>
        <w:tc>
          <w:tcPr>
            <w:tcW w:w="1035" w:type="dxa"/>
          </w:tcPr>
          <w:p>
            <w:pPr>
              <w:pStyle w:val="TableParagraph"/>
              <w:spacing w:line="237" w:lineRule="exact" w:before="15"/>
              <w:ind w:left="9"/>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9"/>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0"/>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51" w:lineRule="exact" w:before="1"/>
              <w:ind w:right="300"/>
              <w:jc w:val="right"/>
              <w:rPr>
                <w:sz w:val="21"/>
              </w:rPr>
            </w:pPr>
            <w:r>
              <w:rPr>
                <w:w w:val="95"/>
                <w:sz w:val="21"/>
              </w:rPr>
              <w:t>达标</w:t>
            </w:r>
          </w:p>
        </w:tc>
      </w:tr>
      <w:tr>
        <w:trPr>
          <w:trHeight w:val="273" w:hRule="atLeast"/>
        </w:trPr>
        <w:tc>
          <w:tcPr>
            <w:tcW w:w="2079" w:type="dxa"/>
          </w:tcPr>
          <w:p>
            <w:pPr>
              <w:pStyle w:val="TableParagraph"/>
              <w:spacing w:line="253" w:lineRule="exact"/>
              <w:ind w:left="83" w:right="78"/>
              <w:rPr>
                <w:sz w:val="21"/>
              </w:rPr>
            </w:pPr>
            <w:r>
              <w:rPr>
                <w:sz w:val="21"/>
              </w:rPr>
              <w:t>氯仿</w:t>
            </w:r>
          </w:p>
        </w:tc>
        <w:tc>
          <w:tcPr>
            <w:tcW w:w="1084" w:type="dxa"/>
          </w:tcPr>
          <w:p>
            <w:pPr>
              <w:pStyle w:val="TableParagraph"/>
              <w:spacing w:line="239"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4"/>
              <w:ind w:left="181" w:right="172"/>
              <w:rPr>
                <w:sz w:val="21"/>
              </w:rPr>
            </w:pPr>
            <w:bookmarkStart w:name="未检出" w:id="917"/>
            <w:bookmarkEnd w:id="917"/>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1" w:hRule="atLeast"/>
        </w:trPr>
        <w:tc>
          <w:tcPr>
            <w:tcW w:w="2079" w:type="dxa"/>
          </w:tcPr>
          <w:p>
            <w:pPr>
              <w:pStyle w:val="TableParagraph"/>
              <w:spacing w:line="252" w:lineRule="exact"/>
              <w:ind w:left="86" w:right="78"/>
              <w:rPr>
                <w:sz w:val="21"/>
              </w:rPr>
            </w:pPr>
            <w:r>
              <w:rPr>
                <w:rFonts w:ascii="Times New Roman" w:eastAsia="Times New Roman"/>
                <w:sz w:val="21"/>
              </w:rPr>
              <w:t>1,1-</w:t>
            </w:r>
            <w:r>
              <w:rPr>
                <w:sz w:val="21"/>
              </w:rPr>
              <w:t>二氯乙烷</w:t>
            </w:r>
          </w:p>
        </w:tc>
        <w:tc>
          <w:tcPr>
            <w:tcW w:w="1084" w:type="dxa"/>
          </w:tcPr>
          <w:p>
            <w:pPr>
              <w:pStyle w:val="TableParagraph"/>
              <w:spacing w:line="238"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9" w:lineRule="exact" w:before="2"/>
              <w:ind w:left="181" w:right="172"/>
              <w:rPr>
                <w:sz w:val="21"/>
              </w:rPr>
            </w:pPr>
            <w:bookmarkStart w:name="未检出" w:id="918"/>
            <w:bookmarkEnd w:id="918"/>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2" w:hRule="atLeast"/>
        </w:trPr>
        <w:tc>
          <w:tcPr>
            <w:tcW w:w="2079" w:type="dxa"/>
          </w:tcPr>
          <w:p>
            <w:pPr>
              <w:pStyle w:val="TableParagraph"/>
              <w:spacing w:line="251" w:lineRule="exact" w:before="1"/>
              <w:ind w:left="86" w:right="78"/>
              <w:rPr>
                <w:sz w:val="21"/>
              </w:rPr>
            </w:pPr>
            <w:r>
              <w:rPr>
                <w:rFonts w:ascii="Times New Roman" w:eastAsia="Times New Roman"/>
                <w:sz w:val="21"/>
              </w:rPr>
              <w:t>1,2-</w:t>
            </w:r>
            <w:r>
              <w:rPr>
                <w:sz w:val="21"/>
              </w:rPr>
              <w:t>二氯乙烷</w:t>
            </w:r>
          </w:p>
        </w:tc>
        <w:tc>
          <w:tcPr>
            <w:tcW w:w="1084" w:type="dxa"/>
          </w:tcPr>
          <w:p>
            <w:pPr>
              <w:pStyle w:val="TableParagraph"/>
              <w:spacing w:line="237" w:lineRule="exact" w:before="15"/>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3"/>
              <w:ind w:left="181" w:right="172"/>
              <w:rPr>
                <w:sz w:val="21"/>
              </w:rPr>
            </w:pPr>
            <w:bookmarkStart w:name="未检出" w:id="919"/>
            <w:bookmarkEnd w:id="919"/>
            <w:r>
              <w:rPr/>
            </w:r>
            <w:r>
              <w:rPr>
                <w:sz w:val="21"/>
              </w:rPr>
              <w:t>未检出</w:t>
            </w:r>
          </w:p>
        </w:tc>
        <w:tc>
          <w:tcPr>
            <w:tcW w:w="1035" w:type="dxa"/>
          </w:tcPr>
          <w:p>
            <w:pPr>
              <w:pStyle w:val="TableParagraph"/>
              <w:spacing w:line="237" w:lineRule="exact" w:before="15"/>
              <w:ind w:left="9"/>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9"/>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0"/>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51" w:lineRule="exact" w:before="1"/>
              <w:ind w:right="300"/>
              <w:jc w:val="right"/>
              <w:rPr>
                <w:sz w:val="21"/>
              </w:rPr>
            </w:pPr>
            <w:r>
              <w:rPr>
                <w:w w:val="95"/>
                <w:sz w:val="21"/>
              </w:rPr>
              <w:t>达标</w:t>
            </w:r>
          </w:p>
        </w:tc>
      </w:tr>
      <w:tr>
        <w:trPr>
          <w:trHeight w:val="272" w:hRule="atLeast"/>
        </w:trPr>
        <w:tc>
          <w:tcPr>
            <w:tcW w:w="2079" w:type="dxa"/>
          </w:tcPr>
          <w:p>
            <w:pPr>
              <w:pStyle w:val="TableParagraph"/>
              <w:spacing w:line="253" w:lineRule="exact"/>
              <w:ind w:left="86" w:right="78"/>
              <w:rPr>
                <w:sz w:val="21"/>
              </w:rPr>
            </w:pPr>
            <w:r>
              <w:rPr>
                <w:rFonts w:ascii="Times New Roman" w:eastAsia="Times New Roman"/>
                <w:sz w:val="21"/>
              </w:rPr>
              <w:t>1,1-</w:t>
            </w:r>
            <w:r>
              <w:rPr>
                <w:sz w:val="21"/>
              </w:rPr>
              <w:t>二氯乙烯</w:t>
            </w:r>
          </w:p>
        </w:tc>
        <w:tc>
          <w:tcPr>
            <w:tcW w:w="1084" w:type="dxa"/>
          </w:tcPr>
          <w:p>
            <w:pPr>
              <w:pStyle w:val="TableParagraph"/>
              <w:spacing w:line="239"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5"/>
              <w:ind w:left="181" w:right="172"/>
              <w:rPr>
                <w:sz w:val="21"/>
              </w:rPr>
            </w:pPr>
            <w:bookmarkStart w:name="未检出" w:id="920"/>
            <w:bookmarkEnd w:id="920"/>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2" w:hRule="atLeast"/>
        </w:trPr>
        <w:tc>
          <w:tcPr>
            <w:tcW w:w="2079" w:type="dxa"/>
          </w:tcPr>
          <w:p>
            <w:pPr>
              <w:pStyle w:val="TableParagraph"/>
              <w:spacing w:line="252" w:lineRule="exact"/>
              <w:ind w:left="83" w:right="78"/>
              <w:rPr>
                <w:sz w:val="21"/>
              </w:rPr>
            </w:pPr>
            <w:r>
              <w:rPr>
                <w:sz w:val="21"/>
              </w:rPr>
              <w:t>顺</w:t>
            </w:r>
            <w:r>
              <w:rPr>
                <w:rFonts w:ascii="Times New Roman" w:eastAsia="Times New Roman"/>
                <w:sz w:val="21"/>
              </w:rPr>
              <w:t>-1,2-</w:t>
            </w:r>
            <w:r>
              <w:rPr>
                <w:sz w:val="21"/>
              </w:rPr>
              <w:t>二氯乙烯</w:t>
            </w:r>
          </w:p>
        </w:tc>
        <w:tc>
          <w:tcPr>
            <w:tcW w:w="1084" w:type="dxa"/>
          </w:tcPr>
          <w:p>
            <w:pPr>
              <w:pStyle w:val="TableParagraph"/>
              <w:spacing w:line="238"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9" w:lineRule="exact" w:before="2"/>
              <w:ind w:left="181" w:right="172"/>
              <w:rPr>
                <w:sz w:val="21"/>
              </w:rPr>
            </w:pPr>
            <w:bookmarkStart w:name="未检出" w:id="921"/>
            <w:bookmarkEnd w:id="921"/>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2" w:hRule="atLeast"/>
        </w:trPr>
        <w:tc>
          <w:tcPr>
            <w:tcW w:w="2079" w:type="dxa"/>
          </w:tcPr>
          <w:p>
            <w:pPr>
              <w:pStyle w:val="TableParagraph"/>
              <w:spacing w:line="250" w:lineRule="exact" w:before="1"/>
              <w:ind w:left="83" w:right="78"/>
              <w:rPr>
                <w:sz w:val="21"/>
              </w:rPr>
            </w:pPr>
            <w:r>
              <w:rPr>
                <w:sz w:val="21"/>
              </w:rPr>
              <w:t>反</w:t>
            </w:r>
            <w:r>
              <w:rPr>
                <w:rFonts w:ascii="Times New Roman" w:eastAsia="Times New Roman"/>
                <w:sz w:val="21"/>
              </w:rPr>
              <w:t>-1,2-</w:t>
            </w:r>
            <w:r>
              <w:rPr>
                <w:sz w:val="21"/>
              </w:rPr>
              <w:t>二氯乙烯</w:t>
            </w:r>
          </w:p>
        </w:tc>
        <w:tc>
          <w:tcPr>
            <w:tcW w:w="1084" w:type="dxa"/>
          </w:tcPr>
          <w:p>
            <w:pPr>
              <w:pStyle w:val="TableParagraph"/>
              <w:spacing w:line="236" w:lineRule="exact" w:before="15"/>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4"/>
              <w:ind w:left="181" w:right="172"/>
              <w:rPr>
                <w:sz w:val="21"/>
              </w:rPr>
            </w:pPr>
            <w:bookmarkStart w:name="未检出" w:id="922"/>
            <w:bookmarkEnd w:id="922"/>
            <w:r>
              <w:rPr/>
            </w:r>
            <w:r>
              <w:rPr>
                <w:sz w:val="21"/>
              </w:rPr>
              <w:t>未检出</w:t>
            </w:r>
          </w:p>
        </w:tc>
        <w:tc>
          <w:tcPr>
            <w:tcW w:w="1035" w:type="dxa"/>
          </w:tcPr>
          <w:p>
            <w:pPr>
              <w:pStyle w:val="TableParagraph"/>
              <w:spacing w:line="236" w:lineRule="exact" w:before="15"/>
              <w:ind w:left="9"/>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9"/>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36" w:lineRule="exact" w:before="15"/>
              <w:ind w:left="10"/>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50" w:lineRule="exact" w:before="1"/>
              <w:ind w:right="300"/>
              <w:jc w:val="right"/>
              <w:rPr>
                <w:sz w:val="21"/>
              </w:rPr>
            </w:pPr>
            <w:r>
              <w:rPr>
                <w:w w:val="95"/>
                <w:sz w:val="21"/>
              </w:rPr>
              <w:t>达标</w:t>
            </w:r>
          </w:p>
        </w:tc>
      </w:tr>
      <w:tr>
        <w:trPr>
          <w:trHeight w:val="272" w:hRule="atLeast"/>
        </w:trPr>
        <w:tc>
          <w:tcPr>
            <w:tcW w:w="2079" w:type="dxa"/>
          </w:tcPr>
          <w:p>
            <w:pPr>
              <w:pStyle w:val="TableParagraph"/>
              <w:spacing w:line="253" w:lineRule="exact"/>
              <w:ind w:left="86" w:right="78"/>
              <w:rPr>
                <w:sz w:val="21"/>
              </w:rPr>
            </w:pPr>
            <w:r>
              <w:rPr>
                <w:sz w:val="21"/>
              </w:rPr>
              <w:t>二氯甲烷</w:t>
            </w:r>
          </w:p>
        </w:tc>
        <w:tc>
          <w:tcPr>
            <w:tcW w:w="1084" w:type="dxa"/>
          </w:tcPr>
          <w:p>
            <w:pPr>
              <w:pStyle w:val="TableParagraph"/>
              <w:spacing w:line="239"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5"/>
              <w:ind w:left="181" w:right="172"/>
              <w:rPr>
                <w:sz w:val="21"/>
              </w:rPr>
            </w:pPr>
            <w:bookmarkStart w:name="未检出" w:id="923"/>
            <w:bookmarkEnd w:id="923"/>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2" w:hRule="atLeast"/>
        </w:trPr>
        <w:tc>
          <w:tcPr>
            <w:tcW w:w="2079" w:type="dxa"/>
          </w:tcPr>
          <w:p>
            <w:pPr>
              <w:pStyle w:val="TableParagraph"/>
              <w:spacing w:line="251" w:lineRule="exact"/>
              <w:ind w:left="86" w:right="78"/>
              <w:rPr>
                <w:sz w:val="21"/>
              </w:rPr>
            </w:pPr>
            <w:r>
              <w:rPr>
                <w:rFonts w:ascii="Times New Roman" w:eastAsia="Times New Roman"/>
                <w:sz w:val="21"/>
              </w:rPr>
              <w:t>1,2-</w:t>
            </w:r>
            <w:r>
              <w:rPr>
                <w:sz w:val="21"/>
              </w:rPr>
              <w:t>二氯丙烷</w:t>
            </w:r>
          </w:p>
        </w:tc>
        <w:tc>
          <w:tcPr>
            <w:tcW w:w="1084" w:type="dxa"/>
          </w:tcPr>
          <w:p>
            <w:pPr>
              <w:pStyle w:val="TableParagraph"/>
              <w:spacing w:line="237" w:lineRule="exact" w:before="14"/>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9" w:lineRule="exact" w:before="3"/>
              <w:ind w:left="181" w:right="172"/>
              <w:rPr>
                <w:sz w:val="21"/>
              </w:rPr>
            </w:pPr>
            <w:bookmarkStart w:name="未检出" w:id="924"/>
            <w:bookmarkEnd w:id="924"/>
            <w:r>
              <w:rPr/>
            </w:r>
            <w:r>
              <w:rPr>
                <w:sz w:val="21"/>
              </w:rPr>
              <w:t>未检出</w:t>
            </w:r>
          </w:p>
        </w:tc>
        <w:tc>
          <w:tcPr>
            <w:tcW w:w="1035" w:type="dxa"/>
          </w:tcPr>
          <w:p>
            <w:pPr>
              <w:pStyle w:val="TableParagraph"/>
              <w:spacing w:line="237" w:lineRule="exact" w:before="14"/>
              <w:ind w:left="9"/>
              <w:rPr>
                <w:rFonts w:ascii="Times New Roman"/>
                <w:sz w:val="21"/>
              </w:rPr>
            </w:pPr>
            <w:r>
              <w:rPr>
                <w:rFonts w:ascii="Times New Roman"/>
                <w:w w:val="99"/>
                <w:sz w:val="21"/>
              </w:rPr>
              <w:t>/</w:t>
            </w:r>
          </w:p>
        </w:tc>
        <w:tc>
          <w:tcPr>
            <w:tcW w:w="1037" w:type="dxa"/>
          </w:tcPr>
          <w:p>
            <w:pPr>
              <w:pStyle w:val="TableParagraph"/>
              <w:spacing w:line="237" w:lineRule="exact" w:before="14"/>
              <w:ind w:left="6"/>
              <w:rPr>
                <w:rFonts w:ascii="Times New Roman"/>
                <w:sz w:val="21"/>
              </w:rPr>
            </w:pPr>
            <w:r>
              <w:rPr>
                <w:rFonts w:ascii="Times New Roman"/>
                <w:w w:val="99"/>
                <w:sz w:val="21"/>
              </w:rPr>
              <w:t>/</w:t>
            </w:r>
          </w:p>
        </w:tc>
        <w:tc>
          <w:tcPr>
            <w:tcW w:w="1037" w:type="dxa"/>
          </w:tcPr>
          <w:p>
            <w:pPr>
              <w:pStyle w:val="TableParagraph"/>
              <w:spacing w:line="237" w:lineRule="exact" w:before="14"/>
              <w:ind w:left="6"/>
              <w:rPr>
                <w:rFonts w:ascii="Times New Roman"/>
                <w:sz w:val="21"/>
              </w:rPr>
            </w:pPr>
            <w:r>
              <w:rPr>
                <w:rFonts w:ascii="Times New Roman"/>
                <w:w w:val="99"/>
                <w:sz w:val="21"/>
              </w:rPr>
              <w:t>/</w:t>
            </w:r>
          </w:p>
        </w:tc>
        <w:tc>
          <w:tcPr>
            <w:tcW w:w="1037" w:type="dxa"/>
          </w:tcPr>
          <w:p>
            <w:pPr>
              <w:pStyle w:val="TableParagraph"/>
              <w:spacing w:line="237" w:lineRule="exact" w:before="14"/>
              <w:ind w:left="10"/>
              <w:rPr>
                <w:rFonts w:ascii="Times New Roman"/>
                <w:sz w:val="21"/>
              </w:rPr>
            </w:pPr>
            <w:r>
              <w:rPr>
                <w:rFonts w:ascii="Times New Roman"/>
                <w:w w:val="99"/>
                <w:sz w:val="21"/>
              </w:rPr>
              <w:t>/</w:t>
            </w:r>
          </w:p>
        </w:tc>
        <w:tc>
          <w:tcPr>
            <w:tcW w:w="1037" w:type="dxa"/>
          </w:tcPr>
          <w:p>
            <w:pPr>
              <w:pStyle w:val="TableParagraph"/>
              <w:spacing w:line="237" w:lineRule="exact" w:before="14"/>
              <w:ind w:left="10"/>
              <w:rPr>
                <w:rFonts w:ascii="Times New Roman"/>
                <w:sz w:val="21"/>
              </w:rPr>
            </w:pPr>
            <w:r>
              <w:rPr>
                <w:rFonts w:ascii="Times New Roman"/>
                <w:w w:val="99"/>
                <w:sz w:val="21"/>
              </w:rPr>
              <w:t>/</w:t>
            </w:r>
          </w:p>
        </w:tc>
        <w:tc>
          <w:tcPr>
            <w:tcW w:w="1037" w:type="dxa"/>
          </w:tcPr>
          <w:p>
            <w:pPr>
              <w:pStyle w:val="TableParagraph"/>
              <w:spacing w:line="237" w:lineRule="exact" w:before="14"/>
              <w:ind w:left="9"/>
              <w:rPr>
                <w:rFonts w:ascii="Times New Roman"/>
                <w:sz w:val="21"/>
              </w:rPr>
            </w:pPr>
            <w:r>
              <w:rPr>
                <w:rFonts w:ascii="Times New Roman"/>
                <w:w w:val="99"/>
                <w:sz w:val="21"/>
              </w:rPr>
              <w:t>/</w:t>
            </w:r>
          </w:p>
        </w:tc>
        <w:tc>
          <w:tcPr>
            <w:tcW w:w="1038" w:type="dxa"/>
          </w:tcPr>
          <w:p>
            <w:pPr>
              <w:pStyle w:val="TableParagraph"/>
              <w:spacing w:line="237" w:lineRule="exact" w:before="14"/>
              <w:ind w:left="8"/>
              <w:rPr>
                <w:rFonts w:ascii="Times New Roman"/>
                <w:sz w:val="21"/>
              </w:rPr>
            </w:pPr>
            <w:r>
              <w:rPr>
                <w:rFonts w:ascii="Times New Roman"/>
                <w:w w:val="99"/>
                <w:sz w:val="21"/>
              </w:rPr>
              <w:t>/</w:t>
            </w:r>
          </w:p>
        </w:tc>
        <w:tc>
          <w:tcPr>
            <w:tcW w:w="1038" w:type="dxa"/>
          </w:tcPr>
          <w:p>
            <w:pPr>
              <w:pStyle w:val="TableParagraph"/>
              <w:spacing w:line="237" w:lineRule="exact" w:before="14"/>
              <w:ind w:left="10"/>
              <w:rPr>
                <w:rFonts w:ascii="Times New Roman"/>
                <w:sz w:val="21"/>
              </w:rPr>
            </w:pPr>
            <w:r>
              <w:rPr>
                <w:rFonts w:ascii="Times New Roman"/>
                <w:w w:val="99"/>
                <w:sz w:val="21"/>
              </w:rPr>
              <w:t>/</w:t>
            </w:r>
          </w:p>
        </w:tc>
        <w:tc>
          <w:tcPr>
            <w:tcW w:w="1038" w:type="dxa"/>
          </w:tcPr>
          <w:p>
            <w:pPr>
              <w:pStyle w:val="TableParagraph"/>
              <w:spacing w:line="237" w:lineRule="exact" w:before="14"/>
              <w:ind w:left="8"/>
              <w:rPr>
                <w:rFonts w:ascii="Times New Roman"/>
                <w:sz w:val="21"/>
              </w:rPr>
            </w:pPr>
            <w:r>
              <w:rPr>
                <w:rFonts w:ascii="Times New Roman"/>
                <w:w w:val="99"/>
                <w:sz w:val="21"/>
              </w:rPr>
              <w:t>/</w:t>
            </w:r>
          </w:p>
        </w:tc>
        <w:tc>
          <w:tcPr>
            <w:tcW w:w="1038" w:type="dxa"/>
          </w:tcPr>
          <w:p>
            <w:pPr>
              <w:pStyle w:val="TableParagraph"/>
              <w:spacing w:line="251" w:lineRule="exact"/>
              <w:ind w:right="300"/>
              <w:jc w:val="right"/>
              <w:rPr>
                <w:sz w:val="21"/>
              </w:rPr>
            </w:pPr>
            <w:r>
              <w:rPr>
                <w:w w:val="95"/>
                <w:sz w:val="21"/>
              </w:rPr>
              <w:t>达标</w:t>
            </w:r>
          </w:p>
        </w:tc>
      </w:tr>
      <w:tr>
        <w:trPr>
          <w:trHeight w:val="271" w:hRule="atLeast"/>
        </w:trPr>
        <w:tc>
          <w:tcPr>
            <w:tcW w:w="2079" w:type="dxa"/>
          </w:tcPr>
          <w:p>
            <w:pPr>
              <w:pStyle w:val="TableParagraph"/>
              <w:spacing w:line="250" w:lineRule="exact" w:before="2"/>
              <w:ind w:left="86" w:right="78"/>
              <w:rPr>
                <w:sz w:val="21"/>
              </w:rPr>
            </w:pPr>
            <w:r>
              <w:rPr>
                <w:rFonts w:ascii="Times New Roman" w:eastAsia="Times New Roman"/>
                <w:sz w:val="21"/>
              </w:rPr>
              <w:t>1,1,1,2-</w:t>
            </w:r>
            <w:r>
              <w:rPr>
                <w:sz w:val="21"/>
              </w:rPr>
              <w:t>四氯乙烷</w:t>
            </w:r>
          </w:p>
        </w:tc>
        <w:tc>
          <w:tcPr>
            <w:tcW w:w="1084" w:type="dxa"/>
          </w:tcPr>
          <w:p>
            <w:pPr>
              <w:pStyle w:val="TableParagraph"/>
              <w:spacing w:line="236" w:lineRule="exact" w:before="15"/>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4"/>
              <w:ind w:left="181" w:right="172"/>
              <w:rPr>
                <w:sz w:val="21"/>
              </w:rPr>
            </w:pPr>
            <w:bookmarkStart w:name="未检出" w:id="925"/>
            <w:bookmarkEnd w:id="925"/>
            <w:r>
              <w:rPr/>
            </w:r>
            <w:r>
              <w:rPr>
                <w:sz w:val="21"/>
              </w:rPr>
              <w:t>未检出</w:t>
            </w:r>
          </w:p>
        </w:tc>
        <w:tc>
          <w:tcPr>
            <w:tcW w:w="1035" w:type="dxa"/>
          </w:tcPr>
          <w:p>
            <w:pPr>
              <w:pStyle w:val="TableParagraph"/>
              <w:spacing w:line="236" w:lineRule="exact" w:before="15"/>
              <w:ind w:left="9"/>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9"/>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36" w:lineRule="exact" w:before="15"/>
              <w:ind w:left="10"/>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50" w:lineRule="exact" w:before="2"/>
              <w:ind w:right="300"/>
              <w:jc w:val="right"/>
              <w:rPr>
                <w:sz w:val="21"/>
              </w:rPr>
            </w:pPr>
            <w:r>
              <w:rPr>
                <w:w w:val="95"/>
                <w:sz w:val="21"/>
              </w:rPr>
              <w:t>达标</w:t>
            </w:r>
          </w:p>
        </w:tc>
      </w:tr>
      <w:tr>
        <w:trPr>
          <w:trHeight w:val="320" w:hRule="atLeast"/>
        </w:trPr>
        <w:tc>
          <w:tcPr>
            <w:tcW w:w="2079" w:type="dxa"/>
          </w:tcPr>
          <w:p>
            <w:pPr>
              <w:pStyle w:val="TableParagraph"/>
              <w:spacing w:before="24"/>
              <w:ind w:left="86" w:right="78"/>
              <w:rPr>
                <w:sz w:val="21"/>
              </w:rPr>
            </w:pPr>
            <w:r>
              <w:rPr>
                <w:rFonts w:ascii="Times New Roman" w:eastAsia="Times New Roman"/>
                <w:sz w:val="21"/>
              </w:rPr>
              <w:t>1,1,2,2-</w:t>
            </w:r>
            <w:r>
              <w:rPr>
                <w:sz w:val="21"/>
              </w:rPr>
              <w:t>四氯乙烷</w:t>
            </w:r>
          </w:p>
        </w:tc>
        <w:tc>
          <w:tcPr>
            <w:tcW w:w="1084" w:type="dxa"/>
          </w:tcPr>
          <w:p>
            <w:pPr>
              <w:pStyle w:val="TableParagraph"/>
              <w:spacing w:line="240" w:lineRule="exact" w:before="60"/>
              <w:ind w:left="249" w:right="245"/>
              <w:rPr>
                <w:rFonts w:ascii="Times New Roman" w:hAnsi="Times New Roman"/>
                <w:sz w:val="21"/>
              </w:rPr>
            </w:pPr>
            <w:bookmarkStart w:name="μg/kg" w:id="926"/>
            <w:bookmarkEnd w:id="926"/>
            <w:r>
              <w:rPr/>
            </w:r>
            <w:r>
              <w:rPr>
                <w:rFonts w:ascii="Times New Roman" w:hAnsi="Times New Roman"/>
                <w:sz w:val="21"/>
              </w:rPr>
              <w:t>μg/kg</w:t>
            </w:r>
          </w:p>
        </w:tc>
        <w:tc>
          <w:tcPr>
            <w:tcW w:w="1034" w:type="dxa"/>
          </w:tcPr>
          <w:p>
            <w:pPr>
              <w:pStyle w:val="TableParagraph"/>
              <w:spacing w:line="254" w:lineRule="exact" w:before="46"/>
              <w:ind w:left="181" w:right="172"/>
              <w:rPr>
                <w:sz w:val="21"/>
              </w:rPr>
            </w:pPr>
            <w:bookmarkStart w:name="未检出" w:id="927"/>
            <w:bookmarkEnd w:id="927"/>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320" w:hRule="atLeast"/>
        </w:trPr>
        <w:tc>
          <w:tcPr>
            <w:tcW w:w="2079" w:type="dxa"/>
          </w:tcPr>
          <w:p>
            <w:pPr>
              <w:pStyle w:val="TableParagraph"/>
              <w:spacing w:before="23"/>
              <w:ind w:left="86" w:right="78"/>
              <w:rPr>
                <w:sz w:val="21"/>
              </w:rPr>
            </w:pPr>
            <w:r>
              <w:rPr>
                <w:sz w:val="21"/>
              </w:rPr>
              <w:t>四氯乙烯</w:t>
            </w:r>
          </w:p>
        </w:tc>
        <w:tc>
          <w:tcPr>
            <w:tcW w:w="1084" w:type="dxa"/>
          </w:tcPr>
          <w:p>
            <w:pPr>
              <w:pStyle w:val="TableParagraph"/>
              <w:spacing w:line="241" w:lineRule="exact" w:before="59"/>
              <w:ind w:left="249" w:right="245"/>
              <w:rPr>
                <w:rFonts w:ascii="Times New Roman" w:hAnsi="Times New Roman"/>
                <w:sz w:val="21"/>
              </w:rPr>
            </w:pPr>
            <w:bookmarkStart w:name="μg/kg" w:id="928"/>
            <w:bookmarkEnd w:id="928"/>
            <w:r>
              <w:rPr/>
            </w:r>
            <w:r>
              <w:rPr>
                <w:rFonts w:ascii="Times New Roman" w:hAnsi="Times New Roman"/>
                <w:sz w:val="21"/>
              </w:rPr>
              <w:t>μg/kg</w:t>
            </w:r>
          </w:p>
        </w:tc>
        <w:tc>
          <w:tcPr>
            <w:tcW w:w="1034" w:type="dxa"/>
          </w:tcPr>
          <w:p>
            <w:pPr>
              <w:pStyle w:val="TableParagraph"/>
              <w:spacing w:line="255" w:lineRule="exact" w:before="45"/>
              <w:ind w:left="181" w:right="172"/>
              <w:rPr>
                <w:sz w:val="21"/>
              </w:rPr>
            </w:pPr>
            <w:bookmarkStart w:name="未检出" w:id="929"/>
            <w:bookmarkEnd w:id="929"/>
            <w:r>
              <w:rPr/>
            </w:r>
            <w:r>
              <w:rPr>
                <w:sz w:val="21"/>
              </w:rPr>
              <w:t>未检出</w:t>
            </w:r>
          </w:p>
        </w:tc>
        <w:tc>
          <w:tcPr>
            <w:tcW w:w="1035" w:type="dxa"/>
          </w:tcPr>
          <w:p>
            <w:pPr>
              <w:pStyle w:val="TableParagraph"/>
              <w:spacing w:before="39"/>
              <w:ind w:left="9"/>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9"/>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0"/>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23"/>
              <w:ind w:right="300"/>
              <w:jc w:val="right"/>
              <w:rPr>
                <w:sz w:val="21"/>
              </w:rPr>
            </w:pPr>
            <w:r>
              <w:rPr>
                <w:w w:val="95"/>
                <w:sz w:val="21"/>
              </w:rPr>
              <w:t>达标</w:t>
            </w:r>
          </w:p>
        </w:tc>
      </w:tr>
      <w:tr>
        <w:trPr>
          <w:trHeight w:val="320" w:hRule="atLeast"/>
        </w:trPr>
        <w:tc>
          <w:tcPr>
            <w:tcW w:w="2079" w:type="dxa"/>
          </w:tcPr>
          <w:p>
            <w:pPr>
              <w:pStyle w:val="TableParagraph"/>
              <w:spacing w:before="24"/>
              <w:ind w:left="86" w:right="78"/>
              <w:rPr>
                <w:sz w:val="21"/>
              </w:rPr>
            </w:pPr>
            <w:r>
              <w:rPr>
                <w:rFonts w:ascii="Times New Roman" w:eastAsia="Times New Roman"/>
                <w:sz w:val="21"/>
              </w:rPr>
              <w:t>1,1,1-</w:t>
            </w:r>
            <w:r>
              <w:rPr>
                <w:sz w:val="21"/>
              </w:rPr>
              <w:t>三氯乙烷</w:t>
            </w:r>
          </w:p>
        </w:tc>
        <w:tc>
          <w:tcPr>
            <w:tcW w:w="1084" w:type="dxa"/>
          </w:tcPr>
          <w:p>
            <w:pPr>
              <w:pStyle w:val="TableParagraph"/>
              <w:spacing w:line="240" w:lineRule="exact" w:before="60"/>
              <w:ind w:left="249" w:right="245"/>
              <w:rPr>
                <w:rFonts w:ascii="Times New Roman" w:hAnsi="Times New Roman"/>
                <w:sz w:val="21"/>
              </w:rPr>
            </w:pPr>
            <w:bookmarkStart w:name="μg/kg" w:id="930"/>
            <w:bookmarkEnd w:id="930"/>
            <w:r>
              <w:rPr/>
            </w:r>
            <w:r>
              <w:rPr>
                <w:rFonts w:ascii="Times New Roman" w:hAnsi="Times New Roman"/>
                <w:sz w:val="21"/>
              </w:rPr>
              <w:t>μg/kg</w:t>
            </w:r>
          </w:p>
        </w:tc>
        <w:tc>
          <w:tcPr>
            <w:tcW w:w="1034" w:type="dxa"/>
          </w:tcPr>
          <w:p>
            <w:pPr>
              <w:pStyle w:val="TableParagraph"/>
              <w:spacing w:line="254" w:lineRule="exact" w:before="46"/>
              <w:ind w:left="181" w:right="172"/>
              <w:rPr>
                <w:sz w:val="21"/>
              </w:rPr>
            </w:pPr>
            <w:bookmarkStart w:name="未检出" w:id="931"/>
            <w:bookmarkEnd w:id="931"/>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320" w:hRule="atLeast"/>
        </w:trPr>
        <w:tc>
          <w:tcPr>
            <w:tcW w:w="2079" w:type="dxa"/>
          </w:tcPr>
          <w:p>
            <w:pPr>
              <w:pStyle w:val="TableParagraph"/>
              <w:spacing w:before="23"/>
              <w:ind w:left="86" w:right="78"/>
              <w:rPr>
                <w:sz w:val="21"/>
              </w:rPr>
            </w:pPr>
            <w:r>
              <w:rPr>
                <w:rFonts w:ascii="Times New Roman" w:eastAsia="Times New Roman"/>
                <w:sz w:val="21"/>
              </w:rPr>
              <w:t>1,1,2-</w:t>
            </w:r>
            <w:r>
              <w:rPr>
                <w:sz w:val="21"/>
              </w:rPr>
              <w:t>三氯乙烷</w:t>
            </w:r>
          </w:p>
        </w:tc>
        <w:tc>
          <w:tcPr>
            <w:tcW w:w="1084" w:type="dxa"/>
          </w:tcPr>
          <w:p>
            <w:pPr>
              <w:pStyle w:val="TableParagraph"/>
              <w:spacing w:line="241" w:lineRule="exact" w:before="59"/>
              <w:ind w:left="249" w:right="245"/>
              <w:rPr>
                <w:rFonts w:ascii="Times New Roman" w:hAnsi="Times New Roman"/>
                <w:sz w:val="21"/>
              </w:rPr>
            </w:pPr>
            <w:bookmarkStart w:name="μg/kg" w:id="932"/>
            <w:bookmarkEnd w:id="932"/>
            <w:r>
              <w:rPr/>
            </w:r>
            <w:r>
              <w:rPr>
                <w:rFonts w:ascii="Times New Roman" w:hAnsi="Times New Roman"/>
                <w:sz w:val="21"/>
              </w:rPr>
              <w:t>μg/kg</w:t>
            </w:r>
          </w:p>
        </w:tc>
        <w:tc>
          <w:tcPr>
            <w:tcW w:w="1034" w:type="dxa"/>
          </w:tcPr>
          <w:p>
            <w:pPr>
              <w:pStyle w:val="TableParagraph"/>
              <w:spacing w:line="255" w:lineRule="exact" w:before="45"/>
              <w:ind w:left="181" w:right="172"/>
              <w:rPr>
                <w:sz w:val="21"/>
              </w:rPr>
            </w:pPr>
            <w:bookmarkStart w:name="未检出" w:id="933"/>
            <w:bookmarkEnd w:id="933"/>
            <w:r>
              <w:rPr/>
            </w:r>
            <w:r>
              <w:rPr>
                <w:sz w:val="21"/>
              </w:rPr>
              <w:t>未检出</w:t>
            </w:r>
          </w:p>
        </w:tc>
        <w:tc>
          <w:tcPr>
            <w:tcW w:w="1035" w:type="dxa"/>
          </w:tcPr>
          <w:p>
            <w:pPr>
              <w:pStyle w:val="TableParagraph"/>
              <w:spacing w:before="39"/>
              <w:ind w:left="9"/>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9"/>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0"/>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23"/>
              <w:ind w:right="300"/>
              <w:jc w:val="right"/>
              <w:rPr>
                <w:sz w:val="21"/>
              </w:rPr>
            </w:pPr>
            <w:r>
              <w:rPr>
                <w:w w:val="95"/>
                <w:sz w:val="21"/>
              </w:rPr>
              <w:t>达标</w:t>
            </w:r>
          </w:p>
        </w:tc>
      </w:tr>
      <w:tr>
        <w:trPr>
          <w:trHeight w:val="317" w:hRule="atLeast"/>
        </w:trPr>
        <w:tc>
          <w:tcPr>
            <w:tcW w:w="2079" w:type="dxa"/>
          </w:tcPr>
          <w:p>
            <w:pPr>
              <w:pStyle w:val="TableParagraph"/>
              <w:spacing w:before="24"/>
              <w:ind w:left="86" w:right="78"/>
              <w:rPr>
                <w:sz w:val="21"/>
              </w:rPr>
            </w:pPr>
            <w:r>
              <w:rPr>
                <w:sz w:val="21"/>
              </w:rPr>
              <w:t>三氯乙烯</w:t>
            </w:r>
          </w:p>
        </w:tc>
        <w:tc>
          <w:tcPr>
            <w:tcW w:w="1084" w:type="dxa"/>
          </w:tcPr>
          <w:p>
            <w:pPr>
              <w:pStyle w:val="TableParagraph"/>
              <w:spacing w:line="238" w:lineRule="exact" w:before="60"/>
              <w:ind w:left="249" w:right="245"/>
              <w:rPr>
                <w:rFonts w:ascii="Times New Roman" w:hAnsi="Times New Roman"/>
                <w:sz w:val="21"/>
              </w:rPr>
            </w:pPr>
            <w:bookmarkStart w:name="μg/kg" w:id="934"/>
            <w:bookmarkEnd w:id="934"/>
            <w:r>
              <w:rPr/>
            </w:r>
            <w:r>
              <w:rPr>
                <w:rFonts w:ascii="Times New Roman" w:hAnsi="Times New Roman"/>
                <w:sz w:val="21"/>
              </w:rPr>
              <w:t>μg/kg</w:t>
            </w:r>
          </w:p>
        </w:tc>
        <w:tc>
          <w:tcPr>
            <w:tcW w:w="1034" w:type="dxa"/>
          </w:tcPr>
          <w:p>
            <w:pPr>
              <w:pStyle w:val="TableParagraph"/>
              <w:spacing w:line="252" w:lineRule="exact" w:before="46"/>
              <w:ind w:left="181" w:right="172"/>
              <w:rPr>
                <w:sz w:val="21"/>
              </w:rPr>
            </w:pPr>
            <w:bookmarkStart w:name="未检出" w:id="935"/>
            <w:bookmarkEnd w:id="935"/>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bl>
    <w:p>
      <w:pPr>
        <w:spacing w:after="0"/>
        <w:jc w:val="right"/>
        <w:rPr>
          <w:sz w:val="21"/>
        </w:rPr>
        <w:sectPr>
          <w:pgSz w:w="16840" w:h="11910" w:orient="landscape"/>
          <w:pgMar w:header="0" w:footer="1089" w:top="1100" w:bottom="1280" w:left="1360" w:right="680"/>
        </w:sectPr>
      </w:pPr>
    </w:p>
    <w:p>
      <w:pPr>
        <w:pStyle w:val="BodyText"/>
        <w:rPr>
          <w:rFonts w:ascii="Times New Roman"/>
          <w:sz w:val="20"/>
        </w:rPr>
      </w:pPr>
    </w:p>
    <w:p>
      <w:pPr>
        <w:pStyle w:val="BodyText"/>
        <w:spacing w:before="1"/>
        <w:rPr>
          <w:rFonts w:ascii="Times New Roman"/>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9"/>
        <w:gridCol w:w="1084"/>
        <w:gridCol w:w="1034"/>
        <w:gridCol w:w="1035"/>
        <w:gridCol w:w="1037"/>
        <w:gridCol w:w="1037"/>
        <w:gridCol w:w="1037"/>
        <w:gridCol w:w="1037"/>
        <w:gridCol w:w="1037"/>
        <w:gridCol w:w="1038"/>
        <w:gridCol w:w="1038"/>
        <w:gridCol w:w="1038"/>
        <w:gridCol w:w="1038"/>
      </w:tblGrid>
      <w:tr>
        <w:trPr>
          <w:trHeight w:val="320" w:hRule="atLeast"/>
        </w:trPr>
        <w:tc>
          <w:tcPr>
            <w:tcW w:w="2079" w:type="dxa"/>
          </w:tcPr>
          <w:p>
            <w:pPr>
              <w:pStyle w:val="TableParagraph"/>
              <w:spacing w:before="24"/>
              <w:ind w:left="86" w:right="78"/>
              <w:rPr>
                <w:sz w:val="21"/>
              </w:rPr>
            </w:pPr>
            <w:r>
              <w:rPr>
                <w:rFonts w:ascii="Times New Roman" w:eastAsia="Times New Roman"/>
                <w:sz w:val="21"/>
              </w:rPr>
              <w:t>1,2,3-</w:t>
            </w:r>
            <w:r>
              <w:rPr>
                <w:sz w:val="21"/>
              </w:rPr>
              <w:t>三氯丙烷</w:t>
            </w:r>
          </w:p>
        </w:tc>
        <w:tc>
          <w:tcPr>
            <w:tcW w:w="1084" w:type="dxa"/>
          </w:tcPr>
          <w:p>
            <w:pPr>
              <w:pStyle w:val="TableParagraph"/>
              <w:spacing w:line="240" w:lineRule="exact" w:before="60"/>
              <w:ind w:left="249" w:right="245"/>
              <w:rPr>
                <w:rFonts w:ascii="Times New Roman" w:hAnsi="Times New Roman"/>
                <w:sz w:val="21"/>
              </w:rPr>
            </w:pPr>
            <w:bookmarkStart w:name="μg/kg" w:id="936"/>
            <w:bookmarkEnd w:id="936"/>
            <w:r>
              <w:rPr/>
            </w:r>
            <w:r>
              <w:rPr>
                <w:rFonts w:ascii="Times New Roman" w:hAnsi="Times New Roman"/>
                <w:sz w:val="21"/>
              </w:rPr>
              <w:t>μg/kg</w:t>
            </w:r>
          </w:p>
        </w:tc>
        <w:tc>
          <w:tcPr>
            <w:tcW w:w="1034" w:type="dxa"/>
          </w:tcPr>
          <w:p>
            <w:pPr>
              <w:pStyle w:val="TableParagraph"/>
              <w:spacing w:line="254" w:lineRule="exact" w:before="46"/>
              <w:ind w:left="202"/>
              <w:jc w:val="left"/>
              <w:rPr>
                <w:sz w:val="21"/>
              </w:rPr>
            </w:pPr>
            <w:bookmarkStart w:name="未检出" w:id="937"/>
            <w:bookmarkEnd w:id="937"/>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320" w:hRule="atLeast"/>
        </w:trPr>
        <w:tc>
          <w:tcPr>
            <w:tcW w:w="2079" w:type="dxa"/>
          </w:tcPr>
          <w:p>
            <w:pPr>
              <w:pStyle w:val="TableParagraph"/>
              <w:spacing w:before="23"/>
              <w:ind w:left="83" w:right="78"/>
              <w:rPr>
                <w:sz w:val="21"/>
              </w:rPr>
            </w:pPr>
            <w:r>
              <w:rPr>
                <w:sz w:val="21"/>
              </w:rPr>
              <w:t>氯乙烯</w:t>
            </w:r>
          </w:p>
        </w:tc>
        <w:tc>
          <w:tcPr>
            <w:tcW w:w="1084" w:type="dxa"/>
          </w:tcPr>
          <w:p>
            <w:pPr>
              <w:pStyle w:val="TableParagraph"/>
              <w:spacing w:line="241" w:lineRule="exact" w:before="59"/>
              <w:ind w:left="249" w:right="245"/>
              <w:rPr>
                <w:rFonts w:ascii="Times New Roman" w:hAnsi="Times New Roman"/>
                <w:sz w:val="21"/>
              </w:rPr>
            </w:pPr>
            <w:bookmarkStart w:name="μg/kg" w:id="938"/>
            <w:bookmarkEnd w:id="938"/>
            <w:r>
              <w:rPr/>
            </w:r>
            <w:r>
              <w:rPr>
                <w:rFonts w:ascii="Times New Roman" w:hAnsi="Times New Roman"/>
                <w:sz w:val="21"/>
              </w:rPr>
              <w:t>μg/kg</w:t>
            </w:r>
          </w:p>
        </w:tc>
        <w:tc>
          <w:tcPr>
            <w:tcW w:w="1034" w:type="dxa"/>
          </w:tcPr>
          <w:p>
            <w:pPr>
              <w:pStyle w:val="TableParagraph"/>
              <w:spacing w:line="255" w:lineRule="exact" w:before="45"/>
              <w:ind w:left="202"/>
              <w:jc w:val="left"/>
              <w:rPr>
                <w:sz w:val="21"/>
              </w:rPr>
            </w:pPr>
            <w:bookmarkStart w:name="未检出" w:id="939"/>
            <w:bookmarkEnd w:id="939"/>
            <w:r>
              <w:rPr/>
            </w:r>
            <w:r>
              <w:rPr>
                <w:sz w:val="21"/>
              </w:rPr>
              <w:t>未检出</w:t>
            </w:r>
          </w:p>
        </w:tc>
        <w:tc>
          <w:tcPr>
            <w:tcW w:w="1035" w:type="dxa"/>
          </w:tcPr>
          <w:p>
            <w:pPr>
              <w:pStyle w:val="TableParagraph"/>
              <w:spacing w:before="40"/>
              <w:ind w:left="9"/>
              <w:rPr>
                <w:rFonts w:ascii="Times New Roman"/>
                <w:sz w:val="21"/>
              </w:rPr>
            </w:pPr>
            <w:r>
              <w:rPr>
                <w:rFonts w:ascii="Times New Roman"/>
                <w:w w:val="99"/>
                <w:sz w:val="21"/>
              </w:rPr>
              <w:t>/</w:t>
            </w:r>
          </w:p>
        </w:tc>
        <w:tc>
          <w:tcPr>
            <w:tcW w:w="1037" w:type="dxa"/>
          </w:tcPr>
          <w:p>
            <w:pPr>
              <w:pStyle w:val="TableParagraph"/>
              <w:spacing w:before="40"/>
              <w:ind w:left="6"/>
              <w:rPr>
                <w:rFonts w:ascii="Times New Roman"/>
                <w:sz w:val="21"/>
              </w:rPr>
            </w:pPr>
            <w:r>
              <w:rPr>
                <w:rFonts w:ascii="Times New Roman"/>
                <w:w w:val="99"/>
                <w:sz w:val="21"/>
              </w:rPr>
              <w:t>/</w:t>
            </w:r>
          </w:p>
        </w:tc>
        <w:tc>
          <w:tcPr>
            <w:tcW w:w="1037" w:type="dxa"/>
          </w:tcPr>
          <w:p>
            <w:pPr>
              <w:pStyle w:val="TableParagraph"/>
              <w:spacing w:before="40"/>
              <w:ind w:left="6"/>
              <w:rPr>
                <w:rFonts w:ascii="Times New Roman"/>
                <w:sz w:val="21"/>
              </w:rPr>
            </w:pPr>
            <w:r>
              <w:rPr>
                <w:rFonts w:ascii="Times New Roman"/>
                <w:w w:val="99"/>
                <w:sz w:val="21"/>
              </w:rPr>
              <w:t>/</w:t>
            </w:r>
          </w:p>
        </w:tc>
        <w:tc>
          <w:tcPr>
            <w:tcW w:w="1037" w:type="dxa"/>
          </w:tcPr>
          <w:p>
            <w:pPr>
              <w:pStyle w:val="TableParagraph"/>
              <w:spacing w:before="40"/>
              <w:ind w:left="10"/>
              <w:rPr>
                <w:rFonts w:ascii="Times New Roman"/>
                <w:sz w:val="21"/>
              </w:rPr>
            </w:pPr>
            <w:r>
              <w:rPr>
                <w:rFonts w:ascii="Times New Roman"/>
                <w:w w:val="99"/>
                <w:sz w:val="21"/>
              </w:rPr>
              <w:t>/</w:t>
            </w:r>
          </w:p>
        </w:tc>
        <w:tc>
          <w:tcPr>
            <w:tcW w:w="1037" w:type="dxa"/>
          </w:tcPr>
          <w:p>
            <w:pPr>
              <w:pStyle w:val="TableParagraph"/>
              <w:spacing w:before="40"/>
              <w:ind w:left="10"/>
              <w:rPr>
                <w:rFonts w:ascii="Times New Roman"/>
                <w:sz w:val="21"/>
              </w:rPr>
            </w:pPr>
            <w:r>
              <w:rPr>
                <w:rFonts w:ascii="Times New Roman"/>
                <w:w w:val="99"/>
                <w:sz w:val="21"/>
              </w:rPr>
              <w:t>/</w:t>
            </w:r>
          </w:p>
        </w:tc>
        <w:tc>
          <w:tcPr>
            <w:tcW w:w="1037" w:type="dxa"/>
          </w:tcPr>
          <w:p>
            <w:pPr>
              <w:pStyle w:val="TableParagraph"/>
              <w:spacing w:before="40"/>
              <w:ind w:left="9"/>
              <w:rPr>
                <w:rFonts w:ascii="Times New Roman"/>
                <w:sz w:val="21"/>
              </w:rPr>
            </w:pPr>
            <w:r>
              <w:rPr>
                <w:rFonts w:ascii="Times New Roman"/>
                <w:w w:val="99"/>
                <w:sz w:val="21"/>
              </w:rPr>
              <w:t>/</w:t>
            </w:r>
          </w:p>
        </w:tc>
        <w:tc>
          <w:tcPr>
            <w:tcW w:w="1038"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40"/>
              <w:ind w:left="10"/>
              <w:rPr>
                <w:rFonts w:ascii="Times New Roman"/>
                <w:sz w:val="21"/>
              </w:rPr>
            </w:pPr>
            <w:r>
              <w:rPr>
                <w:rFonts w:ascii="Times New Roman"/>
                <w:w w:val="99"/>
                <w:sz w:val="21"/>
              </w:rPr>
              <w:t>/</w:t>
            </w:r>
          </w:p>
        </w:tc>
        <w:tc>
          <w:tcPr>
            <w:tcW w:w="1038"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23"/>
              <w:ind w:right="300"/>
              <w:jc w:val="right"/>
              <w:rPr>
                <w:sz w:val="21"/>
              </w:rPr>
            </w:pPr>
            <w:r>
              <w:rPr>
                <w:w w:val="95"/>
                <w:sz w:val="21"/>
              </w:rPr>
              <w:t>达标</w:t>
            </w:r>
          </w:p>
        </w:tc>
      </w:tr>
      <w:tr>
        <w:trPr>
          <w:trHeight w:val="320" w:hRule="atLeast"/>
        </w:trPr>
        <w:tc>
          <w:tcPr>
            <w:tcW w:w="2079" w:type="dxa"/>
          </w:tcPr>
          <w:p>
            <w:pPr>
              <w:pStyle w:val="TableParagraph"/>
              <w:spacing w:before="24"/>
              <w:ind w:left="8"/>
              <w:rPr>
                <w:sz w:val="21"/>
              </w:rPr>
            </w:pPr>
            <w:r>
              <w:rPr>
                <w:w w:val="99"/>
                <w:sz w:val="21"/>
              </w:rPr>
              <w:t>苯</w:t>
            </w:r>
          </w:p>
        </w:tc>
        <w:tc>
          <w:tcPr>
            <w:tcW w:w="1084" w:type="dxa"/>
          </w:tcPr>
          <w:p>
            <w:pPr>
              <w:pStyle w:val="TableParagraph"/>
              <w:spacing w:line="240" w:lineRule="exact" w:before="60"/>
              <w:ind w:left="252" w:right="245"/>
              <w:rPr>
                <w:rFonts w:ascii="Times New Roman"/>
                <w:sz w:val="21"/>
              </w:rPr>
            </w:pPr>
            <w:bookmarkStart w:name="mg/kg" w:id="940"/>
            <w:bookmarkEnd w:id="940"/>
            <w:r>
              <w:rPr/>
            </w:r>
            <w:r>
              <w:rPr>
                <w:rFonts w:ascii="Times New Roman"/>
                <w:sz w:val="21"/>
              </w:rPr>
              <w:t>mg/kg</w:t>
            </w:r>
          </w:p>
        </w:tc>
        <w:tc>
          <w:tcPr>
            <w:tcW w:w="1034" w:type="dxa"/>
          </w:tcPr>
          <w:p>
            <w:pPr>
              <w:pStyle w:val="TableParagraph"/>
              <w:spacing w:line="254" w:lineRule="exact" w:before="46"/>
              <w:ind w:left="202"/>
              <w:jc w:val="left"/>
              <w:rPr>
                <w:sz w:val="21"/>
              </w:rPr>
            </w:pPr>
            <w:bookmarkStart w:name="未检出" w:id="941"/>
            <w:bookmarkEnd w:id="941"/>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320" w:hRule="atLeast"/>
        </w:trPr>
        <w:tc>
          <w:tcPr>
            <w:tcW w:w="2079" w:type="dxa"/>
          </w:tcPr>
          <w:p>
            <w:pPr>
              <w:pStyle w:val="TableParagraph"/>
              <w:spacing w:before="23"/>
              <w:ind w:left="83" w:right="78"/>
              <w:rPr>
                <w:sz w:val="21"/>
              </w:rPr>
            </w:pPr>
            <w:r>
              <w:rPr>
                <w:sz w:val="21"/>
              </w:rPr>
              <w:t>氯苯</w:t>
            </w:r>
          </w:p>
        </w:tc>
        <w:tc>
          <w:tcPr>
            <w:tcW w:w="1084" w:type="dxa"/>
          </w:tcPr>
          <w:p>
            <w:pPr>
              <w:pStyle w:val="TableParagraph"/>
              <w:spacing w:line="241" w:lineRule="exact" w:before="59"/>
              <w:ind w:left="249" w:right="245"/>
              <w:rPr>
                <w:rFonts w:ascii="Times New Roman" w:hAnsi="Times New Roman"/>
                <w:sz w:val="21"/>
              </w:rPr>
            </w:pPr>
            <w:bookmarkStart w:name="μg/kg" w:id="942"/>
            <w:bookmarkEnd w:id="942"/>
            <w:r>
              <w:rPr/>
            </w:r>
            <w:r>
              <w:rPr>
                <w:rFonts w:ascii="Times New Roman" w:hAnsi="Times New Roman"/>
                <w:sz w:val="21"/>
              </w:rPr>
              <w:t>μg/kg</w:t>
            </w:r>
          </w:p>
        </w:tc>
        <w:tc>
          <w:tcPr>
            <w:tcW w:w="1034" w:type="dxa"/>
          </w:tcPr>
          <w:p>
            <w:pPr>
              <w:pStyle w:val="TableParagraph"/>
              <w:spacing w:line="255" w:lineRule="exact" w:before="45"/>
              <w:ind w:left="202"/>
              <w:jc w:val="left"/>
              <w:rPr>
                <w:sz w:val="21"/>
              </w:rPr>
            </w:pPr>
            <w:bookmarkStart w:name="未检出" w:id="943"/>
            <w:bookmarkEnd w:id="943"/>
            <w:r>
              <w:rPr/>
            </w:r>
            <w:r>
              <w:rPr>
                <w:sz w:val="21"/>
              </w:rPr>
              <w:t>未检出</w:t>
            </w:r>
          </w:p>
        </w:tc>
        <w:tc>
          <w:tcPr>
            <w:tcW w:w="1035" w:type="dxa"/>
          </w:tcPr>
          <w:p>
            <w:pPr>
              <w:pStyle w:val="TableParagraph"/>
              <w:spacing w:before="40"/>
              <w:ind w:left="9"/>
              <w:rPr>
                <w:rFonts w:ascii="Times New Roman"/>
                <w:sz w:val="21"/>
              </w:rPr>
            </w:pPr>
            <w:r>
              <w:rPr>
                <w:rFonts w:ascii="Times New Roman"/>
                <w:w w:val="99"/>
                <w:sz w:val="21"/>
              </w:rPr>
              <w:t>/</w:t>
            </w:r>
          </w:p>
        </w:tc>
        <w:tc>
          <w:tcPr>
            <w:tcW w:w="1037" w:type="dxa"/>
          </w:tcPr>
          <w:p>
            <w:pPr>
              <w:pStyle w:val="TableParagraph"/>
              <w:spacing w:before="40"/>
              <w:ind w:left="6"/>
              <w:rPr>
                <w:rFonts w:ascii="Times New Roman"/>
                <w:sz w:val="21"/>
              </w:rPr>
            </w:pPr>
            <w:r>
              <w:rPr>
                <w:rFonts w:ascii="Times New Roman"/>
                <w:w w:val="99"/>
                <w:sz w:val="21"/>
              </w:rPr>
              <w:t>/</w:t>
            </w:r>
          </w:p>
        </w:tc>
        <w:tc>
          <w:tcPr>
            <w:tcW w:w="1037" w:type="dxa"/>
          </w:tcPr>
          <w:p>
            <w:pPr>
              <w:pStyle w:val="TableParagraph"/>
              <w:spacing w:before="40"/>
              <w:ind w:left="6"/>
              <w:rPr>
                <w:rFonts w:ascii="Times New Roman"/>
                <w:sz w:val="21"/>
              </w:rPr>
            </w:pPr>
            <w:r>
              <w:rPr>
                <w:rFonts w:ascii="Times New Roman"/>
                <w:w w:val="99"/>
                <w:sz w:val="21"/>
              </w:rPr>
              <w:t>/</w:t>
            </w:r>
          </w:p>
        </w:tc>
        <w:tc>
          <w:tcPr>
            <w:tcW w:w="1037" w:type="dxa"/>
          </w:tcPr>
          <w:p>
            <w:pPr>
              <w:pStyle w:val="TableParagraph"/>
              <w:spacing w:before="40"/>
              <w:ind w:left="10"/>
              <w:rPr>
                <w:rFonts w:ascii="Times New Roman"/>
                <w:sz w:val="21"/>
              </w:rPr>
            </w:pPr>
            <w:r>
              <w:rPr>
                <w:rFonts w:ascii="Times New Roman"/>
                <w:w w:val="99"/>
                <w:sz w:val="21"/>
              </w:rPr>
              <w:t>/</w:t>
            </w:r>
          </w:p>
        </w:tc>
        <w:tc>
          <w:tcPr>
            <w:tcW w:w="1037" w:type="dxa"/>
          </w:tcPr>
          <w:p>
            <w:pPr>
              <w:pStyle w:val="TableParagraph"/>
              <w:spacing w:before="40"/>
              <w:ind w:left="10"/>
              <w:rPr>
                <w:rFonts w:ascii="Times New Roman"/>
                <w:sz w:val="21"/>
              </w:rPr>
            </w:pPr>
            <w:r>
              <w:rPr>
                <w:rFonts w:ascii="Times New Roman"/>
                <w:w w:val="99"/>
                <w:sz w:val="21"/>
              </w:rPr>
              <w:t>/</w:t>
            </w:r>
          </w:p>
        </w:tc>
        <w:tc>
          <w:tcPr>
            <w:tcW w:w="1037" w:type="dxa"/>
          </w:tcPr>
          <w:p>
            <w:pPr>
              <w:pStyle w:val="TableParagraph"/>
              <w:spacing w:before="40"/>
              <w:ind w:left="9"/>
              <w:rPr>
                <w:rFonts w:ascii="Times New Roman"/>
                <w:sz w:val="21"/>
              </w:rPr>
            </w:pPr>
            <w:r>
              <w:rPr>
                <w:rFonts w:ascii="Times New Roman"/>
                <w:w w:val="99"/>
                <w:sz w:val="21"/>
              </w:rPr>
              <w:t>/</w:t>
            </w:r>
          </w:p>
        </w:tc>
        <w:tc>
          <w:tcPr>
            <w:tcW w:w="1038"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40"/>
              <w:ind w:left="10"/>
              <w:rPr>
                <w:rFonts w:ascii="Times New Roman"/>
                <w:sz w:val="21"/>
              </w:rPr>
            </w:pPr>
            <w:r>
              <w:rPr>
                <w:rFonts w:ascii="Times New Roman"/>
                <w:w w:val="99"/>
                <w:sz w:val="21"/>
              </w:rPr>
              <w:t>/</w:t>
            </w:r>
          </w:p>
        </w:tc>
        <w:tc>
          <w:tcPr>
            <w:tcW w:w="1038" w:type="dxa"/>
          </w:tcPr>
          <w:p>
            <w:pPr>
              <w:pStyle w:val="TableParagraph"/>
              <w:spacing w:before="40"/>
              <w:ind w:left="8"/>
              <w:rPr>
                <w:rFonts w:ascii="Times New Roman"/>
                <w:sz w:val="21"/>
              </w:rPr>
            </w:pPr>
            <w:r>
              <w:rPr>
                <w:rFonts w:ascii="Times New Roman"/>
                <w:w w:val="99"/>
                <w:sz w:val="21"/>
              </w:rPr>
              <w:t>/</w:t>
            </w:r>
          </w:p>
        </w:tc>
        <w:tc>
          <w:tcPr>
            <w:tcW w:w="1038" w:type="dxa"/>
          </w:tcPr>
          <w:p>
            <w:pPr>
              <w:pStyle w:val="TableParagraph"/>
              <w:spacing w:before="23"/>
              <w:ind w:right="300"/>
              <w:jc w:val="right"/>
              <w:rPr>
                <w:sz w:val="21"/>
              </w:rPr>
            </w:pPr>
            <w:r>
              <w:rPr>
                <w:w w:val="95"/>
                <w:sz w:val="21"/>
              </w:rPr>
              <w:t>达标</w:t>
            </w:r>
          </w:p>
        </w:tc>
      </w:tr>
      <w:tr>
        <w:trPr>
          <w:trHeight w:val="320" w:hRule="atLeast"/>
        </w:trPr>
        <w:tc>
          <w:tcPr>
            <w:tcW w:w="2079" w:type="dxa"/>
          </w:tcPr>
          <w:p>
            <w:pPr>
              <w:pStyle w:val="TableParagraph"/>
              <w:spacing w:before="24"/>
              <w:ind w:left="86" w:right="76"/>
              <w:rPr>
                <w:sz w:val="21"/>
              </w:rPr>
            </w:pPr>
            <w:r>
              <w:rPr>
                <w:rFonts w:ascii="Times New Roman" w:eastAsia="Times New Roman"/>
                <w:sz w:val="21"/>
              </w:rPr>
              <w:t>1,2-</w:t>
            </w:r>
            <w:r>
              <w:rPr>
                <w:sz w:val="21"/>
              </w:rPr>
              <w:t>二氯苯</w:t>
            </w:r>
          </w:p>
        </w:tc>
        <w:tc>
          <w:tcPr>
            <w:tcW w:w="1084" w:type="dxa"/>
          </w:tcPr>
          <w:p>
            <w:pPr>
              <w:pStyle w:val="TableParagraph"/>
              <w:spacing w:line="240" w:lineRule="exact" w:before="60"/>
              <w:ind w:left="249" w:right="245"/>
              <w:rPr>
                <w:rFonts w:ascii="Times New Roman" w:hAnsi="Times New Roman"/>
                <w:sz w:val="21"/>
              </w:rPr>
            </w:pPr>
            <w:bookmarkStart w:name="μg/kg" w:id="944"/>
            <w:bookmarkEnd w:id="944"/>
            <w:r>
              <w:rPr/>
            </w:r>
            <w:r>
              <w:rPr>
                <w:rFonts w:ascii="Times New Roman" w:hAnsi="Times New Roman"/>
                <w:sz w:val="21"/>
              </w:rPr>
              <w:t>μg/kg</w:t>
            </w:r>
          </w:p>
        </w:tc>
        <w:tc>
          <w:tcPr>
            <w:tcW w:w="1034" w:type="dxa"/>
          </w:tcPr>
          <w:p>
            <w:pPr>
              <w:pStyle w:val="TableParagraph"/>
              <w:spacing w:line="254" w:lineRule="exact" w:before="46"/>
              <w:ind w:left="202"/>
              <w:jc w:val="left"/>
              <w:rPr>
                <w:sz w:val="21"/>
              </w:rPr>
            </w:pPr>
            <w:bookmarkStart w:name="未检出" w:id="945"/>
            <w:bookmarkEnd w:id="945"/>
            <w:r>
              <w:rPr/>
            </w:r>
            <w:r>
              <w:rPr>
                <w:sz w:val="21"/>
              </w:rPr>
              <w:t>未检出</w:t>
            </w:r>
          </w:p>
        </w:tc>
        <w:tc>
          <w:tcPr>
            <w:tcW w:w="1035" w:type="dxa"/>
          </w:tcPr>
          <w:p>
            <w:pPr>
              <w:pStyle w:val="TableParagraph"/>
              <w:spacing w:before="38"/>
              <w:ind w:left="9"/>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6"/>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10"/>
              <w:rPr>
                <w:rFonts w:ascii="Times New Roman"/>
                <w:sz w:val="21"/>
              </w:rPr>
            </w:pPr>
            <w:r>
              <w:rPr>
                <w:rFonts w:ascii="Times New Roman"/>
                <w:w w:val="99"/>
                <w:sz w:val="21"/>
              </w:rPr>
              <w:t>/</w:t>
            </w:r>
          </w:p>
        </w:tc>
        <w:tc>
          <w:tcPr>
            <w:tcW w:w="1037" w:type="dxa"/>
          </w:tcPr>
          <w:p>
            <w:pPr>
              <w:pStyle w:val="TableParagraph"/>
              <w:spacing w:before="38"/>
              <w:ind w:left="9"/>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38"/>
              <w:ind w:left="10"/>
              <w:rPr>
                <w:rFonts w:ascii="Times New Roman"/>
                <w:sz w:val="21"/>
              </w:rPr>
            </w:pPr>
            <w:r>
              <w:rPr>
                <w:rFonts w:ascii="Times New Roman"/>
                <w:w w:val="99"/>
                <w:sz w:val="21"/>
              </w:rPr>
              <w:t>/</w:t>
            </w:r>
          </w:p>
        </w:tc>
        <w:tc>
          <w:tcPr>
            <w:tcW w:w="1038" w:type="dxa"/>
          </w:tcPr>
          <w:p>
            <w:pPr>
              <w:pStyle w:val="TableParagraph"/>
              <w:spacing w:before="38"/>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271" w:hRule="atLeast"/>
        </w:trPr>
        <w:tc>
          <w:tcPr>
            <w:tcW w:w="2079" w:type="dxa"/>
          </w:tcPr>
          <w:p>
            <w:pPr>
              <w:pStyle w:val="TableParagraph"/>
              <w:spacing w:line="250" w:lineRule="exact" w:before="2"/>
              <w:ind w:left="86" w:right="76"/>
              <w:rPr>
                <w:sz w:val="21"/>
              </w:rPr>
            </w:pPr>
            <w:r>
              <w:rPr>
                <w:rFonts w:ascii="Times New Roman" w:eastAsia="Times New Roman"/>
                <w:sz w:val="21"/>
              </w:rPr>
              <w:t>1,4-</w:t>
            </w:r>
            <w:r>
              <w:rPr>
                <w:sz w:val="21"/>
              </w:rPr>
              <w:t>二氯苯</w:t>
            </w:r>
          </w:p>
        </w:tc>
        <w:tc>
          <w:tcPr>
            <w:tcW w:w="1084" w:type="dxa"/>
          </w:tcPr>
          <w:p>
            <w:pPr>
              <w:pStyle w:val="TableParagraph"/>
              <w:spacing w:line="236" w:lineRule="exact" w:before="16"/>
              <w:ind w:left="249" w:right="245"/>
              <w:rPr>
                <w:rFonts w:ascii="Times New Roman" w:hAnsi="Times New Roman"/>
                <w:sz w:val="21"/>
              </w:rPr>
            </w:pPr>
            <w:r>
              <w:rPr>
                <w:rFonts w:ascii="Times New Roman" w:hAnsi="Times New Roman"/>
                <w:sz w:val="21"/>
              </w:rPr>
              <w:t>μg/kg</w:t>
            </w:r>
          </w:p>
        </w:tc>
        <w:tc>
          <w:tcPr>
            <w:tcW w:w="1034" w:type="dxa"/>
          </w:tcPr>
          <w:p>
            <w:pPr>
              <w:pStyle w:val="TableParagraph"/>
              <w:spacing w:line="248" w:lineRule="exact" w:before="4"/>
              <w:ind w:left="202"/>
              <w:jc w:val="left"/>
              <w:rPr>
                <w:sz w:val="21"/>
              </w:rPr>
            </w:pPr>
            <w:bookmarkStart w:name="未检出" w:id="946"/>
            <w:bookmarkEnd w:id="946"/>
            <w:r>
              <w:rPr/>
            </w:r>
            <w:r>
              <w:rPr>
                <w:sz w:val="21"/>
              </w:rPr>
              <w:t>未检出</w:t>
            </w:r>
          </w:p>
        </w:tc>
        <w:tc>
          <w:tcPr>
            <w:tcW w:w="1035" w:type="dxa"/>
          </w:tcPr>
          <w:p>
            <w:pPr>
              <w:pStyle w:val="TableParagraph"/>
              <w:spacing w:line="236" w:lineRule="exact" w:before="16"/>
              <w:ind w:left="9"/>
              <w:rPr>
                <w:rFonts w:ascii="Times New Roman"/>
                <w:sz w:val="21"/>
              </w:rPr>
            </w:pPr>
            <w:r>
              <w:rPr>
                <w:rFonts w:ascii="Times New Roman"/>
                <w:w w:val="99"/>
                <w:sz w:val="21"/>
              </w:rPr>
              <w:t>/</w:t>
            </w:r>
          </w:p>
        </w:tc>
        <w:tc>
          <w:tcPr>
            <w:tcW w:w="1037" w:type="dxa"/>
          </w:tcPr>
          <w:p>
            <w:pPr>
              <w:pStyle w:val="TableParagraph"/>
              <w:spacing w:line="236" w:lineRule="exact" w:before="16"/>
              <w:ind w:left="6"/>
              <w:rPr>
                <w:rFonts w:ascii="Times New Roman"/>
                <w:sz w:val="21"/>
              </w:rPr>
            </w:pPr>
            <w:r>
              <w:rPr>
                <w:rFonts w:ascii="Times New Roman"/>
                <w:w w:val="99"/>
                <w:sz w:val="21"/>
              </w:rPr>
              <w:t>/</w:t>
            </w:r>
          </w:p>
        </w:tc>
        <w:tc>
          <w:tcPr>
            <w:tcW w:w="1037" w:type="dxa"/>
          </w:tcPr>
          <w:p>
            <w:pPr>
              <w:pStyle w:val="TableParagraph"/>
              <w:spacing w:line="236" w:lineRule="exact" w:before="16"/>
              <w:ind w:left="6"/>
              <w:rPr>
                <w:rFonts w:ascii="Times New Roman"/>
                <w:sz w:val="21"/>
              </w:rPr>
            </w:pPr>
            <w:r>
              <w:rPr>
                <w:rFonts w:ascii="Times New Roman"/>
                <w:w w:val="99"/>
                <w:sz w:val="21"/>
              </w:rPr>
              <w:t>/</w:t>
            </w:r>
          </w:p>
        </w:tc>
        <w:tc>
          <w:tcPr>
            <w:tcW w:w="1037" w:type="dxa"/>
          </w:tcPr>
          <w:p>
            <w:pPr>
              <w:pStyle w:val="TableParagraph"/>
              <w:spacing w:line="236" w:lineRule="exact" w:before="16"/>
              <w:ind w:left="10"/>
              <w:rPr>
                <w:rFonts w:ascii="Times New Roman"/>
                <w:sz w:val="21"/>
              </w:rPr>
            </w:pPr>
            <w:r>
              <w:rPr>
                <w:rFonts w:ascii="Times New Roman"/>
                <w:w w:val="99"/>
                <w:sz w:val="21"/>
              </w:rPr>
              <w:t>/</w:t>
            </w:r>
          </w:p>
        </w:tc>
        <w:tc>
          <w:tcPr>
            <w:tcW w:w="1037" w:type="dxa"/>
          </w:tcPr>
          <w:p>
            <w:pPr>
              <w:pStyle w:val="TableParagraph"/>
              <w:spacing w:line="236" w:lineRule="exact" w:before="16"/>
              <w:ind w:left="10"/>
              <w:rPr>
                <w:rFonts w:ascii="Times New Roman"/>
                <w:sz w:val="21"/>
              </w:rPr>
            </w:pPr>
            <w:r>
              <w:rPr>
                <w:rFonts w:ascii="Times New Roman"/>
                <w:w w:val="99"/>
                <w:sz w:val="21"/>
              </w:rPr>
              <w:t>/</w:t>
            </w:r>
          </w:p>
        </w:tc>
        <w:tc>
          <w:tcPr>
            <w:tcW w:w="1037" w:type="dxa"/>
          </w:tcPr>
          <w:p>
            <w:pPr>
              <w:pStyle w:val="TableParagraph"/>
              <w:spacing w:line="236" w:lineRule="exact" w:before="16"/>
              <w:ind w:left="9"/>
              <w:rPr>
                <w:rFonts w:ascii="Times New Roman"/>
                <w:sz w:val="21"/>
              </w:rPr>
            </w:pPr>
            <w:r>
              <w:rPr>
                <w:rFonts w:ascii="Times New Roman"/>
                <w:w w:val="99"/>
                <w:sz w:val="21"/>
              </w:rPr>
              <w:t>/</w:t>
            </w:r>
          </w:p>
        </w:tc>
        <w:tc>
          <w:tcPr>
            <w:tcW w:w="1038" w:type="dxa"/>
          </w:tcPr>
          <w:p>
            <w:pPr>
              <w:pStyle w:val="TableParagraph"/>
              <w:spacing w:line="236" w:lineRule="exact" w:before="16"/>
              <w:ind w:left="8"/>
              <w:rPr>
                <w:rFonts w:ascii="Times New Roman"/>
                <w:sz w:val="21"/>
              </w:rPr>
            </w:pPr>
            <w:r>
              <w:rPr>
                <w:rFonts w:ascii="Times New Roman"/>
                <w:w w:val="99"/>
                <w:sz w:val="21"/>
              </w:rPr>
              <w:t>/</w:t>
            </w:r>
          </w:p>
        </w:tc>
        <w:tc>
          <w:tcPr>
            <w:tcW w:w="1038" w:type="dxa"/>
          </w:tcPr>
          <w:p>
            <w:pPr>
              <w:pStyle w:val="TableParagraph"/>
              <w:spacing w:line="236" w:lineRule="exact" w:before="16"/>
              <w:ind w:left="10"/>
              <w:rPr>
                <w:rFonts w:ascii="Times New Roman"/>
                <w:sz w:val="21"/>
              </w:rPr>
            </w:pPr>
            <w:r>
              <w:rPr>
                <w:rFonts w:ascii="Times New Roman"/>
                <w:w w:val="99"/>
                <w:sz w:val="21"/>
              </w:rPr>
              <w:t>/</w:t>
            </w:r>
          </w:p>
        </w:tc>
        <w:tc>
          <w:tcPr>
            <w:tcW w:w="1038" w:type="dxa"/>
          </w:tcPr>
          <w:p>
            <w:pPr>
              <w:pStyle w:val="TableParagraph"/>
              <w:spacing w:line="236" w:lineRule="exact" w:before="16"/>
              <w:ind w:left="8"/>
              <w:rPr>
                <w:rFonts w:ascii="Times New Roman"/>
                <w:sz w:val="21"/>
              </w:rPr>
            </w:pPr>
            <w:r>
              <w:rPr>
                <w:rFonts w:ascii="Times New Roman"/>
                <w:w w:val="99"/>
                <w:sz w:val="21"/>
              </w:rPr>
              <w:t>/</w:t>
            </w:r>
          </w:p>
        </w:tc>
        <w:tc>
          <w:tcPr>
            <w:tcW w:w="1038" w:type="dxa"/>
          </w:tcPr>
          <w:p>
            <w:pPr>
              <w:pStyle w:val="TableParagraph"/>
              <w:spacing w:line="250" w:lineRule="exact" w:before="2"/>
              <w:ind w:right="300"/>
              <w:jc w:val="right"/>
              <w:rPr>
                <w:sz w:val="21"/>
              </w:rPr>
            </w:pPr>
            <w:r>
              <w:rPr>
                <w:w w:val="95"/>
                <w:sz w:val="21"/>
              </w:rPr>
              <w:t>达标</w:t>
            </w:r>
          </w:p>
        </w:tc>
      </w:tr>
      <w:tr>
        <w:trPr>
          <w:trHeight w:val="273" w:hRule="atLeast"/>
        </w:trPr>
        <w:tc>
          <w:tcPr>
            <w:tcW w:w="2079" w:type="dxa"/>
          </w:tcPr>
          <w:p>
            <w:pPr>
              <w:pStyle w:val="TableParagraph"/>
              <w:spacing w:line="252" w:lineRule="exact"/>
              <w:ind w:left="83" w:right="78"/>
              <w:rPr>
                <w:sz w:val="21"/>
              </w:rPr>
            </w:pPr>
            <w:r>
              <w:rPr>
                <w:sz w:val="21"/>
              </w:rPr>
              <w:t>乙苯</w:t>
            </w:r>
          </w:p>
        </w:tc>
        <w:tc>
          <w:tcPr>
            <w:tcW w:w="1084" w:type="dxa"/>
          </w:tcPr>
          <w:p>
            <w:pPr>
              <w:pStyle w:val="TableParagraph"/>
              <w:spacing w:line="238" w:lineRule="exact" w:before="14"/>
              <w:ind w:left="252" w:right="245"/>
              <w:rPr>
                <w:rFonts w:ascii="Times New Roman"/>
                <w:sz w:val="21"/>
              </w:rPr>
            </w:pPr>
            <w:r>
              <w:rPr>
                <w:rFonts w:ascii="Times New Roman"/>
                <w:sz w:val="21"/>
              </w:rPr>
              <w:t>mg/kg</w:t>
            </w:r>
          </w:p>
        </w:tc>
        <w:tc>
          <w:tcPr>
            <w:tcW w:w="1034" w:type="dxa"/>
          </w:tcPr>
          <w:p>
            <w:pPr>
              <w:pStyle w:val="TableParagraph"/>
              <w:spacing w:line="250" w:lineRule="exact" w:before="3"/>
              <w:ind w:left="202"/>
              <w:jc w:val="left"/>
              <w:rPr>
                <w:sz w:val="21"/>
              </w:rPr>
            </w:pPr>
            <w:bookmarkStart w:name="未检出" w:id="947"/>
            <w:bookmarkEnd w:id="947"/>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320" w:hRule="atLeast"/>
        </w:trPr>
        <w:tc>
          <w:tcPr>
            <w:tcW w:w="2079" w:type="dxa"/>
          </w:tcPr>
          <w:p>
            <w:pPr>
              <w:pStyle w:val="TableParagraph"/>
              <w:spacing w:before="22"/>
              <w:ind w:left="83" w:right="78"/>
              <w:rPr>
                <w:sz w:val="21"/>
              </w:rPr>
            </w:pPr>
            <w:r>
              <w:rPr>
                <w:sz w:val="21"/>
              </w:rPr>
              <w:t>苯乙烯</w:t>
            </w:r>
          </w:p>
        </w:tc>
        <w:tc>
          <w:tcPr>
            <w:tcW w:w="1084" w:type="dxa"/>
          </w:tcPr>
          <w:p>
            <w:pPr>
              <w:pStyle w:val="TableParagraph"/>
              <w:spacing w:before="58"/>
              <w:ind w:left="252" w:right="245"/>
              <w:rPr>
                <w:rFonts w:ascii="Times New Roman"/>
                <w:sz w:val="21"/>
              </w:rPr>
            </w:pPr>
            <w:bookmarkStart w:name="mg/kg" w:id="948"/>
            <w:bookmarkEnd w:id="948"/>
            <w:r>
              <w:rPr/>
            </w:r>
            <w:r>
              <w:rPr>
                <w:rFonts w:ascii="Times New Roman"/>
                <w:sz w:val="21"/>
              </w:rPr>
              <w:t>mg/kg</w:t>
            </w:r>
          </w:p>
        </w:tc>
        <w:tc>
          <w:tcPr>
            <w:tcW w:w="1034" w:type="dxa"/>
          </w:tcPr>
          <w:p>
            <w:pPr>
              <w:pStyle w:val="TableParagraph"/>
              <w:spacing w:before="27"/>
              <w:ind w:left="202"/>
              <w:jc w:val="left"/>
              <w:rPr>
                <w:sz w:val="21"/>
              </w:rPr>
            </w:pPr>
            <w:bookmarkStart w:name="未检出" w:id="949"/>
            <w:bookmarkEnd w:id="949"/>
            <w:r>
              <w:rPr/>
            </w:r>
            <w:r>
              <w:rPr>
                <w:sz w:val="21"/>
              </w:rPr>
              <w:t>未检出</w:t>
            </w:r>
          </w:p>
        </w:tc>
        <w:tc>
          <w:tcPr>
            <w:tcW w:w="1035" w:type="dxa"/>
          </w:tcPr>
          <w:p>
            <w:pPr>
              <w:pStyle w:val="TableParagraph"/>
              <w:spacing w:before="39"/>
              <w:ind w:left="9"/>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9"/>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0"/>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22"/>
              <w:ind w:right="300"/>
              <w:jc w:val="right"/>
              <w:rPr>
                <w:sz w:val="21"/>
              </w:rPr>
            </w:pPr>
            <w:r>
              <w:rPr>
                <w:w w:val="95"/>
                <w:sz w:val="21"/>
              </w:rPr>
              <w:t>达标</w:t>
            </w:r>
          </w:p>
        </w:tc>
      </w:tr>
      <w:tr>
        <w:trPr>
          <w:trHeight w:val="320" w:hRule="atLeast"/>
        </w:trPr>
        <w:tc>
          <w:tcPr>
            <w:tcW w:w="2079" w:type="dxa"/>
          </w:tcPr>
          <w:p>
            <w:pPr>
              <w:pStyle w:val="TableParagraph"/>
              <w:spacing w:before="24"/>
              <w:ind w:left="83" w:right="78"/>
              <w:rPr>
                <w:sz w:val="21"/>
              </w:rPr>
            </w:pPr>
            <w:r>
              <w:rPr>
                <w:sz w:val="21"/>
              </w:rPr>
              <w:t>甲苯</w:t>
            </w:r>
          </w:p>
        </w:tc>
        <w:tc>
          <w:tcPr>
            <w:tcW w:w="1084" w:type="dxa"/>
          </w:tcPr>
          <w:p>
            <w:pPr>
              <w:pStyle w:val="TableParagraph"/>
              <w:spacing w:line="241" w:lineRule="exact" w:before="59"/>
              <w:ind w:left="252" w:right="245"/>
              <w:rPr>
                <w:rFonts w:ascii="Times New Roman"/>
                <w:sz w:val="21"/>
              </w:rPr>
            </w:pPr>
            <w:bookmarkStart w:name="mg/kg" w:id="950"/>
            <w:bookmarkEnd w:id="950"/>
            <w:r>
              <w:rPr/>
            </w:r>
            <w:r>
              <w:rPr>
                <w:rFonts w:ascii="Times New Roman"/>
                <w:sz w:val="21"/>
              </w:rPr>
              <w:t>mg/kg</w:t>
            </w:r>
          </w:p>
        </w:tc>
        <w:tc>
          <w:tcPr>
            <w:tcW w:w="1034" w:type="dxa"/>
          </w:tcPr>
          <w:p>
            <w:pPr>
              <w:pStyle w:val="TableParagraph"/>
              <w:spacing w:before="26"/>
              <w:ind w:left="202"/>
              <w:jc w:val="left"/>
              <w:rPr>
                <w:sz w:val="21"/>
              </w:rPr>
            </w:pPr>
            <w:bookmarkStart w:name="未检出" w:id="951"/>
            <w:bookmarkEnd w:id="951"/>
            <w:r>
              <w:rPr/>
            </w:r>
            <w:r>
              <w:rPr>
                <w:sz w:val="21"/>
              </w:rPr>
              <w:t>未检出</w:t>
            </w:r>
          </w:p>
        </w:tc>
        <w:tc>
          <w:tcPr>
            <w:tcW w:w="1035" w:type="dxa"/>
          </w:tcPr>
          <w:p>
            <w:pPr>
              <w:pStyle w:val="TableParagraph"/>
              <w:spacing w:before="37"/>
              <w:ind w:left="9"/>
              <w:rPr>
                <w:rFonts w:ascii="Times New Roman"/>
                <w:sz w:val="21"/>
              </w:rPr>
            </w:pPr>
            <w:r>
              <w:rPr>
                <w:rFonts w:ascii="Times New Roman"/>
                <w:w w:val="99"/>
                <w:sz w:val="21"/>
              </w:rPr>
              <w:t>/</w:t>
            </w:r>
          </w:p>
        </w:tc>
        <w:tc>
          <w:tcPr>
            <w:tcW w:w="1037" w:type="dxa"/>
          </w:tcPr>
          <w:p>
            <w:pPr>
              <w:pStyle w:val="TableParagraph"/>
              <w:spacing w:before="37"/>
              <w:ind w:left="6"/>
              <w:rPr>
                <w:rFonts w:ascii="Times New Roman"/>
                <w:sz w:val="21"/>
              </w:rPr>
            </w:pPr>
            <w:r>
              <w:rPr>
                <w:rFonts w:ascii="Times New Roman"/>
                <w:w w:val="99"/>
                <w:sz w:val="21"/>
              </w:rPr>
              <w:t>/</w:t>
            </w:r>
          </w:p>
        </w:tc>
        <w:tc>
          <w:tcPr>
            <w:tcW w:w="1037" w:type="dxa"/>
          </w:tcPr>
          <w:p>
            <w:pPr>
              <w:pStyle w:val="TableParagraph"/>
              <w:spacing w:before="37"/>
              <w:ind w:left="6"/>
              <w:rPr>
                <w:rFonts w:ascii="Times New Roman"/>
                <w:sz w:val="21"/>
              </w:rPr>
            </w:pPr>
            <w:r>
              <w:rPr>
                <w:rFonts w:ascii="Times New Roman"/>
                <w:w w:val="99"/>
                <w:sz w:val="21"/>
              </w:rPr>
              <w:t>/</w:t>
            </w:r>
          </w:p>
        </w:tc>
        <w:tc>
          <w:tcPr>
            <w:tcW w:w="1037" w:type="dxa"/>
          </w:tcPr>
          <w:p>
            <w:pPr>
              <w:pStyle w:val="TableParagraph"/>
              <w:spacing w:before="37"/>
              <w:ind w:left="10"/>
              <w:rPr>
                <w:rFonts w:ascii="Times New Roman"/>
                <w:sz w:val="21"/>
              </w:rPr>
            </w:pPr>
            <w:r>
              <w:rPr>
                <w:rFonts w:ascii="Times New Roman"/>
                <w:w w:val="99"/>
                <w:sz w:val="21"/>
              </w:rPr>
              <w:t>/</w:t>
            </w:r>
          </w:p>
        </w:tc>
        <w:tc>
          <w:tcPr>
            <w:tcW w:w="1037" w:type="dxa"/>
          </w:tcPr>
          <w:p>
            <w:pPr>
              <w:pStyle w:val="TableParagraph"/>
              <w:spacing w:before="37"/>
              <w:ind w:left="10"/>
              <w:rPr>
                <w:rFonts w:ascii="Times New Roman"/>
                <w:sz w:val="21"/>
              </w:rPr>
            </w:pPr>
            <w:r>
              <w:rPr>
                <w:rFonts w:ascii="Times New Roman"/>
                <w:w w:val="99"/>
                <w:sz w:val="21"/>
              </w:rPr>
              <w:t>/</w:t>
            </w:r>
          </w:p>
        </w:tc>
        <w:tc>
          <w:tcPr>
            <w:tcW w:w="1037" w:type="dxa"/>
          </w:tcPr>
          <w:p>
            <w:pPr>
              <w:pStyle w:val="TableParagraph"/>
              <w:spacing w:before="37"/>
              <w:ind w:left="9"/>
              <w:rPr>
                <w:rFonts w:ascii="Times New Roman"/>
                <w:sz w:val="21"/>
              </w:rPr>
            </w:pPr>
            <w:r>
              <w:rPr>
                <w:rFonts w:ascii="Times New Roman"/>
                <w:w w:val="99"/>
                <w:sz w:val="21"/>
              </w:rPr>
              <w:t>/</w:t>
            </w:r>
          </w:p>
        </w:tc>
        <w:tc>
          <w:tcPr>
            <w:tcW w:w="1038" w:type="dxa"/>
          </w:tcPr>
          <w:p>
            <w:pPr>
              <w:pStyle w:val="TableParagraph"/>
              <w:spacing w:before="37"/>
              <w:ind w:left="8"/>
              <w:rPr>
                <w:rFonts w:ascii="Times New Roman"/>
                <w:sz w:val="21"/>
              </w:rPr>
            </w:pPr>
            <w:r>
              <w:rPr>
                <w:rFonts w:ascii="Times New Roman"/>
                <w:w w:val="99"/>
                <w:sz w:val="21"/>
              </w:rPr>
              <w:t>/</w:t>
            </w:r>
          </w:p>
        </w:tc>
        <w:tc>
          <w:tcPr>
            <w:tcW w:w="1038" w:type="dxa"/>
          </w:tcPr>
          <w:p>
            <w:pPr>
              <w:pStyle w:val="TableParagraph"/>
              <w:spacing w:before="37"/>
              <w:ind w:left="10"/>
              <w:rPr>
                <w:rFonts w:ascii="Times New Roman"/>
                <w:sz w:val="21"/>
              </w:rPr>
            </w:pPr>
            <w:r>
              <w:rPr>
                <w:rFonts w:ascii="Times New Roman"/>
                <w:w w:val="99"/>
                <w:sz w:val="21"/>
              </w:rPr>
              <w:t>/</w:t>
            </w:r>
          </w:p>
        </w:tc>
        <w:tc>
          <w:tcPr>
            <w:tcW w:w="1038" w:type="dxa"/>
          </w:tcPr>
          <w:p>
            <w:pPr>
              <w:pStyle w:val="TableParagraph"/>
              <w:spacing w:before="37"/>
              <w:ind w:left="8"/>
              <w:rPr>
                <w:rFonts w:ascii="Times New Roman"/>
                <w:sz w:val="21"/>
              </w:rPr>
            </w:pPr>
            <w:r>
              <w:rPr>
                <w:rFonts w:ascii="Times New Roman"/>
                <w:w w:val="99"/>
                <w:sz w:val="21"/>
              </w:rPr>
              <w:t>/</w:t>
            </w:r>
          </w:p>
        </w:tc>
        <w:tc>
          <w:tcPr>
            <w:tcW w:w="1038" w:type="dxa"/>
          </w:tcPr>
          <w:p>
            <w:pPr>
              <w:pStyle w:val="TableParagraph"/>
              <w:spacing w:before="24"/>
              <w:ind w:right="300"/>
              <w:jc w:val="right"/>
              <w:rPr>
                <w:sz w:val="21"/>
              </w:rPr>
            </w:pPr>
            <w:r>
              <w:rPr>
                <w:w w:val="95"/>
                <w:sz w:val="21"/>
              </w:rPr>
              <w:t>达标</w:t>
            </w:r>
          </w:p>
        </w:tc>
      </w:tr>
      <w:tr>
        <w:trPr>
          <w:trHeight w:val="320" w:hRule="atLeast"/>
        </w:trPr>
        <w:tc>
          <w:tcPr>
            <w:tcW w:w="2079" w:type="dxa"/>
          </w:tcPr>
          <w:p>
            <w:pPr>
              <w:pStyle w:val="TableParagraph"/>
              <w:spacing w:before="22"/>
              <w:ind w:left="83" w:right="78"/>
              <w:rPr>
                <w:sz w:val="21"/>
              </w:rPr>
            </w:pPr>
            <w:r>
              <w:rPr>
                <w:sz w:val="21"/>
              </w:rPr>
              <w:t>间二甲苯</w:t>
            </w:r>
            <w:r>
              <w:rPr>
                <w:rFonts w:ascii="Times New Roman" w:eastAsia="Times New Roman"/>
                <w:sz w:val="21"/>
              </w:rPr>
              <w:t>+</w:t>
            </w:r>
            <w:r>
              <w:rPr>
                <w:sz w:val="21"/>
              </w:rPr>
              <w:t>对二甲苯</w:t>
            </w:r>
          </w:p>
        </w:tc>
        <w:tc>
          <w:tcPr>
            <w:tcW w:w="1084" w:type="dxa"/>
          </w:tcPr>
          <w:p>
            <w:pPr>
              <w:pStyle w:val="TableParagraph"/>
              <w:spacing w:before="58"/>
              <w:ind w:left="252" w:right="245"/>
              <w:rPr>
                <w:rFonts w:ascii="Times New Roman"/>
                <w:sz w:val="21"/>
              </w:rPr>
            </w:pPr>
            <w:bookmarkStart w:name="mg/kg" w:id="952"/>
            <w:bookmarkEnd w:id="952"/>
            <w:r>
              <w:rPr/>
            </w:r>
            <w:r>
              <w:rPr>
                <w:rFonts w:ascii="Times New Roman"/>
                <w:sz w:val="21"/>
              </w:rPr>
              <w:t>mg/kg</w:t>
            </w:r>
          </w:p>
        </w:tc>
        <w:tc>
          <w:tcPr>
            <w:tcW w:w="1034" w:type="dxa"/>
          </w:tcPr>
          <w:p>
            <w:pPr>
              <w:pStyle w:val="TableParagraph"/>
              <w:spacing w:before="27"/>
              <w:ind w:left="202"/>
              <w:jc w:val="left"/>
              <w:rPr>
                <w:sz w:val="21"/>
              </w:rPr>
            </w:pPr>
            <w:bookmarkStart w:name="未检出" w:id="953"/>
            <w:bookmarkEnd w:id="953"/>
            <w:r>
              <w:rPr/>
            </w:r>
            <w:r>
              <w:rPr>
                <w:sz w:val="21"/>
              </w:rPr>
              <w:t>未检出</w:t>
            </w:r>
          </w:p>
        </w:tc>
        <w:tc>
          <w:tcPr>
            <w:tcW w:w="1035" w:type="dxa"/>
          </w:tcPr>
          <w:p>
            <w:pPr>
              <w:pStyle w:val="TableParagraph"/>
              <w:spacing w:before="39"/>
              <w:ind w:left="9"/>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6"/>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10"/>
              <w:rPr>
                <w:rFonts w:ascii="Times New Roman"/>
                <w:sz w:val="21"/>
              </w:rPr>
            </w:pPr>
            <w:r>
              <w:rPr>
                <w:rFonts w:ascii="Times New Roman"/>
                <w:w w:val="99"/>
                <w:sz w:val="21"/>
              </w:rPr>
              <w:t>/</w:t>
            </w:r>
          </w:p>
        </w:tc>
        <w:tc>
          <w:tcPr>
            <w:tcW w:w="1037" w:type="dxa"/>
          </w:tcPr>
          <w:p>
            <w:pPr>
              <w:pStyle w:val="TableParagraph"/>
              <w:spacing w:before="39"/>
              <w:ind w:left="9"/>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39"/>
              <w:ind w:left="10"/>
              <w:rPr>
                <w:rFonts w:ascii="Times New Roman"/>
                <w:sz w:val="21"/>
              </w:rPr>
            </w:pPr>
            <w:r>
              <w:rPr>
                <w:rFonts w:ascii="Times New Roman"/>
                <w:w w:val="99"/>
                <w:sz w:val="21"/>
              </w:rPr>
              <w:t>/</w:t>
            </w:r>
          </w:p>
        </w:tc>
        <w:tc>
          <w:tcPr>
            <w:tcW w:w="1038" w:type="dxa"/>
          </w:tcPr>
          <w:p>
            <w:pPr>
              <w:pStyle w:val="TableParagraph"/>
              <w:spacing w:before="39"/>
              <w:ind w:left="8"/>
              <w:rPr>
                <w:rFonts w:ascii="Times New Roman"/>
                <w:sz w:val="21"/>
              </w:rPr>
            </w:pPr>
            <w:r>
              <w:rPr>
                <w:rFonts w:ascii="Times New Roman"/>
                <w:w w:val="99"/>
                <w:sz w:val="21"/>
              </w:rPr>
              <w:t>/</w:t>
            </w:r>
          </w:p>
        </w:tc>
        <w:tc>
          <w:tcPr>
            <w:tcW w:w="1038" w:type="dxa"/>
          </w:tcPr>
          <w:p>
            <w:pPr>
              <w:pStyle w:val="TableParagraph"/>
              <w:spacing w:before="22"/>
              <w:ind w:right="300"/>
              <w:jc w:val="right"/>
              <w:rPr>
                <w:sz w:val="21"/>
              </w:rPr>
            </w:pPr>
            <w:r>
              <w:rPr>
                <w:w w:val="95"/>
                <w:sz w:val="21"/>
              </w:rPr>
              <w:t>达标</w:t>
            </w:r>
          </w:p>
        </w:tc>
      </w:tr>
      <w:tr>
        <w:trPr>
          <w:trHeight w:val="271" w:hRule="atLeast"/>
        </w:trPr>
        <w:tc>
          <w:tcPr>
            <w:tcW w:w="2079" w:type="dxa"/>
          </w:tcPr>
          <w:p>
            <w:pPr>
              <w:pStyle w:val="TableParagraph"/>
              <w:spacing w:line="252" w:lineRule="exact"/>
              <w:ind w:left="86" w:right="78"/>
              <w:rPr>
                <w:sz w:val="21"/>
              </w:rPr>
            </w:pPr>
            <w:r>
              <w:rPr>
                <w:sz w:val="21"/>
              </w:rPr>
              <w:t>邻二甲苯</w:t>
            </w:r>
          </w:p>
        </w:tc>
        <w:tc>
          <w:tcPr>
            <w:tcW w:w="1084" w:type="dxa"/>
          </w:tcPr>
          <w:p>
            <w:pPr>
              <w:pStyle w:val="TableParagraph"/>
              <w:spacing w:line="238" w:lineRule="exact" w:before="13"/>
              <w:ind w:left="252" w:right="245"/>
              <w:rPr>
                <w:rFonts w:ascii="Times New Roman"/>
                <w:sz w:val="21"/>
              </w:rPr>
            </w:pPr>
            <w:r>
              <w:rPr>
                <w:rFonts w:ascii="Times New Roman"/>
                <w:sz w:val="21"/>
              </w:rPr>
              <w:t>mg/kg</w:t>
            </w:r>
          </w:p>
        </w:tc>
        <w:tc>
          <w:tcPr>
            <w:tcW w:w="1034" w:type="dxa"/>
          </w:tcPr>
          <w:p>
            <w:pPr>
              <w:pStyle w:val="TableParagraph"/>
              <w:spacing w:line="250" w:lineRule="exact" w:before="2"/>
              <w:ind w:left="202"/>
              <w:jc w:val="left"/>
              <w:rPr>
                <w:sz w:val="21"/>
              </w:rPr>
            </w:pPr>
            <w:bookmarkStart w:name="未检出" w:id="954"/>
            <w:bookmarkEnd w:id="954"/>
            <w:r>
              <w:rPr/>
            </w:r>
            <w:r>
              <w:rPr>
                <w:sz w:val="21"/>
              </w:rPr>
              <w:t>未检出</w:t>
            </w:r>
          </w:p>
        </w:tc>
        <w:tc>
          <w:tcPr>
            <w:tcW w:w="1035" w:type="dxa"/>
          </w:tcPr>
          <w:p>
            <w:pPr>
              <w:pStyle w:val="TableParagraph"/>
              <w:spacing w:line="238" w:lineRule="exact" w:before="13"/>
              <w:ind w:left="9"/>
              <w:rPr>
                <w:rFonts w:ascii="Times New Roman"/>
                <w:sz w:val="21"/>
              </w:rPr>
            </w:pPr>
            <w:r>
              <w:rPr>
                <w:rFonts w:ascii="Times New Roman"/>
                <w:w w:val="99"/>
                <w:sz w:val="21"/>
              </w:rPr>
              <w:t>/</w:t>
            </w:r>
          </w:p>
        </w:tc>
        <w:tc>
          <w:tcPr>
            <w:tcW w:w="1037" w:type="dxa"/>
          </w:tcPr>
          <w:p>
            <w:pPr>
              <w:pStyle w:val="TableParagraph"/>
              <w:spacing w:line="238" w:lineRule="exact" w:before="13"/>
              <w:ind w:left="6"/>
              <w:rPr>
                <w:rFonts w:ascii="Times New Roman"/>
                <w:sz w:val="21"/>
              </w:rPr>
            </w:pPr>
            <w:r>
              <w:rPr>
                <w:rFonts w:ascii="Times New Roman"/>
                <w:w w:val="99"/>
                <w:sz w:val="21"/>
              </w:rPr>
              <w:t>/</w:t>
            </w:r>
          </w:p>
        </w:tc>
        <w:tc>
          <w:tcPr>
            <w:tcW w:w="1037" w:type="dxa"/>
          </w:tcPr>
          <w:p>
            <w:pPr>
              <w:pStyle w:val="TableParagraph"/>
              <w:spacing w:line="238" w:lineRule="exact" w:before="13"/>
              <w:ind w:left="6"/>
              <w:rPr>
                <w:rFonts w:ascii="Times New Roman"/>
                <w:sz w:val="21"/>
              </w:rPr>
            </w:pPr>
            <w:r>
              <w:rPr>
                <w:rFonts w:ascii="Times New Roman"/>
                <w:w w:val="99"/>
                <w:sz w:val="21"/>
              </w:rPr>
              <w:t>/</w:t>
            </w:r>
          </w:p>
        </w:tc>
        <w:tc>
          <w:tcPr>
            <w:tcW w:w="1037" w:type="dxa"/>
          </w:tcPr>
          <w:p>
            <w:pPr>
              <w:pStyle w:val="TableParagraph"/>
              <w:spacing w:line="238" w:lineRule="exact" w:before="13"/>
              <w:ind w:left="10"/>
              <w:rPr>
                <w:rFonts w:ascii="Times New Roman"/>
                <w:sz w:val="21"/>
              </w:rPr>
            </w:pPr>
            <w:r>
              <w:rPr>
                <w:rFonts w:ascii="Times New Roman"/>
                <w:w w:val="99"/>
                <w:sz w:val="21"/>
              </w:rPr>
              <w:t>/</w:t>
            </w:r>
          </w:p>
        </w:tc>
        <w:tc>
          <w:tcPr>
            <w:tcW w:w="1037" w:type="dxa"/>
          </w:tcPr>
          <w:p>
            <w:pPr>
              <w:pStyle w:val="TableParagraph"/>
              <w:spacing w:line="238" w:lineRule="exact" w:before="13"/>
              <w:ind w:left="10"/>
              <w:rPr>
                <w:rFonts w:ascii="Times New Roman"/>
                <w:sz w:val="21"/>
              </w:rPr>
            </w:pPr>
            <w:r>
              <w:rPr>
                <w:rFonts w:ascii="Times New Roman"/>
                <w:w w:val="99"/>
                <w:sz w:val="21"/>
              </w:rPr>
              <w:t>/</w:t>
            </w:r>
          </w:p>
        </w:tc>
        <w:tc>
          <w:tcPr>
            <w:tcW w:w="1037" w:type="dxa"/>
          </w:tcPr>
          <w:p>
            <w:pPr>
              <w:pStyle w:val="TableParagraph"/>
              <w:spacing w:line="238" w:lineRule="exact" w:before="13"/>
              <w:ind w:left="9"/>
              <w:rPr>
                <w:rFonts w:ascii="Times New Roman"/>
                <w:sz w:val="21"/>
              </w:rPr>
            </w:pPr>
            <w:r>
              <w:rPr>
                <w:rFonts w:ascii="Times New Roman"/>
                <w:w w:val="99"/>
                <w:sz w:val="21"/>
              </w:rPr>
              <w:t>/</w:t>
            </w:r>
          </w:p>
        </w:tc>
        <w:tc>
          <w:tcPr>
            <w:tcW w:w="1038" w:type="dxa"/>
          </w:tcPr>
          <w:p>
            <w:pPr>
              <w:pStyle w:val="TableParagraph"/>
              <w:spacing w:line="238" w:lineRule="exact" w:before="13"/>
              <w:ind w:left="8"/>
              <w:rPr>
                <w:rFonts w:ascii="Times New Roman"/>
                <w:sz w:val="21"/>
              </w:rPr>
            </w:pPr>
            <w:r>
              <w:rPr>
                <w:rFonts w:ascii="Times New Roman"/>
                <w:w w:val="99"/>
                <w:sz w:val="21"/>
              </w:rPr>
              <w:t>/</w:t>
            </w:r>
          </w:p>
        </w:tc>
        <w:tc>
          <w:tcPr>
            <w:tcW w:w="1038" w:type="dxa"/>
          </w:tcPr>
          <w:p>
            <w:pPr>
              <w:pStyle w:val="TableParagraph"/>
              <w:spacing w:line="238" w:lineRule="exact" w:before="13"/>
              <w:ind w:left="10"/>
              <w:rPr>
                <w:rFonts w:ascii="Times New Roman"/>
                <w:sz w:val="21"/>
              </w:rPr>
            </w:pPr>
            <w:r>
              <w:rPr>
                <w:rFonts w:ascii="Times New Roman"/>
                <w:w w:val="99"/>
                <w:sz w:val="21"/>
              </w:rPr>
              <w:t>/</w:t>
            </w:r>
          </w:p>
        </w:tc>
        <w:tc>
          <w:tcPr>
            <w:tcW w:w="1038" w:type="dxa"/>
          </w:tcPr>
          <w:p>
            <w:pPr>
              <w:pStyle w:val="TableParagraph"/>
              <w:spacing w:line="238" w:lineRule="exact" w:before="13"/>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2" w:hRule="atLeast"/>
        </w:trPr>
        <w:tc>
          <w:tcPr>
            <w:tcW w:w="2079" w:type="dxa"/>
          </w:tcPr>
          <w:p>
            <w:pPr>
              <w:pStyle w:val="TableParagraph"/>
              <w:spacing w:line="251" w:lineRule="exact" w:before="1"/>
              <w:ind w:left="83" w:right="78"/>
              <w:rPr>
                <w:sz w:val="21"/>
              </w:rPr>
            </w:pPr>
            <w:r>
              <w:rPr>
                <w:sz w:val="21"/>
              </w:rPr>
              <w:t>硝基苯</w:t>
            </w:r>
          </w:p>
        </w:tc>
        <w:tc>
          <w:tcPr>
            <w:tcW w:w="1084" w:type="dxa"/>
          </w:tcPr>
          <w:p>
            <w:pPr>
              <w:pStyle w:val="TableParagraph"/>
              <w:spacing w:line="237" w:lineRule="exact" w:before="15"/>
              <w:ind w:left="252" w:right="245"/>
              <w:rPr>
                <w:rFonts w:ascii="Times New Roman"/>
                <w:sz w:val="21"/>
              </w:rPr>
            </w:pPr>
            <w:r>
              <w:rPr>
                <w:rFonts w:ascii="Times New Roman"/>
                <w:sz w:val="21"/>
              </w:rPr>
              <w:t>mg/kg</w:t>
            </w:r>
          </w:p>
        </w:tc>
        <w:tc>
          <w:tcPr>
            <w:tcW w:w="1034" w:type="dxa"/>
          </w:tcPr>
          <w:p>
            <w:pPr>
              <w:pStyle w:val="TableParagraph"/>
              <w:spacing w:line="249" w:lineRule="exact" w:before="3"/>
              <w:ind w:left="202"/>
              <w:jc w:val="left"/>
              <w:rPr>
                <w:sz w:val="21"/>
              </w:rPr>
            </w:pPr>
            <w:bookmarkStart w:name="未检出" w:id="955"/>
            <w:bookmarkEnd w:id="955"/>
            <w:r>
              <w:rPr/>
            </w:r>
            <w:r>
              <w:rPr>
                <w:sz w:val="21"/>
              </w:rPr>
              <w:t>未检出</w:t>
            </w:r>
          </w:p>
        </w:tc>
        <w:tc>
          <w:tcPr>
            <w:tcW w:w="1035" w:type="dxa"/>
          </w:tcPr>
          <w:p>
            <w:pPr>
              <w:pStyle w:val="TableParagraph"/>
              <w:spacing w:line="237" w:lineRule="exact" w:before="15"/>
              <w:ind w:left="9"/>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9"/>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0"/>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51" w:lineRule="exact" w:before="1"/>
              <w:ind w:right="300"/>
              <w:jc w:val="right"/>
              <w:rPr>
                <w:sz w:val="21"/>
              </w:rPr>
            </w:pPr>
            <w:r>
              <w:rPr>
                <w:w w:val="95"/>
                <w:sz w:val="21"/>
              </w:rPr>
              <w:t>达标</w:t>
            </w:r>
          </w:p>
        </w:tc>
      </w:tr>
      <w:tr>
        <w:trPr>
          <w:trHeight w:val="272" w:hRule="atLeast"/>
        </w:trPr>
        <w:tc>
          <w:tcPr>
            <w:tcW w:w="2079" w:type="dxa"/>
          </w:tcPr>
          <w:p>
            <w:pPr>
              <w:pStyle w:val="TableParagraph"/>
              <w:spacing w:line="251" w:lineRule="exact" w:before="2"/>
              <w:ind w:left="83" w:right="78"/>
              <w:rPr>
                <w:sz w:val="21"/>
              </w:rPr>
            </w:pPr>
            <w:r>
              <w:rPr>
                <w:sz w:val="21"/>
              </w:rPr>
              <w:t>苯胺</w:t>
            </w:r>
          </w:p>
        </w:tc>
        <w:tc>
          <w:tcPr>
            <w:tcW w:w="1084" w:type="dxa"/>
          </w:tcPr>
          <w:p>
            <w:pPr>
              <w:pStyle w:val="TableParagraph"/>
              <w:spacing w:line="237" w:lineRule="exact" w:before="16"/>
              <w:ind w:left="252" w:right="245"/>
              <w:rPr>
                <w:rFonts w:ascii="Times New Roman"/>
                <w:sz w:val="21"/>
              </w:rPr>
            </w:pPr>
            <w:r>
              <w:rPr>
                <w:rFonts w:ascii="Times New Roman"/>
                <w:sz w:val="21"/>
              </w:rPr>
              <w:t>mg/kg</w:t>
            </w:r>
          </w:p>
        </w:tc>
        <w:tc>
          <w:tcPr>
            <w:tcW w:w="1034" w:type="dxa"/>
          </w:tcPr>
          <w:p>
            <w:pPr>
              <w:pStyle w:val="TableParagraph"/>
              <w:spacing w:line="248" w:lineRule="exact" w:before="4"/>
              <w:ind w:left="202"/>
              <w:jc w:val="left"/>
              <w:rPr>
                <w:sz w:val="21"/>
              </w:rPr>
            </w:pPr>
            <w:bookmarkStart w:name="未检出" w:id="956"/>
            <w:bookmarkEnd w:id="956"/>
            <w:r>
              <w:rPr/>
            </w:r>
            <w:r>
              <w:rPr>
                <w:sz w:val="21"/>
              </w:rPr>
              <w:t>未检出</w:t>
            </w:r>
          </w:p>
        </w:tc>
        <w:tc>
          <w:tcPr>
            <w:tcW w:w="1035" w:type="dxa"/>
          </w:tcPr>
          <w:p>
            <w:pPr>
              <w:pStyle w:val="TableParagraph"/>
              <w:spacing w:line="237" w:lineRule="exact" w:before="16"/>
              <w:ind w:left="9"/>
              <w:rPr>
                <w:rFonts w:ascii="Times New Roman"/>
                <w:sz w:val="21"/>
              </w:rPr>
            </w:pPr>
            <w:r>
              <w:rPr>
                <w:rFonts w:ascii="Times New Roman"/>
                <w:w w:val="99"/>
                <w:sz w:val="21"/>
              </w:rPr>
              <w:t>/</w:t>
            </w:r>
          </w:p>
        </w:tc>
        <w:tc>
          <w:tcPr>
            <w:tcW w:w="1037" w:type="dxa"/>
          </w:tcPr>
          <w:p>
            <w:pPr>
              <w:pStyle w:val="TableParagraph"/>
              <w:spacing w:line="237" w:lineRule="exact" w:before="16"/>
              <w:ind w:left="6"/>
              <w:rPr>
                <w:rFonts w:ascii="Times New Roman"/>
                <w:sz w:val="21"/>
              </w:rPr>
            </w:pPr>
            <w:r>
              <w:rPr>
                <w:rFonts w:ascii="Times New Roman"/>
                <w:w w:val="99"/>
                <w:sz w:val="21"/>
              </w:rPr>
              <w:t>/</w:t>
            </w:r>
          </w:p>
        </w:tc>
        <w:tc>
          <w:tcPr>
            <w:tcW w:w="1037" w:type="dxa"/>
          </w:tcPr>
          <w:p>
            <w:pPr>
              <w:pStyle w:val="TableParagraph"/>
              <w:spacing w:line="237" w:lineRule="exact" w:before="16"/>
              <w:ind w:left="6"/>
              <w:rPr>
                <w:rFonts w:ascii="Times New Roman"/>
                <w:sz w:val="21"/>
              </w:rPr>
            </w:pPr>
            <w:r>
              <w:rPr>
                <w:rFonts w:ascii="Times New Roman"/>
                <w:w w:val="99"/>
                <w:sz w:val="21"/>
              </w:rPr>
              <w:t>/</w:t>
            </w:r>
          </w:p>
        </w:tc>
        <w:tc>
          <w:tcPr>
            <w:tcW w:w="1037" w:type="dxa"/>
          </w:tcPr>
          <w:p>
            <w:pPr>
              <w:pStyle w:val="TableParagraph"/>
              <w:spacing w:line="237" w:lineRule="exact" w:before="16"/>
              <w:ind w:left="10"/>
              <w:rPr>
                <w:rFonts w:ascii="Times New Roman"/>
                <w:sz w:val="21"/>
              </w:rPr>
            </w:pPr>
            <w:r>
              <w:rPr>
                <w:rFonts w:ascii="Times New Roman"/>
                <w:w w:val="99"/>
                <w:sz w:val="21"/>
              </w:rPr>
              <w:t>/</w:t>
            </w:r>
          </w:p>
        </w:tc>
        <w:tc>
          <w:tcPr>
            <w:tcW w:w="1037" w:type="dxa"/>
          </w:tcPr>
          <w:p>
            <w:pPr>
              <w:pStyle w:val="TableParagraph"/>
              <w:spacing w:line="237" w:lineRule="exact" w:before="16"/>
              <w:ind w:left="10"/>
              <w:rPr>
                <w:rFonts w:ascii="Times New Roman"/>
                <w:sz w:val="21"/>
              </w:rPr>
            </w:pPr>
            <w:r>
              <w:rPr>
                <w:rFonts w:ascii="Times New Roman"/>
                <w:w w:val="99"/>
                <w:sz w:val="21"/>
              </w:rPr>
              <w:t>/</w:t>
            </w:r>
          </w:p>
        </w:tc>
        <w:tc>
          <w:tcPr>
            <w:tcW w:w="1037" w:type="dxa"/>
          </w:tcPr>
          <w:p>
            <w:pPr>
              <w:pStyle w:val="TableParagraph"/>
              <w:spacing w:line="237" w:lineRule="exact" w:before="16"/>
              <w:ind w:left="9"/>
              <w:rPr>
                <w:rFonts w:ascii="Times New Roman"/>
                <w:sz w:val="21"/>
              </w:rPr>
            </w:pPr>
            <w:r>
              <w:rPr>
                <w:rFonts w:ascii="Times New Roman"/>
                <w:w w:val="99"/>
                <w:sz w:val="21"/>
              </w:rPr>
              <w:t>/</w:t>
            </w:r>
          </w:p>
        </w:tc>
        <w:tc>
          <w:tcPr>
            <w:tcW w:w="1038"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37" w:lineRule="exact" w:before="16"/>
              <w:ind w:left="10"/>
              <w:rPr>
                <w:rFonts w:ascii="Times New Roman"/>
                <w:sz w:val="21"/>
              </w:rPr>
            </w:pPr>
            <w:r>
              <w:rPr>
                <w:rFonts w:ascii="Times New Roman"/>
                <w:w w:val="99"/>
                <w:sz w:val="21"/>
              </w:rPr>
              <w:t>/</w:t>
            </w:r>
          </w:p>
        </w:tc>
        <w:tc>
          <w:tcPr>
            <w:tcW w:w="1038" w:type="dxa"/>
          </w:tcPr>
          <w:p>
            <w:pPr>
              <w:pStyle w:val="TableParagraph"/>
              <w:spacing w:line="237" w:lineRule="exact" w:before="16"/>
              <w:ind w:left="8"/>
              <w:rPr>
                <w:rFonts w:ascii="Times New Roman"/>
                <w:sz w:val="21"/>
              </w:rPr>
            </w:pPr>
            <w:r>
              <w:rPr>
                <w:rFonts w:ascii="Times New Roman"/>
                <w:w w:val="99"/>
                <w:sz w:val="21"/>
              </w:rPr>
              <w:t>/</w:t>
            </w:r>
          </w:p>
        </w:tc>
        <w:tc>
          <w:tcPr>
            <w:tcW w:w="1038" w:type="dxa"/>
          </w:tcPr>
          <w:p>
            <w:pPr>
              <w:pStyle w:val="TableParagraph"/>
              <w:spacing w:line="251" w:lineRule="exact" w:before="2"/>
              <w:ind w:right="300"/>
              <w:jc w:val="right"/>
              <w:rPr>
                <w:sz w:val="21"/>
              </w:rPr>
            </w:pPr>
            <w:r>
              <w:rPr>
                <w:w w:val="95"/>
                <w:sz w:val="21"/>
              </w:rPr>
              <w:t>达标</w:t>
            </w:r>
          </w:p>
        </w:tc>
      </w:tr>
      <w:tr>
        <w:trPr>
          <w:trHeight w:val="272" w:hRule="atLeast"/>
        </w:trPr>
        <w:tc>
          <w:tcPr>
            <w:tcW w:w="2079" w:type="dxa"/>
          </w:tcPr>
          <w:p>
            <w:pPr>
              <w:pStyle w:val="TableParagraph"/>
              <w:spacing w:line="252" w:lineRule="exact"/>
              <w:ind w:left="8"/>
              <w:rPr>
                <w:sz w:val="21"/>
              </w:rPr>
            </w:pPr>
            <w:r>
              <w:rPr>
                <w:w w:val="99"/>
                <w:sz w:val="21"/>
              </w:rPr>
              <w:t>萘</w:t>
            </w:r>
          </w:p>
        </w:tc>
        <w:tc>
          <w:tcPr>
            <w:tcW w:w="1084" w:type="dxa"/>
          </w:tcPr>
          <w:p>
            <w:pPr>
              <w:pStyle w:val="TableParagraph"/>
              <w:spacing w:line="238" w:lineRule="exact" w:before="14"/>
              <w:ind w:left="252" w:right="245"/>
              <w:rPr>
                <w:rFonts w:ascii="Times New Roman"/>
                <w:sz w:val="21"/>
              </w:rPr>
            </w:pPr>
            <w:r>
              <w:rPr>
                <w:rFonts w:ascii="Times New Roman"/>
                <w:sz w:val="21"/>
              </w:rPr>
              <w:t>mg/kg</w:t>
            </w:r>
          </w:p>
        </w:tc>
        <w:tc>
          <w:tcPr>
            <w:tcW w:w="1034" w:type="dxa"/>
          </w:tcPr>
          <w:p>
            <w:pPr>
              <w:pStyle w:val="TableParagraph"/>
              <w:spacing w:line="250" w:lineRule="exact" w:before="2"/>
              <w:ind w:left="202"/>
              <w:jc w:val="left"/>
              <w:rPr>
                <w:sz w:val="21"/>
              </w:rPr>
            </w:pPr>
            <w:bookmarkStart w:name="未检出" w:id="957"/>
            <w:bookmarkEnd w:id="957"/>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1" w:hRule="atLeast"/>
        </w:trPr>
        <w:tc>
          <w:tcPr>
            <w:tcW w:w="2079" w:type="dxa"/>
          </w:tcPr>
          <w:p>
            <w:pPr>
              <w:pStyle w:val="TableParagraph"/>
              <w:spacing w:line="251" w:lineRule="exact" w:before="1"/>
              <w:ind w:left="83" w:right="78"/>
              <w:rPr>
                <w:sz w:val="21"/>
              </w:rPr>
            </w:pPr>
            <w:r>
              <w:rPr>
                <w:rFonts w:ascii="Times New Roman" w:eastAsia="Times New Roman"/>
                <w:sz w:val="21"/>
              </w:rPr>
              <w:t>2-</w:t>
            </w:r>
            <w:r>
              <w:rPr>
                <w:sz w:val="21"/>
              </w:rPr>
              <w:t>氯酚</w:t>
            </w:r>
          </w:p>
        </w:tc>
        <w:tc>
          <w:tcPr>
            <w:tcW w:w="1084" w:type="dxa"/>
          </w:tcPr>
          <w:p>
            <w:pPr>
              <w:pStyle w:val="TableParagraph"/>
              <w:spacing w:line="237" w:lineRule="exact" w:before="15"/>
              <w:ind w:left="252" w:right="245"/>
              <w:rPr>
                <w:rFonts w:ascii="Times New Roman"/>
                <w:sz w:val="21"/>
              </w:rPr>
            </w:pPr>
            <w:r>
              <w:rPr>
                <w:rFonts w:ascii="Times New Roman"/>
                <w:sz w:val="21"/>
              </w:rPr>
              <w:t>mg/kg</w:t>
            </w:r>
          </w:p>
        </w:tc>
        <w:tc>
          <w:tcPr>
            <w:tcW w:w="1034" w:type="dxa"/>
          </w:tcPr>
          <w:p>
            <w:pPr>
              <w:pStyle w:val="TableParagraph"/>
              <w:spacing w:line="248" w:lineRule="exact" w:before="3"/>
              <w:ind w:left="202"/>
              <w:jc w:val="left"/>
              <w:rPr>
                <w:sz w:val="21"/>
              </w:rPr>
            </w:pPr>
            <w:bookmarkStart w:name="未检出" w:id="958"/>
            <w:bookmarkEnd w:id="958"/>
            <w:r>
              <w:rPr/>
            </w:r>
            <w:r>
              <w:rPr>
                <w:sz w:val="21"/>
              </w:rPr>
              <w:t>未检出</w:t>
            </w:r>
          </w:p>
        </w:tc>
        <w:tc>
          <w:tcPr>
            <w:tcW w:w="1035" w:type="dxa"/>
          </w:tcPr>
          <w:p>
            <w:pPr>
              <w:pStyle w:val="TableParagraph"/>
              <w:spacing w:line="237" w:lineRule="exact" w:before="15"/>
              <w:ind w:left="9"/>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9"/>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0"/>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51" w:lineRule="exact" w:before="1"/>
              <w:ind w:right="300"/>
              <w:jc w:val="right"/>
              <w:rPr>
                <w:sz w:val="21"/>
              </w:rPr>
            </w:pPr>
            <w:r>
              <w:rPr>
                <w:w w:val="95"/>
                <w:sz w:val="21"/>
              </w:rPr>
              <w:t>达标</w:t>
            </w:r>
          </w:p>
        </w:tc>
      </w:tr>
      <w:tr>
        <w:trPr>
          <w:trHeight w:val="273" w:hRule="atLeast"/>
        </w:trPr>
        <w:tc>
          <w:tcPr>
            <w:tcW w:w="2079" w:type="dxa"/>
          </w:tcPr>
          <w:p>
            <w:pPr>
              <w:pStyle w:val="TableParagraph"/>
              <w:spacing w:line="253" w:lineRule="exact"/>
              <w:ind w:left="86" w:right="78"/>
              <w:rPr>
                <w:sz w:val="21"/>
              </w:rPr>
            </w:pPr>
            <w:r>
              <w:rPr>
                <w:sz w:val="21"/>
              </w:rPr>
              <w:t>苯并</w:t>
            </w:r>
            <w:r>
              <w:rPr>
                <w:rFonts w:ascii="Times New Roman" w:eastAsia="Times New Roman"/>
                <w:sz w:val="21"/>
              </w:rPr>
              <w:t>[a]</w:t>
            </w:r>
            <w:r>
              <w:rPr>
                <w:sz w:val="21"/>
              </w:rPr>
              <w:t>蒽</w:t>
            </w:r>
          </w:p>
        </w:tc>
        <w:tc>
          <w:tcPr>
            <w:tcW w:w="1084" w:type="dxa"/>
          </w:tcPr>
          <w:p>
            <w:pPr>
              <w:pStyle w:val="TableParagraph"/>
              <w:spacing w:line="239" w:lineRule="exact" w:before="14"/>
              <w:ind w:left="252" w:right="245"/>
              <w:rPr>
                <w:rFonts w:ascii="Times New Roman"/>
                <w:sz w:val="21"/>
              </w:rPr>
            </w:pPr>
            <w:r>
              <w:rPr>
                <w:rFonts w:ascii="Times New Roman"/>
                <w:sz w:val="21"/>
              </w:rPr>
              <w:t>mg/kg</w:t>
            </w:r>
          </w:p>
        </w:tc>
        <w:tc>
          <w:tcPr>
            <w:tcW w:w="1034" w:type="dxa"/>
          </w:tcPr>
          <w:p>
            <w:pPr>
              <w:pStyle w:val="TableParagraph"/>
              <w:spacing w:line="248" w:lineRule="exact" w:before="4"/>
              <w:ind w:left="202"/>
              <w:jc w:val="left"/>
              <w:rPr>
                <w:sz w:val="21"/>
              </w:rPr>
            </w:pPr>
            <w:bookmarkStart w:name="未检出" w:id="959"/>
            <w:bookmarkEnd w:id="959"/>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1" w:hRule="atLeast"/>
        </w:trPr>
        <w:tc>
          <w:tcPr>
            <w:tcW w:w="2079" w:type="dxa"/>
          </w:tcPr>
          <w:p>
            <w:pPr>
              <w:pStyle w:val="TableParagraph"/>
              <w:spacing w:line="252" w:lineRule="exact"/>
              <w:ind w:left="86" w:right="78"/>
              <w:rPr>
                <w:sz w:val="21"/>
              </w:rPr>
            </w:pPr>
            <w:r>
              <w:rPr>
                <w:sz w:val="21"/>
              </w:rPr>
              <w:t>苯并</w:t>
            </w:r>
            <w:r>
              <w:rPr>
                <w:rFonts w:ascii="Times New Roman" w:eastAsia="Times New Roman"/>
                <w:sz w:val="21"/>
              </w:rPr>
              <w:t>[a]</w:t>
            </w:r>
            <w:r>
              <w:rPr>
                <w:sz w:val="21"/>
              </w:rPr>
              <w:t>芘</w:t>
            </w:r>
          </w:p>
        </w:tc>
        <w:tc>
          <w:tcPr>
            <w:tcW w:w="1084" w:type="dxa"/>
          </w:tcPr>
          <w:p>
            <w:pPr>
              <w:pStyle w:val="TableParagraph"/>
              <w:spacing w:line="238" w:lineRule="exact" w:before="14"/>
              <w:ind w:left="252" w:right="245"/>
              <w:rPr>
                <w:rFonts w:ascii="Times New Roman"/>
                <w:sz w:val="21"/>
              </w:rPr>
            </w:pPr>
            <w:r>
              <w:rPr>
                <w:rFonts w:ascii="Times New Roman"/>
                <w:sz w:val="21"/>
              </w:rPr>
              <w:t>mg/kg</w:t>
            </w:r>
          </w:p>
        </w:tc>
        <w:tc>
          <w:tcPr>
            <w:tcW w:w="1034" w:type="dxa"/>
          </w:tcPr>
          <w:p>
            <w:pPr>
              <w:pStyle w:val="TableParagraph"/>
              <w:spacing w:line="249" w:lineRule="exact" w:before="2"/>
              <w:ind w:left="202"/>
              <w:jc w:val="left"/>
              <w:rPr>
                <w:sz w:val="21"/>
              </w:rPr>
            </w:pPr>
            <w:bookmarkStart w:name="未检出" w:id="960"/>
            <w:bookmarkEnd w:id="960"/>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2" w:hRule="atLeast"/>
        </w:trPr>
        <w:tc>
          <w:tcPr>
            <w:tcW w:w="2079" w:type="dxa"/>
          </w:tcPr>
          <w:p>
            <w:pPr>
              <w:pStyle w:val="TableParagraph"/>
              <w:spacing w:line="251" w:lineRule="exact" w:before="1"/>
              <w:ind w:left="86" w:right="78"/>
              <w:rPr>
                <w:sz w:val="21"/>
              </w:rPr>
            </w:pPr>
            <w:r>
              <w:rPr>
                <w:sz w:val="21"/>
              </w:rPr>
              <w:t>苯并</w:t>
            </w:r>
            <w:r>
              <w:rPr>
                <w:rFonts w:ascii="Times New Roman" w:eastAsia="Times New Roman"/>
                <w:sz w:val="21"/>
              </w:rPr>
              <w:t>[b]</w:t>
            </w:r>
            <w:r>
              <w:rPr>
                <w:sz w:val="21"/>
              </w:rPr>
              <w:t>荧蒽</w:t>
            </w:r>
          </w:p>
        </w:tc>
        <w:tc>
          <w:tcPr>
            <w:tcW w:w="1084" w:type="dxa"/>
          </w:tcPr>
          <w:p>
            <w:pPr>
              <w:pStyle w:val="TableParagraph"/>
              <w:spacing w:line="237" w:lineRule="exact" w:before="15"/>
              <w:ind w:left="252" w:right="245"/>
              <w:rPr>
                <w:rFonts w:ascii="Times New Roman"/>
                <w:sz w:val="21"/>
              </w:rPr>
            </w:pPr>
            <w:r>
              <w:rPr>
                <w:rFonts w:ascii="Times New Roman"/>
                <w:sz w:val="21"/>
              </w:rPr>
              <w:t>mg/kg</w:t>
            </w:r>
          </w:p>
        </w:tc>
        <w:tc>
          <w:tcPr>
            <w:tcW w:w="1034" w:type="dxa"/>
          </w:tcPr>
          <w:p>
            <w:pPr>
              <w:pStyle w:val="TableParagraph"/>
              <w:spacing w:line="248" w:lineRule="exact" w:before="3"/>
              <w:ind w:left="202"/>
              <w:jc w:val="left"/>
              <w:rPr>
                <w:sz w:val="21"/>
              </w:rPr>
            </w:pPr>
            <w:bookmarkStart w:name="未检出" w:id="961"/>
            <w:bookmarkEnd w:id="961"/>
            <w:r>
              <w:rPr/>
            </w:r>
            <w:r>
              <w:rPr>
                <w:sz w:val="21"/>
              </w:rPr>
              <w:t>未检出</w:t>
            </w:r>
          </w:p>
        </w:tc>
        <w:tc>
          <w:tcPr>
            <w:tcW w:w="1035" w:type="dxa"/>
          </w:tcPr>
          <w:p>
            <w:pPr>
              <w:pStyle w:val="TableParagraph"/>
              <w:spacing w:line="237" w:lineRule="exact" w:before="15"/>
              <w:ind w:left="9"/>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6"/>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10"/>
              <w:rPr>
                <w:rFonts w:ascii="Times New Roman"/>
                <w:sz w:val="21"/>
              </w:rPr>
            </w:pPr>
            <w:r>
              <w:rPr>
                <w:rFonts w:ascii="Times New Roman"/>
                <w:w w:val="99"/>
                <w:sz w:val="21"/>
              </w:rPr>
              <w:t>/</w:t>
            </w:r>
          </w:p>
        </w:tc>
        <w:tc>
          <w:tcPr>
            <w:tcW w:w="1037" w:type="dxa"/>
          </w:tcPr>
          <w:p>
            <w:pPr>
              <w:pStyle w:val="TableParagraph"/>
              <w:spacing w:line="237" w:lineRule="exact" w:before="15"/>
              <w:ind w:left="9"/>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37" w:lineRule="exact" w:before="15"/>
              <w:ind w:left="10"/>
              <w:rPr>
                <w:rFonts w:ascii="Times New Roman"/>
                <w:sz w:val="21"/>
              </w:rPr>
            </w:pPr>
            <w:r>
              <w:rPr>
                <w:rFonts w:ascii="Times New Roman"/>
                <w:w w:val="99"/>
                <w:sz w:val="21"/>
              </w:rPr>
              <w:t>/</w:t>
            </w:r>
          </w:p>
        </w:tc>
        <w:tc>
          <w:tcPr>
            <w:tcW w:w="1038" w:type="dxa"/>
          </w:tcPr>
          <w:p>
            <w:pPr>
              <w:pStyle w:val="TableParagraph"/>
              <w:spacing w:line="237" w:lineRule="exact" w:before="15"/>
              <w:ind w:left="8"/>
              <w:rPr>
                <w:rFonts w:ascii="Times New Roman"/>
                <w:sz w:val="21"/>
              </w:rPr>
            </w:pPr>
            <w:r>
              <w:rPr>
                <w:rFonts w:ascii="Times New Roman"/>
                <w:w w:val="99"/>
                <w:sz w:val="21"/>
              </w:rPr>
              <w:t>/</w:t>
            </w:r>
          </w:p>
        </w:tc>
        <w:tc>
          <w:tcPr>
            <w:tcW w:w="1038" w:type="dxa"/>
          </w:tcPr>
          <w:p>
            <w:pPr>
              <w:pStyle w:val="TableParagraph"/>
              <w:spacing w:line="251" w:lineRule="exact" w:before="1"/>
              <w:ind w:right="300"/>
              <w:jc w:val="right"/>
              <w:rPr>
                <w:sz w:val="21"/>
              </w:rPr>
            </w:pPr>
            <w:r>
              <w:rPr>
                <w:w w:val="95"/>
                <w:sz w:val="21"/>
              </w:rPr>
              <w:t>达标</w:t>
            </w:r>
          </w:p>
        </w:tc>
      </w:tr>
      <w:tr>
        <w:trPr>
          <w:trHeight w:val="272" w:hRule="atLeast"/>
        </w:trPr>
        <w:tc>
          <w:tcPr>
            <w:tcW w:w="2079" w:type="dxa"/>
          </w:tcPr>
          <w:p>
            <w:pPr>
              <w:pStyle w:val="TableParagraph"/>
              <w:spacing w:line="253" w:lineRule="exact"/>
              <w:ind w:left="86" w:right="78"/>
              <w:rPr>
                <w:sz w:val="21"/>
              </w:rPr>
            </w:pPr>
            <w:r>
              <w:rPr>
                <w:sz w:val="21"/>
              </w:rPr>
              <w:t>苯并</w:t>
            </w:r>
            <w:r>
              <w:rPr>
                <w:rFonts w:ascii="Times New Roman" w:eastAsia="Times New Roman"/>
                <w:sz w:val="21"/>
              </w:rPr>
              <w:t>[k]</w:t>
            </w:r>
            <w:r>
              <w:rPr>
                <w:sz w:val="21"/>
              </w:rPr>
              <w:t>荧蒽</w:t>
            </w:r>
          </w:p>
        </w:tc>
        <w:tc>
          <w:tcPr>
            <w:tcW w:w="1084" w:type="dxa"/>
          </w:tcPr>
          <w:p>
            <w:pPr>
              <w:pStyle w:val="TableParagraph"/>
              <w:spacing w:line="239" w:lineRule="exact" w:before="14"/>
              <w:ind w:left="252" w:right="245"/>
              <w:rPr>
                <w:rFonts w:ascii="Times New Roman"/>
                <w:sz w:val="21"/>
              </w:rPr>
            </w:pPr>
            <w:r>
              <w:rPr>
                <w:rFonts w:ascii="Times New Roman"/>
                <w:sz w:val="21"/>
              </w:rPr>
              <w:t>mg/kg</w:t>
            </w:r>
          </w:p>
        </w:tc>
        <w:tc>
          <w:tcPr>
            <w:tcW w:w="1034" w:type="dxa"/>
          </w:tcPr>
          <w:p>
            <w:pPr>
              <w:pStyle w:val="TableParagraph"/>
              <w:spacing w:line="248" w:lineRule="exact" w:before="5"/>
              <w:ind w:left="202"/>
              <w:jc w:val="left"/>
              <w:rPr>
                <w:sz w:val="21"/>
              </w:rPr>
            </w:pPr>
            <w:bookmarkStart w:name="未检出" w:id="962"/>
            <w:bookmarkEnd w:id="962"/>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2" w:hRule="atLeast"/>
        </w:trPr>
        <w:tc>
          <w:tcPr>
            <w:tcW w:w="2079" w:type="dxa"/>
          </w:tcPr>
          <w:p>
            <w:pPr>
              <w:pStyle w:val="TableParagraph"/>
              <w:spacing w:line="252" w:lineRule="exact"/>
              <w:ind w:left="8"/>
              <w:rPr>
                <w:sz w:val="21"/>
              </w:rPr>
            </w:pPr>
            <w:r>
              <w:rPr>
                <w:w w:val="99"/>
                <w:sz w:val="21"/>
              </w:rPr>
              <w:t>䓛</w:t>
            </w:r>
          </w:p>
        </w:tc>
        <w:tc>
          <w:tcPr>
            <w:tcW w:w="1084" w:type="dxa"/>
          </w:tcPr>
          <w:p>
            <w:pPr>
              <w:pStyle w:val="TableParagraph"/>
              <w:spacing w:line="238" w:lineRule="exact" w:before="14"/>
              <w:ind w:left="252" w:right="245"/>
              <w:rPr>
                <w:rFonts w:ascii="Times New Roman"/>
                <w:sz w:val="21"/>
              </w:rPr>
            </w:pPr>
            <w:r>
              <w:rPr>
                <w:rFonts w:ascii="Times New Roman"/>
                <w:sz w:val="21"/>
              </w:rPr>
              <w:t>mg/kg</w:t>
            </w:r>
          </w:p>
        </w:tc>
        <w:tc>
          <w:tcPr>
            <w:tcW w:w="1034" w:type="dxa"/>
          </w:tcPr>
          <w:p>
            <w:pPr>
              <w:pStyle w:val="TableParagraph"/>
              <w:spacing w:line="249" w:lineRule="exact" w:before="2"/>
              <w:ind w:left="202"/>
              <w:jc w:val="left"/>
              <w:rPr>
                <w:sz w:val="21"/>
              </w:rPr>
            </w:pPr>
            <w:bookmarkStart w:name="未检出" w:id="963"/>
            <w:bookmarkEnd w:id="963"/>
            <w:r>
              <w:rPr/>
            </w:r>
            <w:r>
              <w:rPr>
                <w:sz w:val="21"/>
              </w:rPr>
              <w:t>未检出</w:t>
            </w:r>
          </w:p>
        </w:tc>
        <w:tc>
          <w:tcPr>
            <w:tcW w:w="1035" w:type="dxa"/>
          </w:tcPr>
          <w:p>
            <w:pPr>
              <w:pStyle w:val="TableParagraph"/>
              <w:spacing w:line="238" w:lineRule="exact" w:before="14"/>
              <w:ind w:left="9"/>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6"/>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10"/>
              <w:rPr>
                <w:rFonts w:ascii="Times New Roman"/>
                <w:sz w:val="21"/>
              </w:rPr>
            </w:pPr>
            <w:r>
              <w:rPr>
                <w:rFonts w:ascii="Times New Roman"/>
                <w:w w:val="99"/>
                <w:sz w:val="21"/>
              </w:rPr>
              <w:t>/</w:t>
            </w:r>
          </w:p>
        </w:tc>
        <w:tc>
          <w:tcPr>
            <w:tcW w:w="1037" w:type="dxa"/>
          </w:tcPr>
          <w:p>
            <w:pPr>
              <w:pStyle w:val="TableParagraph"/>
              <w:spacing w:line="238" w:lineRule="exact" w:before="14"/>
              <w:ind w:left="9"/>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38" w:lineRule="exact" w:before="14"/>
              <w:ind w:left="10"/>
              <w:rPr>
                <w:rFonts w:ascii="Times New Roman"/>
                <w:sz w:val="21"/>
              </w:rPr>
            </w:pPr>
            <w:r>
              <w:rPr>
                <w:rFonts w:ascii="Times New Roman"/>
                <w:w w:val="99"/>
                <w:sz w:val="21"/>
              </w:rPr>
              <w:t>/</w:t>
            </w:r>
          </w:p>
        </w:tc>
        <w:tc>
          <w:tcPr>
            <w:tcW w:w="1038" w:type="dxa"/>
          </w:tcPr>
          <w:p>
            <w:pPr>
              <w:pStyle w:val="TableParagraph"/>
              <w:spacing w:line="238" w:lineRule="exact" w:before="14"/>
              <w:ind w:left="8"/>
              <w:rPr>
                <w:rFonts w:ascii="Times New Roman"/>
                <w:sz w:val="21"/>
              </w:rPr>
            </w:pPr>
            <w:r>
              <w:rPr>
                <w:rFonts w:ascii="Times New Roman"/>
                <w:w w:val="99"/>
                <w:sz w:val="21"/>
              </w:rPr>
              <w:t>/</w:t>
            </w:r>
          </w:p>
        </w:tc>
        <w:tc>
          <w:tcPr>
            <w:tcW w:w="1038" w:type="dxa"/>
          </w:tcPr>
          <w:p>
            <w:pPr>
              <w:pStyle w:val="TableParagraph"/>
              <w:spacing w:line="252" w:lineRule="exact"/>
              <w:ind w:right="300"/>
              <w:jc w:val="right"/>
              <w:rPr>
                <w:sz w:val="21"/>
              </w:rPr>
            </w:pPr>
            <w:r>
              <w:rPr>
                <w:w w:val="95"/>
                <w:sz w:val="21"/>
              </w:rPr>
              <w:t>达标</w:t>
            </w:r>
          </w:p>
        </w:tc>
      </w:tr>
      <w:tr>
        <w:trPr>
          <w:trHeight w:val="271" w:hRule="atLeast"/>
        </w:trPr>
        <w:tc>
          <w:tcPr>
            <w:tcW w:w="2079" w:type="dxa"/>
          </w:tcPr>
          <w:p>
            <w:pPr>
              <w:pStyle w:val="TableParagraph"/>
              <w:spacing w:line="250" w:lineRule="exact" w:before="1"/>
              <w:ind w:left="86" w:right="73"/>
              <w:rPr>
                <w:sz w:val="21"/>
              </w:rPr>
            </w:pPr>
            <w:r>
              <w:rPr>
                <w:sz w:val="21"/>
              </w:rPr>
              <w:t>茚并</w:t>
            </w:r>
            <w:r>
              <w:rPr>
                <w:rFonts w:ascii="Times New Roman" w:eastAsia="Times New Roman"/>
                <w:sz w:val="21"/>
              </w:rPr>
              <w:t>[1,2,3-cd]</w:t>
            </w:r>
            <w:r>
              <w:rPr>
                <w:sz w:val="21"/>
              </w:rPr>
              <w:t>芘</w:t>
            </w:r>
          </w:p>
        </w:tc>
        <w:tc>
          <w:tcPr>
            <w:tcW w:w="1084" w:type="dxa"/>
          </w:tcPr>
          <w:p>
            <w:pPr>
              <w:pStyle w:val="TableParagraph"/>
              <w:spacing w:line="236" w:lineRule="exact" w:before="15"/>
              <w:ind w:left="252" w:right="245"/>
              <w:rPr>
                <w:rFonts w:ascii="Times New Roman"/>
                <w:sz w:val="21"/>
              </w:rPr>
            </w:pPr>
            <w:r>
              <w:rPr>
                <w:rFonts w:ascii="Times New Roman"/>
                <w:sz w:val="21"/>
              </w:rPr>
              <w:t>mg/kg</w:t>
            </w:r>
          </w:p>
        </w:tc>
        <w:tc>
          <w:tcPr>
            <w:tcW w:w="1034" w:type="dxa"/>
          </w:tcPr>
          <w:p>
            <w:pPr>
              <w:pStyle w:val="TableParagraph"/>
              <w:spacing w:line="248" w:lineRule="exact" w:before="4"/>
              <w:ind w:left="202"/>
              <w:jc w:val="left"/>
              <w:rPr>
                <w:sz w:val="21"/>
              </w:rPr>
            </w:pPr>
            <w:bookmarkStart w:name="未检出" w:id="964"/>
            <w:bookmarkEnd w:id="964"/>
            <w:r>
              <w:rPr/>
            </w:r>
            <w:r>
              <w:rPr>
                <w:sz w:val="21"/>
              </w:rPr>
              <w:t>未检出</w:t>
            </w:r>
          </w:p>
        </w:tc>
        <w:tc>
          <w:tcPr>
            <w:tcW w:w="1035" w:type="dxa"/>
          </w:tcPr>
          <w:p>
            <w:pPr>
              <w:pStyle w:val="TableParagraph"/>
              <w:spacing w:line="236" w:lineRule="exact" w:before="15"/>
              <w:ind w:left="9"/>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6"/>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10"/>
              <w:rPr>
                <w:rFonts w:ascii="Times New Roman"/>
                <w:sz w:val="21"/>
              </w:rPr>
            </w:pPr>
            <w:r>
              <w:rPr>
                <w:rFonts w:ascii="Times New Roman"/>
                <w:w w:val="99"/>
                <w:sz w:val="21"/>
              </w:rPr>
              <w:t>/</w:t>
            </w:r>
          </w:p>
        </w:tc>
        <w:tc>
          <w:tcPr>
            <w:tcW w:w="1037" w:type="dxa"/>
          </w:tcPr>
          <w:p>
            <w:pPr>
              <w:pStyle w:val="TableParagraph"/>
              <w:spacing w:line="236" w:lineRule="exact" w:before="15"/>
              <w:ind w:left="9"/>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36" w:lineRule="exact" w:before="15"/>
              <w:ind w:left="10"/>
              <w:rPr>
                <w:rFonts w:ascii="Times New Roman"/>
                <w:sz w:val="21"/>
              </w:rPr>
            </w:pPr>
            <w:r>
              <w:rPr>
                <w:rFonts w:ascii="Times New Roman"/>
                <w:w w:val="99"/>
                <w:sz w:val="21"/>
              </w:rPr>
              <w:t>/</w:t>
            </w:r>
          </w:p>
        </w:tc>
        <w:tc>
          <w:tcPr>
            <w:tcW w:w="1038" w:type="dxa"/>
          </w:tcPr>
          <w:p>
            <w:pPr>
              <w:pStyle w:val="TableParagraph"/>
              <w:spacing w:line="236" w:lineRule="exact" w:before="15"/>
              <w:ind w:left="8"/>
              <w:rPr>
                <w:rFonts w:ascii="Times New Roman"/>
                <w:sz w:val="21"/>
              </w:rPr>
            </w:pPr>
            <w:r>
              <w:rPr>
                <w:rFonts w:ascii="Times New Roman"/>
                <w:w w:val="99"/>
                <w:sz w:val="21"/>
              </w:rPr>
              <w:t>/</w:t>
            </w:r>
          </w:p>
        </w:tc>
        <w:tc>
          <w:tcPr>
            <w:tcW w:w="1038" w:type="dxa"/>
          </w:tcPr>
          <w:p>
            <w:pPr>
              <w:pStyle w:val="TableParagraph"/>
              <w:spacing w:line="250" w:lineRule="exact" w:before="1"/>
              <w:ind w:right="300"/>
              <w:jc w:val="right"/>
              <w:rPr>
                <w:sz w:val="21"/>
              </w:rPr>
            </w:pPr>
            <w:r>
              <w:rPr>
                <w:w w:val="95"/>
                <w:sz w:val="21"/>
              </w:rPr>
              <w:t>达标</w:t>
            </w:r>
          </w:p>
        </w:tc>
      </w:tr>
      <w:tr>
        <w:trPr>
          <w:trHeight w:val="273" w:hRule="atLeast"/>
        </w:trPr>
        <w:tc>
          <w:tcPr>
            <w:tcW w:w="2079" w:type="dxa"/>
          </w:tcPr>
          <w:p>
            <w:pPr>
              <w:pStyle w:val="TableParagraph"/>
              <w:spacing w:line="253" w:lineRule="exact"/>
              <w:ind w:left="86" w:right="76"/>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084" w:type="dxa"/>
          </w:tcPr>
          <w:p>
            <w:pPr>
              <w:pStyle w:val="TableParagraph"/>
              <w:spacing w:line="239" w:lineRule="exact" w:before="14"/>
              <w:ind w:left="252" w:right="245"/>
              <w:rPr>
                <w:rFonts w:ascii="Times New Roman"/>
                <w:sz w:val="21"/>
              </w:rPr>
            </w:pPr>
            <w:r>
              <w:rPr>
                <w:rFonts w:ascii="Times New Roman"/>
                <w:sz w:val="21"/>
              </w:rPr>
              <w:t>mg/kg</w:t>
            </w:r>
          </w:p>
        </w:tc>
        <w:tc>
          <w:tcPr>
            <w:tcW w:w="1034" w:type="dxa"/>
          </w:tcPr>
          <w:p>
            <w:pPr>
              <w:pStyle w:val="TableParagraph"/>
              <w:spacing w:line="248" w:lineRule="exact" w:before="5"/>
              <w:ind w:left="202"/>
              <w:jc w:val="left"/>
              <w:rPr>
                <w:sz w:val="21"/>
              </w:rPr>
            </w:pPr>
            <w:bookmarkStart w:name="未检出" w:id="965"/>
            <w:bookmarkEnd w:id="965"/>
            <w:r>
              <w:rPr/>
            </w:r>
            <w:r>
              <w:rPr>
                <w:sz w:val="21"/>
              </w:rPr>
              <w:t>未检出</w:t>
            </w:r>
          </w:p>
        </w:tc>
        <w:tc>
          <w:tcPr>
            <w:tcW w:w="1035" w:type="dxa"/>
          </w:tcPr>
          <w:p>
            <w:pPr>
              <w:pStyle w:val="TableParagraph"/>
              <w:spacing w:line="239" w:lineRule="exact" w:before="14"/>
              <w:ind w:left="9"/>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6"/>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10"/>
              <w:rPr>
                <w:rFonts w:ascii="Times New Roman"/>
                <w:sz w:val="21"/>
              </w:rPr>
            </w:pPr>
            <w:r>
              <w:rPr>
                <w:rFonts w:ascii="Times New Roman"/>
                <w:w w:val="99"/>
                <w:sz w:val="21"/>
              </w:rPr>
              <w:t>/</w:t>
            </w:r>
          </w:p>
        </w:tc>
        <w:tc>
          <w:tcPr>
            <w:tcW w:w="1037" w:type="dxa"/>
          </w:tcPr>
          <w:p>
            <w:pPr>
              <w:pStyle w:val="TableParagraph"/>
              <w:spacing w:line="239" w:lineRule="exact" w:before="14"/>
              <w:ind w:left="9"/>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39" w:lineRule="exact" w:before="14"/>
              <w:ind w:left="10"/>
              <w:rPr>
                <w:rFonts w:ascii="Times New Roman"/>
                <w:sz w:val="21"/>
              </w:rPr>
            </w:pPr>
            <w:r>
              <w:rPr>
                <w:rFonts w:ascii="Times New Roman"/>
                <w:w w:val="99"/>
                <w:sz w:val="21"/>
              </w:rPr>
              <w:t>/</w:t>
            </w:r>
          </w:p>
        </w:tc>
        <w:tc>
          <w:tcPr>
            <w:tcW w:w="1038" w:type="dxa"/>
          </w:tcPr>
          <w:p>
            <w:pPr>
              <w:pStyle w:val="TableParagraph"/>
              <w:spacing w:line="239" w:lineRule="exact" w:before="14"/>
              <w:ind w:left="8"/>
              <w:rPr>
                <w:rFonts w:ascii="Times New Roman"/>
                <w:sz w:val="21"/>
              </w:rPr>
            </w:pPr>
            <w:r>
              <w:rPr>
                <w:rFonts w:ascii="Times New Roman"/>
                <w:w w:val="99"/>
                <w:sz w:val="21"/>
              </w:rPr>
              <w:t>/</w:t>
            </w:r>
          </w:p>
        </w:tc>
        <w:tc>
          <w:tcPr>
            <w:tcW w:w="1038" w:type="dxa"/>
          </w:tcPr>
          <w:p>
            <w:pPr>
              <w:pStyle w:val="TableParagraph"/>
              <w:spacing w:line="253" w:lineRule="exact"/>
              <w:ind w:right="300"/>
              <w:jc w:val="right"/>
              <w:rPr>
                <w:sz w:val="21"/>
              </w:rPr>
            </w:pPr>
            <w:r>
              <w:rPr>
                <w:w w:val="95"/>
                <w:sz w:val="21"/>
              </w:rPr>
              <w:t>达标</w:t>
            </w:r>
          </w:p>
        </w:tc>
      </w:tr>
      <w:tr>
        <w:trPr>
          <w:trHeight w:val="271" w:hRule="atLeast"/>
        </w:trPr>
        <w:tc>
          <w:tcPr>
            <w:tcW w:w="2079" w:type="dxa"/>
          </w:tcPr>
          <w:p>
            <w:pPr>
              <w:pStyle w:val="TableParagraph"/>
              <w:spacing w:line="251" w:lineRule="exact"/>
              <w:ind w:left="86" w:right="78"/>
              <w:rPr>
                <w:sz w:val="21"/>
              </w:rPr>
            </w:pPr>
            <w:r>
              <w:rPr>
                <w:sz w:val="21"/>
              </w:rPr>
              <w:t>石油烃（</w:t>
            </w:r>
            <w:r>
              <w:rPr>
                <w:rFonts w:ascii="Times New Roman" w:eastAsia="Times New Roman"/>
                <w:sz w:val="21"/>
              </w:rPr>
              <w:t>C10~C40</w:t>
            </w:r>
            <w:r>
              <w:rPr>
                <w:sz w:val="21"/>
              </w:rPr>
              <w:t>）</w:t>
            </w:r>
          </w:p>
        </w:tc>
        <w:tc>
          <w:tcPr>
            <w:tcW w:w="1084" w:type="dxa"/>
          </w:tcPr>
          <w:p>
            <w:pPr>
              <w:pStyle w:val="TableParagraph"/>
              <w:spacing w:line="237" w:lineRule="exact" w:before="14"/>
              <w:ind w:left="252" w:right="245"/>
              <w:rPr>
                <w:rFonts w:ascii="Times New Roman"/>
                <w:sz w:val="21"/>
              </w:rPr>
            </w:pPr>
            <w:r>
              <w:rPr>
                <w:rFonts w:ascii="Times New Roman"/>
                <w:sz w:val="21"/>
              </w:rPr>
              <w:t>mg/kg</w:t>
            </w:r>
          </w:p>
        </w:tc>
        <w:tc>
          <w:tcPr>
            <w:tcW w:w="1034" w:type="dxa"/>
          </w:tcPr>
          <w:p>
            <w:pPr>
              <w:pStyle w:val="TableParagraph"/>
              <w:spacing w:line="249" w:lineRule="exact" w:before="3"/>
              <w:ind w:left="202"/>
              <w:jc w:val="left"/>
              <w:rPr>
                <w:sz w:val="21"/>
              </w:rPr>
            </w:pPr>
            <w:bookmarkStart w:name="未检出" w:id="966"/>
            <w:bookmarkEnd w:id="966"/>
            <w:r>
              <w:rPr/>
            </w:r>
            <w:r>
              <w:rPr>
                <w:sz w:val="21"/>
              </w:rPr>
              <w:t>未检出</w:t>
            </w:r>
          </w:p>
        </w:tc>
        <w:tc>
          <w:tcPr>
            <w:tcW w:w="1035" w:type="dxa"/>
          </w:tcPr>
          <w:p>
            <w:pPr>
              <w:pStyle w:val="TableParagraph"/>
              <w:spacing w:line="251" w:lineRule="exact"/>
              <w:ind w:left="182" w:right="173"/>
              <w:rPr>
                <w:sz w:val="21"/>
              </w:rPr>
            </w:pPr>
            <w:r>
              <w:rPr>
                <w:sz w:val="21"/>
              </w:rPr>
              <w:t>未检出</w:t>
            </w:r>
          </w:p>
        </w:tc>
        <w:tc>
          <w:tcPr>
            <w:tcW w:w="1037" w:type="dxa"/>
          </w:tcPr>
          <w:p>
            <w:pPr>
              <w:pStyle w:val="TableParagraph"/>
              <w:spacing w:line="251" w:lineRule="exact"/>
              <w:ind w:left="180" w:right="174"/>
              <w:rPr>
                <w:sz w:val="21"/>
              </w:rPr>
            </w:pPr>
            <w:r>
              <w:rPr>
                <w:sz w:val="21"/>
              </w:rPr>
              <w:t>未检出</w:t>
            </w:r>
          </w:p>
        </w:tc>
        <w:tc>
          <w:tcPr>
            <w:tcW w:w="1037" w:type="dxa"/>
          </w:tcPr>
          <w:p>
            <w:pPr>
              <w:pStyle w:val="TableParagraph"/>
              <w:spacing w:line="251" w:lineRule="exact"/>
              <w:ind w:left="179" w:right="174"/>
              <w:rPr>
                <w:sz w:val="21"/>
              </w:rPr>
            </w:pPr>
            <w:r>
              <w:rPr>
                <w:sz w:val="21"/>
              </w:rPr>
              <w:t>未检出</w:t>
            </w:r>
          </w:p>
        </w:tc>
        <w:tc>
          <w:tcPr>
            <w:tcW w:w="1037" w:type="dxa"/>
          </w:tcPr>
          <w:p>
            <w:pPr>
              <w:pStyle w:val="TableParagraph"/>
              <w:spacing w:line="251" w:lineRule="exact"/>
              <w:ind w:left="179" w:right="174"/>
              <w:rPr>
                <w:sz w:val="21"/>
              </w:rPr>
            </w:pPr>
            <w:r>
              <w:rPr>
                <w:sz w:val="21"/>
              </w:rPr>
              <w:t>未检出</w:t>
            </w:r>
          </w:p>
        </w:tc>
        <w:tc>
          <w:tcPr>
            <w:tcW w:w="1037" w:type="dxa"/>
          </w:tcPr>
          <w:p>
            <w:pPr>
              <w:pStyle w:val="TableParagraph"/>
              <w:spacing w:line="251" w:lineRule="exact"/>
              <w:ind w:left="179" w:right="174"/>
              <w:rPr>
                <w:sz w:val="21"/>
              </w:rPr>
            </w:pPr>
            <w:r>
              <w:rPr>
                <w:sz w:val="21"/>
              </w:rPr>
              <w:t>未检出</w:t>
            </w:r>
          </w:p>
        </w:tc>
        <w:tc>
          <w:tcPr>
            <w:tcW w:w="1037" w:type="dxa"/>
          </w:tcPr>
          <w:p>
            <w:pPr>
              <w:pStyle w:val="TableParagraph"/>
              <w:spacing w:line="251" w:lineRule="exact"/>
              <w:ind w:left="181" w:right="172"/>
              <w:rPr>
                <w:sz w:val="21"/>
              </w:rPr>
            </w:pPr>
            <w:r>
              <w:rPr>
                <w:sz w:val="21"/>
              </w:rPr>
              <w:t>未检出</w:t>
            </w:r>
          </w:p>
        </w:tc>
        <w:tc>
          <w:tcPr>
            <w:tcW w:w="1038" w:type="dxa"/>
          </w:tcPr>
          <w:p>
            <w:pPr>
              <w:pStyle w:val="TableParagraph"/>
              <w:spacing w:line="251" w:lineRule="exact"/>
              <w:ind w:left="181" w:right="173"/>
              <w:rPr>
                <w:sz w:val="21"/>
              </w:rPr>
            </w:pPr>
            <w:r>
              <w:rPr>
                <w:sz w:val="21"/>
              </w:rPr>
              <w:t>未检出</w:t>
            </w:r>
          </w:p>
        </w:tc>
        <w:tc>
          <w:tcPr>
            <w:tcW w:w="1038" w:type="dxa"/>
          </w:tcPr>
          <w:p>
            <w:pPr>
              <w:pStyle w:val="TableParagraph"/>
              <w:spacing w:line="251" w:lineRule="exact"/>
              <w:ind w:left="183" w:right="173"/>
              <w:rPr>
                <w:sz w:val="21"/>
              </w:rPr>
            </w:pPr>
            <w:r>
              <w:rPr>
                <w:sz w:val="21"/>
              </w:rPr>
              <w:t>未检出</w:t>
            </w:r>
          </w:p>
        </w:tc>
        <w:tc>
          <w:tcPr>
            <w:tcW w:w="1038" w:type="dxa"/>
          </w:tcPr>
          <w:p>
            <w:pPr>
              <w:pStyle w:val="TableParagraph"/>
              <w:spacing w:line="251" w:lineRule="exact"/>
              <w:ind w:left="181" w:right="173"/>
              <w:rPr>
                <w:sz w:val="21"/>
              </w:rPr>
            </w:pPr>
            <w:r>
              <w:rPr>
                <w:sz w:val="21"/>
              </w:rPr>
              <w:t>未检出</w:t>
            </w:r>
          </w:p>
        </w:tc>
        <w:tc>
          <w:tcPr>
            <w:tcW w:w="1038" w:type="dxa"/>
          </w:tcPr>
          <w:p>
            <w:pPr>
              <w:pStyle w:val="TableParagraph"/>
              <w:spacing w:line="251" w:lineRule="exact"/>
              <w:ind w:right="300"/>
              <w:jc w:val="right"/>
              <w:rPr>
                <w:sz w:val="21"/>
              </w:rPr>
            </w:pPr>
            <w:r>
              <w:rPr>
                <w:w w:val="95"/>
                <w:sz w:val="21"/>
              </w:rPr>
              <w:t>达标</w:t>
            </w:r>
          </w:p>
        </w:tc>
      </w:tr>
    </w:tbl>
    <w:p>
      <w:pPr>
        <w:spacing w:after="0" w:line="251" w:lineRule="exact"/>
        <w:jc w:val="right"/>
        <w:rPr>
          <w:sz w:val="21"/>
        </w:rPr>
        <w:sectPr>
          <w:pgSz w:w="16840" w:h="11910" w:orient="landscape"/>
          <w:pgMar w:header="0" w:footer="1089" w:top="1100" w:bottom="1280" w:left="1360" w:right="680"/>
        </w:sectPr>
      </w:pPr>
    </w:p>
    <w:p>
      <w:pPr>
        <w:spacing w:before="66"/>
        <w:ind w:left="2524" w:right="2634" w:firstLine="0"/>
        <w:jc w:val="center"/>
        <w:rPr>
          <w:b/>
          <w:sz w:val="24"/>
        </w:rPr>
      </w:pPr>
      <w:r>
        <w:rPr>
          <w:b/>
          <w:sz w:val="24"/>
        </w:rPr>
        <w:t>表 </w:t>
      </w:r>
      <w:r>
        <w:rPr>
          <w:rFonts w:ascii="Times New Roman" w:eastAsia="Times New Roman"/>
          <w:b/>
          <w:sz w:val="24"/>
        </w:rPr>
        <w:t>11.3-9 </w:t>
      </w:r>
      <w:r>
        <w:rPr>
          <w:b/>
          <w:sz w:val="24"/>
        </w:rPr>
        <w:t>农用地土壤环境质量监测结果</w:t>
      </w: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960"/>
        <w:gridCol w:w="2576"/>
        <w:gridCol w:w="2576"/>
        <w:gridCol w:w="1220"/>
      </w:tblGrid>
      <w:tr>
        <w:trPr>
          <w:trHeight w:val="397" w:hRule="atLeast"/>
        </w:trPr>
        <w:tc>
          <w:tcPr>
            <w:tcW w:w="1464" w:type="dxa"/>
            <w:vMerge w:val="restart"/>
          </w:tcPr>
          <w:p>
            <w:pPr>
              <w:pStyle w:val="TableParagraph"/>
              <w:spacing w:before="9"/>
              <w:jc w:val="left"/>
              <w:rPr>
                <w:b/>
                <w:sz w:val="20"/>
              </w:rPr>
            </w:pPr>
          </w:p>
          <w:p>
            <w:pPr>
              <w:pStyle w:val="TableParagraph"/>
              <w:ind w:left="348"/>
              <w:jc w:val="left"/>
              <w:rPr>
                <w:sz w:val="21"/>
              </w:rPr>
            </w:pPr>
            <w:bookmarkStart w:name="检测项目" w:id="967"/>
            <w:bookmarkEnd w:id="967"/>
            <w:r>
              <w:rPr/>
            </w:r>
            <w:r>
              <w:rPr>
                <w:sz w:val="21"/>
              </w:rPr>
              <w:t>检测项目</w:t>
            </w:r>
          </w:p>
        </w:tc>
        <w:tc>
          <w:tcPr>
            <w:tcW w:w="960" w:type="dxa"/>
            <w:vMerge w:val="restart"/>
          </w:tcPr>
          <w:p>
            <w:pPr>
              <w:pStyle w:val="TableParagraph"/>
              <w:spacing w:before="9"/>
              <w:jc w:val="left"/>
              <w:rPr>
                <w:b/>
                <w:sz w:val="20"/>
              </w:rPr>
            </w:pPr>
          </w:p>
          <w:p>
            <w:pPr>
              <w:pStyle w:val="TableParagraph"/>
              <w:ind w:left="269"/>
              <w:jc w:val="left"/>
              <w:rPr>
                <w:sz w:val="21"/>
              </w:rPr>
            </w:pPr>
            <w:r>
              <w:rPr>
                <w:sz w:val="21"/>
              </w:rPr>
              <w:t>单位</w:t>
            </w:r>
          </w:p>
        </w:tc>
        <w:tc>
          <w:tcPr>
            <w:tcW w:w="5152" w:type="dxa"/>
            <w:gridSpan w:val="2"/>
          </w:tcPr>
          <w:p>
            <w:pPr>
              <w:pStyle w:val="TableParagraph"/>
              <w:spacing w:before="64"/>
              <w:ind w:left="2241" w:right="2231"/>
              <w:rPr>
                <w:sz w:val="21"/>
              </w:rPr>
            </w:pPr>
            <w:r>
              <w:rPr>
                <w:sz w:val="21"/>
              </w:rPr>
              <w:t>监测值</w:t>
            </w:r>
          </w:p>
        </w:tc>
        <w:tc>
          <w:tcPr>
            <w:tcW w:w="1220" w:type="dxa"/>
            <w:vMerge w:val="restart"/>
          </w:tcPr>
          <w:p>
            <w:pPr>
              <w:pStyle w:val="TableParagraph"/>
              <w:spacing w:before="9"/>
              <w:jc w:val="left"/>
              <w:rPr>
                <w:b/>
                <w:sz w:val="20"/>
              </w:rPr>
            </w:pPr>
          </w:p>
          <w:p>
            <w:pPr>
              <w:pStyle w:val="TableParagraph"/>
              <w:ind w:left="294"/>
              <w:jc w:val="left"/>
              <w:rPr>
                <w:sz w:val="21"/>
              </w:rPr>
            </w:pPr>
            <w:r>
              <w:rPr>
                <w:sz w:val="21"/>
              </w:rPr>
              <w:t>标准值</w:t>
            </w:r>
          </w:p>
        </w:tc>
      </w:tr>
      <w:tr>
        <w:trPr>
          <w:trHeight w:val="397" w:hRule="atLeast"/>
        </w:trPr>
        <w:tc>
          <w:tcPr>
            <w:tcW w:w="1464" w:type="dxa"/>
            <w:vMerge/>
            <w:tcBorders>
              <w:top w:val="nil"/>
            </w:tcBorders>
          </w:tcPr>
          <w:p>
            <w:pPr>
              <w:rPr>
                <w:sz w:val="2"/>
                <w:szCs w:val="2"/>
              </w:rPr>
            </w:pPr>
          </w:p>
        </w:tc>
        <w:tc>
          <w:tcPr>
            <w:tcW w:w="960" w:type="dxa"/>
            <w:vMerge/>
            <w:tcBorders>
              <w:top w:val="nil"/>
            </w:tcBorders>
          </w:tcPr>
          <w:p>
            <w:pPr>
              <w:rPr>
                <w:sz w:val="2"/>
                <w:szCs w:val="2"/>
              </w:rPr>
            </w:pPr>
          </w:p>
        </w:tc>
        <w:tc>
          <w:tcPr>
            <w:tcW w:w="2576" w:type="dxa"/>
          </w:tcPr>
          <w:p>
            <w:pPr>
              <w:pStyle w:val="TableParagraph"/>
              <w:spacing w:before="62"/>
              <w:ind w:left="111" w:right="104"/>
              <w:rPr>
                <w:rFonts w:ascii="Times New Roman" w:eastAsia="Times New Roman"/>
                <w:sz w:val="21"/>
              </w:rPr>
            </w:pPr>
            <w:r>
              <w:rPr>
                <w:sz w:val="21"/>
              </w:rPr>
              <w:t>工业场地厂址外表层样 </w:t>
            </w:r>
            <w:r>
              <w:rPr>
                <w:rFonts w:ascii="Times New Roman" w:eastAsia="Times New Roman"/>
                <w:sz w:val="21"/>
              </w:rPr>
              <w:t>1</w:t>
            </w:r>
          </w:p>
        </w:tc>
        <w:tc>
          <w:tcPr>
            <w:tcW w:w="2576" w:type="dxa"/>
          </w:tcPr>
          <w:p>
            <w:pPr>
              <w:pStyle w:val="TableParagraph"/>
              <w:spacing w:before="62"/>
              <w:ind w:left="111" w:right="103"/>
              <w:rPr>
                <w:rFonts w:ascii="Times New Roman" w:eastAsia="Times New Roman"/>
                <w:sz w:val="21"/>
              </w:rPr>
            </w:pPr>
            <w:r>
              <w:rPr>
                <w:sz w:val="21"/>
              </w:rPr>
              <w:t>工业场地厂址外表层样 </w:t>
            </w:r>
            <w:r>
              <w:rPr>
                <w:rFonts w:ascii="Times New Roman" w:eastAsia="Times New Roman"/>
                <w:sz w:val="21"/>
              </w:rPr>
              <w:t>2</w:t>
            </w:r>
          </w:p>
        </w:tc>
        <w:tc>
          <w:tcPr>
            <w:tcW w:w="1220" w:type="dxa"/>
            <w:vMerge/>
            <w:tcBorders>
              <w:top w:val="nil"/>
            </w:tcBorders>
          </w:tcPr>
          <w:p>
            <w:pPr>
              <w:rPr>
                <w:sz w:val="2"/>
                <w:szCs w:val="2"/>
              </w:rPr>
            </w:pPr>
          </w:p>
        </w:tc>
      </w:tr>
      <w:tr>
        <w:trPr>
          <w:trHeight w:val="396" w:hRule="atLeast"/>
        </w:trPr>
        <w:tc>
          <w:tcPr>
            <w:tcW w:w="1464" w:type="dxa"/>
          </w:tcPr>
          <w:p>
            <w:pPr>
              <w:pStyle w:val="TableParagraph"/>
              <w:spacing w:before="64"/>
              <w:ind w:left="404" w:right="378"/>
              <w:rPr>
                <w:sz w:val="21"/>
              </w:rPr>
            </w:pPr>
            <w:bookmarkStart w:name="pH值" w:id="968"/>
            <w:bookmarkEnd w:id="968"/>
            <w:r>
              <w:rPr/>
            </w:r>
            <w:r>
              <w:rPr>
                <w:rFonts w:ascii="Times New Roman" w:eastAsia="Times New Roman"/>
                <w:sz w:val="21"/>
              </w:rPr>
              <w:t>pH </w:t>
            </w:r>
            <w:r>
              <w:rPr>
                <w:sz w:val="21"/>
              </w:rPr>
              <w:t>值</w:t>
            </w:r>
          </w:p>
        </w:tc>
        <w:tc>
          <w:tcPr>
            <w:tcW w:w="960" w:type="dxa"/>
          </w:tcPr>
          <w:p>
            <w:pPr>
              <w:pStyle w:val="TableParagraph"/>
              <w:spacing w:before="64"/>
              <w:ind w:left="154" w:right="126"/>
              <w:rPr>
                <w:sz w:val="21"/>
              </w:rPr>
            </w:pPr>
            <w:bookmarkStart w:name="无量纲" w:id="969"/>
            <w:bookmarkEnd w:id="969"/>
            <w:r>
              <w:rPr/>
            </w:r>
            <w:r>
              <w:rPr>
                <w:sz w:val="21"/>
              </w:rPr>
              <w:t>无量纲</w:t>
            </w:r>
          </w:p>
        </w:tc>
        <w:tc>
          <w:tcPr>
            <w:tcW w:w="2576" w:type="dxa"/>
          </w:tcPr>
          <w:p>
            <w:pPr>
              <w:pStyle w:val="TableParagraph"/>
              <w:spacing w:before="77"/>
              <w:ind w:left="111" w:right="90"/>
              <w:rPr>
                <w:rFonts w:ascii="Times New Roman"/>
                <w:sz w:val="21"/>
              </w:rPr>
            </w:pPr>
            <w:bookmarkStart w:name="7.14" w:id="970"/>
            <w:bookmarkEnd w:id="970"/>
            <w:r>
              <w:rPr/>
            </w:r>
            <w:r>
              <w:rPr>
                <w:rFonts w:ascii="Times New Roman"/>
                <w:sz w:val="21"/>
              </w:rPr>
              <w:t>7.14</w:t>
            </w:r>
          </w:p>
        </w:tc>
        <w:tc>
          <w:tcPr>
            <w:tcW w:w="2576" w:type="dxa"/>
          </w:tcPr>
          <w:p>
            <w:pPr>
              <w:pStyle w:val="TableParagraph"/>
              <w:spacing w:before="77"/>
              <w:ind w:left="111" w:right="91"/>
              <w:rPr>
                <w:rFonts w:ascii="Times New Roman"/>
                <w:sz w:val="21"/>
              </w:rPr>
            </w:pPr>
            <w:bookmarkStart w:name="6.83" w:id="971"/>
            <w:bookmarkEnd w:id="971"/>
            <w:r>
              <w:rPr/>
            </w:r>
            <w:r>
              <w:rPr>
                <w:rFonts w:ascii="Times New Roman"/>
                <w:sz w:val="21"/>
              </w:rPr>
              <w:t>6.83</w:t>
            </w:r>
          </w:p>
        </w:tc>
        <w:tc>
          <w:tcPr>
            <w:tcW w:w="1220" w:type="dxa"/>
          </w:tcPr>
          <w:p>
            <w:pPr>
              <w:pStyle w:val="TableParagraph"/>
              <w:spacing w:before="77"/>
              <w:ind w:left="16"/>
              <w:rPr>
                <w:rFonts w:ascii="Times New Roman" w:hAnsi="Times New Roman"/>
                <w:sz w:val="21"/>
              </w:rPr>
            </w:pPr>
            <w:bookmarkStart w:name="─" w:id="972"/>
            <w:bookmarkEnd w:id="972"/>
            <w:r>
              <w:rPr/>
            </w:r>
            <w:r>
              <w:rPr>
                <w:rFonts w:ascii="Times New Roman" w:hAnsi="Times New Roman"/>
                <w:w w:val="99"/>
                <w:sz w:val="21"/>
              </w:rPr>
              <w:t>─</w:t>
            </w:r>
          </w:p>
        </w:tc>
      </w:tr>
      <w:tr>
        <w:trPr>
          <w:trHeight w:val="397" w:hRule="atLeast"/>
        </w:trPr>
        <w:tc>
          <w:tcPr>
            <w:tcW w:w="1464" w:type="dxa"/>
          </w:tcPr>
          <w:p>
            <w:pPr>
              <w:pStyle w:val="TableParagraph"/>
              <w:spacing w:before="62"/>
              <w:ind w:left="406" w:right="378"/>
              <w:rPr>
                <w:sz w:val="21"/>
              </w:rPr>
            </w:pPr>
            <w:bookmarkStart w:name="含盐量" w:id="973"/>
            <w:bookmarkEnd w:id="973"/>
            <w:r>
              <w:rPr/>
            </w:r>
            <w:r>
              <w:rPr>
                <w:sz w:val="21"/>
              </w:rPr>
              <w:t>含盐量</w:t>
            </w:r>
          </w:p>
        </w:tc>
        <w:tc>
          <w:tcPr>
            <w:tcW w:w="960" w:type="dxa"/>
          </w:tcPr>
          <w:p>
            <w:pPr>
              <w:pStyle w:val="TableParagraph"/>
              <w:spacing w:before="76"/>
              <w:ind w:left="134" w:right="126"/>
              <w:rPr>
                <w:rFonts w:ascii="Times New Roman"/>
                <w:sz w:val="21"/>
              </w:rPr>
            </w:pPr>
            <w:bookmarkStart w:name="g/kg" w:id="974"/>
            <w:bookmarkEnd w:id="974"/>
            <w:r>
              <w:rPr/>
            </w:r>
            <w:r>
              <w:rPr>
                <w:rFonts w:ascii="Times New Roman"/>
                <w:sz w:val="21"/>
              </w:rPr>
              <w:t>g/kg</w:t>
            </w:r>
          </w:p>
        </w:tc>
        <w:tc>
          <w:tcPr>
            <w:tcW w:w="2576" w:type="dxa"/>
          </w:tcPr>
          <w:p>
            <w:pPr>
              <w:pStyle w:val="TableParagraph"/>
              <w:spacing w:before="76"/>
              <w:ind w:left="111" w:right="90"/>
              <w:rPr>
                <w:rFonts w:ascii="Times New Roman"/>
                <w:sz w:val="21"/>
              </w:rPr>
            </w:pPr>
            <w:bookmarkStart w:name="1.3" w:id="975"/>
            <w:bookmarkEnd w:id="975"/>
            <w:r>
              <w:rPr/>
            </w:r>
            <w:r>
              <w:rPr>
                <w:rFonts w:ascii="Times New Roman"/>
                <w:sz w:val="21"/>
              </w:rPr>
              <w:t>1.3</w:t>
            </w:r>
          </w:p>
        </w:tc>
        <w:tc>
          <w:tcPr>
            <w:tcW w:w="2576" w:type="dxa"/>
          </w:tcPr>
          <w:p>
            <w:pPr>
              <w:pStyle w:val="TableParagraph"/>
              <w:spacing w:before="76"/>
              <w:ind w:left="111" w:right="91"/>
              <w:rPr>
                <w:rFonts w:ascii="Times New Roman"/>
                <w:sz w:val="21"/>
              </w:rPr>
            </w:pPr>
            <w:bookmarkStart w:name="1.6" w:id="976"/>
            <w:bookmarkEnd w:id="976"/>
            <w:r>
              <w:rPr/>
            </w:r>
            <w:r>
              <w:rPr>
                <w:rFonts w:ascii="Times New Roman"/>
                <w:sz w:val="21"/>
              </w:rPr>
              <w:t>1.6</w:t>
            </w:r>
          </w:p>
        </w:tc>
        <w:tc>
          <w:tcPr>
            <w:tcW w:w="1220" w:type="dxa"/>
          </w:tcPr>
          <w:p>
            <w:pPr>
              <w:pStyle w:val="TableParagraph"/>
              <w:spacing w:before="76"/>
              <w:ind w:left="16"/>
              <w:rPr>
                <w:rFonts w:ascii="Times New Roman" w:hAnsi="Times New Roman"/>
                <w:sz w:val="21"/>
              </w:rPr>
            </w:pPr>
            <w:bookmarkStart w:name="─" w:id="977"/>
            <w:bookmarkEnd w:id="977"/>
            <w:r>
              <w:rPr/>
            </w:r>
            <w:r>
              <w:rPr>
                <w:rFonts w:ascii="Times New Roman" w:hAnsi="Times New Roman"/>
                <w:w w:val="99"/>
                <w:sz w:val="21"/>
              </w:rPr>
              <w:t>─</w:t>
            </w:r>
          </w:p>
        </w:tc>
      </w:tr>
      <w:tr>
        <w:trPr>
          <w:trHeight w:val="397" w:hRule="atLeast"/>
        </w:trPr>
        <w:tc>
          <w:tcPr>
            <w:tcW w:w="1464" w:type="dxa"/>
          </w:tcPr>
          <w:p>
            <w:pPr>
              <w:pStyle w:val="TableParagraph"/>
              <w:spacing w:before="63"/>
              <w:ind w:left="28"/>
              <w:rPr>
                <w:sz w:val="21"/>
              </w:rPr>
            </w:pPr>
            <w:bookmarkStart w:name="镉" w:id="978"/>
            <w:bookmarkEnd w:id="978"/>
            <w:r>
              <w:rPr/>
            </w:r>
            <w:r>
              <w:rPr>
                <w:w w:val="99"/>
                <w:sz w:val="21"/>
              </w:rPr>
              <w:t>镉</w:t>
            </w:r>
          </w:p>
        </w:tc>
        <w:tc>
          <w:tcPr>
            <w:tcW w:w="960" w:type="dxa"/>
          </w:tcPr>
          <w:p>
            <w:pPr>
              <w:pStyle w:val="TableParagraph"/>
              <w:spacing w:before="77"/>
              <w:ind w:left="146" w:right="126"/>
              <w:rPr>
                <w:rFonts w:ascii="Times New Roman"/>
                <w:sz w:val="21"/>
              </w:rPr>
            </w:pPr>
            <w:bookmarkStart w:name="mg/kg" w:id="979"/>
            <w:bookmarkEnd w:id="979"/>
            <w:r>
              <w:rPr/>
            </w:r>
            <w:r>
              <w:rPr>
                <w:rFonts w:ascii="Times New Roman"/>
                <w:sz w:val="21"/>
              </w:rPr>
              <w:t>mg/kg</w:t>
            </w:r>
          </w:p>
        </w:tc>
        <w:tc>
          <w:tcPr>
            <w:tcW w:w="2576" w:type="dxa"/>
          </w:tcPr>
          <w:p>
            <w:pPr>
              <w:pStyle w:val="TableParagraph"/>
              <w:spacing w:before="77"/>
              <w:ind w:left="111" w:right="90"/>
              <w:rPr>
                <w:rFonts w:ascii="Times New Roman"/>
                <w:sz w:val="21"/>
              </w:rPr>
            </w:pPr>
            <w:bookmarkStart w:name="0.10" w:id="980"/>
            <w:bookmarkEnd w:id="980"/>
            <w:r>
              <w:rPr/>
            </w:r>
            <w:r>
              <w:rPr>
                <w:rFonts w:ascii="Times New Roman"/>
                <w:sz w:val="21"/>
              </w:rPr>
              <w:t>0.10</w:t>
            </w:r>
          </w:p>
        </w:tc>
        <w:tc>
          <w:tcPr>
            <w:tcW w:w="2576" w:type="dxa"/>
          </w:tcPr>
          <w:p>
            <w:pPr>
              <w:pStyle w:val="TableParagraph"/>
              <w:spacing w:before="77"/>
              <w:ind w:left="111" w:right="91"/>
              <w:rPr>
                <w:rFonts w:ascii="Times New Roman"/>
                <w:sz w:val="21"/>
              </w:rPr>
            </w:pPr>
            <w:bookmarkStart w:name="0.10" w:id="981"/>
            <w:bookmarkEnd w:id="981"/>
            <w:r>
              <w:rPr/>
            </w:r>
            <w:r>
              <w:rPr>
                <w:rFonts w:ascii="Times New Roman"/>
                <w:sz w:val="21"/>
              </w:rPr>
              <w:t>0.10</w:t>
            </w:r>
          </w:p>
        </w:tc>
        <w:tc>
          <w:tcPr>
            <w:tcW w:w="1220" w:type="dxa"/>
          </w:tcPr>
          <w:p>
            <w:pPr>
              <w:pStyle w:val="TableParagraph"/>
              <w:spacing w:before="77"/>
              <w:ind w:left="433" w:right="413"/>
              <w:rPr>
                <w:rFonts w:ascii="Times New Roman"/>
                <w:sz w:val="21"/>
              </w:rPr>
            </w:pPr>
            <w:bookmarkStart w:name="0.3" w:id="982"/>
            <w:bookmarkEnd w:id="982"/>
            <w:r>
              <w:rPr/>
            </w:r>
            <w:r>
              <w:rPr>
                <w:rFonts w:ascii="Times New Roman"/>
                <w:sz w:val="21"/>
              </w:rPr>
              <w:t>0.3</w:t>
            </w:r>
          </w:p>
        </w:tc>
      </w:tr>
      <w:tr>
        <w:trPr>
          <w:trHeight w:val="397" w:hRule="atLeast"/>
        </w:trPr>
        <w:tc>
          <w:tcPr>
            <w:tcW w:w="1464" w:type="dxa"/>
          </w:tcPr>
          <w:p>
            <w:pPr>
              <w:pStyle w:val="TableParagraph"/>
              <w:spacing w:before="62"/>
              <w:ind w:left="28"/>
              <w:rPr>
                <w:sz w:val="21"/>
              </w:rPr>
            </w:pPr>
            <w:bookmarkStart w:name="汞" w:id="983"/>
            <w:bookmarkEnd w:id="983"/>
            <w:r>
              <w:rPr/>
            </w:r>
            <w:r>
              <w:rPr>
                <w:w w:val="99"/>
                <w:sz w:val="21"/>
              </w:rPr>
              <w:t>汞</w:t>
            </w:r>
          </w:p>
        </w:tc>
        <w:tc>
          <w:tcPr>
            <w:tcW w:w="960" w:type="dxa"/>
          </w:tcPr>
          <w:p>
            <w:pPr>
              <w:pStyle w:val="TableParagraph"/>
              <w:spacing w:before="97"/>
              <w:ind w:left="134" w:right="126"/>
              <w:rPr>
                <w:rFonts w:ascii="Times New Roman"/>
                <w:sz w:val="21"/>
              </w:rPr>
            </w:pPr>
            <w:bookmarkStart w:name="mg/kg" w:id="984"/>
            <w:bookmarkEnd w:id="984"/>
            <w:r>
              <w:rPr/>
            </w:r>
            <w:r>
              <w:rPr>
                <w:rFonts w:ascii="Times New Roman"/>
                <w:sz w:val="21"/>
              </w:rPr>
              <w:t>mg/kg</w:t>
            </w:r>
          </w:p>
        </w:tc>
        <w:tc>
          <w:tcPr>
            <w:tcW w:w="2576" w:type="dxa"/>
          </w:tcPr>
          <w:p>
            <w:pPr>
              <w:pStyle w:val="TableParagraph"/>
              <w:spacing w:before="76"/>
              <w:ind w:left="111" w:right="90"/>
              <w:rPr>
                <w:rFonts w:ascii="Times New Roman"/>
                <w:sz w:val="21"/>
              </w:rPr>
            </w:pPr>
            <w:bookmarkStart w:name="0.044" w:id="985"/>
            <w:bookmarkEnd w:id="985"/>
            <w:r>
              <w:rPr/>
            </w:r>
            <w:r>
              <w:rPr>
                <w:rFonts w:ascii="Times New Roman"/>
                <w:sz w:val="21"/>
              </w:rPr>
              <w:t>0.044</w:t>
            </w:r>
          </w:p>
        </w:tc>
        <w:tc>
          <w:tcPr>
            <w:tcW w:w="2576" w:type="dxa"/>
          </w:tcPr>
          <w:p>
            <w:pPr>
              <w:pStyle w:val="TableParagraph"/>
              <w:spacing w:before="76"/>
              <w:ind w:left="111" w:right="91"/>
              <w:rPr>
                <w:rFonts w:ascii="Times New Roman"/>
                <w:sz w:val="21"/>
              </w:rPr>
            </w:pPr>
            <w:bookmarkStart w:name="0.042" w:id="986"/>
            <w:bookmarkEnd w:id="986"/>
            <w:r>
              <w:rPr/>
            </w:r>
            <w:r>
              <w:rPr>
                <w:rFonts w:ascii="Times New Roman"/>
                <w:sz w:val="21"/>
              </w:rPr>
              <w:t>0.042</w:t>
            </w:r>
          </w:p>
        </w:tc>
        <w:tc>
          <w:tcPr>
            <w:tcW w:w="1220" w:type="dxa"/>
          </w:tcPr>
          <w:p>
            <w:pPr>
              <w:pStyle w:val="TableParagraph"/>
              <w:spacing w:before="76"/>
              <w:ind w:left="433" w:right="422"/>
              <w:rPr>
                <w:rFonts w:ascii="Times New Roman"/>
                <w:sz w:val="21"/>
              </w:rPr>
            </w:pPr>
            <w:r>
              <w:rPr>
                <w:rFonts w:ascii="Times New Roman"/>
                <w:sz w:val="21"/>
              </w:rPr>
              <w:t>2.4</w:t>
            </w:r>
          </w:p>
        </w:tc>
      </w:tr>
      <w:tr>
        <w:trPr>
          <w:trHeight w:val="397" w:hRule="atLeast"/>
        </w:trPr>
        <w:tc>
          <w:tcPr>
            <w:tcW w:w="1464" w:type="dxa"/>
          </w:tcPr>
          <w:p>
            <w:pPr>
              <w:pStyle w:val="TableParagraph"/>
              <w:spacing w:before="63"/>
              <w:ind w:left="28"/>
              <w:rPr>
                <w:sz w:val="21"/>
              </w:rPr>
            </w:pPr>
            <w:bookmarkStart w:name="砷" w:id="987"/>
            <w:bookmarkEnd w:id="987"/>
            <w:r>
              <w:rPr/>
            </w:r>
            <w:r>
              <w:rPr>
                <w:w w:val="99"/>
                <w:sz w:val="21"/>
              </w:rPr>
              <w:t>砷</w:t>
            </w:r>
          </w:p>
        </w:tc>
        <w:tc>
          <w:tcPr>
            <w:tcW w:w="960" w:type="dxa"/>
          </w:tcPr>
          <w:p>
            <w:pPr>
              <w:pStyle w:val="TableParagraph"/>
              <w:spacing w:before="98"/>
              <w:ind w:left="134" w:right="126"/>
              <w:rPr>
                <w:rFonts w:ascii="Times New Roman"/>
                <w:sz w:val="21"/>
              </w:rPr>
            </w:pPr>
            <w:bookmarkStart w:name="mg/kg" w:id="988"/>
            <w:bookmarkEnd w:id="988"/>
            <w:r>
              <w:rPr/>
            </w:r>
            <w:r>
              <w:rPr>
                <w:rFonts w:ascii="Times New Roman"/>
                <w:sz w:val="21"/>
              </w:rPr>
              <w:t>mg/kg</w:t>
            </w:r>
          </w:p>
        </w:tc>
        <w:tc>
          <w:tcPr>
            <w:tcW w:w="2576" w:type="dxa"/>
          </w:tcPr>
          <w:p>
            <w:pPr>
              <w:pStyle w:val="TableParagraph"/>
              <w:spacing w:before="77"/>
              <w:ind w:left="111" w:right="90"/>
              <w:rPr>
                <w:rFonts w:ascii="Times New Roman"/>
                <w:sz w:val="21"/>
              </w:rPr>
            </w:pPr>
            <w:bookmarkStart w:name="9.07" w:id="989"/>
            <w:bookmarkEnd w:id="989"/>
            <w:r>
              <w:rPr/>
            </w:r>
            <w:r>
              <w:rPr>
                <w:rFonts w:ascii="Times New Roman"/>
                <w:sz w:val="21"/>
              </w:rPr>
              <w:t>9.07</w:t>
            </w:r>
          </w:p>
        </w:tc>
        <w:tc>
          <w:tcPr>
            <w:tcW w:w="2576" w:type="dxa"/>
          </w:tcPr>
          <w:p>
            <w:pPr>
              <w:pStyle w:val="TableParagraph"/>
              <w:spacing w:before="77"/>
              <w:ind w:left="111" w:right="91"/>
              <w:rPr>
                <w:rFonts w:ascii="Times New Roman"/>
                <w:sz w:val="21"/>
              </w:rPr>
            </w:pPr>
            <w:bookmarkStart w:name="11.2" w:id="990"/>
            <w:bookmarkEnd w:id="990"/>
            <w:r>
              <w:rPr/>
            </w:r>
            <w:r>
              <w:rPr>
                <w:rFonts w:ascii="Times New Roman"/>
                <w:sz w:val="21"/>
              </w:rPr>
              <w:t>11.2</w:t>
            </w:r>
          </w:p>
        </w:tc>
        <w:tc>
          <w:tcPr>
            <w:tcW w:w="1220" w:type="dxa"/>
          </w:tcPr>
          <w:p>
            <w:pPr>
              <w:pStyle w:val="TableParagraph"/>
              <w:spacing w:before="77"/>
              <w:ind w:left="433" w:right="422"/>
              <w:rPr>
                <w:rFonts w:ascii="Times New Roman"/>
                <w:sz w:val="21"/>
              </w:rPr>
            </w:pPr>
            <w:r>
              <w:rPr>
                <w:rFonts w:ascii="Times New Roman"/>
                <w:sz w:val="21"/>
              </w:rPr>
              <w:t>30</w:t>
            </w:r>
          </w:p>
        </w:tc>
      </w:tr>
      <w:tr>
        <w:trPr>
          <w:trHeight w:val="396" w:hRule="atLeast"/>
        </w:trPr>
        <w:tc>
          <w:tcPr>
            <w:tcW w:w="1464" w:type="dxa"/>
          </w:tcPr>
          <w:p>
            <w:pPr>
              <w:pStyle w:val="TableParagraph"/>
              <w:spacing w:before="64"/>
              <w:ind w:left="28"/>
              <w:rPr>
                <w:sz w:val="21"/>
              </w:rPr>
            </w:pPr>
            <w:bookmarkStart w:name="铅" w:id="991"/>
            <w:bookmarkEnd w:id="991"/>
            <w:r>
              <w:rPr/>
            </w:r>
            <w:r>
              <w:rPr>
                <w:w w:val="99"/>
                <w:sz w:val="21"/>
              </w:rPr>
              <w:t>铅</w:t>
            </w:r>
          </w:p>
        </w:tc>
        <w:tc>
          <w:tcPr>
            <w:tcW w:w="960" w:type="dxa"/>
          </w:tcPr>
          <w:p>
            <w:pPr>
              <w:pStyle w:val="TableParagraph"/>
              <w:spacing w:before="97"/>
              <w:ind w:left="134" w:right="126"/>
              <w:rPr>
                <w:rFonts w:ascii="Times New Roman"/>
                <w:sz w:val="21"/>
              </w:rPr>
            </w:pPr>
            <w:bookmarkStart w:name="mg/kg" w:id="992"/>
            <w:bookmarkEnd w:id="992"/>
            <w:r>
              <w:rPr/>
            </w:r>
            <w:r>
              <w:rPr>
                <w:rFonts w:ascii="Times New Roman"/>
                <w:sz w:val="21"/>
              </w:rPr>
              <w:t>mg/kg</w:t>
            </w:r>
          </w:p>
        </w:tc>
        <w:tc>
          <w:tcPr>
            <w:tcW w:w="2576" w:type="dxa"/>
          </w:tcPr>
          <w:p>
            <w:pPr>
              <w:pStyle w:val="TableParagraph"/>
              <w:spacing w:before="78"/>
              <w:ind w:left="111" w:right="90"/>
              <w:rPr>
                <w:rFonts w:ascii="Times New Roman"/>
                <w:sz w:val="21"/>
              </w:rPr>
            </w:pPr>
            <w:bookmarkStart w:name="15.9" w:id="993"/>
            <w:bookmarkEnd w:id="993"/>
            <w:r>
              <w:rPr/>
            </w:r>
            <w:r>
              <w:rPr>
                <w:rFonts w:ascii="Times New Roman"/>
                <w:sz w:val="21"/>
              </w:rPr>
              <w:t>15.9</w:t>
            </w:r>
          </w:p>
        </w:tc>
        <w:tc>
          <w:tcPr>
            <w:tcW w:w="2576" w:type="dxa"/>
          </w:tcPr>
          <w:p>
            <w:pPr>
              <w:pStyle w:val="TableParagraph"/>
              <w:spacing w:before="78"/>
              <w:ind w:left="111" w:right="91"/>
              <w:rPr>
                <w:rFonts w:ascii="Times New Roman"/>
                <w:sz w:val="21"/>
              </w:rPr>
            </w:pPr>
            <w:bookmarkStart w:name="17.4" w:id="994"/>
            <w:bookmarkEnd w:id="994"/>
            <w:r>
              <w:rPr/>
            </w:r>
            <w:r>
              <w:rPr>
                <w:rFonts w:ascii="Times New Roman"/>
                <w:sz w:val="21"/>
              </w:rPr>
              <w:t>17.4</w:t>
            </w:r>
          </w:p>
        </w:tc>
        <w:tc>
          <w:tcPr>
            <w:tcW w:w="1220" w:type="dxa"/>
          </w:tcPr>
          <w:p>
            <w:pPr>
              <w:pStyle w:val="TableParagraph"/>
              <w:spacing w:before="78"/>
              <w:ind w:left="433" w:right="422"/>
              <w:rPr>
                <w:rFonts w:ascii="Times New Roman"/>
                <w:sz w:val="21"/>
              </w:rPr>
            </w:pPr>
            <w:r>
              <w:rPr>
                <w:rFonts w:ascii="Times New Roman"/>
                <w:sz w:val="21"/>
              </w:rPr>
              <w:t>120</w:t>
            </w:r>
          </w:p>
        </w:tc>
      </w:tr>
      <w:tr>
        <w:trPr>
          <w:trHeight w:val="397" w:hRule="atLeast"/>
        </w:trPr>
        <w:tc>
          <w:tcPr>
            <w:tcW w:w="1464" w:type="dxa"/>
          </w:tcPr>
          <w:p>
            <w:pPr>
              <w:pStyle w:val="TableParagraph"/>
              <w:spacing w:before="62"/>
              <w:ind w:left="28"/>
              <w:rPr>
                <w:sz w:val="21"/>
              </w:rPr>
            </w:pPr>
            <w:bookmarkStart w:name="铬" w:id="995"/>
            <w:bookmarkEnd w:id="995"/>
            <w:r>
              <w:rPr/>
            </w:r>
            <w:r>
              <w:rPr>
                <w:w w:val="99"/>
                <w:sz w:val="21"/>
              </w:rPr>
              <w:t>铬</w:t>
            </w:r>
          </w:p>
        </w:tc>
        <w:tc>
          <w:tcPr>
            <w:tcW w:w="960" w:type="dxa"/>
          </w:tcPr>
          <w:p>
            <w:pPr>
              <w:pStyle w:val="TableParagraph"/>
              <w:spacing w:before="76"/>
              <w:ind w:left="134" w:right="126"/>
              <w:rPr>
                <w:rFonts w:ascii="Times New Roman"/>
                <w:sz w:val="21"/>
              </w:rPr>
            </w:pPr>
            <w:r>
              <w:rPr>
                <w:rFonts w:ascii="Times New Roman"/>
                <w:sz w:val="21"/>
              </w:rPr>
              <w:t>mg/kg</w:t>
            </w:r>
          </w:p>
        </w:tc>
        <w:tc>
          <w:tcPr>
            <w:tcW w:w="2576" w:type="dxa"/>
          </w:tcPr>
          <w:p>
            <w:pPr>
              <w:pStyle w:val="TableParagraph"/>
              <w:spacing w:before="76"/>
              <w:ind w:left="111" w:right="92"/>
              <w:rPr>
                <w:rFonts w:ascii="Times New Roman"/>
                <w:sz w:val="21"/>
              </w:rPr>
            </w:pPr>
            <w:bookmarkStart w:name="47" w:id="996"/>
            <w:bookmarkEnd w:id="996"/>
            <w:r>
              <w:rPr/>
            </w:r>
            <w:r>
              <w:rPr>
                <w:rFonts w:ascii="Times New Roman"/>
                <w:sz w:val="21"/>
              </w:rPr>
              <w:t>47</w:t>
            </w:r>
          </w:p>
        </w:tc>
        <w:tc>
          <w:tcPr>
            <w:tcW w:w="2576" w:type="dxa"/>
          </w:tcPr>
          <w:p>
            <w:pPr>
              <w:pStyle w:val="TableParagraph"/>
              <w:spacing w:before="76"/>
              <w:ind w:left="111" w:right="89"/>
              <w:rPr>
                <w:rFonts w:ascii="Times New Roman"/>
                <w:sz w:val="21"/>
              </w:rPr>
            </w:pPr>
            <w:bookmarkStart w:name="51" w:id="997"/>
            <w:bookmarkEnd w:id="997"/>
            <w:r>
              <w:rPr/>
            </w:r>
            <w:r>
              <w:rPr>
                <w:rFonts w:ascii="Times New Roman"/>
                <w:sz w:val="21"/>
              </w:rPr>
              <w:t>51</w:t>
            </w:r>
          </w:p>
        </w:tc>
        <w:tc>
          <w:tcPr>
            <w:tcW w:w="1220" w:type="dxa"/>
          </w:tcPr>
          <w:p>
            <w:pPr>
              <w:pStyle w:val="TableParagraph"/>
              <w:spacing w:before="76"/>
              <w:ind w:left="433" w:right="422"/>
              <w:rPr>
                <w:rFonts w:ascii="Times New Roman"/>
                <w:sz w:val="21"/>
              </w:rPr>
            </w:pPr>
            <w:r>
              <w:rPr>
                <w:rFonts w:ascii="Times New Roman"/>
                <w:sz w:val="21"/>
              </w:rPr>
              <w:t>200</w:t>
            </w:r>
          </w:p>
        </w:tc>
      </w:tr>
      <w:tr>
        <w:trPr>
          <w:trHeight w:val="396" w:hRule="atLeast"/>
        </w:trPr>
        <w:tc>
          <w:tcPr>
            <w:tcW w:w="1464" w:type="dxa"/>
          </w:tcPr>
          <w:p>
            <w:pPr>
              <w:pStyle w:val="TableParagraph"/>
              <w:spacing w:before="63"/>
              <w:ind w:left="28"/>
              <w:rPr>
                <w:sz w:val="21"/>
              </w:rPr>
            </w:pPr>
            <w:bookmarkStart w:name="铜" w:id="998"/>
            <w:bookmarkEnd w:id="998"/>
            <w:r>
              <w:rPr/>
            </w:r>
            <w:r>
              <w:rPr>
                <w:w w:val="99"/>
                <w:sz w:val="21"/>
              </w:rPr>
              <w:t>铜</w:t>
            </w:r>
          </w:p>
        </w:tc>
        <w:tc>
          <w:tcPr>
            <w:tcW w:w="960" w:type="dxa"/>
          </w:tcPr>
          <w:p>
            <w:pPr>
              <w:pStyle w:val="TableParagraph"/>
              <w:spacing w:before="77"/>
              <w:ind w:left="134" w:right="126"/>
              <w:rPr>
                <w:rFonts w:ascii="Times New Roman"/>
                <w:sz w:val="21"/>
              </w:rPr>
            </w:pPr>
            <w:r>
              <w:rPr>
                <w:rFonts w:ascii="Times New Roman"/>
                <w:sz w:val="21"/>
              </w:rPr>
              <w:t>mg/kg</w:t>
            </w:r>
          </w:p>
        </w:tc>
        <w:tc>
          <w:tcPr>
            <w:tcW w:w="2576" w:type="dxa"/>
          </w:tcPr>
          <w:p>
            <w:pPr>
              <w:pStyle w:val="TableParagraph"/>
              <w:spacing w:before="77"/>
              <w:ind w:left="111" w:right="92"/>
              <w:rPr>
                <w:rFonts w:ascii="Times New Roman"/>
                <w:sz w:val="21"/>
              </w:rPr>
            </w:pPr>
            <w:bookmarkStart w:name="22" w:id="999"/>
            <w:bookmarkEnd w:id="999"/>
            <w:r>
              <w:rPr/>
            </w:r>
            <w:r>
              <w:rPr>
                <w:rFonts w:ascii="Times New Roman"/>
                <w:sz w:val="21"/>
              </w:rPr>
              <w:t>22</w:t>
            </w:r>
          </w:p>
        </w:tc>
        <w:tc>
          <w:tcPr>
            <w:tcW w:w="2576" w:type="dxa"/>
          </w:tcPr>
          <w:p>
            <w:pPr>
              <w:pStyle w:val="TableParagraph"/>
              <w:spacing w:before="77"/>
              <w:ind w:left="111" w:right="89"/>
              <w:rPr>
                <w:rFonts w:ascii="Times New Roman"/>
                <w:sz w:val="21"/>
              </w:rPr>
            </w:pPr>
            <w:bookmarkStart w:name="18" w:id="1000"/>
            <w:bookmarkEnd w:id="1000"/>
            <w:r>
              <w:rPr/>
            </w:r>
            <w:r>
              <w:rPr>
                <w:rFonts w:ascii="Times New Roman"/>
                <w:sz w:val="21"/>
              </w:rPr>
              <w:t>18</w:t>
            </w:r>
          </w:p>
        </w:tc>
        <w:tc>
          <w:tcPr>
            <w:tcW w:w="1220" w:type="dxa"/>
          </w:tcPr>
          <w:p>
            <w:pPr>
              <w:pStyle w:val="TableParagraph"/>
              <w:spacing w:before="77"/>
              <w:ind w:left="433" w:right="422"/>
              <w:rPr>
                <w:rFonts w:ascii="Times New Roman"/>
                <w:sz w:val="21"/>
              </w:rPr>
            </w:pPr>
            <w:r>
              <w:rPr>
                <w:rFonts w:ascii="Times New Roman"/>
                <w:sz w:val="21"/>
              </w:rPr>
              <w:t>100</w:t>
            </w:r>
          </w:p>
        </w:tc>
      </w:tr>
      <w:tr>
        <w:trPr>
          <w:trHeight w:val="397" w:hRule="atLeast"/>
        </w:trPr>
        <w:tc>
          <w:tcPr>
            <w:tcW w:w="1464" w:type="dxa"/>
          </w:tcPr>
          <w:p>
            <w:pPr>
              <w:pStyle w:val="TableParagraph"/>
              <w:spacing w:before="62"/>
              <w:ind w:left="28"/>
              <w:rPr>
                <w:sz w:val="21"/>
              </w:rPr>
            </w:pPr>
            <w:bookmarkStart w:name="镍" w:id="1001"/>
            <w:bookmarkEnd w:id="1001"/>
            <w:r>
              <w:rPr/>
            </w:r>
            <w:r>
              <w:rPr>
                <w:w w:val="99"/>
                <w:sz w:val="21"/>
              </w:rPr>
              <w:t>镍</w:t>
            </w:r>
          </w:p>
        </w:tc>
        <w:tc>
          <w:tcPr>
            <w:tcW w:w="960" w:type="dxa"/>
          </w:tcPr>
          <w:p>
            <w:pPr>
              <w:pStyle w:val="TableParagraph"/>
              <w:spacing w:before="76"/>
              <w:ind w:left="134" w:right="126"/>
              <w:rPr>
                <w:rFonts w:ascii="Times New Roman"/>
                <w:sz w:val="21"/>
              </w:rPr>
            </w:pPr>
            <w:r>
              <w:rPr>
                <w:rFonts w:ascii="Times New Roman"/>
                <w:sz w:val="21"/>
              </w:rPr>
              <w:t>mg/kg</w:t>
            </w:r>
          </w:p>
        </w:tc>
        <w:tc>
          <w:tcPr>
            <w:tcW w:w="2576" w:type="dxa"/>
          </w:tcPr>
          <w:p>
            <w:pPr>
              <w:pStyle w:val="TableParagraph"/>
              <w:spacing w:before="76"/>
              <w:ind w:left="111" w:right="92"/>
              <w:rPr>
                <w:rFonts w:ascii="Times New Roman"/>
                <w:sz w:val="21"/>
              </w:rPr>
            </w:pPr>
            <w:bookmarkStart w:name="18" w:id="1002"/>
            <w:bookmarkEnd w:id="1002"/>
            <w:r>
              <w:rPr/>
            </w:r>
            <w:r>
              <w:rPr>
                <w:rFonts w:ascii="Times New Roman"/>
                <w:sz w:val="21"/>
              </w:rPr>
              <w:t>18</w:t>
            </w:r>
          </w:p>
        </w:tc>
        <w:tc>
          <w:tcPr>
            <w:tcW w:w="2576" w:type="dxa"/>
          </w:tcPr>
          <w:p>
            <w:pPr>
              <w:pStyle w:val="TableParagraph"/>
              <w:spacing w:before="76"/>
              <w:ind w:left="111" w:right="89"/>
              <w:rPr>
                <w:rFonts w:ascii="Times New Roman"/>
                <w:sz w:val="21"/>
              </w:rPr>
            </w:pPr>
            <w:bookmarkStart w:name="24" w:id="1003"/>
            <w:bookmarkEnd w:id="1003"/>
            <w:r>
              <w:rPr/>
            </w:r>
            <w:r>
              <w:rPr>
                <w:rFonts w:ascii="Times New Roman"/>
                <w:sz w:val="21"/>
              </w:rPr>
              <w:t>24</w:t>
            </w:r>
          </w:p>
        </w:tc>
        <w:tc>
          <w:tcPr>
            <w:tcW w:w="1220" w:type="dxa"/>
          </w:tcPr>
          <w:p>
            <w:pPr>
              <w:pStyle w:val="TableParagraph"/>
              <w:spacing w:before="76"/>
              <w:ind w:left="433" w:right="422"/>
              <w:rPr>
                <w:rFonts w:ascii="Times New Roman"/>
                <w:sz w:val="21"/>
              </w:rPr>
            </w:pPr>
            <w:r>
              <w:rPr>
                <w:rFonts w:ascii="Times New Roman"/>
                <w:sz w:val="21"/>
              </w:rPr>
              <w:t>100</w:t>
            </w:r>
          </w:p>
        </w:tc>
      </w:tr>
      <w:tr>
        <w:trPr>
          <w:trHeight w:val="396" w:hRule="atLeast"/>
        </w:trPr>
        <w:tc>
          <w:tcPr>
            <w:tcW w:w="1464" w:type="dxa"/>
          </w:tcPr>
          <w:p>
            <w:pPr>
              <w:pStyle w:val="TableParagraph"/>
              <w:spacing w:before="63"/>
              <w:ind w:left="28"/>
              <w:rPr>
                <w:sz w:val="21"/>
              </w:rPr>
            </w:pPr>
            <w:bookmarkStart w:name="锌" w:id="1004"/>
            <w:bookmarkEnd w:id="1004"/>
            <w:r>
              <w:rPr/>
            </w:r>
            <w:r>
              <w:rPr>
                <w:w w:val="99"/>
                <w:sz w:val="21"/>
              </w:rPr>
              <w:t>锌</w:t>
            </w:r>
          </w:p>
        </w:tc>
        <w:tc>
          <w:tcPr>
            <w:tcW w:w="960" w:type="dxa"/>
          </w:tcPr>
          <w:p>
            <w:pPr>
              <w:pStyle w:val="TableParagraph"/>
              <w:spacing w:before="77"/>
              <w:ind w:left="134" w:right="126"/>
              <w:rPr>
                <w:rFonts w:ascii="Times New Roman"/>
                <w:sz w:val="21"/>
              </w:rPr>
            </w:pPr>
            <w:r>
              <w:rPr>
                <w:rFonts w:ascii="Times New Roman"/>
                <w:sz w:val="21"/>
              </w:rPr>
              <w:t>mg/kg</w:t>
            </w:r>
          </w:p>
        </w:tc>
        <w:tc>
          <w:tcPr>
            <w:tcW w:w="2576" w:type="dxa"/>
          </w:tcPr>
          <w:p>
            <w:pPr>
              <w:pStyle w:val="TableParagraph"/>
              <w:spacing w:before="77"/>
              <w:ind w:left="111" w:right="92"/>
              <w:rPr>
                <w:rFonts w:ascii="Times New Roman"/>
                <w:sz w:val="21"/>
              </w:rPr>
            </w:pPr>
            <w:bookmarkStart w:name="64" w:id="1005"/>
            <w:bookmarkEnd w:id="1005"/>
            <w:r>
              <w:rPr/>
            </w:r>
            <w:r>
              <w:rPr>
                <w:rFonts w:ascii="Times New Roman"/>
                <w:sz w:val="21"/>
              </w:rPr>
              <w:t>64</w:t>
            </w:r>
          </w:p>
        </w:tc>
        <w:tc>
          <w:tcPr>
            <w:tcW w:w="2576" w:type="dxa"/>
          </w:tcPr>
          <w:p>
            <w:pPr>
              <w:pStyle w:val="TableParagraph"/>
              <w:spacing w:before="77"/>
              <w:ind w:left="111" w:right="89"/>
              <w:rPr>
                <w:rFonts w:ascii="Times New Roman"/>
                <w:sz w:val="21"/>
              </w:rPr>
            </w:pPr>
            <w:bookmarkStart w:name="79" w:id="1006"/>
            <w:bookmarkEnd w:id="1006"/>
            <w:r>
              <w:rPr/>
            </w:r>
            <w:r>
              <w:rPr>
                <w:rFonts w:ascii="Times New Roman"/>
                <w:sz w:val="21"/>
              </w:rPr>
              <w:t>79</w:t>
            </w:r>
          </w:p>
        </w:tc>
        <w:tc>
          <w:tcPr>
            <w:tcW w:w="1220" w:type="dxa"/>
          </w:tcPr>
          <w:p>
            <w:pPr>
              <w:pStyle w:val="TableParagraph"/>
              <w:spacing w:before="77"/>
              <w:ind w:left="433" w:right="422"/>
              <w:rPr>
                <w:rFonts w:ascii="Times New Roman"/>
                <w:sz w:val="21"/>
              </w:rPr>
            </w:pPr>
            <w:r>
              <w:rPr>
                <w:rFonts w:ascii="Times New Roman"/>
                <w:sz w:val="21"/>
              </w:rPr>
              <w:t>250</w:t>
            </w:r>
          </w:p>
        </w:tc>
      </w:tr>
    </w:tbl>
    <w:p>
      <w:pPr>
        <w:spacing w:before="3"/>
        <w:ind w:left="2524" w:right="2634" w:firstLine="0"/>
        <w:jc w:val="center"/>
        <w:rPr>
          <w:b/>
          <w:sz w:val="24"/>
        </w:rPr>
      </w:pPr>
      <w:r>
        <w:rPr>
          <w:b/>
          <w:spacing w:val="-31"/>
          <w:sz w:val="24"/>
        </w:rPr>
        <w:t>表 </w:t>
      </w:r>
      <w:r>
        <w:rPr>
          <w:rFonts w:ascii="Times New Roman" w:eastAsia="Times New Roman"/>
          <w:b/>
          <w:sz w:val="24"/>
        </w:rPr>
        <w:t>11.3-10</w:t>
      </w:r>
      <w:r>
        <w:rPr>
          <w:rFonts w:ascii="Times New Roman" w:eastAsia="Times New Roman"/>
          <w:b/>
          <w:spacing w:val="59"/>
          <w:sz w:val="24"/>
        </w:rPr>
        <w:t> </w:t>
      </w:r>
      <w:r>
        <w:rPr>
          <w:b/>
          <w:sz w:val="24"/>
        </w:rPr>
        <w:t>农用地土壤环境质量评价结果</w:t>
      </w:r>
    </w:p>
    <w:tbl>
      <w:tblPr>
        <w:tblW w:w="0" w:type="auto"/>
        <w:jc w:val="left"/>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848"/>
        <w:gridCol w:w="2536"/>
        <w:gridCol w:w="2672"/>
        <w:gridCol w:w="1060"/>
      </w:tblGrid>
      <w:tr>
        <w:trPr>
          <w:trHeight w:val="397" w:hRule="atLeast"/>
        </w:trPr>
        <w:tc>
          <w:tcPr>
            <w:tcW w:w="1401" w:type="dxa"/>
            <w:vMerge w:val="restart"/>
          </w:tcPr>
          <w:p>
            <w:pPr>
              <w:pStyle w:val="TableParagraph"/>
              <w:spacing w:before="9"/>
              <w:jc w:val="left"/>
              <w:rPr>
                <w:b/>
                <w:sz w:val="20"/>
              </w:rPr>
            </w:pPr>
          </w:p>
          <w:p>
            <w:pPr>
              <w:pStyle w:val="TableParagraph"/>
              <w:ind w:left="315"/>
              <w:jc w:val="left"/>
              <w:rPr>
                <w:sz w:val="21"/>
              </w:rPr>
            </w:pPr>
            <w:bookmarkStart w:name="检测项目" w:id="1007"/>
            <w:bookmarkEnd w:id="1007"/>
            <w:r>
              <w:rPr/>
            </w:r>
            <w:r>
              <w:rPr>
                <w:sz w:val="21"/>
              </w:rPr>
              <w:t>检测项目</w:t>
            </w:r>
          </w:p>
        </w:tc>
        <w:tc>
          <w:tcPr>
            <w:tcW w:w="848" w:type="dxa"/>
            <w:vMerge w:val="restart"/>
          </w:tcPr>
          <w:p>
            <w:pPr>
              <w:pStyle w:val="TableParagraph"/>
              <w:spacing w:before="9"/>
              <w:jc w:val="left"/>
              <w:rPr>
                <w:b/>
                <w:sz w:val="20"/>
              </w:rPr>
            </w:pPr>
          </w:p>
          <w:p>
            <w:pPr>
              <w:pStyle w:val="TableParagraph"/>
              <w:ind w:left="212"/>
              <w:jc w:val="left"/>
              <w:rPr>
                <w:sz w:val="21"/>
              </w:rPr>
            </w:pPr>
            <w:r>
              <w:rPr>
                <w:sz w:val="21"/>
              </w:rPr>
              <w:t>单位</w:t>
            </w:r>
          </w:p>
        </w:tc>
        <w:tc>
          <w:tcPr>
            <w:tcW w:w="5208" w:type="dxa"/>
            <w:gridSpan w:val="2"/>
          </w:tcPr>
          <w:p>
            <w:pPr>
              <w:pStyle w:val="TableParagraph"/>
              <w:spacing w:before="61"/>
              <w:ind w:left="1971" w:right="1962"/>
              <w:rPr>
                <w:sz w:val="21"/>
              </w:rPr>
            </w:pPr>
            <w:r>
              <w:rPr>
                <w:sz w:val="21"/>
              </w:rPr>
              <w:t>占标率（</w:t>
            </w:r>
            <w:r>
              <w:rPr>
                <w:rFonts w:ascii="Times New Roman" w:eastAsia="Times New Roman"/>
                <w:sz w:val="21"/>
              </w:rPr>
              <w:t>%</w:t>
            </w:r>
            <w:r>
              <w:rPr>
                <w:sz w:val="21"/>
              </w:rPr>
              <w:t>）</w:t>
            </w:r>
          </w:p>
        </w:tc>
        <w:tc>
          <w:tcPr>
            <w:tcW w:w="1060" w:type="dxa"/>
            <w:vMerge w:val="restart"/>
          </w:tcPr>
          <w:p>
            <w:pPr>
              <w:pStyle w:val="TableParagraph"/>
              <w:spacing w:before="9"/>
              <w:jc w:val="left"/>
              <w:rPr>
                <w:b/>
                <w:sz w:val="20"/>
              </w:rPr>
            </w:pPr>
          </w:p>
          <w:p>
            <w:pPr>
              <w:pStyle w:val="TableParagraph"/>
              <w:ind w:left="108"/>
              <w:jc w:val="left"/>
              <w:rPr>
                <w:sz w:val="21"/>
              </w:rPr>
            </w:pPr>
            <w:r>
              <w:rPr>
                <w:sz w:val="21"/>
              </w:rPr>
              <w:t>达标情况</w:t>
            </w:r>
          </w:p>
        </w:tc>
      </w:tr>
      <w:tr>
        <w:trPr>
          <w:trHeight w:val="396" w:hRule="atLeast"/>
        </w:trPr>
        <w:tc>
          <w:tcPr>
            <w:tcW w:w="1401" w:type="dxa"/>
            <w:vMerge/>
            <w:tcBorders>
              <w:top w:val="nil"/>
            </w:tcBorders>
          </w:tcPr>
          <w:p>
            <w:pPr>
              <w:rPr>
                <w:sz w:val="2"/>
                <w:szCs w:val="2"/>
              </w:rPr>
            </w:pPr>
          </w:p>
        </w:tc>
        <w:tc>
          <w:tcPr>
            <w:tcW w:w="848" w:type="dxa"/>
            <w:vMerge/>
            <w:tcBorders>
              <w:top w:val="nil"/>
            </w:tcBorders>
          </w:tcPr>
          <w:p>
            <w:pPr>
              <w:rPr>
                <w:sz w:val="2"/>
                <w:szCs w:val="2"/>
              </w:rPr>
            </w:pPr>
          </w:p>
        </w:tc>
        <w:tc>
          <w:tcPr>
            <w:tcW w:w="2536" w:type="dxa"/>
          </w:tcPr>
          <w:p>
            <w:pPr>
              <w:pStyle w:val="TableParagraph"/>
              <w:spacing w:before="62"/>
              <w:ind w:left="91" w:right="85"/>
              <w:rPr>
                <w:rFonts w:ascii="Times New Roman" w:eastAsia="Times New Roman"/>
                <w:sz w:val="21"/>
              </w:rPr>
            </w:pPr>
            <w:r>
              <w:rPr>
                <w:sz w:val="21"/>
              </w:rPr>
              <w:t>工业场地厂址外表层样 </w:t>
            </w:r>
            <w:r>
              <w:rPr>
                <w:rFonts w:ascii="Times New Roman" w:eastAsia="Times New Roman"/>
                <w:sz w:val="21"/>
              </w:rPr>
              <w:t>1</w:t>
            </w:r>
          </w:p>
        </w:tc>
        <w:tc>
          <w:tcPr>
            <w:tcW w:w="2672" w:type="dxa"/>
          </w:tcPr>
          <w:p>
            <w:pPr>
              <w:pStyle w:val="TableParagraph"/>
              <w:spacing w:before="62"/>
              <w:ind w:left="159" w:right="153"/>
              <w:rPr>
                <w:rFonts w:ascii="Times New Roman" w:eastAsia="Times New Roman"/>
                <w:sz w:val="21"/>
              </w:rPr>
            </w:pPr>
            <w:r>
              <w:rPr>
                <w:sz w:val="21"/>
              </w:rPr>
              <w:t>工业场地厂址外表层样 </w:t>
            </w:r>
            <w:r>
              <w:rPr>
                <w:rFonts w:ascii="Times New Roman" w:eastAsia="Times New Roman"/>
                <w:sz w:val="21"/>
              </w:rPr>
              <w:t>2</w:t>
            </w:r>
          </w:p>
        </w:tc>
        <w:tc>
          <w:tcPr>
            <w:tcW w:w="1060" w:type="dxa"/>
            <w:vMerge/>
            <w:tcBorders>
              <w:top w:val="nil"/>
            </w:tcBorders>
          </w:tcPr>
          <w:p>
            <w:pPr>
              <w:rPr>
                <w:sz w:val="2"/>
                <w:szCs w:val="2"/>
              </w:rPr>
            </w:pPr>
          </w:p>
        </w:tc>
      </w:tr>
      <w:tr>
        <w:trPr>
          <w:trHeight w:val="397" w:hRule="atLeast"/>
        </w:trPr>
        <w:tc>
          <w:tcPr>
            <w:tcW w:w="1401" w:type="dxa"/>
          </w:tcPr>
          <w:p>
            <w:pPr>
              <w:pStyle w:val="TableParagraph"/>
              <w:spacing w:before="61"/>
              <w:ind w:left="24"/>
              <w:rPr>
                <w:sz w:val="21"/>
              </w:rPr>
            </w:pPr>
            <w:bookmarkStart w:name="镉" w:id="1008"/>
            <w:bookmarkEnd w:id="1008"/>
            <w:r>
              <w:rPr/>
            </w:r>
            <w:r>
              <w:rPr>
                <w:w w:val="99"/>
                <w:sz w:val="21"/>
              </w:rPr>
              <w:t>镉</w:t>
            </w:r>
          </w:p>
        </w:tc>
        <w:tc>
          <w:tcPr>
            <w:tcW w:w="848" w:type="dxa"/>
          </w:tcPr>
          <w:p>
            <w:pPr>
              <w:pStyle w:val="TableParagraph"/>
              <w:spacing w:before="96"/>
              <w:ind w:left="87" w:right="81"/>
              <w:rPr>
                <w:rFonts w:ascii="Times New Roman"/>
                <w:sz w:val="21"/>
              </w:rPr>
            </w:pPr>
            <w:bookmarkStart w:name="mg/kg" w:id="1009"/>
            <w:bookmarkEnd w:id="1009"/>
            <w:r>
              <w:rPr/>
            </w:r>
            <w:r>
              <w:rPr>
                <w:rFonts w:ascii="Times New Roman"/>
                <w:sz w:val="21"/>
              </w:rPr>
              <w:t>mg/kg</w:t>
            </w:r>
          </w:p>
        </w:tc>
        <w:tc>
          <w:tcPr>
            <w:tcW w:w="2536" w:type="dxa"/>
          </w:tcPr>
          <w:p>
            <w:pPr>
              <w:pStyle w:val="TableParagraph"/>
              <w:spacing w:before="75"/>
              <w:ind w:left="91" w:right="83"/>
              <w:rPr>
                <w:rFonts w:ascii="Times New Roman"/>
                <w:sz w:val="21"/>
              </w:rPr>
            </w:pPr>
            <w:r>
              <w:rPr>
                <w:rFonts w:ascii="Times New Roman"/>
                <w:sz w:val="21"/>
              </w:rPr>
              <w:t>0.33</w:t>
            </w:r>
          </w:p>
        </w:tc>
        <w:tc>
          <w:tcPr>
            <w:tcW w:w="2672" w:type="dxa"/>
          </w:tcPr>
          <w:p>
            <w:pPr>
              <w:pStyle w:val="TableParagraph"/>
              <w:spacing w:before="75"/>
              <w:ind w:left="159" w:right="151"/>
              <w:rPr>
                <w:rFonts w:ascii="Times New Roman"/>
                <w:sz w:val="21"/>
              </w:rPr>
            </w:pPr>
            <w:r>
              <w:rPr>
                <w:rFonts w:ascii="Times New Roman"/>
                <w:sz w:val="21"/>
              </w:rPr>
              <w:t>0.33</w:t>
            </w:r>
          </w:p>
        </w:tc>
        <w:tc>
          <w:tcPr>
            <w:tcW w:w="1060" w:type="dxa"/>
          </w:tcPr>
          <w:p>
            <w:pPr>
              <w:pStyle w:val="TableParagraph"/>
              <w:spacing w:before="61"/>
              <w:ind w:left="298" w:right="291"/>
              <w:rPr>
                <w:sz w:val="21"/>
              </w:rPr>
            </w:pPr>
            <w:r>
              <w:rPr>
                <w:sz w:val="21"/>
              </w:rPr>
              <w:t>达标</w:t>
            </w:r>
          </w:p>
        </w:tc>
      </w:tr>
      <w:tr>
        <w:trPr>
          <w:trHeight w:val="396" w:hRule="atLeast"/>
        </w:trPr>
        <w:tc>
          <w:tcPr>
            <w:tcW w:w="1401" w:type="dxa"/>
          </w:tcPr>
          <w:p>
            <w:pPr>
              <w:pStyle w:val="TableParagraph"/>
              <w:spacing w:before="62"/>
              <w:ind w:left="24"/>
              <w:rPr>
                <w:sz w:val="21"/>
              </w:rPr>
            </w:pPr>
            <w:bookmarkStart w:name="汞" w:id="1010"/>
            <w:bookmarkEnd w:id="1010"/>
            <w:r>
              <w:rPr/>
            </w:r>
            <w:r>
              <w:rPr>
                <w:w w:val="99"/>
                <w:sz w:val="21"/>
              </w:rPr>
              <w:t>汞</w:t>
            </w:r>
          </w:p>
        </w:tc>
        <w:tc>
          <w:tcPr>
            <w:tcW w:w="848" w:type="dxa"/>
          </w:tcPr>
          <w:p>
            <w:pPr>
              <w:pStyle w:val="TableParagraph"/>
              <w:spacing w:before="97"/>
              <w:ind w:left="87" w:right="81"/>
              <w:rPr>
                <w:rFonts w:ascii="Times New Roman"/>
                <w:sz w:val="21"/>
              </w:rPr>
            </w:pPr>
            <w:bookmarkStart w:name="mg/kg" w:id="1011"/>
            <w:bookmarkEnd w:id="1011"/>
            <w:r>
              <w:rPr/>
            </w: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0.02</w:t>
            </w:r>
          </w:p>
        </w:tc>
        <w:tc>
          <w:tcPr>
            <w:tcW w:w="2672" w:type="dxa"/>
          </w:tcPr>
          <w:p>
            <w:pPr>
              <w:pStyle w:val="TableParagraph"/>
              <w:spacing w:before="76"/>
              <w:ind w:left="159" w:right="151"/>
              <w:rPr>
                <w:rFonts w:ascii="Times New Roman"/>
                <w:sz w:val="21"/>
              </w:rPr>
            </w:pPr>
            <w:r>
              <w:rPr>
                <w:rFonts w:ascii="Times New Roman"/>
                <w:sz w:val="21"/>
              </w:rPr>
              <w:t>0.02</w:t>
            </w:r>
          </w:p>
        </w:tc>
        <w:tc>
          <w:tcPr>
            <w:tcW w:w="1060" w:type="dxa"/>
          </w:tcPr>
          <w:p>
            <w:pPr>
              <w:pStyle w:val="TableParagraph"/>
              <w:spacing w:before="62"/>
              <w:ind w:left="298" w:right="291"/>
              <w:rPr>
                <w:sz w:val="21"/>
              </w:rPr>
            </w:pPr>
            <w:r>
              <w:rPr>
                <w:sz w:val="21"/>
              </w:rPr>
              <w:t>达标</w:t>
            </w:r>
          </w:p>
        </w:tc>
      </w:tr>
      <w:tr>
        <w:trPr>
          <w:trHeight w:val="399" w:hRule="atLeast"/>
        </w:trPr>
        <w:tc>
          <w:tcPr>
            <w:tcW w:w="1401" w:type="dxa"/>
          </w:tcPr>
          <w:p>
            <w:pPr>
              <w:pStyle w:val="TableParagraph"/>
              <w:spacing w:before="63"/>
              <w:ind w:left="24"/>
              <w:rPr>
                <w:sz w:val="21"/>
              </w:rPr>
            </w:pPr>
            <w:bookmarkStart w:name="砷" w:id="1012"/>
            <w:bookmarkEnd w:id="1012"/>
            <w:r>
              <w:rPr/>
            </w:r>
            <w:r>
              <w:rPr>
                <w:w w:val="99"/>
                <w:sz w:val="21"/>
              </w:rPr>
              <w:t>砷</w:t>
            </w:r>
          </w:p>
        </w:tc>
        <w:tc>
          <w:tcPr>
            <w:tcW w:w="848" w:type="dxa"/>
          </w:tcPr>
          <w:p>
            <w:pPr>
              <w:pStyle w:val="TableParagraph"/>
              <w:spacing w:before="98"/>
              <w:ind w:left="87" w:right="81"/>
              <w:rPr>
                <w:rFonts w:ascii="Times New Roman"/>
                <w:sz w:val="21"/>
              </w:rPr>
            </w:pPr>
            <w:bookmarkStart w:name="mg/kg" w:id="1013"/>
            <w:bookmarkEnd w:id="1013"/>
            <w:r>
              <w:rPr/>
            </w:r>
            <w:r>
              <w:rPr>
                <w:rFonts w:ascii="Times New Roman"/>
                <w:sz w:val="21"/>
              </w:rPr>
              <w:t>mg/kg</w:t>
            </w:r>
          </w:p>
        </w:tc>
        <w:tc>
          <w:tcPr>
            <w:tcW w:w="2536" w:type="dxa"/>
          </w:tcPr>
          <w:p>
            <w:pPr>
              <w:pStyle w:val="TableParagraph"/>
              <w:spacing w:before="77"/>
              <w:ind w:left="91" w:right="83"/>
              <w:rPr>
                <w:rFonts w:ascii="Times New Roman"/>
                <w:sz w:val="21"/>
              </w:rPr>
            </w:pPr>
            <w:r>
              <w:rPr>
                <w:rFonts w:ascii="Times New Roman"/>
                <w:sz w:val="21"/>
              </w:rPr>
              <w:t>0.30</w:t>
            </w:r>
          </w:p>
        </w:tc>
        <w:tc>
          <w:tcPr>
            <w:tcW w:w="2672" w:type="dxa"/>
          </w:tcPr>
          <w:p>
            <w:pPr>
              <w:pStyle w:val="TableParagraph"/>
              <w:spacing w:before="77"/>
              <w:ind w:left="159" w:right="151"/>
              <w:rPr>
                <w:rFonts w:ascii="Times New Roman"/>
                <w:sz w:val="21"/>
              </w:rPr>
            </w:pPr>
            <w:r>
              <w:rPr>
                <w:rFonts w:ascii="Times New Roman"/>
                <w:sz w:val="21"/>
              </w:rPr>
              <w:t>0.37</w:t>
            </w:r>
          </w:p>
        </w:tc>
        <w:tc>
          <w:tcPr>
            <w:tcW w:w="1060" w:type="dxa"/>
          </w:tcPr>
          <w:p>
            <w:pPr>
              <w:pStyle w:val="TableParagraph"/>
              <w:spacing w:before="63"/>
              <w:ind w:left="298" w:right="291"/>
              <w:rPr>
                <w:sz w:val="21"/>
              </w:rPr>
            </w:pPr>
            <w:r>
              <w:rPr>
                <w:sz w:val="21"/>
              </w:rPr>
              <w:t>达标</w:t>
            </w:r>
          </w:p>
        </w:tc>
      </w:tr>
      <w:tr>
        <w:trPr>
          <w:trHeight w:val="396" w:hRule="atLeast"/>
        </w:trPr>
        <w:tc>
          <w:tcPr>
            <w:tcW w:w="1401" w:type="dxa"/>
          </w:tcPr>
          <w:p>
            <w:pPr>
              <w:pStyle w:val="TableParagraph"/>
              <w:spacing w:before="62"/>
              <w:ind w:left="24"/>
              <w:rPr>
                <w:sz w:val="21"/>
              </w:rPr>
            </w:pPr>
            <w:bookmarkStart w:name="铅" w:id="1014"/>
            <w:bookmarkEnd w:id="1014"/>
            <w:r>
              <w:rPr/>
            </w:r>
            <w:r>
              <w:rPr>
                <w:w w:val="99"/>
                <w:sz w:val="21"/>
              </w:rPr>
              <w:t>铅</w:t>
            </w:r>
          </w:p>
        </w:tc>
        <w:tc>
          <w:tcPr>
            <w:tcW w:w="848" w:type="dxa"/>
          </w:tcPr>
          <w:p>
            <w:pPr>
              <w:pStyle w:val="TableParagraph"/>
              <w:spacing w:before="97"/>
              <w:ind w:left="87" w:right="81"/>
              <w:rPr>
                <w:rFonts w:ascii="Times New Roman"/>
                <w:sz w:val="21"/>
              </w:rPr>
            </w:pPr>
            <w:bookmarkStart w:name="mg/kg" w:id="1015"/>
            <w:bookmarkEnd w:id="1015"/>
            <w:r>
              <w:rPr/>
            </w: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0.13</w:t>
            </w:r>
          </w:p>
        </w:tc>
        <w:tc>
          <w:tcPr>
            <w:tcW w:w="2672" w:type="dxa"/>
          </w:tcPr>
          <w:p>
            <w:pPr>
              <w:pStyle w:val="TableParagraph"/>
              <w:spacing w:before="76"/>
              <w:ind w:left="159" w:right="151"/>
              <w:rPr>
                <w:rFonts w:ascii="Times New Roman"/>
                <w:sz w:val="21"/>
              </w:rPr>
            </w:pPr>
            <w:r>
              <w:rPr>
                <w:rFonts w:ascii="Times New Roman"/>
                <w:sz w:val="21"/>
              </w:rPr>
              <w:t>0.15</w:t>
            </w:r>
          </w:p>
        </w:tc>
        <w:tc>
          <w:tcPr>
            <w:tcW w:w="1060" w:type="dxa"/>
          </w:tcPr>
          <w:p>
            <w:pPr>
              <w:pStyle w:val="TableParagraph"/>
              <w:spacing w:before="62"/>
              <w:ind w:left="298" w:right="291"/>
              <w:rPr>
                <w:sz w:val="21"/>
              </w:rPr>
            </w:pPr>
            <w:r>
              <w:rPr>
                <w:sz w:val="21"/>
              </w:rPr>
              <w:t>达标</w:t>
            </w:r>
          </w:p>
        </w:tc>
      </w:tr>
      <w:tr>
        <w:trPr>
          <w:trHeight w:val="397" w:hRule="atLeast"/>
        </w:trPr>
        <w:tc>
          <w:tcPr>
            <w:tcW w:w="1401" w:type="dxa"/>
          </w:tcPr>
          <w:p>
            <w:pPr>
              <w:pStyle w:val="TableParagraph"/>
              <w:spacing w:before="63"/>
              <w:ind w:left="24"/>
              <w:rPr>
                <w:sz w:val="21"/>
              </w:rPr>
            </w:pPr>
            <w:bookmarkStart w:name="铬" w:id="1016"/>
            <w:bookmarkEnd w:id="1016"/>
            <w:r>
              <w:rPr/>
            </w:r>
            <w:r>
              <w:rPr>
                <w:w w:val="99"/>
                <w:sz w:val="21"/>
              </w:rPr>
              <w:t>铬</w:t>
            </w:r>
          </w:p>
        </w:tc>
        <w:tc>
          <w:tcPr>
            <w:tcW w:w="848" w:type="dxa"/>
          </w:tcPr>
          <w:p>
            <w:pPr>
              <w:pStyle w:val="TableParagraph"/>
              <w:spacing w:before="77"/>
              <w:ind w:left="87" w:right="81"/>
              <w:rPr>
                <w:rFonts w:ascii="Times New Roman"/>
                <w:sz w:val="21"/>
              </w:rPr>
            </w:pPr>
            <w:r>
              <w:rPr>
                <w:rFonts w:ascii="Times New Roman"/>
                <w:sz w:val="21"/>
              </w:rPr>
              <w:t>mg/kg</w:t>
            </w:r>
          </w:p>
        </w:tc>
        <w:tc>
          <w:tcPr>
            <w:tcW w:w="2536" w:type="dxa"/>
          </w:tcPr>
          <w:p>
            <w:pPr>
              <w:pStyle w:val="TableParagraph"/>
              <w:spacing w:before="77"/>
              <w:ind w:left="91" w:right="83"/>
              <w:rPr>
                <w:rFonts w:ascii="Times New Roman"/>
                <w:sz w:val="21"/>
              </w:rPr>
            </w:pPr>
            <w:r>
              <w:rPr>
                <w:rFonts w:ascii="Times New Roman"/>
                <w:sz w:val="21"/>
              </w:rPr>
              <w:t>0.24</w:t>
            </w:r>
          </w:p>
        </w:tc>
        <w:tc>
          <w:tcPr>
            <w:tcW w:w="2672" w:type="dxa"/>
          </w:tcPr>
          <w:p>
            <w:pPr>
              <w:pStyle w:val="TableParagraph"/>
              <w:spacing w:before="77"/>
              <w:ind w:left="159" w:right="151"/>
              <w:rPr>
                <w:rFonts w:ascii="Times New Roman"/>
                <w:sz w:val="21"/>
              </w:rPr>
            </w:pPr>
            <w:r>
              <w:rPr>
                <w:rFonts w:ascii="Times New Roman"/>
                <w:sz w:val="21"/>
              </w:rPr>
              <w:t>0.26</w:t>
            </w:r>
          </w:p>
        </w:tc>
        <w:tc>
          <w:tcPr>
            <w:tcW w:w="1060" w:type="dxa"/>
          </w:tcPr>
          <w:p>
            <w:pPr>
              <w:pStyle w:val="TableParagraph"/>
              <w:spacing w:before="63"/>
              <w:ind w:left="298" w:right="291"/>
              <w:rPr>
                <w:sz w:val="21"/>
              </w:rPr>
            </w:pPr>
            <w:r>
              <w:rPr>
                <w:sz w:val="21"/>
              </w:rPr>
              <w:t>达标</w:t>
            </w:r>
          </w:p>
        </w:tc>
      </w:tr>
      <w:tr>
        <w:trPr>
          <w:trHeight w:val="397" w:hRule="atLeast"/>
        </w:trPr>
        <w:tc>
          <w:tcPr>
            <w:tcW w:w="1401" w:type="dxa"/>
          </w:tcPr>
          <w:p>
            <w:pPr>
              <w:pStyle w:val="TableParagraph"/>
              <w:spacing w:before="61"/>
              <w:ind w:left="24"/>
              <w:rPr>
                <w:sz w:val="21"/>
              </w:rPr>
            </w:pPr>
            <w:bookmarkStart w:name="铜" w:id="1017"/>
            <w:bookmarkEnd w:id="1017"/>
            <w:r>
              <w:rPr/>
            </w:r>
            <w:r>
              <w:rPr>
                <w:w w:val="99"/>
                <w:sz w:val="21"/>
              </w:rPr>
              <w:t>铜</w:t>
            </w:r>
          </w:p>
        </w:tc>
        <w:tc>
          <w:tcPr>
            <w:tcW w:w="848" w:type="dxa"/>
          </w:tcPr>
          <w:p>
            <w:pPr>
              <w:pStyle w:val="TableParagraph"/>
              <w:spacing w:before="75"/>
              <w:ind w:left="87" w:right="81"/>
              <w:rPr>
                <w:rFonts w:ascii="Times New Roman"/>
                <w:sz w:val="21"/>
              </w:rPr>
            </w:pPr>
            <w:r>
              <w:rPr>
                <w:rFonts w:ascii="Times New Roman"/>
                <w:sz w:val="21"/>
              </w:rPr>
              <w:t>mg/kg</w:t>
            </w:r>
          </w:p>
        </w:tc>
        <w:tc>
          <w:tcPr>
            <w:tcW w:w="2536" w:type="dxa"/>
          </w:tcPr>
          <w:p>
            <w:pPr>
              <w:pStyle w:val="TableParagraph"/>
              <w:spacing w:before="75"/>
              <w:ind w:left="91" w:right="83"/>
              <w:rPr>
                <w:rFonts w:ascii="Times New Roman"/>
                <w:sz w:val="21"/>
              </w:rPr>
            </w:pPr>
            <w:r>
              <w:rPr>
                <w:rFonts w:ascii="Times New Roman"/>
                <w:sz w:val="21"/>
              </w:rPr>
              <w:t>0.22</w:t>
            </w:r>
          </w:p>
        </w:tc>
        <w:tc>
          <w:tcPr>
            <w:tcW w:w="2672" w:type="dxa"/>
          </w:tcPr>
          <w:p>
            <w:pPr>
              <w:pStyle w:val="TableParagraph"/>
              <w:spacing w:before="75"/>
              <w:ind w:left="159" w:right="151"/>
              <w:rPr>
                <w:rFonts w:ascii="Times New Roman"/>
                <w:sz w:val="21"/>
              </w:rPr>
            </w:pPr>
            <w:r>
              <w:rPr>
                <w:rFonts w:ascii="Times New Roman"/>
                <w:sz w:val="21"/>
              </w:rPr>
              <w:t>0.18</w:t>
            </w:r>
          </w:p>
        </w:tc>
        <w:tc>
          <w:tcPr>
            <w:tcW w:w="1060" w:type="dxa"/>
          </w:tcPr>
          <w:p>
            <w:pPr>
              <w:pStyle w:val="TableParagraph"/>
              <w:spacing w:before="61"/>
              <w:ind w:left="298" w:right="291"/>
              <w:rPr>
                <w:sz w:val="21"/>
              </w:rPr>
            </w:pPr>
            <w:r>
              <w:rPr>
                <w:sz w:val="21"/>
              </w:rPr>
              <w:t>达标</w:t>
            </w:r>
          </w:p>
        </w:tc>
      </w:tr>
      <w:tr>
        <w:trPr>
          <w:trHeight w:val="397" w:hRule="atLeast"/>
        </w:trPr>
        <w:tc>
          <w:tcPr>
            <w:tcW w:w="1401" w:type="dxa"/>
          </w:tcPr>
          <w:p>
            <w:pPr>
              <w:pStyle w:val="TableParagraph"/>
              <w:spacing w:before="62"/>
              <w:ind w:left="24"/>
              <w:rPr>
                <w:sz w:val="21"/>
              </w:rPr>
            </w:pPr>
            <w:bookmarkStart w:name="镍" w:id="1018"/>
            <w:bookmarkEnd w:id="1018"/>
            <w:r>
              <w:rPr/>
            </w:r>
            <w:r>
              <w:rPr>
                <w:w w:val="99"/>
                <w:sz w:val="21"/>
              </w:rPr>
              <w:t>镍</w:t>
            </w:r>
          </w:p>
        </w:tc>
        <w:tc>
          <w:tcPr>
            <w:tcW w:w="848" w:type="dxa"/>
          </w:tcPr>
          <w:p>
            <w:pPr>
              <w:pStyle w:val="TableParagraph"/>
              <w:spacing w:before="76"/>
              <w:ind w:left="87" w:right="81"/>
              <w:rPr>
                <w:rFonts w:ascii="Times New Roman"/>
                <w:sz w:val="21"/>
              </w:rPr>
            </w:pPr>
            <w:r>
              <w:rPr>
                <w:rFonts w:ascii="Times New Roman"/>
                <w:sz w:val="21"/>
              </w:rPr>
              <w:t>mg/kg</w:t>
            </w:r>
          </w:p>
        </w:tc>
        <w:tc>
          <w:tcPr>
            <w:tcW w:w="2536" w:type="dxa"/>
          </w:tcPr>
          <w:p>
            <w:pPr>
              <w:pStyle w:val="TableParagraph"/>
              <w:spacing w:before="76"/>
              <w:ind w:left="91" w:right="83"/>
              <w:rPr>
                <w:rFonts w:ascii="Times New Roman"/>
                <w:sz w:val="21"/>
              </w:rPr>
            </w:pPr>
            <w:r>
              <w:rPr>
                <w:rFonts w:ascii="Times New Roman"/>
                <w:sz w:val="21"/>
              </w:rPr>
              <w:t>0.18</w:t>
            </w:r>
          </w:p>
        </w:tc>
        <w:tc>
          <w:tcPr>
            <w:tcW w:w="2672" w:type="dxa"/>
          </w:tcPr>
          <w:p>
            <w:pPr>
              <w:pStyle w:val="TableParagraph"/>
              <w:spacing w:before="76"/>
              <w:ind w:left="159" w:right="151"/>
              <w:rPr>
                <w:rFonts w:ascii="Times New Roman"/>
                <w:sz w:val="21"/>
              </w:rPr>
            </w:pPr>
            <w:r>
              <w:rPr>
                <w:rFonts w:ascii="Times New Roman"/>
                <w:sz w:val="21"/>
              </w:rPr>
              <w:t>0.24</w:t>
            </w:r>
          </w:p>
        </w:tc>
        <w:tc>
          <w:tcPr>
            <w:tcW w:w="1060" w:type="dxa"/>
          </w:tcPr>
          <w:p>
            <w:pPr>
              <w:pStyle w:val="TableParagraph"/>
              <w:spacing w:before="62"/>
              <w:ind w:left="298" w:right="291"/>
              <w:rPr>
                <w:sz w:val="21"/>
              </w:rPr>
            </w:pPr>
            <w:r>
              <w:rPr>
                <w:sz w:val="21"/>
              </w:rPr>
              <w:t>达标</w:t>
            </w:r>
          </w:p>
        </w:tc>
      </w:tr>
      <w:tr>
        <w:trPr>
          <w:trHeight w:val="396" w:hRule="atLeast"/>
        </w:trPr>
        <w:tc>
          <w:tcPr>
            <w:tcW w:w="1401" w:type="dxa"/>
          </w:tcPr>
          <w:p>
            <w:pPr>
              <w:pStyle w:val="TableParagraph"/>
              <w:spacing w:before="61"/>
              <w:ind w:left="24"/>
              <w:rPr>
                <w:sz w:val="21"/>
              </w:rPr>
            </w:pPr>
            <w:bookmarkStart w:name="锌" w:id="1019"/>
            <w:bookmarkEnd w:id="1019"/>
            <w:r>
              <w:rPr/>
            </w:r>
            <w:r>
              <w:rPr>
                <w:w w:val="99"/>
                <w:sz w:val="21"/>
              </w:rPr>
              <w:t>锌</w:t>
            </w:r>
          </w:p>
        </w:tc>
        <w:tc>
          <w:tcPr>
            <w:tcW w:w="848" w:type="dxa"/>
          </w:tcPr>
          <w:p>
            <w:pPr>
              <w:pStyle w:val="TableParagraph"/>
              <w:spacing w:before="75"/>
              <w:ind w:left="87" w:right="81"/>
              <w:rPr>
                <w:rFonts w:ascii="Times New Roman"/>
                <w:sz w:val="21"/>
              </w:rPr>
            </w:pPr>
            <w:r>
              <w:rPr>
                <w:rFonts w:ascii="Times New Roman"/>
                <w:sz w:val="21"/>
              </w:rPr>
              <w:t>mg/kg</w:t>
            </w:r>
          </w:p>
        </w:tc>
        <w:tc>
          <w:tcPr>
            <w:tcW w:w="2536" w:type="dxa"/>
          </w:tcPr>
          <w:p>
            <w:pPr>
              <w:pStyle w:val="TableParagraph"/>
              <w:spacing w:before="80"/>
              <w:ind w:left="91" w:right="83"/>
              <w:rPr>
                <w:rFonts w:ascii="Times New Roman"/>
                <w:sz w:val="21"/>
              </w:rPr>
            </w:pPr>
            <w:bookmarkStart w:name="0.26" w:id="1020"/>
            <w:bookmarkEnd w:id="1020"/>
            <w:r>
              <w:rPr/>
            </w:r>
            <w:r>
              <w:rPr>
                <w:rFonts w:ascii="Times New Roman"/>
                <w:sz w:val="21"/>
              </w:rPr>
              <w:t>0.26</w:t>
            </w:r>
          </w:p>
        </w:tc>
        <w:tc>
          <w:tcPr>
            <w:tcW w:w="2672" w:type="dxa"/>
          </w:tcPr>
          <w:p>
            <w:pPr>
              <w:pStyle w:val="TableParagraph"/>
              <w:spacing w:before="75"/>
              <w:ind w:left="159" w:right="151"/>
              <w:rPr>
                <w:rFonts w:ascii="Times New Roman"/>
                <w:sz w:val="21"/>
              </w:rPr>
            </w:pPr>
            <w:r>
              <w:rPr>
                <w:rFonts w:ascii="Times New Roman"/>
                <w:sz w:val="21"/>
              </w:rPr>
              <w:t>0.32</w:t>
            </w:r>
          </w:p>
        </w:tc>
        <w:tc>
          <w:tcPr>
            <w:tcW w:w="1060" w:type="dxa"/>
          </w:tcPr>
          <w:p>
            <w:pPr>
              <w:pStyle w:val="TableParagraph"/>
              <w:spacing w:before="61"/>
              <w:ind w:left="298" w:right="291"/>
              <w:rPr>
                <w:sz w:val="21"/>
              </w:rPr>
            </w:pPr>
            <w:r>
              <w:rPr>
                <w:sz w:val="21"/>
              </w:rPr>
              <w:t>达标</w:t>
            </w:r>
          </w:p>
        </w:tc>
      </w:tr>
    </w:tbl>
    <w:p>
      <w:pPr>
        <w:pStyle w:val="BodyText"/>
        <w:spacing w:line="364" w:lineRule="auto" w:before="1"/>
        <w:ind w:left="115" w:right="238" w:firstLine="480"/>
        <w:jc w:val="both"/>
      </w:pPr>
      <w:r>
        <w:rPr>
          <w:spacing w:val="-12"/>
        </w:rPr>
        <w:t>从土壤环境质量现状监测及评价结果来看，占地范围内土壤各监测项均可以满足《土</w:t>
      </w:r>
      <w:r>
        <w:rPr/>
        <w:t>壤环境质量 建设用地土壤污染风险管控标准（试行）》（</w:t>
      </w:r>
      <w:r>
        <w:rPr>
          <w:rFonts w:ascii="Times New Roman" w:eastAsia="Times New Roman"/>
        </w:rPr>
        <w:t>GB36600-2018</w:t>
      </w:r>
      <w:r>
        <w:rPr/>
        <w:t>）</w:t>
      </w:r>
      <w:r>
        <w:rPr>
          <w:spacing w:val="-15"/>
        </w:rPr>
        <w:t>中表 </w:t>
      </w:r>
      <w:r>
        <w:rPr>
          <w:rFonts w:ascii="Times New Roman" w:eastAsia="Times New Roman"/>
        </w:rPr>
        <w:t>1 </w:t>
      </w:r>
      <w:r>
        <w:rPr/>
        <w:t>筛选</w:t>
      </w:r>
      <w:r>
        <w:rPr>
          <w:spacing w:val="-8"/>
        </w:rPr>
        <w:t>值或管制值第二类用地要求；占地范围外土壤各监测项均可以满足《土壤环境质量 农用</w:t>
      </w:r>
      <w:r>
        <w:rPr/>
        <w:t>地土壤污染风险管控标准（试行）》（</w:t>
      </w:r>
      <w:r>
        <w:rPr>
          <w:rFonts w:ascii="Times New Roman" w:eastAsia="Times New Roman"/>
        </w:rPr>
        <w:t>GB15618-2018</w:t>
      </w:r>
      <w:r>
        <w:rPr/>
        <w:t>）</w:t>
      </w:r>
      <w:r>
        <w:rPr>
          <w:spacing w:val="-21"/>
        </w:rPr>
        <w:t>中表 </w:t>
      </w:r>
      <w:r>
        <w:rPr>
          <w:rFonts w:ascii="Times New Roman" w:eastAsia="Times New Roman"/>
        </w:rPr>
        <w:t>1 </w:t>
      </w:r>
      <w:r>
        <w:rPr/>
        <w:t>风险筛选值要求。</w:t>
      </w:r>
    </w:p>
    <w:p>
      <w:pPr>
        <w:pStyle w:val="Heading2"/>
        <w:numPr>
          <w:ilvl w:val="1"/>
          <w:numId w:val="66"/>
        </w:numPr>
        <w:tabs>
          <w:tab w:pos="793" w:val="left" w:leader="none"/>
        </w:tabs>
        <w:spacing w:line="240" w:lineRule="auto" w:before="0" w:after="0"/>
        <w:ind w:left="792" w:right="0" w:hanging="678"/>
        <w:jc w:val="left"/>
      </w:pPr>
      <w:r>
        <w:rPr/>
        <w:t>项目施工期土壤环境影响分析</w:t>
      </w:r>
    </w:p>
    <w:p>
      <w:pPr>
        <w:pStyle w:val="BodyText"/>
        <w:spacing w:line="364" w:lineRule="auto" w:before="196"/>
        <w:ind w:left="115" w:right="240" w:firstLine="480"/>
        <w:jc w:val="both"/>
      </w:pPr>
      <w:r>
        <w:rPr/>
        <w:t>施工期对土壤的影响主要是表土扰动，施工期间的污废水排放，固体废物堆存，及施工设备漏油等，造成污染物进入土壤环境。项目施工期间采取的措施主要是对表土进行了剥离和单独堆存，用于工业场地内的植被恢复。施工人员生活污水排入防渗旱厕定</w:t>
      </w:r>
    </w:p>
    <w:p>
      <w:pPr>
        <w:spacing w:after="0" w:line="364" w:lineRule="auto"/>
        <w:jc w:val="both"/>
        <w:sectPr>
          <w:footerReference w:type="default" r:id="rId59"/>
          <w:pgSz w:w="11910" w:h="16840"/>
          <w:pgMar w:footer="1169" w:header="0" w:top="1520" w:bottom="1360" w:left="1300" w:right="1120"/>
          <w:pgNumType w:start="154"/>
        </w:sectPr>
      </w:pPr>
    </w:p>
    <w:p>
      <w:pPr>
        <w:pStyle w:val="BodyText"/>
        <w:spacing w:line="362" w:lineRule="auto" w:before="46"/>
        <w:ind w:left="115" w:right="240"/>
      </w:pPr>
      <w:r>
        <w:rPr/>
        <w:t>期清掏。固体废物应分类安全处置；施工期机械要勤加保养，防止漏油。采取上述措施后，建设期生产、生活污水基本不会对土壤环境造成影响。</w:t>
      </w:r>
    </w:p>
    <w:p>
      <w:pPr>
        <w:pStyle w:val="Heading2"/>
        <w:numPr>
          <w:ilvl w:val="1"/>
          <w:numId w:val="66"/>
        </w:numPr>
        <w:tabs>
          <w:tab w:pos="716" w:val="left" w:leader="none"/>
        </w:tabs>
        <w:spacing w:line="240" w:lineRule="auto" w:before="5" w:after="0"/>
        <w:ind w:left="716" w:right="0" w:hanging="601"/>
        <w:jc w:val="left"/>
      </w:pPr>
      <w:bookmarkStart w:name="11.5运营期土壤环境影响分析" w:id="1021"/>
      <w:bookmarkEnd w:id="1021"/>
      <w:r>
        <w:rPr>
          <w:b w:val="0"/>
        </w:rPr>
      </w:r>
      <w:bookmarkStart w:name="11.5运营期土壤环境影响分析" w:id="1022"/>
      <w:bookmarkEnd w:id="1022"/>
      <w:r>
        <w:rPr/>
        <w:t>运营期土壤环境影响分析</w:t>
      </w:r>
    </w:p>
    <w:p>
      <w:pPr>
        <w:pStyle w:val="BodyText"/>
        <w:spacing w:line="364" w:lineRule="auto" w:before="199"/>
        <w:ind w:left="115" w:right="240" w:firstLine="480"/>
        <w:jc w:val="both"/>
      </w:pPr>
      <w:r>
        <w:rPr/>
        <w:t>土壤是复杂的三相共存体系，其污染物质主要通过被污染大气的沉降、工业废水的漫流和入渗、以及固体废物通过大气迁移、扩散、沉降或降水淋溶、地表径流等而进入土壤环境。本次土壤环境评价工作等级为三级，不进行进一步预测分析，仅采用定向描述进行简单分析。</w:t>
      </w:r>
    </w:p>
    <w:p>
      <w:pPr>
        <w:pStyle w:val="ListParagraph"/>
        <w:numPr>
          <w:ilvl w:val="0"/>
          <w:numId w:val="67"/>
        </w:numPr>
        <w:tabs>
          <w:tab w:pos="1197" w:val="left" w:leader="none"/>
        </w:tabs>
        <w:spacing w:line="305" w:lineRule="exact" w:before="0" w:after="0"/>
        <w:ind w:left="1197" w:right="0" w:hanging="602"/>
        <w:jc w:val="left"/>
        <w:rPr>
          <w:sz w:val="24"/>
        </w:rPr>
      </w:pPr>
      <w:r>
        <w:rPr>
          <w:sz w:val="24"/>
        </w:rPr>
        <w:t>污染源分析</w:t>
      </w:r>
    </w:p>
    <w:p>
      <w:pPr>
        <w:pStyle w:val="BodyText"/>
        <w:spacing w:line="364" w:lineRule="auto" w:before="158"/>
        <w:ind w:left="115" w:right="238" w:firstLine="480"/>
        <w:jc w:val="both"/>
      </w:pPr>
      <w:r>
        <w:rPr>
          <w:spacing w:val="-1"/>
        </w:rPr>
        <w:t>本项目运营期时期主要污染源来自于煤开采、储运等生产过程中产生的废水、废气</w:t>
      </w:r>
      <w:r>
        <w:rPr>
          <w:spacing w:val="-10"/>
        </w:rPr>
        <w:t>和固体废物等污染物，会对土壤环境产生负面影响。 废水主要来自于生产过程中的井下</w:t>
      </w:r>
      <w:r>
        <w:rPr>
          <w:spacing w:val="-1"/>
        </w:rPr>
        <w:t>涌水、生活过程中的污水排放；废气主要来源于采暖洗浴锅炉及热风炉废气、煤炭场内</w:t>
      </w:r>
      <w:r>
        <w:rPr>
          <w:spacing w:val="-2"/>
        </w:rPr>
        <w:t>储存和输送及煤矸石临时堆存产生的粉尘；固体废物主要来源锅炉灰渣、污泥、生活垃</w:t>
      </w:r>
      <w:r>
        <w:rPr/>
        <w:t>圾及矸石。</w:t>
      </w:r>
    </w:p>
    <w:p>
      <w:pPr>
        <w:pStyle w:val="ListParagraph"/>
        <w:numPr>
          <w:ilvl w:val="0"/>
          <w:numId w:val="67"/>
        </w:numPr>
        <w:tabs>
          <w:tab w:pos="1197" w:val="left" w:leader="none"/>
        </w:tabs>
        <w:spacing w:line="306" w:lineRule="exact" w:before="0" w:after="0"/>
        <w:ind w:left="1197" w:right="0" w:hanging="602"/>
        <w:jc w:val="left"/>
        <w:rPr>
          <w:sz w:val="24"/>
        </w:rPr>
      </w:pPr>
      <w:r>
        <w:rPr>
          <w:sz w:val="24"/>
        </w:rPr>
        <w:t>影响分析</w:t>
      </w:r>
    </w:p>
    <w:p>
      <w:pPr>
        <w:pStyle w:val="BodyText"/>
        <w:spacing w:line="364" w:lineRule="auto" w:before="160"/>
        <w:ind w:left="115" w:right="237" w:firstLine="480"/>
        <w:jc w:val="both"/>
      </w:pPr>
      <w:r>
        <w:rPr/>
        <w:t>本项目各功能区均采取</w:t>
      </w:r>
      <w:r>
        <w:rPr>
          <w:rFonts w:ascii="Times New Roman" w:hAnsi="Times New Roman" w:eastAsia="Times New Roman"/>
        </w:rPr>
        <w:t>“</w:t>
      </w:r>
      <w:r>
        <w:rPr/>
        <w:t>源头控制</w:t>
      </w:r>
      <w:r>
        <w:rPr>
          <w:rFonts w:ascii="Times New Roman" w:hAnsi="Times New Roman" w:eastAsia="Times New Roman"/>
        </w:rPr>
        <w:t>”</w:t>
      </w:r>
      <w:r>
        <w:rPr/>
        <w:t>、</w:t>
      </w:r>
      <w:r>
        <w:rPr>
          <w:rFonts w:ascii="Times New Roman" w:hAnsi="Times New Roman" w:eastAsia="Times New Roman"/>
        </w:rPr>
        <w:t>“</w:t>
      </w:r>
      <w:r>
        <w:rPr/>
        <w:t>分区防控</w:t>
      </w:r>
      <w:r>
        <w:rPr>
          <w:rFonts w:ascii="Times New Roman" w:hAnsi="Times New Roman" w:eastAsia="Times New Roman"/>
        </w:rPr>
        <w:t>”</w:t>
      </w:r>
      <w:r>
        <w:rPr/>
        <w:t>的防渗措施，可以有效保证污染物</w:t>
      </w:r>
      <w:r>
        <w:rPr>
          <w:spacing w:val="-6"/>
        </w:rPr>
        <w:t>不会进入土壤环境，防止污染土壤。项目产生的固体废物均在室内堆放，满足</w:t>
      </w:r>
      <w:r>
        <w:rPr>
          <w:rFonts w:ascii="Times New Roman" w:hAnsi="Times New Roman" w:eastAsia="Times New Roman"/>
        </w:rPr>
        <w:t>“</w:t>
      </w:r>
      <w:r>
        <w:rPr>
          <w:spacing w:val="-11"/>
        </w:rPr>
        <w:t>防风、防</w:t>
      </w:r>
      <w:r>
        <w:rPr>
          <w:spacing w:val="-6"/>
        </w:rPr>
        <w:t>雨、防晒</w:t>
      </w:r>
      <w:r>
        <w:rPr>
          <w:rFonts w:ascii="Times New Roman" w:hAnsi="Times New Roman" w:eastAsia="Times New Roman"/>
        </w:rPr>
        <w:t>”</w:t>
      </w:r>
      <w:r>
        <w:rPr>
          <w:spacing w:val="-9"/>
        </w:rPr>
        <w:t>的要求，经收集后均进行妥善处理，不直接排入土壤环境。整个过程基本上可</w:t>
      </w:r>
      <w:r>
        <w:rPr>
          <w:spacing w:val="-1"/>
        </w:rPr>
        <w:t>以杜绝固体废物接触土壤，且建设项目场地地面会做硬化处理，对土壤环境不会造成影响。运营期产生的废气、废水、固体废物等污染物均有妥善的处理、处置措施严格执行</w:t>
      </w:r>
      <w:r>
        <w:rPr/>
        <w:t>各项环保措施，则各种污染物对土壤环境的影响均处于可接受范围内。</w:t>
      </w:r>
    </w:p>
    <w:p>
      <w:pPr>
        <w:spacing w:after="0" w:line="364" w:lineRule="auto"/>
        <w:jc w:val="both"/>
        <w:sectPr>
          <w:pgSz w:w="11910" w:h="16840"/>
          <w:pgMar w:header="0" w:footer="1169" w:top="1540" w:bottom="1360" w:left="1300" w:right="1120"/>
        </w:sectPr>
      </w:pPr>
    </w:p>
    <w:p>
      <w:pPr>
        <w:pStyle w:val="Heading1"/>
        <w:numPr>
          <w:ilvl w:val="1"/>
          <w:numId w:val="49"/>
        </w:numPr>
        <w:tabs>
          <w:tab w:pos="2922" w:val="left" w:leader="none"/>
        </w:tabs>
        <w:spacing w:line="240" w:lineRule="auto" w:before="46" w:after="0"/>
        <w:ind w:left="2921" w:right="120" w:hanging="2922"/>
        <w:jc w:val="left"/>
      </w:pPr>
      <w:bookmarkStart w:name="12.清洁生产与循环经济分析" w:id="1023"/>
      <w:bookmarkEnd w:id="1023"/>
      <w:r>
        <w:rPr>
          <w:b w:val="0"/>
        </w:rPr>
      </w:r>
      <w:bookmarkStart w:name="_bookmark61" w:id="1024"/>
      <w:bookmarkEnd w:id="1024"/>
      <w:r>
        <w:rPr>
          <w:b w:val="0"/>
        </w:rPr>
      </w:r>
      <w:bookmarkStart w:name="_bookmark61" w:id="1025"/>
      <w:bookmarkEnd w:id="1025"/>
      <w:r>
        <w:rPr/>
        <w:t>清洁生产与循环经济分析</w:t>
      </w:r>
    </w:p>
    <w:p>
      <w:pPr>
        <w:pStyle w:val="BodyText"/>
        <w:rPr>
          <w:b/>
          <w:sz w:val="32"/>
        </w:rPr>
      </w:pPr>
    </w:p>
    <w:p>
      <w:pPr>
        <w:pStyle w:val="Heading2"/>
        <w:numPr>
          <w:ilvl w:val="1"/>
          <w:numId w:val="68"/>
        </w:numPr>
        <w:tabs>
          <w:tab w:pos="716" w:val="left" w:leader="none"/>
        </w:tabs>
        <w:spacing w:line="240" w:lineRule="auto" w:before="0" w:after="0"/>
        <w:ind w:left="716" w:right="0" w:hanging="601"/>
        <w:jc w:val="left"/>
      </w:pPr>
      <w:bookmarkStart w:name="12.1循环经济分析" w:id="1026"/>
      <w:bookmarkEnd w:id="1026"/>
      <w:r>
        <w:rPr>
          <w:b w:val="0"/>
        </w:rPr>
      </w:r>
      <w:bookmarkStart w:name="_bookmark62" w:id="1027"/>
      <w:bookmarkEnd w:id="1027"/>
      <w:r>
        <w:rPr>
          <w:b w:val="0"/>
        </w:rPr>
      </w:r>
      <w:bookmarkStart w:name="_bookmark62" w:id="1028"/>
      <w:bookmarkEnd w:id="1028"/>
      <w:r>
        <w:rPr/>
        <w:t>循环经济分析</w:t>
      </w:r>
    </w:p>
    <w:p>
      <w:pPr>
        <w:pStyle w:val="BodyText"/>
        <w:spacing w:before="196"/>
        <w:ind w:left="595"/>
      </w:pPr>
      <w:r>
        <w:rPr>
          <w:rFonts w:ascii="Times New Roman" w:eastAsia="Times New Roman"/>
        </w:rPr>
        <w:t>2008 </w:t>
      </w:r>
      <w:r>
        <w:rPr/>
        <w:t>年 </w:t>
      </w:r>
      <w:r>
        <w:rPr>
          <w:rFonts w:ascii="Times New Roman" w:eastAsia="Times New Roman"/>
        </w:rPr>
        <w:t>8 </w:t>
      </w:r>
      <w:r>
        <w:rPr/>
        <w:t>月 </w:t>
      </w:r>
      <w:r>
        <w:rPr>
          <w:rFonts w:ascii="Times New Roman" w:eastAsia="Times New Roman"/>
        </w:rPr>
        <w:t>29 </w:t>
      </w:r>
      <w:r>
        <w:rPr/>
        <w:t>日，第十一届全国人民代表大会常务委员会第四次会议通过了《中</w:t>
      </w:r>
    </w:p>
    <w:p>
      <w:pPr>
        <w:pStyle w:val="BodyText"/>
        <w:spacing w:line="364" w:lineRule="auto" w:before="161"/>
        <w:ind w:left="115" w:right="117"/>
      </w:pPr>
      <w:r>
        <w:rPr>
          <w:spacing w:val="-8"/>
        </w:rPr>
        <w:t>华人民共和国循环经济促进法》，自 </w:t>
      </w:r>
      <w:r>
        <w:rPr>
          <w:rFonts w:ascii="Times New Roman" w:hAnsi="Times New Roman" w:eastAsia="Times New Roman"/>
        </w:rPr>
        <w:t>2009 </w:t>
      </w:r>
      <w:r>
        <w:rPr>
          <w:spacing w:val="-30"/>
        </w:rPr>
        <w:t>年 </w:t>
      </w:r>
      <w:r>
        <w:rPr>
          <w:rFonts w:ascii="Times New Roman" w:hAnsi="Times New Roman" w:eastAsia="Times New Roman"/>
        </w:rPr>
        <w:t>1 </w:t>
      </w:r>
      <w:r>
        <w:rPr>
          <w:spacing w:val="-30"/>
        </w:rPr>
        <w:t>月 </w:t>
      </w:r>
      <w:r>
        <w:rPr>
          <w:rFonts w:ascii="Times New Roman" w:hAnsi="Times New Roman" w:eastAsia="Times New Roman"/>
        </w:rPr>
        <w:t>1 </w:t>
      </w:r>
      <w:r>
        <w:rPr>
          <w:spacing w:val="-7"/>
        </w:rPr>
        <w:t>日起实施。其中第九条规定：企业事</w:t>
      </w:r>
      <w:r>
        <w:rPr>
          <w:spacing w:val="-15"/>
        </w:rPr>
        <w:t>业单位应当建立健全管理制度，采取措施，降低资源消耗，减少废物的产生量和排放量， </w:t>
      </w:r>
      <w:r>
        <w:rPr>
          <w:spacing w:val="-5"/>
        </w:rPr>
        <w:t>提高废物的再利用和资源化水平。煤炭企业作为煤炭生产单位，长期受到</w:t>
      </w:r>
      <w:r>
        <w:rPr>
          <w:rFonts w:ascii="Times New Roman" w:hAnsi="Times New Roman" w:eastAsia="Times New Roman"/>
        </w:rPr>
        <w:t>“</w:t>
      </w:r>
      <w:r>
        <w:rPr>
          <w:spacing w:val="-6"/>
        </w:rPr>
        <w:t>高度开采、高</w:t>
      </w:r>
      <w:r>
        <w:rPr>
          <w:spacing w:val="-7"/>
        </w:rPr>
        <w:t>度排放、低度利用</w:t>
      </w:r>
      <w:r>
        <w:rPr>
          <w:rFonts w:ascii="Times New Roman" w:hAnsi="Times New Roman" w:eastAsia="Times New Roman"/>
        </w:rPr>
        <w:t>”</w:t>
      </w:r>
      <w:r>
        <w:rPr/>
        <w:t>的</w:t>
      </w:r>
      <w:r>
        <w:rPr>
          <w:rFonts w:ascii="Times New Roman" w:hAnsi="Times New Roman" w:eastAsia="Times New Roman"/>
        </w:rPr>
        <w:t>“</w:t>
      </w:r>
      <w:r>
        <w:rPr/>
        <w:t>两高一低</w:t>
      </w:r>
      <w:r>
        <w:rPr>
          <w:rFonts w:ascii="Times New Roman" w:hAnsi="Times New Roman" w:eastAsia="Times New Roman"/>
        </w:rPr>
        <w:t>”</w:t>
      </w:r>
      <w:r>
        <w:rPr>
          <w:spacing w:val="-5"/>
        </w:rPr>
        <w:t>生产模式的影响，资源浪费严重，生态环境遭到极大破坏，严重阻碍了资源的可持续利用和企业的可持续发展。大力发展循环经济，推进煤炭企业生产方式转变，走资源利用率高、安全有保障、经济效益好、环境污染少的可持续发展之路，符合科学发展观和可持续发展理念的经济增长模式，成为新时期煤炭企业的必然选择。</w:t>
      </w:r>
    </w:p>
    <w:p>
      <w:pPr>
        <w:pStyle w:val="Heading3"/>
        <w:numPr>
          <w:ilvl w:val="2"/>
          <w:numId w:val="68"/>
        </w:numPr>
        <w:tabs>
          <w:tab w:pos="887" w:val="left" w:leader="none"/>
        </w:tabs>
        <w:spacing w:line="355" w:lineRule="exact" w:before="0" w:after="0"/>
        <w:ind w:left="886" w:right="0" w:hanging="772"/>
        <w:jc w:val="left"/>
      </w:pPr>
      <w:bookmarkStart w:name="12.1.1煤炭企业实现循环经济生产模式的基本思路" w:id="1029"/>
      <w:bookmarkEnd w:id="1029"/>
      <w:r>
        <w:rPr>
          <w:b w:val="0"/>
        </w:rPr>
      </w:r>
      <w:bookmarkStart w:name="12.1.1煤炭企业实现循环经济生产模式的基本思路" w:id="1030"/>
      <w:bookmarkEnd w:id="1030"/>
      <w:r>
        <w:rPr/>
        <w:t>煤炭企业实现循环经济生产模式的基本思路</w:t>
      </w:r>
    </w:p>
    <w:p>
      <w:pPr>
        <w:pStyle w:val="BodyText"/>
        <w:spacing w:line="364" w:lineRule="auto" w:before="185"/>
        <w:ind w:left="115" w:right="240" w:firstLine="480"/>
        <w:jc w:val="right"/>
      </w:pPr>
      <w:r>
        <w:rPr/>
        <w:t>煤炭企业是煤炭生产的主体，其活动包括从煤炭资源开采到产品加工，从组织生产到产品销售，以及废弃物产生的全过程。因此，煤炭企业内部循环经济的实施，要根据煤炭产品的生命周期，煤炭开采、煤产品加工、煤炭利用及废弃的各个阶段，推行清洁生产，节能降耗，减少产品和服务中物料和能源的使用量，实现污染物排放的最小化。在煤炭开采过程中，采用合理的开采顺序、方法和选矿工艺。在开采主要矿种的同</w:t>
      </w:r>
    </w:p>
    <w:p>
      <w:pPr>
        <w:pStyle w:val="BodyText"/>
        <w:spacing w:line="364" w:lineRule="auto"/>
        <w:ind w:left="115" w:right="240"/>
        <w:jc w:val="both"/>
      </w:pPr>
      <w:r>
        <w:rPr/>
        <w:t>时：应当对具有工业价值的共生和伴生矿实行综合开采、合理利用；对必须同时采出而暂时不能利用的矿产，以及含有有用组分的尾矿，应当采取保护措施，防止资源损失和生态破坏。</w:t>
      </w:r>
    </w:p>
    <w:p>
      <w:pPr>
        <w:pStyle w:val="BodyText"/>
        <w:spacing w:line="364" w:lineRule="auto"/>
        <w:ind w:left="115" w:right="240" w:firstLine="480"/>
        <w:jc w:val="both"/>
      </w:pPr>
      <w:r>
        <w:rPr/>
        <w:t>在煤炭生产加工和利用方面，煤炭企业应积极实施洁净煤战略，加强选煤厂配套建设，提高原煤洗选率，有效控制煤炭在利用之前可能排放的污染物，提高煤质，减少煤炭运输过程中的能源消耗。</w:t>
      </w:r>
    </w:p>
    <w:p>
      <w:pPr>
        <w:pStyle w:val="BodyText"/>
        <w:spacing w:line="364" w:lineRule="auto"/>
        <w:ind w:left="115" w:right="240" w:firstLine="480"/>
        <w:jc w:val="both"/>
      </w:pPr>
      <w:r>
        <w:rPr/>
        <w:t>在废弃物处理再利用方面，对产生的粉煤灰、煤矸石、尾矿、废石、废料、废气等工业废物进行综合利用，最大限度地循环使用煤炭开采加工过程中的一切物质资源，实现废弃物资源化，保护和改善生态环境。</w:t>
      </w:r>
    </w:p>
    <w:p>
      <w:pPr>
        <w:spacing w:after="0" w:line="364" w:lineRule="auto"/>
        <w:jc w:val="both"/>
        <w:sectPr>
          <w:pgSz w:w="11910" w:h="16840"/>
          <w:pgMar w:header="0" w:footer="1169" w:top="1540" w:bottom="1360" w:left="1300" w:right="1120"/>
        </w:sectPr>
      </w:pPr>
    </w:p>
    <w:p>
      <w:pPr>
        <w:pStyle w:val="BodyText"/>
        <w:spacing w:before="7"/>
        <w:rPr>
          <w:sz w:val="8"/>
        </w:rPr>
      </w:pPr>
    </w:p>
    <w:p>
      <w:pPr>
        <w:pStyle w:val="BodyText"/>
        <w:ind w:left="390"/>
        <w:rPr>
          <w:sz w:val="20"/>
        </w:rPr>
      </w:pPr>
      <w:r>
        <w:rPr>
          <w:sz w:val="20"/>
        </w:rPr>
        <w:drawing>
          <wp:inline distT="0" distB="0" distL="0" distR="0">
            <wp:extent cx="5484850" cy="2784348"/>
            <wp:effectExtent l="0" t="0" r="0" b="0"/>
            <wp:docPr id="59" name="image33.jpeg"/>
            <wp:cNvGraphicFramePr>
              <a:graphicFrameLocks noChangeAspect="1"/>
            </wp:cNvGraphicFramePr>
            <a:graphic>
              <a:graphicData uri="http://schemas.openxmlformats.org/drawingml/2006/picture">
                <pic:pic>
                  <pic:nvPicPr>
                    <pic:cNvPr id="60" name="image33.jpeg"/>
                    <pic:cNvPicPr/>
                  </pic:nvPicPr>
                  <pic:blipFill>
                    <a:blip r:embed="rId60" cstate="print"/>
                    <a:stretch>
                      <a:fillRect/>
                    </a:stretch>
                  </pic:blipFill>
                  <pic:spPr>
                    <a:xfrm>
                      <a:off x="0" y="0"/>
                      <a:ext cx="5484850" cy="2784348"/>
                    </a:xfrm>
                    <a:prstGeom prst="rect">
                      <a:avLst/>
                    </a:prstGeom>
                  </pic:spPr>
                </pic:pic>
              </a:graphicData>
            </a:graphic>
          </wp:inline>
        </w:drawing>
      </w:r>
      <w:r>
        <w:rPr>
          <w:sz w:val="20"/>
        </w:rPr>
      </w:r>
    </w:p>
    <w:p>
      <w:pPr>
        <w:spacing w:before="24"/>
        <w:ind w:left="2522" w:right="2634" w:firstLine="0"/>
        <w:jc w:val="center"/>
        <w:rPr>
          <w:b/>
          <w:sz w:val="21"/>
        </w:rPr>
      </w:pPr>
      <w:r>
        <w:rPr>
          <w:b/>
          <w:spacing w:val="-28"/>
          <w:sz w:val="21"/>
        </w:rPr>
        <w:t>图 </w:t>
      </w:r>
      <w:r>
        <w:rPr>
          <w:rFonts w:ascii="Times New Roman" w:eastAsia="Times New Roman"/>
          <w:b/>
          <w:sz w:val="21"/>
        </w:rPr>
        <w:t>12.1-1</w:t>
      </w:r>
      <w:r>
        <w:rPr>
          <w:rFonts w:ascii="Times New Roman" w:eastAsia="Times New Roman"/>
          <w:b/>
          <w:spacing w:val="52"/>
          <w:sz w:val="21"/>
        </w:rPr>
        <w:t> </w:t>
      </w:r>
      <w:r>
        <w:rPr>
          <w:b/>
          <w:sz w:val="21"/>
        </w:rPr>
        <w:t>煤炭企业循环经济生产模式图</w:t>
      </w:r>
    </w:p>
    <w:p>
      <w:pPr>
        <w:pStyle w:val="Heading3"/>
        <w:numPr>
          <w:ilvl w:val="2"/>
          <w:numId w:val="68"/>
        </w:numPr>
        <w:tabs>
          <w:tab w:pos="956" w:val="left" w:leader="none"/>
        </w:tabs>
        <w:spacing w:line="240" w:lineRule="auto" w:before="6" w:after="0"/>
        <w:ind w:left="956" w:right="0" w:hanging="841"/>
        <w:jc w:val="left"/>
      </w:pPr>
      <w:bookmarkStart w:name="12.1.2 本项目可实施的循环经济生产项目" w:id="1031"/>
      <w:bookmarkEnd w:id="1031"/>
      <w:r>
        <w:rPr>
          <w:b w:val="0"/>
        </w:rPr>
      </w:r>
      <w:bookmarkStart w:name="12.1.2 本项目可实施的循环经济生产项目" w:id="1032"/>
      <w:bookmarkEnd w:id="1032"/>
      <w:r>
        <w:rPr/>
        <w:t>本项目可实施的循环经济生产项目</w:t>
      </w:r>
    </w:p>
    <w:p>
      <w:pPr>
        <w:pStyle w:val="BodyText"/>
        <w:spacing w:before="186"/>
        <w:ind w:left="595"/>
      </w:pPr>
      <w:r>
        <w:rPr>
          <w:rFonts w:ascii="Times New Roman" w:eastAsia="Times New Roman"/>
        </w:rPr>
        <w:t>1</w:t>
      </w:r>
      <w:r>
        <w:rPr/>
        <w:t>、污废水的综合利用</w:t>
      </w:r>
    </w:p>
    <w:p>
      <w:pPr>
        <w:pStyle w:val="ListParagraph"/>
        <w:numPr>
          <w:ilvl w:val="3"/>
          <w:numId w:val="68"/>
        </w:numPr>
        <w:tabs>
          <w:tab w:pos="1197" w:val="left" w:leader="none"/>
        </w:tabs>
        <w:spacing w:line="240" w:lineRule="auto" w:before="158" w:after="0"/>
        <w:ind w:left="1197" w:right="0" w:hanging="602"/>
        <w:jc w:val="left"/>
        <w:rPr>
          <w:sz w:val="24"/>
        </w:rPr>
      </w:pPr>
      <w:r>
        <w:rPr>
          <w:sz w:val="24"/>
        </w:rPr>
        <w:t>矿井涌水综合利用</w:t>
      </w:r>
    </w:p>
    <w:p>
      <w:pPr>
        <w:pStyle w:val="BodyText"/>
        <w:spacing w:line="364" w:lineRule="auto" w:before="158"/>
        <w:ind w:left="115" w:right="185" w:firstLine="480"/>
        <w:jc w:val="both"/>
      </w:pPr>
      <w:r>
        <w:rPr>
          <w:spacing w:val="-7"/>
        </w:rPr>
        <w:t>矿井水正常涌水量 </w:t>
      </w:r>
      <w:r>
        <w:rPr>
          <w:rFonts w:ascii="Times New Roman" w:eastAsia="Times New Roman"/>
        </w:rPr>
        <w:t>480m</w:t>
      </w:r>
      <w:r>
        <w:rPr>
          <w:rFonts w:ascii="Times New Roman" w:eastAsia="Times New Roman"/>
          <w:position w:val="8"/>
          <w:sz w:val="15"/>
        </w:rPr>
        <w:t>3</w:t>
      </w:r>
      <w:r>
        <w:rPr>
          <w:rFonts w:ascii="Times New Roman" w:eastAsia="Times New Roman"/>
        </w:rPr>
        <w:t>/d</w:t>
      </w:r>
      <w:r>
        <w:rPr>
          <w:spacing w:val="-5"/>
        </w:rPr>
        <w:t>，矿井水处理站处理能力为 </w:t>
      </w:r>
      <w:r>
        <w:rPr>
          <w:rFonts w:ascii="Times New Roman" w:eastAsia="Times New Roman"/>
        </w:rPr>
        <w:t>720m</w:t>
      </w:r>
      <w:r>
        <w:rPr>
          <w:rFonts w:ascii="Times New Roman" w:eastAsia="Times New Roman"/>
          <w:position w:val="8"/>
          <w:sz w:val="15"/>
        </w:rPr>
        <w:t>3</w:t>
      </w:r>
      <w:r>
        <w:rPr>
          <w:rFonts w:ascii="Times New Roman" w:eastAsia="Times New Roman"/>
        </w:rPr>
        <w:t>/d</w:t>
      </w:r>
      <w:r>
        <w:rPr>
          <w:spacing w:val="-2"/>
        </w:rPr>
        <w:t>，水处理采用混合、</w:t>
      </w:r>
      <w:r>
        <w:rPr/>
        <w:t>反应、混凝、沉淀、过滤、消毒等工艺。部分回用于工业广场和井下用水等，剩余部分达标排入矿区附近自建鱼塘。</w:t>
      </w:r>
    </w:p>
    <w:p>
      <w:pPr>
        <w:pStyle w:val="ListParagraph"/>
        <w:numPr>
          <w:ilvl w:val="3"/>
          <w:numId w:val="68"/>
        </w:numPr>
        <w:tabs>
          <w:tab w:pos="1197" w:val="left" w:leader="none"/>
        </w:tabs>
        <w:spacing w:line="307" w:lineRule="exact" w:before="0" w:after="0"/>
        <w:ind w:left="1197" w:right="0" w:hanging="602"/>
        <w:jc w:val="left"/>
        <w:rPr>
          <w:sz w:val="24"/>
        </w:rPr>
      </w:pPr>
      <w:r>
        <w:rPr>
          <w:sz w:val="24"/>
        </w:rPr>
        <w:t>生活污水处理综合利用</w:t>
      </w:r>
    </w:p>
    <w:p>
      <w:pPr>
        <w:pStyle w:val="BodyText"/>
        <w:spacing w:before="160"/>
        <w:ind w:left="595"/>
        <w:rPr>
          <w:rFonts w:ascii="Times New Roman" w:eastAsia="Times New Roman"/>
        </w:rPr>
      </w:pPr>
      <w:r>
        <w:rPr/>
        <w:t>生活污水经污水处理装置处理，处理规模为 </w:t>
      </w:r>
      <w:r>
        <w:rPr>
          <w:rFonts w:ascii="Times New Roman" w:eastAsia="Times New Roman"/>
        </w:rPr>
        <w:t>120m</w:t>
      </w:r>
      <w:r>
        <w:rPr>
          <w:rFonts w:ascii="Times New Roman" w:eastAsia="Times New Roman"/>
          <w:position w:val="8"/>
          <w:sz w:val="15"/>
        </w:rPr>
        <w:t>3</w:t>
      </w:r>
      <w:r>
        <w:rPr>
          <w:rFonts w:ascii="Times New Roman" w:eastAsia="Times New Roman"/>
        </w:rPr>
        <w:t>/d</w:t>
      </w:r>
      <w:r>
        <w:rPr/>
        <w:t>，采用处理工艺为二级生物法</w:t>
      </w:r>
      <w:r>
        <w:rPr>
          <w:rFonts w:ascii="Times New Roman" w:eastAsia="Times New Roman"/>
        </w:rPr>
        <w:t>+</w:t>
      </w:r>
    </w:p>
    <w:p>
      <w:pPr>
        <w:pStyle w:val="BodyText"/>
        <w:spacing w:before="158"/>
        <w:ind w:left="115"/>
      </w:pPr>
      <w:r>
        <w:rPr/>
        <w:t>超滤。全部回用不外排。</w:t>
      </w:r>
    </w:p>
    <w:p>
      <w:pPr>
        <w:pStyle w:val="BodyText"/>
        <w:spacing w:before="161"/>
        <w:ind w:left="595"/>
      </w:pPr>
      <w:r>
        <w:rPr>
          <w:rFonts w:ascii="Times New Roman" w:eastAsia="Times New Roman"/>
        </w:rPr>
        <w:t>2</w:t>
      </w:r>
      <w:r>
        <w:rPr/>
        <w:t>、固体废物的综合利用</w:t>
      </w:r>
    </w:p>
    <w:p>
      <w:pPr>
        <w:pStyle w:val="BodyText"/>
        <w:spacing w:line="364" w:lineRule="auto" w:before="158"/>
        <w:ind w:left="115" w:right="240" w:firstLine="480"/>
        <w:jc w:val="both"/>
      </w:pPr>
      <w:r>
        <w:rPr/>
        <w:t>前期产生的矸石用于平整工业场地、公路的路基石料、或用于填沟造田等。固体废物的资源化利用缓解了矸石大量堆放压站土地现象，在综合利用不畅时，则运往矸石场地临时堆存，在条件允许情况下，周转场矸石及时清运，避免长期堆存，产生扬尘。</w:t>
      </w:r>
    </w:p>
    <w:p>
      <w:pPr>
        <w:pStyle w:val="Heading2"/>
        <w:numPr>
          <w:ilvl w:val="1"/>
          <w:numId w:val="68"/>
        </w:numPr>
        <w:tabs>
          <w:tab w:pos="793" w:val="left" w:leader="none"/>
        </w:tabs>
        <w:spacing w:line="240" w:lineRule="auto" w:before="170" w:after="0"/>
        <w:ind w:left="792" w:right="0" w:hanging="678"/>
        <w:jc w:val="left"/>
      </w:pPr>
      <w:bookmarkStart w:name="12.2 清洁生产水平分析" w:id="1033"/>
      <w:bookmarkEnd w:id="1033"/>
      <w:r>
        <w:rPr>
          <w:b w:val="0"/>
        </w:rPr>
      </w:r>
      <w:bookmarkStart w:name="_bookmark63" w:id="1034"/>
      <w:bookmarkEnd w:id="1034"/>
      <w:r>
        <w:rPr>
          <w:b w:val="0"/>
        </w:rPr>
      </w:r>
      <w:bookmarkStart w:name="_bookmark63" w:id="1035"/>
      <w:bookmarkEnd w:id="1035"/>
      <w:r>
        <w:rPr/>
        <w:t>清洁生产水平分析</w:t>
      </w:r>
    </w:p>
    <w:p>
      <w:pPr>
        <w:pStyle w:val="BodyText"/>
        <w:spacing w:line="364" w:lineRule="auto" w:before="199"/>
        <w:ind w:left="115" w:right="117" w:firstLine="480"/>
      </w:pPr>
      <w:r>
        <w:rPr/>
        <w:t>清洁生产是一个系统工程，是对生产全过程以及产品的整个生命周期采取污染预防的综合措施。清洁生产技术的实施；首先必须技术上可行；其次要达到节能、降耗、减</w:t>
      </w:r>
      <w:r>
        <w:rPr>
          <w:spacing w:val="-11"/>
        </w:rPr>
        <w:t>污的目标，满足环境保护法规的要求；第三是在经济上能够获利，做到经济效益最大化， </w:t>
      </w:r>
      <w:r>
        <w:rPr/>
        <w:t>充分体现经济效益、环境效益和社会效益的高度统一。</w:t>
      </w:r>
    </w:p>
    <w:p>
      <w:pPr>
        <w:spacing w:after="0" w:line="364" w:lineRule="auto"/>
        <w:sectPr>
          <w:pgSz w:w="11910" w:h="16840"/>
          <w:pgMar w:header="0" w:footer="1169" w:top="1580" w:bottom="1360" w:left="1300" w:right="1120"/>
        </w:sectPr>
      </w:pPr>
    </w:p>
    <w:p>
      <w:pPr>
        <w:pStyle w:val="BodyText"/>
        <w:spacing w:before="46"/>
        <w:ind w:left="595"/>
      </w:pPr>
      <w:r>
        <w:rPr/>
        <w:t>清洁生产的内容包括：</w:t>
      </w:r>
    </w:p>
    <w:p>
      <w:pPr>
        <w:pStyle w:val="ListParagraph"/>
        <w:numPr>
          <w:ilvl w:val="0"/>
          <w:numId w:val="69"/>
        </w:numPr>
        <w:tabs>
          <w:tab w:pos="1197" w:val="left" w:leader="none"/>
        </w:tabs>
        <w:spacing w:line="364" w:lineRule="auto" w:before="158" w:after="0"/>
        <w:ind w:left="115" w:right="129" w:firstLine="480"/>
        <w:jc w:val="left"/>
        <w:rPr>
          <w:sz w:val="24"/>
        </w:rPr>
      </w:pPr>
      <w:r>
        <w:rPr>
          <w:spacing w:val="-1"/>
          <w:sz w:val="24"/>
        </w:rPr>
        <w:t>清洁的能源，包括常规能源的清洁利用、可再生能源的利用、新能源的利用、</w:t>
      </w:r>
      <w:r>
        <w:rPr>
          <w:sz w:val="24"/>
        </w:rPr>
        <w:t>节能技术；</w:t>
      </w:r>
    </w:p>
    <w:p>
      <w:pPr>
        <w:pStyle w:val="ListParagraph"/>
        <w:numPr>
          <w:ilvl w:val="0"/>
          <w:numId w:val="69"/>
        </w:numPr>
        <w:tabs>
          <w:tab w:pos="1197" w:val="left" w:leader="none"/>
        </w:tabs>
        <w:spacing w:line="364" w:lineRule="auto" w:before="0" w:after="0"/>
        <w:ind w:left="115" w:right="238" w:firstLine="480"/>
        <w:jc w:val="both"/>
        <w:rPr>
          <w:sz w:val="24"/>
        </w:rPr>
      </w:pPr>
      <w:r>
        <w:rPr>
          <w:spacing w:val="-7"/>
          <w:sz w:val="24"/>
        </w:rPr>
        <w:t>清洁的生产过程，尽量少用或不用有毒有害的原料、有毒有害的中间产品、</w:t>
      </w:r>
      <w:r>
        <w:rPr>
          <w:spacing w:val="-4"/>
          <w:sz w:val="24"/>
        </w:rPr>
        <w:t>减少生产过程中的各种危险因素、少废或无废的工艺和高效的设备、物料的再循环</w:t>
      </w:r>
      <w:r>
        <w:rPr>
          <w:sz w:val="24"/>
        </w:rPr>
        <w:t>（厂</w:t>
      </w:r>
      <w:r>
        <w:rPr>
          <w:spacing w:val="-7"/>
          <w:sz w:val="24"/>
        </w:rPr>
        <w:t>内外</w:t>
      </w:r>
      <w:r>
        <w:rPr>
          <w:sz w:val="24"/>
        </w:rPr>
        <w:t>）、简便可靠的操作和控制、完善的管理；</w:t>
      </w:r>
    </w:p>
    <w:p>
      <w:pPr>
        <w:pStyle w:val="ListParagraph"/>
        <w:numPr>
          <w:ilvl w:val="0"/>
          <w:numId w:val="69"/>
        </w:numPr>
        <w:tabs>
          <w:tab w:pos="1197" w:val="left" w:leader="none"/>
        </w:tabs>
        <w:spacing w:line="364" w:lineRule="auto" w:before="0" w:after="0"/>
        <w:ind w:left="115" w:right="118" w:firstLine="480"/>
        <w:jc w:val="left"/>
        <w:rPr>
          <w:sz w:val="24"/>
        </w:rPr>
      </w:pPr>
      <w:r>
        <w:rPr>
          <w:spacing w:val="-12"/>
          <w:sz w:val="24"/>
        </w:rPr>
        <w:t>清洁的产品，节约原料和能源并少用昂贵和稀缺的原料、利用二次资源作原料</w:t>
      </w:r>
      <w:r>
        <w:rPr>
          <w:spacing w:val="-4"/>
          <w:sz w:val="24"/>
        </w:rPr>
        <w:t>、产品在使用过程中以及使用后不会危害人体健康和生态环境、易于回收复用和再生、合理包装、合理的使用功能和使用寿命、易处置和易降解；</w:t>
      </w:r>
    </w:p>
    <w:p>
      <w:pPr>
        <w:pStyle w:val="BodyText"/>
        <w:spacing w:line="364" w:lineRule="auto"/>
        <w:ind w:left="115" w:right="118" w:firstLine="480"/>
      </w:pPr>
      <w:r>
        <w:rPr/>
        <w:t>清洁生产的基本要求是：符合国家环保、产业政策要求，采用国内外先进的煤炭洗</w:t>
      </w:r>
      <w:r>
        <w:rPr>
          <w:spacing w:val="-12"/>
        </w:rPr>
        <w:t>选、煤泥水闭路循环、煤炭贮运生产工艺和技术设备。符合国家、地方和行业有关法律、</w:t>
      </w:r>
      <w:r>
        <w:rPr/>
        <w:t>法规、规范、产业政策、技术标准要求，污染物排放达到国家和地方排放标准、满足污染物总量控制和排污许可证管理要求。</w:t>
      </w:r>
    </w:p>
    <w:p>
      <w:pPr>
        <w:pStyle w:val="BodyText"/>
        <w:spacing w:line="364" w:lineRule="auto"/>
        <w:ind w:left="115" w:right="238" w:firstLine="480"/>
        <w:jc w:val="both"/>
      </w:pPr>
      <w:r>
        <w:rPr>
          <w:rFonts w:ascii="Times New Roman" w:hAnsi="Times New Roman" w:eastAsia="Times New Roman"/>
        </w:rPr>
        <w:t>2019 </w:t>
      </w:r>
      <w:r>
        <w:rPr>
          <w:spacing w:val="-30"/>
        </w:rPr>
        <w:t>年 </w:t>
      </w:r>
      <w:r>
        <w:rPr>
          <w:rFonts w:ascii="Times New Roman" w:hAnsi="Times New Roman" w:eastAsia="Times New Roman"/>
        </w:rPr>
        <w:t>9 </w:t>
      </w:r>
      <w:r>
        <w:rPr>
          <w:spacing w:val="-20"/>
        </w:rPr>
        <w:t>月，国家发展和改革委员会、生态环境部、工业和信息化部联合发布了《煤</w:t>
      </w:r>
      <w:r>
        <w:rPr>
          <w:spacing w:val="-1"/>
        </w:rPr>
        <w:t>炭采选业清洁生产评价指标体系》，该指标体系将清洁生产指标分为五类，即生产工艺及装备指标、资源能源消耗指标、资源综合利用指标、生态环境指标和清洁生产管理指标。该指标体系依据综合评价所得分值将清洁生产等级划分为三级，Ⅰ级为国际清洁生</w:t>
      </w:r>
      <w:r>
        <w:rPr/>
        <w:t>产领先水平，Ⅱ级为国内清洁生产先进水平，Ⅲ级为国内清洁生产一般水平。</w:t>
      </w:r>
    </w:p>
    <w:p>
      <w:pPr>
        <w:pStyle w:val="BodyText"/>
        <w:spacing w:before="111"/>
        <w:ind w:left="1016"/>
      </w:pPr>
      <w:r>
        <w:rPr/>
        <w:t>对比情况见下表。</w:t>
      </w:r>
    </w:p>
    <w:p>
      <w:pPr>
        <w:spacing w:after="0"/>
        <w:sectPr>
          <w:pgSz w:w="11910" w:h="16840"/>
          <w:pgMar w:header="0" w:footer="1169" w:top="1540" w:bottom="1360" w:left="1300" w:right="1120"/>
        </w:sectPr>
      </w:pPr>
    </w:p>
    <w:p>
      <w:pPr>
        <w:pStyle w:val="BodyText"/>
        <w:rPr>
          <w:sz w:val="20"/>
        </w:rPr>
      </w:pPr>
    </w:p>
    <w:p>
      <w:pPr>
        <w:pStyle w:val="BodyText"/>
        <w:spacing w:before="11"/>
        <w:rPr>
          <w:sz w:val="18"/>
        </w:rPr>
      </w:pPr>
    </w:p>
    <w:p>
      <w:pPr>
        <w:pStyle w:val="Heading4"/>
        <w:ind w:left="4858" w:right="4786"/>
        <w:jc w:val="center"/>
      </w:pPr>
      <w:r>
        <w:rPr/>
        <w:pict>
          <v:shape style="position:absolute;margin-left:78.059998pt;margin-top:23.241003pt;width:701.85pt;height:411.4pt;mso-position-horizontal-relative:page;mso-position-vertical-relative:paragraph;z-index:25181696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1818"/>
                    <w:gridCol w:w="835"/>
                    <w:gridCol w:w="933"/>
                    <w:gridCol w:w="2641"/>
                    <w:gridCol w:w="1879"/>
                    <w:gridCol w:w="2021"/>
                    <w:gridCol w:w="1165"/>
                  </w:tblGrid>
                  <w:tr>
                    <w:trPr>
                      <w:trHeight w:val="653" w:hRule="atLeast"/>
                    </w:trPr>
                    <w:tc>
                      <w:tcPr>
                        <w:tcW w:w="572" w:type="dxa"/>
                      </w:tcPr>
                      <w:p>
                        <w:pPr>
                          <w:pStyle w:val="TableParagraph"/>
                          <w:spacing w:before="162"/>
                          <w:ind w:left="54" w:right="48"/>
                          <w:rPr>
                            <w:sz w:val="21"/>
                          </w:rPr>
                        </w:pPr>
                        <w:r>
                          <w:rPr>
                            <w:sz w:val="21"/>
                          </w:rPr>
                          <w:t>序号</w:t>
                        </w:r>
                      </w:p>
                    </w:tc>
                    <w:tc>
                      <w:tcPr>
                        <w:tcW w:w="1090" w:type="dxa"/>
                      </w:tcPr>
                      <w:p>
                        <w:pPr>
                          <w:pStyle w:val="TableParagraph"/>
                          <w:spacing w:line="268" w:lineRule="exact"/>
                          <w:ind w:left="7"/>
                          <w:rPr>
                            <w:sz w:val="21"/>
                          </w:rPr>
                        </w:pPr>
                        <w:r>
                          <w:rPr>
                            <w:sz w:val="21"/>
                          </w:rPr>
                          <w:t>一级指标指</w:t>
                        </w:r>
                      </w:p>
                      <w:p>
                        <w:pPr>
                          <w:pStyle w:val="TableParagraph"/>
                          <w:spacing w:before="57"/>
                          <w:ind w:left="5"/>
                          <w:rPr>
                            <w:sz w:val="21"/>
                          </w:rPr>
                        </w:pPr>
                        <w:r>
                          <w:rPr>
                            <w:sz w:val="21"/>
                          </w:rPr>
                          <w:t>标项</w:t>
                        </w:r>
                      </w:p>
                    </w:tc>
                    <w:tc>
                      <w:tcPr>
                        <w:tcW w:w="1068" w:type="dxa"/>
                      </w:tcPr>
                      <w:p>
                        <w:pPr>
                          <w:pStyle w:val="TableParagraph"/>
                          <w:spacing w:line="268" w:lineRule="exact"/>
                          <w:ind w:left="9" w:right="-15"/>
                          <w:rPr>
                            <w:sz w:val="21"/>
                          </w:rPr>
                        </w:pPr>
                        <w:r>
                          <w:rPr>
                            <w:sz w:val="21"/>
                          </w:rPr>
                          <w:t>一级指标权</w:t>
                        </w:r>
                      </w:p>
                      <w:p>
                        <w:pPr>
                          <w:pStyle w:val="TableParagraph"/>
                          <w:spacing w:before="57"/>
                          <w:ind w:left="7"/>
                          <w:rPr>
                            <w:sz w:val="21"/>
                          </w:rPr>
                        </w:pPr>
                        <w:r>
                          <w:rPr>
                            <w:sz w:val="21"/>
                          </w:rPr>
                          <w:t>重值</w:t>
                        </w:r>
                      </w:p>
                    </w:tc>
                    <w:tc>
                      <w:tcPr>
                        <w:tcW w:w="1818" w:type="dxa"/>
                      </w:tcPr>
                      <w:p>
                        <w:pPr>
                          <w:pStyle w:val="TableParagraph"/>
                          <w:spacing w:before="162"/>
                          <w:ind w:left="6"/>
                          <w:rPr>
                            <w:sz w:val="21"/>
                          </w:rPr>
                        </w:pPr>
                        <w:r>
                          <w:rPr>
                            <w:sz w:val="21"/>
                          </w:rPr>
                          <w:t>二级指标指标项</w:t>
                        </w:r>
                      </w:p>
                    </w:tc>
                    <w:tc>
                      <w:tcPr>
                        <w:tcW w:w="835" w:type="dxa"/>
                      </w:tcPr>
                      <w:p>
                        <w:pPr>
                          <w:pStyle w:val="TableParagraph"/>
                          <w:spacing w:before="162"/>
                          <w:ind w:left="186" w:right="179"/>
                          <w:rPr>
                            <w:sz w:val="21"/>
                          </w:rPr>
                        </w:pPr>
                        <w:r>
                          <w:rPr>
                            <w:sz w:val="21"/>
                          </w:rPr>
                          <w:t>单位</w:t>
                        </w:r>
                      </w:p>
                    </w:tc>
                    <w:tc>
                      <w:tcPr>
                        <w:tcW w:w="933" w:type="dxa"/>
                      </w:tcPr>
                      <w:p>
                        <w:pPr>
                          <w:pStyle w:val="TableParagraph"/>
                          <w:spacing w:line="268" w:lineRule="exact"/>
                          <w:ind w:left="46"/>
                          <w:jc w:val="left"/>
                          <w:rPr>
                            <w:sz w:val="21"/>
                          </w:rPr>
                        </w:pPr>
                        <w:r>
                          <w:rPr>
                            <w:w w:val="95"/>
                            <w:sz w:val="21"/>
                          </w:rPr>
                          <w:t>二级指标</w:t>
                        </w:r>
                      </w:p>
                      <w:p>
                        <w:pPr>
                          <w:pStyle w:val="TableParagraph"/>
                          <w:spacing w:before="57"/>
                          <w:ind w:left="46"/>
                          <w:jc w:val="left"/>
                          <w:rPr>
                            <w:sz w:val="21"/>
                          </w:rPr>
                        </w:pPr>
                        <w:r>
                          <w:rPr>
                            <w:w w:val="95"/>
                            <w:sz w:val="21"/>
                          </w:rPr>
                          <w:t>分权重值</w:t>
                        </w:r>
                      </w:p>
                    </w:tc>
                    <w:tc>
                      <w:tcPr>
                        <w:tcW w:w="2641" w:type="dxa"/>
                      </w:tcPr>
                      <w:p>
                        <w:pPr>
                          <w:pStyle w:val="TableParagraph"/>
                          <w:spacing w:before="162"/>
                          <w:ind w:left="773" w:right="768"/>
                          <w:rPr>
                            <w:sz w:val="21"/>
                          </w:rPr>
                        </w:pPr>
                        <w:r>
                          <w:rPr>
                            <w:sz w:val="21"/>
                          </w:rPr>
                          <w:t>Ⅰ级基准值</w:t>
                        </w:r>
                      </w:p>
                    </w:tc>
                    <w:tc>
                      <w:tcPr>
                        <w:tcW w:w="1879" w:type="dxa"/>
                      </w:tcPr>
                      <w:p>
                        <w:pPr>
                          <w:pStyle w:val="TableParagraph"/>
                          <w:spacing w:before="162"/>
                          <w:ind w:left="393" w:right="386"/>
                          <w:rPr>
                            <w:sz w:val="21"/>
                          </w:rPr>
                        </w:pPr>
                        <w:r>
                          <w:rPr>
                            <w:sz w:val="21"/>
                          </w:rPr>
                          <w:t>Ⅱ级基准值</w:t>
                        </w:r>
                      </w:p>
                    </w:tc>
                    <w:tc>
                      <w:tcPr>
                        <w:tcW w:w="2021" w:type="dxa"/>
                      </w:tcPr>
                      <w:p>
                        <w:pPr>
                          <w:pStyle w:val="TableParagraph"/>
                          <w:spacing w:before="162"/>
                          <w:ind w:left="464" w:right="457"/>
                          <w:rPr>
                            <w:sz w:val="21"/>
                          </w:rPr>
                        </w:pPr>
                        <w:r>
                          <w:rPr>
                            <w:sz w:val="21"/>
                          </w:rPr>
                          <w:t>Ⅲ级基准值</w:t>
                        </w:r>
                      </w:p>
                    </w:tc>
                    <w:tc>
                      <w:tcPr>
                        <w:tcW w:w="1165" w:type="dxa"/>
                      </w:tcPr>
                      <w:p>
                        <w:pPr>
                          <w:pStyle w:val="TableParagraph"/>
                          <w:spacing w:line="268" w:lineRule="exact"/>
                          <w:ind w:left="18" w:right="13"/>
                          <w:rPr>
                            <w:sz w:val="21"/>
                          </w:rPr>
                        </w:pPr>
                        <w:r>
                          <w:rPr>
                            <w:sz w:val="21"/>
                          </w:rPr>
                          <w:t>本煤矿扩建</w:t>
                        </w:r>
                      </w:p>
                      <w:p>
                        <w:pPr>
                          <w:pStyle w:val="TableParagraph"/>
                          <w:spacing w:before="57"/>
                          <w:ind w:left="5"/>
                          <w:rPr>
                            <w:sz w:val="21"/>
                          </w:rPr>
                        </w:pPr>
                        <w:r>
                          <w:rPr>
                            <w:w w:val="99"/>
                            <w:sz w:val="21"/>
                          </w:rPr>
                          <w:t>后</w:t>
                        </w:r>
                      </w:p>
                    </w:tc>
                  </w:tr>
                  <w:tr>
                    <w:trPr>
                      <w:trHeight w:val="652" w:hRule="atLeast"/>
                    </w:trPr>
                    <w:tc>
                      <w:tcPr>
                        <w:tcW w:w="572" w:type="dxa"/>
                      </w:tcPr>
                      <w:p>
                        <w:pPr>
                          <w:pStyle w:val="TableParagraph"/>
                          <w:spacing w:before="179"/>
                          <w:ind w:left="10"/>
                          <w:rPr>
                            <w:rFonts w:ascii="Times New Roman"/>
                            <w:sz w:val="21"/>
                          </w:rPr>
                        </w:pPr>
                        <w:r>
                          <w:rPr>
                            <w:rFonts w:ascii="Times New Roman"/>
                            <w:w w:val="99"/>
                            <w:sz w:val="21"/>
                          </w:rPr>
                          <w:t>1</w:t>
                        </w:r>
                      </w:p>
                    </w:tc>
                    <w:tc>
                      <w:tcPr>
                        <w:tcW w:w="1090"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16"/>
                          </w:rPr>
                        </w:pPr>
                      </w:p>
                      <w:p>
                        <w:pPr>
                          <w:pStyle w:val="TableParagraph"/>
                          <w:spacing w:line="292" w:lineRule="auto"/>
                          <w:ind w:left="19" w:right="9"/>
                          <w:rPr>
                            <w:sz w:val="21"/>
                          </w:rPr>
                        </w:pPr>
                        <w:r>
                          <w:rPr>
                            <w:sz w:val="21"/>
                          </w:rPr>
                          <w:t>（一）生产工艺及装备指标</w:t>
                        </w:r>
                      </w:p>
                    </w:tc>
                    <w:tc>
                      <w:tcPr>
                        <w:tcW w:w="1068"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19"/>
                          </w:rPr>
                        </w:pPr>
                      </w:p>
                      <w:p>
                        <w:pPr>
                          <w:pStyle w:val="TableParagraph"/>
                          <w:ind w:left="350"/>
                          <w:jc w:val="left"/>
                          <w:rPr>
                            <w:rFonts w:ascii="Times New Roman"/>
                            <w:sz w:val="21"/>
                          </w:rPr>
                        </w:pPr>
                        <w:r>
                          <w:rPr>
                            <w:rFonts w:ascii="Times New Roman"/>
                            <w:sz w:val="21"/>
                          </w:rPr>
                          <w:t>0.25</w:t>
                        </w:r>
                      </w:p>
                    </w:tc>
                    <w:tc>
                      <w:tcPr>
                        <w:tcW w:w="1818" w:type="dxa"/>
                      </w:tcPr>
                      <w:p>
                        <w:pPr>
                          <w:pStyle w:val="TableParagraph"/>
                          <w:ind w:left="6"/>
                          <w:rPr>
                            <w:sz w:val="21"/>
                          </w:rPr>
                        </w:pPr>
                        <w:r>
                          <w:rPr>
                            <w:rFonts w:ascii="Times New Roman" w:eastAsia="Times New Roman"/>
                            <w:sz w:val="21"/>
                          </w:rPr>
                          <w:t>*</w:t>
                        </w:r>
                        <w:r>
                          <w:rPr>
                            <w:sz w:val="21"/>
                          </w:rPr>
                          <w:t>煤矿机械化掘进比</w:t>
                        </w:r>
                      </w:p>
                      <w:p>
                        <w:pPr>
                          <w:pStyle w:val="TableParagraph"/>
                          <w:spacing w:before="57"/>
                          <w:ind w:left="8"/>
                          <w:rPr>
                            <w:sz w:val="21"/>
                          </w:rPr>
                        </w:pPr>
                        <w:r>
                          <w:rPr>
                            <w:w w:val="99"/>
                            <w:sz w:val="21"/>
                          </w:rPr>
                          <w:t>例</w:t>
                        </w:r>
                      </w:p>
                    </w:tc>
                    <w:tc>
                      <w:tcPr>
                        <w:tcW w:w="835" w:type="dxa"/>
                      </w:tcPr>
                      <w:p>
                        <w:pPr>
                          <w:pStyle w:val="TableParagraph"/>
                          <w:spacing w:before="179"/>
                          <w:ind w:left="8"/>
                          <w:rPr>
                            <w:rFonts w:ascii="Times New Roman"/>
                            <w:sz w:val="21"/>
                          </w:rPr>
                        </w:pPr>
                        <w:r>
                          <w:rPr>
                            <w:rFonts w:ascii="Times New Roman"/>
                            <w:w w:val="99"/>
                            <w:sz w:val="21"/>
                          </w:rPr>
                          <w:t>%</w:t>
                        </w:r>
                      </w:p>
                    </w:tc>
                    <w:tc>
                      <w:tcPr>
                        <w:tcW w:w="933" w:type="dxa"/>
                      </w:tcPr>
                      <w:p>
                        <w:pPr>
                          <w:pStyle w:val="TableParagraph"/>
                          <w:spacing w:before="179"/>
                          <w:ind w:left="281"/>
                          <w:jc w:val="left"/>
                          <w:rPr>
                            <w:rFonts w:ascii="Times New Roman"/>
                            <w:sz w:val="21"/>
                          </w:rPr>
                        </w:pPr>
                        <w:r>
                          <w:rPr>
                            <w:rFonts w:ascii="Times New Roman"/>
                            <w:sz w:val="21"/>
                          </w:rPr>
                          <w:t>0.08</w:t>
                        </w:r>
                      </w:p>
                    </w:tc>
                    <w:tc>
                      <w:tcPr>
                        <w:tcW w:w="2641" w:type="dxa"/>
                      </w:tcPr>
                      <w:p>
                        <w:pPr>
                          <w:pStyle w:val="TableParagraph"/>
                          <w:spacing w:before="179"/>
                          <w:ind w:left="773" w:right="762"/>
                          <w:rPr>
                            <w:rFonts w:ascii="Times New Roman" w:hAnsi="Times New Roman"/>
                            <w:sz w:val="21"/>
                          </w:rPr>
                        </w:pPr>
                        <w:r>
                          <w:rPr>
                            <w:rFonts w:ascii="Times New Roman" w:hAnsi="Times New Roman"/>
                            <w:sz w:val="21"/>
                          </w:rPr>
                          <w:t>≥90</w:t>
                        </w:r>
                      </w:p>
                    </w:tc>
                    <w:tc>
                      <w:tcPr>
                        <w:tcW w:w="1879" w:type="dxa"/>
                      </w:tcPr>
                      <w:p>
                        <w:pPr>
                          <w:pStyle w:val="TableParagraph"/>
                          <w:spacing w:before="179"/>
                          <w:ind w:left="393" w:right="385"/>
                          <w:rPr>
                            <w:rFonts w:ascii="Times New Roman" w:hAnsi="Times New Roman"/>
                            <w:sz w:val="21"/>
                          </w:rPr>
                        </w:pPr>
                        <w:r>
                          <w:rPr>
                            <w:rFonts w:ascii="Times New Roman" w:hAnsi="Times New Roman"/>
                            <w:sz w:val="21"/>
                          </w:rPr>
                          <w:t>≥85</w:t>
                        </w:r>
                      </w:p>
                    </w:tc>
                    <w:tc>
                      <w:tcPr>
                        <w:tcW w:w="2021" w:type="dxa"/>
                      </w:tcPr>
                      <w:p>
                        <w:pPr>
                          <w:pStyle w:val="TableParagraph"/>
                          <w:spacing w:before="179"/>
                          <w:ind w:left="464" w:right="454"/>
                          <w:rPr>
                            <w:rFonts w:ascii="Times New Roman" w:hAnsi="Times New Roman"/>
                            <w:sz w:val="21"/>
                          </w:rPr>
                        </w:pPr>
                        <w:r>
                          <w:rPr>
                            <w:rFonts w:ascii="Times New Roman" w:hAnsi="Times New Roman"/>
                            <w:sz w:val="21"/>
                          </w:rPr>
                          <w:t>≥80</w:t>
                        </w:r>
                      </w:p>
                    </w:tc>
                    <w:tc>
                      <w:tcPr>
                        <w:tcW w:w="1165" w:type="dxa"/>
                      </w:tcPr>
                      <w:p>
                        <w:pPr>
                          <w:pStyle w:val="TableParagraph"/>
                          <w:spacing w:before="179"/>
                          <w:ind w:right="409"/>
                          <w:jc w:val="right"/>
                          <w:rPr>
                            <w:rFonts w:ascii="Times New Roman" w:hAnsi="Times New Roman"/>
                            <w:sz w:val="21"/>
                          </w:rPr>
                        </w:pPr>
                        <w:r>
                          <w:rPr>
                            <w:rFonts w:ascii="Times New Roman" w:hAnsi="Times New Roman"/>
                            <w:sz w:val="21"/>
                          </w:rPr>
                          <w:t>≥90</w:t>
                        </w:r>
                      </w:p>
                    </w:tc>
                  </w:tr>
                  <w:tr>
                    <w:trPr>
                      <w:trHeight w:val="654" w:hRule="atLeast"/>
                    </w:trPr>
                    <w:tc>
                      <w:tcPr>
                        <w:tcW w:w="572" w:type="dxa"/>
                      </w:tcPr>
                      <w:p>
                        <w:pPr>
                          <w:pStyle w:val="TableParagraph"/>
                          <w:spacing w:before="181"/>
                          <w:ind w:left="10"/>
                          <w:rPr>
                            <w:rFonts w:ascii="Times New Roman"/>
                            <w:sz w:val="21"/>
                          </w:rPr>
                        </w:pPr>
                        <w:r>
                          <w:rPr>
                            <w:rFonts w:ascii="Times New Roman"/>
                            <w:w w:val="99"/>
                            <w:sz w:val="21"/>
                          </w:rPr>
                          <w:t>2</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spacing w:before="2"/>
                          <w:ind w:left="6"/>
                          <w:rPr>
                            <w:sz w:val="21"/>
                          </w:rPr>
                        </w:pPr>
                        <w:r>
                          <w:rPr>
                            <w:rFonts w:ascii="Times New Roman" w:eastAsia="Times New Roman"/>
                            <w:sz w:val="21"/>
                          </w:rPr>
                          <w:t>*</w:t>
                        </w:r>
                        <w:r>
                          <w:rPr>
                            <w:sz w:val="21"/>
                          </w:rPr>
                          <w:t>煤矿机械化采煤比</w:t>
                        </w:r>
                      </w:p>
                      <w:p>
                        <w:pPr>
                          <w:pStyle w:val="TableParagraph"/>
                          <w:spacing w:before="55"/>
                          <w:ind w:left="8"/>
                          <w:rPr>
                            <w:sz w:val="21"/>
                          </w:rPr>
                        </w:pPr>
                        <w:r>
                          <w:rPr>
                            <w:w w:val="99"/>
                            <w:sz w:val="21"/>
                          </w:rPr>
                          <w:t>例</w:t>
                        </w:r>
                      </w:p>
                    </w:tc>
                    <w:tc>
                      <w:tcPr>
                        <w:tcW w:w="835" w:type="dxa"/>
                      </w:tcPr>
                      <w:p>
                        <w:pPr>
                          <w:pStyle w:val="TableParagraph"/>
                          <w:spacing w:before="181"/>
                          <w:ind w:left="8"/>
                          <w:rPr>
                            <w:rFonts w:ascii="Times New Roman"/>
                            <w:sz w:val="21"/>
                          </w:rPr>
                        </w:pPr>
                        <w:r>
                          <w:rPr>
                            <w:rFonts w:ascii="Times New Roman"/>
                            <w:w w:val="99"/>
                            <w:sz w:val="21"/>
                          </w:rPr>
                          <w:t>%</w:t>
                        </w:r>
                      </w:p>
                    </w:tc>
                    <w:tc>
                      <w:tcPr>
                        <w:tcW w:w="933" w:type="dxa"/>
                      </w:tcPr>
                      <w:p>
                        <w:pPr>
                          <w:pStyle w:val="TableParagraph"/>
                          <w:spacing w:before="181"/>
                          <w:ind w:left="281"/>
                          <w:jc w:val="left"/>
                          <w:rPr>
                            <w:rFonts w:ascii="Times New Roman"/>
                            <w:sz w:val="21"/>
                          </w:rPr>
                        </w:pPr>
                        <w:r>
                          <w:rPr>
                            <w:rFonts w:ascii="Times New Roman"/>
                            <w:sz w:val="21"/>
                          </w:rPr>
                          <w:t>0.08</w:t>
                        </w:r>
                      </w:p>
                    </w:tc>
                    <w:tc>
                      <w:tcPr>
                        <w:tcW w:w="2641" w:type="dxa"/>
                      </w:tcPr>
                      <w:p>
                        <w:pPr>
                          <w:pStyle w:val="TableParagraph"/>
                          <w:spacing w:before="181"/>
                          <w:ind w:left="773" w:right="762"/>
                          <w:rPr>
                            <w:rFonts w:ascii="Times New Roman" w:hAnsi="Times New Roman"/>
                            <w:sz w:val="21"/>
                          </w:rPr>
                        </w:pPr>
                        <w:r>
                          <w:rPr>
                            <w:rFonts w:ascii="Times New Roman" w:hAnsi="Times New Roman"/>
                            <w:sz w:val="21"/>
                          </w:rPr>
                          <w:t>≥95</w:t>
                        </w:r>
                      </w:p>
                    </w:tc>
                    <w:tc>
                      <w:tcPr>
                        <w:tcW w:w="1879" w:type="dxa"/>
                      </w:tcPr>
                      <w:p>
                        <w:pPr>
                          <w:pStyle w:val="TableParagraph"/>
                          <w:spacing w:before="181"/>
                          <w:ind w:left="393" w:right="385"/>
                          <w:rPr>
                            <w:rFonts w:ascii="Times New Roman" w:hAnsi="Times New Roman"/>
                            <w:sz w:val="21"/>
                          </w:rPr>
                        </w:pPr>
                        <w:r>
                          <w:rPr>
                            <w:rFonts w:ascii="Times New Roman" w:hAnsi="Times New Roman"/>
                            <w:sz w:val="21"/>
                          </w:rPr>
                          <w:t>≥90</w:t>
                        </w:r>
                      </w:p>
                    </w:tc>
                    <w:tc>
                      <w:tcPr>
                        <w:tcW w:w="2021" w:type="dxa"/>
                      </w:tcPr>
                      <w:p>
                        <w:pPr>
                          <w:pStyle w:val="TableParagraph"/>
                          <w:spacing w:before="181"/>
                          <w:ind w:left="464" w:right="454"/>
                          <w:rPr>
                            <w:rFonts w:ascii="Times New Roman" w:hAnsi="Times New Roman"/>
                            <w:sz w:val="21"/>
                          </w:rPr>
                        </w:pPr>
                        <w:r>
                          <w:rPr>
                            <w:rFonts w:ascii="Times New Roman" w:hAnsi="Times New Roman"/>
                            <w:sz w:val="21"/>
                          </w:rPr>
                          <w:t>≥85</w:t>
                        </w:r>
                      </w:p>
                    </w:tc>
                    <w:tc>
                      <w:tcPr>
                        <w:tcW w:w="1165" w:type="dxa"/>
                      </w:tcPr>
                      <w:p>
                        <w:pPr>
                          <w:pStyle w:val="TableParagraph"/>
                          <w:spacing w:before="181"/>
                          <w:ind w:right="409"/>
                          <w:jc w:val="right"/>
                          <w:rPr>
                            <w:rFonts w:ascii="Times New Roman" w:hAnsi="Times New Roman"/>
                            <w:sz w:val="21"/>
                          </w:rPr>
                        </w:pPr>
                        <w:r>
                          <w:rPr>
                            <w:rFonts w:ascii="Times New Roman" w:hAnsi="Times New Roman"/>
                            <w:sz w:val="21"/>
                          </w:rPr>
                          <w:t>≥95</w:t>
                        </w:r>
                      </w:p>
                    </w:tc>
                  </w:tr>
                  <w:tr>
                    <w:trPr>
                      <w:trHeight w:val="2941" w:hRule="atLeast"/>
                    </w:trPr>
                    <w:tc>
                      <w:tcPr>
                        <w:tcW w:w="572"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7"/>
                          <w:ind w:left="10"/>
                          <w:rPr>
                            <w:rFonts w:ascii="Times New Roman"/>
                            <w:sz w:val="21"/>
                          </w:rPr>
                        </w:pPr>
                        <w:r>
                          <w:rPr>
                            <w:rFonts w:ascii="Times New Roman"/>
                            <w:w w:val="99"/>
                            <w:sz w:val="21"/>
                          </w:rPr>
                          <w:t>3</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29"/>
                          </w:rPr>
                        </w:pPr>
                      </w:p>
                      <w:p>
                        <w:pPr>
                          <w:pStyle w:val="TableParagraph"/>
                          <w:spacing w:line="290" w:lineRule="auto"/>
                          <w:ind w:left="592" w:right="58" w:hanging="524"/>
                          <w:jc w:val="left"/>
                          <w:rPr>
                            <w:sz w:val="21"/>
                          </w:rPr>
                        </w:pPr>
                        <w:r>
                          <w:rPr>
                            <w:sz w:val="21"/>
                          </w:rPr>
                          <w:t>井下煤炭输送工艺及装备</w:t>
                        </w:r>
                      </w:p>
                    </w:tc>
                    <w:tc>
                      <w:tcPr>
                        <w:tcW w:w="83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1"/>
                          </w:rPr>
                        </w:pPr>
                      </w:p>
                      <w:p>
                        <w:pPr>
                          <w:pStyle w:val="TableParagraph"/>
                          <w:spacing w:before="1"/>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7"/>
                          <w:ind w:left="281"/>
                          <w:jc w:val="left"/>
                          <w:rPr>
                            <w:rFonts w:ascii="Times New Roman"/>
                            <w:sz w:val="21"/>
                          </w:rPr>
                        </w:pPr>
                        <w:r>
                          <w:rPr>
                            <w:rFonts w:ascii="Times New Roman"/>
                            <w:sz w:val="21"/>
                          </w:rPr>
                          <w:t>0.04</w:t>
                        </w:r>
                      </w:p>
                    </w:tc>
                    <w:tc>
                      <w:tcPr>
                        <w:tcW w:w="2641"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6"/>
                          </w:rPr>
                        </w:pPr>
                      </w:p>
                      <w:p>
                        <w:pPr>
                          <w:pStyle w:val="TableParagraph"/>
                          <w:spacing w:line="290" w:lineRule="auto" w:before="1"/>
                          <w:ind w:left="4" w:right="-15"/>
                          <w:jc w:val="both"/>
                          <w:rPr>
                            <w:sz w:val="21"/>
                          </w:rPr>
                        </w:pPr>
                        <w:r>
                          <w:rPr>
                            <w:spacing w:val="8"/>
                            <w:sz w:val="21"/>
                          </w:rPr>
                          <w:t>长距离井下至井口带式输送</w:t>
                        </w:r>
                        <w:r>
                          <w:rPr>
                            <w:spacing w:val="-4"/>
                            <w:sz w:val="21"/>
                          </w:rPr>
                          <w:t>机连续运输</w:t>
                        </w:r>
                        <w:r>
                          <w:rPr>
                            <w:sz w:val="21"/>
                          </w:rPr>
                          <w:t>（实现集控</w:t>
                        </w:r>
                        <w:r>
                          <w:rPr>
                            <w:spacing w:val="-51"/>
                            <w:sz w:val="21"/>
                          </w:rPr>
                          <w:t>）</w:t>
                        </w:r>
                        <w:r>
                          <w:rPr>
                            <w:sz w:val="21"/>
                          </w:rPr>
                          <w:t>立井采用机车牵引矿车运输</w:t>
                        </w:r>
                      </w:p>
                    </w:tc>
                    <w:tc>
                      <w:tcPr>
                        <w:tcW w:w="187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6"/>
                          </w:rPr>
                        </w:pPr>
                      </w:p>
                      <w:p>
                        <w:pPr>
                          <w:pStyle w:val="TableParagraph"/>
                          <w:spacing w:line="290" w:lineRule="auto" w:before="1"/>
                          <w:ind w:left="5" w:right="-15"/>
                          <w:jc w:val="both"/>
                          <w:rPr>
                            <w:sz w:val="21"/>
                          </w:rPr>
                        </w:pPr>
                        <w:r>
                          <w:rPr>
                            <w:sz w:val="21"/>
                          </w:rPr>
                          <w:t>采区采用带式输送机，井下大巷采用机车牵引矿车运输</w:t>
                        </w:r>
                      </w:p>
                    </w:tc>
                    <w:tc>
                      <w:tcPr>
                        <w:tcW w:w="2021"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29"/>
                          </w:rPr>
                        </w:pPr>
                      </w:p>
                      <w:p>
                        <w:pPr>
                          <w:pStyle w:val="TableParagraph"/>
                          <w:spacing w:line="290" w:lineRule="auto"/>
                          <w:ind w:left="5" w:right="-15"/>
                          <w:jc w:val="left"/>
                          <w:rPr>
                            <w:sz w:val="21"/>
                          </w:rPr>
                        </w:pPr>
                        <w:r>
                          <w:rPr>
                            <w:spacing w:val="12"/>
                            <w:sz w:val="21"/>
                          </w:rPr>
                          <w:t>采用以矿车为主的运输方式</w:t>
                        </w:r>
                      </w:p>
                    </w:tc>
                    <w:tc>
                      <w:tcPr>
                        <w:tcW w:w="1165" w:type="dxa"/>
                      </w:tcPr>
                      <w:p>
                        <w:pPr>
                          <w:pStyle w:val="TableParagraph"/>
                          <w:spacing w:line="290" w:lineRule="auto"/>
                          <w:ind w:left="5" w:right="-15"/>
                          <w:jc w:val="both"/>
                          <w:rPr>
                            <w:sz w:val="21"/>
                          </w:rPr>
                        </w:pPr>
                        <w:r>
                          <w:rPr>
                            <w:spacing w:val="-19"/>
                            <w:sz w:val="21"/>
                          </w:rPr>
                          <w:t>主井、采面运输顺槽采用胶带运输机</w:t>
                        </w:r>
                        <w:r>
                          <w:rPr>
                            <w:spacing w:val="-25"/>
                            <w:sz w:val="21"/>
                          </w:rPr>
                          <w:t>运输，其它巷道均采用蓄电池电机车或绞车牵引 </w:t>
                        </w:r>
                        <w:r>
                          <w:rPr>
                            <w:rFonts w:ascii="Times New Roman" w:eastAsia="Times New Roman"/>
                            <w:spacing w:val="-25"/>
                            <w:sz w:val="21"/>
                          </w:rPr>
                          <w:t>1</w:t>
                        </w:r>
                        <w:r>
                          <w:rPr>
                            <w:rFonts w:ascii="Times New Roman" w:eastAsia="Times New Roman"/>
                            <w:spacing w:val="-3"/>
                            <w:sz w:val="21"/>
                          </w:rPr>
                          <w:t> </w:t>
                        </w:r>
                        <w:r>
                          <w:rPr>
                            <w:sz w:val="21"/>
                          </w:rPr>
                          <w:t>吨固定矿</w:t>
                        </w:r>
                      </w:p>
                      <w:p>
                        <w:pPr>
                          <w:pStyle w:val="TableParagraph"/>
                          <w:spacing w:before="9"/>
                          <w:ind w:left="161"/>
                          <w:jc w:val="left"/>
                          <w:rPr>
                            <w:sz w:val="21"/>
                          </w:rPr>
                        </w:pPr>
                        <w:r>
                          <w:rPr>
                            <w:w w:val="95"/>
                            <w:sz w:val="21"/>
                          </w:rPr>
                          <w:t>车运输。</w:t>
                        </w:r>
                      </w:p>
                    </w:tc>
                  </w:tr>
                  <w:tr>
                    <w:trPr>
                      <w:trHeight w:val="3266" w:hRule="atLeast"/>
                    </w:trPr>
                    <w:tc>
                      <w:tcPr>
                        <w:tcW w:w="572"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2"/>
                          <w:jc w:val="left"/>
                          <w:rPr>
                            <w:sz w:val="28"/>
                          </w:rPr>
                        </w:pPr>
                      </w:p>
                      <w:p>
                        <w:pPr>
                          <w:pStyle w:val="TableParagraph"/>
                          <w:ind w:left="10"/>
                          <w:rPr>
                            <w:rFonts w:ascii="Times New Roman"/>
                            <w:sz w:val="21"/>
                          </w:rPr>
                        </w:pPr>
                        <w:r>
                          <w:rPr>
                            <w:rFonts w:ascii="Times New Roman"/>
                            <w:w w:val="99"/>
                            <w:sz w:val="21"/>
                          </w:rPr>
                          <w:t>4</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14"/>
                          </w:rPr>
                        </w:pPr>
                      </w:p>
                      <w:p>
                        <w:pPr>
                          <w:pStyle w:val="TableParagraph"/>
                          <w:ind w:left="6"/>
                          <w:rPr>
                            <w:sz w:val="21"/>
                          </w:rPr>
                        </w:pPr>
                        <w:r>
                          <w:rPr>
                            <w:sz w:val="21"/>
                          </w:rPr>
                          <w:t>井巷支护工艺</w:t>
                        </w:r>
                      </w:p>
                    </w:tc>
                    <w:tc>
                      <w:tcPr>
                        <w:tcW w:w="83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14"/>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2"/>
                          <w:jc w:val="left"/>
                          <w:rPr>
                            <w:sz w:val="28"/>
                          </w:rPr>
                        </w:pPr>
                      </w:p>
                      <w:p>
                        <w:pPr>
                          <w:pStyle w:val="TableParagraph"/>
                          <w:ind w:left="281"/>
                          <w:jc w:val="left"/>
                          <w:rPr>
                            <w:rFonts w:ascii="Times New Roman"/>
                            <w:sz w:val="21"/>
                          </w:rPr>
                        </w:pPr>
                        <w:r>
                          <w:rPr>
                            <w:rFonts w:ascii="Times New Roman"/>
                            <w:sz w:val="21"/>
                          </w:rPr>
                          <w:t>0.04</w:t>
                        </w:r>
                      </w:p>
                    </w:tc>
                    <w:tc>
                      <w:tcPr>
                        <w:tcW w:w="2641" w:type="dxa"/>
                      </w:tcPr>
                      <w:p>
                        <w:pPr>
                          <w:pStyle w:val="TableParagraph"/>
                          <w:jc w:val="left"/>
                          <w:rPr>
                            <w:sz w:val="20"/>
                          </w:rPr>
                        </w:pPr>
                      </w:p>
                      <w:p>
                        <w:pPr>
                          <w:pStyle w:val="TableParagraph"/>
                          <w:jc w:val="left"/>
                          <w:rPr>
                            <w:sz w:val="20"/>
                          </w:rPr>
                        </w:pPr>
                      </w:p>
                      <w:p>
                        <w:pPr>
                          <w:pStyle w:val="TableParagraph"/>
                          <w:spacing w:before="10"/>
                          <w:jc w:val="left"/>
                          <w:rPr>
                            <w:sz w:val="23"/>
                          </w:rPr>
                        </w:pPr>
                      </w:p>
                      <w:p>
                        <w:pPr>
                          <w:pStyle w:val="TableParagraph"/>
                          <w:spacing w:line="290" w:lineRule="auto"/>
                          <w:ind w:left="4" w:right="-15"/>
                          <w:jc w:val="both"/>
                          <w:rPr>
                            <w:sz w:val="21"/>
                          </w:rPr>
                        </w:pPr>
                        <w:r>
                          <w:rPr>
                            <w:spacing w:val="-10"/>
                            <w:sz w:val="21"/>
                          </w:rPr>
                          <w:t>井筒岩巷光爆锚喷、锚杆、锚</w:t>
                        </w:r>
                        <w:r>
                          <w:rPr>
                            <w:spacing w:val="-15"/>
                            <w:sz w:val="21"/>
                          </w:rPr>
                          <w:t>索等支护技术，煤巷采用锚网喷或锚网、锚索支护；斜井明</w:t>
                        </w:r>
                        <w:r>
                          <w:rPr>
                            <w:spacing w:val="8"/>
                            <w:sz w:val="21"/>
                          </w:rPr>
                          <w:t>槽开挖段及立井井筒采用砌壁支护</w:t>
                        </w:r>
                      </w:p>
                    </w:tc>
                    <w:tc>
                      <w:tcPr>
                        <w:tcW w:w="3900" w:type="dxa"/>
                        <w:gridSpan w:val="2"/>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16"/>
                          </w:rPr>
                        </w:pPr>
                      </w:p>
                      <w:p>
                        <w:pPr>
                          <w:pStyle w:val="TableParagraph"/>
                          <w:spacing w:line="292" w:lineRule="auto" w:before="1"/>
                          <w:ind w:left="5" w:right="-15"/>
                          <w:jc w:val="both"/>
                          <w:rPr>
                            <w:sz w:val="21"/>
                          </w:rPr>
                        </w:pPr>
                        <w:r>
                          <w:rPr>
                            <w:spacing w:val="5"/>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Pr>
                      <w:p>
                        <w:pPr>
                          <w:pStyle w:val="TableParagraph"/>
                          <w:spacing w:line="290" w:lineRule="auto" w:before="1"/>
                          <w:ind w:left="5" w:right="-15"/>
                          <w:rPr>
                            <w:sz w:val="21"/>
                          </w:rPr>
                        </w:pPr>
                        <w:r>
                          <w:rPr>
                            <w:spacing w:val="-19"/>
                            <w:sz w:val="21"/>
                          </w:rPr>
                          <w:t>车场、石门为半圆形断面锚喷支护。沿煤层巷道为梯形断面工作面开切眼为矩形断</w:t>
                        </w:r>
                        <w:r>
                          <w:rPr>
                            <w:spacing w:val="-22"/>
                            <w:w w:val="95"/>
                            <w:sz w:val="21"/>
                          </w:rPr>
                          <w:t>面，梯形断面</w:t>
                        </w:r>
                        <w:r>
                          <w:rPr>
                            <w:spacing w:val="-22"/>
                            <w:sz w:val="21"/>
                          </w:rPr>
                          <w:t>采用锚杆或</w:t>
                        </w:r>
                      </w:p>
                      <w:p>
                        <w:pPr>
                          <w:pStyle w:val="TableParagraph"/>
                          <w:spacing w:before="10"/>
                          <w:ind w:left="19" w:right="13"/>
                          <w:rPr>
                            <w:sz w:val="21"/>
                          </w:rPr>
                        </w:pPr>
                        <w:r>
                          <w:rPr>
                            <w:w w:val="95"/>
                            <w:sz w:val="21"/>
                          </w:rPr>
                          <w:t>锚喷支护</w:t>
                        </w:r>
                        <w:r>
                          <w:rPr>
                            <w:rFonts w:ascii="Times New Roman" w:eastAsia="Times New Roman"/>
                            <w:w w:val="95"/>
                            <w:sz w:val="21"/>
                          </w:rPr>
                          <w:t>,</w:t>
                        </w:r>
                        <w:r>
                          <w:rPr>
                            <w:w w:val="95"/>
                            <w:sz w:val="21"/>
                          </w:rPr>
                          <w:t>矩</w:t>
                        </w:r>
                      </w:p>
                    </w:tc>
                  </w:tr>
                </w:tbl>
                <w:p>
                  <w:pPr>
                    <w:pStyle w:val="BodyText"/>
                  </w:pPr>
                </w:p>
              </w:txbxContent>
            </v:textbox>
            <w10:wrap type="none"/>
          </v:shape>
        </w:pict>
      </w:r>
      <w:r>
        <w:rPr/>
        <w:t>表 </w:t>
      </w:r>
      <w:r>
        <w:rPr>
          <w:rFonts w:ascii="Times New Roman" w:eastAsia="Times New Roman"/>
        </w:rPr>
        <w:t>12.2-1 </w:t>
      </w:r>
      <w:r>
        <w:rPr/>
        <w:t>煤炭采选业清洁生产评价指标体系</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4"/>
        </w:rPr>
      </w:pPr>
    </w:p>
    <w:p>
      <w:pPr>
        <w:spacing w:before="0"/>
        <w:ind w:left="14017" w:right="0" w:firstLine="0"/>
        <w:jc w:val="left"/>
        <w:rPr>
          <w:sz w:val="21"/>
        </w:rPr>
      </w:pPr>
      <w:r>
        <w:rPr>
          <w:w w:val="99"/>
          <w:sz w:val="21"/>
        </w:rPr>
        <w:t>，</w:t>
      </w:r>
    </w:p>
    <w:p>
      <w:pPr>
        <w:pStyle w:val="BodyText"/>
        <w:rPr>
          <w:sz w:val="20"/>
        </w:rPr>
      </w:pPr>
    </w:p>
    <w:p>
      <w:pPr>
        <w:pStyle w:val="BodyText"/>
        <w:rPr>
          <w:sz w:val="20"/>
        </w:rPr>
      </w:pPr>
    </w:p>
    <w:p>
      <w:pPr>
        <w:pStyle w:val="BodyText"/>
        <w:spacing w:before="6"/>
        <w:rPr>
          <w:sz w:val="15"/>
        </w:rPr>
      </w:pPr>
    </w:p>
    <w:p>
      <w:pPr>
        <w:spacing w:before="0"/>
        <w:ind w:left="14017" w:right="0" w:firstLine="0"/>
        <w:jc w:val="left"/>
        <w:rPr>
          <w:sz w:val="21"/>
        </w:rPr>
      </w:pPr>
      <w:r>
        <w:rPr>
          <w:w w:val="99"/>
          <w:sz w:val="21"/>
        </w:rPr>
        <w:t>、</w:t>
      </w:r>
    </w:p>
    <w:p>
      <w:pPr>
        <w:spacing w:after="0"/>
        <w:jc w:val="left"/>
        <w:rPr>
          <w:sz w:val="21"/>
        </w:rPr>
        <w:sectPr>
          <w:footerReference w:type="default" r:id="rId61"/>
          <w:pgSz w:w="16840" w:h="11910" w:orient="landscape"/>
          <w:pgMar w:footer="1169" w:header="0" w:top="1100" w:bottom="1360" w:left="1460" w:right="1040"/>
          <w:pgNumType w:start="159"/>
        </w:sectPr>
      </w:pPr>
    </w:p>
    <w:p>
      <w:pPr>
        <w:pStyle w:val="BodyText"/>
        <w:rPr>
          <w:sz w:val="20"/>
        </w:rPr>
      </w:pPr>
    </w:p>
    <w:p>
      <w:pPr>
        <w:pStyle w:val="BodyText"/>
        <w:spacing w:before="1"/>
        <w:rPr>
          <w:sz w:val="14"/>
        </w:rPr>
      </w:pPr>
    </w:p>
    <w:p>
      <w:pPr>
        <w:spacing w:after="0"/>
        <w:rPr>
          <w:sz w:val="14"/>
        </w:rPr>
        <w:sectPr>
          <w:footerReference w:type="default" r:id="rId62"/>
          <w:pgSz w:w="16840" w:h="11910" w:orient="landscape"/>
          <w:pgMar w:footer="1089" w:header="0" w:top="1100" w:bottom="1280" w:left="1460" w:right="1040"/>
          <w:pgNumType w:start="160"/>
        </w:sectPr>
      </w:pPr>
    </w:p>
    <w:p>
      <w:pPr>
        <w:spacing w:line="216" w:lineRule="exact" w:before="70"/>
        <w:ind w:left="697" w:right="0" w:firstLine="0"/>
        <w:jc w:val="left"/>
        <w:rPr>
          <w:sz w:val="21"/>
        </w:rPr>
      </w:pPr>
      <w:r>
        <w:rPr>
          <w:sz w:val="21"/>
        </w:rPr>
        <w:t>一级指标指一级指标权</w:t>
      </w:r>
    </w:p>
    <w:p>
      <w:pPr>
        <w:spacing w:line="141" w:lineRule="exact" w:before="0"/>
        <w:ind w:left="181" w:right="0" w:firstLine="0"/>
        <w:jc w:val="left"/>
        <w:rPr>
          <w:sz w:val="21"/>
        </w:rPr>
      </w:pPr>
      <w:r>
        <w:rPr>
          <w:sz w:val="21"/>
        </w:rPr>
        <w:t>序号</w:t>
      </w:r>
    </w:p>
    <w:p>
      <w:pPr>
        <w:pStyle w:val="BodyText"/>
        <w:spacing w:before="2"/>
        <w:rPr>
          <w:sz w:val="18"/>
        </w:rPr>
      </w:pPr>
      <w:r>
        <w:rPr/>
        <w:br w:type="column"/>
      </w:r>
      <w:r>
        <w:rPr>
          <w:sz w:val="18"/>
        </w:rPr>
      </w:r>
    </w:p>
    <w:p>
      <w:pPr>
        <w:spacing w:line="194" w:lineRule="exact" w:before="0"/>
        <w:ind w:left="142" w:right="0" w:firstLine="0"/>
        <w:jc w:val="left"/>
        <w:rPr>
          <w:sz w:val="21"/>
        </w:rPr>
      </w:pPr>
      <w:r>
        <w:rPr>
          <w:sz w:val="21"/>
        </w:rPr>
        <w:t>二级指标指标项</w:t>
      </w:r>
    </w:p>
    <w:p>
      <w:pPr>
        <w:spacing w:line="216" w:lineRule="exact" w:before="70"/>
        <w:ind w:left="856" w:right="0" w:firstLine="0"/>
        <w:jc w:val="left"/>
        <w:rPr>
          <w:sz w:val="21"/>
        </w:rPr>
      </w:pPr>
      <w:r>
        <w:rPr/>
        <w:br w:type="column"/>
      </w:r>
      <w:r>
        <w:rPr>
          <w:sz w:val="21"/>
        </w:rPr>
        <w:t>二级指标</w:t>
      </w:r>
    </w:p>
    <w:p>
      <w:pPr>
        <w:spacing w:line="141" w:lineRule="exact" w:before="0"/>
        <w:ind w:left="181" w:right="0" w:firstLine="0"/>
        <w:jc w:val="left"/>
        <w:rPr>
          <w:sz w:val="21"/>
        </w:rPr>
      </w:pPr>
      <w:r>
        <w:rPr>
          <w:sz w:val="21"/>
        </w:rPr>
        <w:t>单位</w:t>
      </w:r>
    </w:p>
    <w:p>
      <w:pPr>
        <w:pStyle w:val="BodyText"/>
        <w:spacing w:before="2"/>
        <w:rPr>
          <w:sz w:val="18"/>
        </w:rPr>
      </w:pPr>
      <w:r>
        <w:rPr/>
        <w:br w:type="column"/>
      </w:r>
      <w:r>
        <w:rPr>
          <w:sz w:val="18"/>
        </w:rPr>
      </w:r>
    </w:p>
    <w:p>
      <w:pPr>
        <w:spacing w:line="194" w:lineRule="exact" w:before="0"/>
        <w:ind w:left="181" w:right="0" w:firstLine="0"/>
        <w:jc w:val="left"/>
        <w:rPr>
          <w:sz w:val="21"/>
        </w:rPr>
      </w:pPr>
      <w:r>
        <w:rPr>
          <w:sz w:val="21"/>
        </w:rPr>
        <w:t>Ⅰ级基准值</w:t>
      </w:r>
    </w:p>
    <w:p>
      <w:pPr>
        <w:pStyle w:val="BodyText"/>
        <w:spacing w:before="2"/>
        <w:rPr>
          <w:sz w:val="18"/>
        </w:rPr>
      </w:pPr>
      <w:r>
        <w:rPr/>
        <w:br w:type="column"/>
      </w:r>
      <w:r>
        <w:rPr>
          <w:sz w:val="18"/>
        </w:rPr>
      </w:r>
    </w:p>
    <w:p>
      <w:pPr>
        <w:spacing w:line="194" w:lineRule="exact" w:before="0"/>
        <w:ind w:left="181" w:right="0" w:firstLine="0"/>
        <w:jc w:val="left"/>
        <w:rPr>
          <w:sz w:val="21"/>
        </w:rPr>
      </w:pPr>
      <w:r>
        <w:rPr>
          <w:sz w:val="21"/>
        </w:rPr>
        <w:t>Ⅱ级基准值</w:t>
      </w:r>
    </w:p>
    <w:p>
      <w:pPr>
        <w:pStyle w:val="BodyText"/>
        <w:spacing w:before="2"/>
        <w:rPr>
          <w:sz w:val="18"/>
        </w:rPr>
      </w:pPr>
      <w:r>
        <w:rPr/>
        <w:br w:type="column"/>
      </w:r>
      <w:r>
        <w:rPr>
          <w:sz w:val="18"/>
        </w:rPr>
      </w:r>
    </w:p>
    <w:p>
      <w:pPr>
        <w:spacing w:line="194" w:lineRule="exact" w:before="0"/>
        <w:ind w:left="181" w:right="0" w:firstLine="0"/>
        <w:jc w:val="left"/>
        <w:rPr>
          <w:sz w:val="21"/>
        </w:rPr>
      </w:pPr>
      <w:r>
        <w:rPr>
          <w:sz w:val="21"/>
        </w:rPr>
        <w:t>Ⅲ级基准值</w:t>
      </w:r>
    </w:p>
    <w:p>
      <w:pPr>
        <w:spacing w:before="70"/>
        <w:ind w:left="181" w:right="0" w:firstLine="0"/>
        <w:jc w:val="left"/>
        <w:rPr>
          <w:sz w:val="21"/>
        </w:rPr>
      </w:pPr>
      <w:r>
        <w:rPr/>
        <w:br w:type="column"/>
      </w:r>
      <w:r>
        <w:rPr>
          <w:sz w:val="21"/>
        </w:rPr>
        <w:t>本煤矿扩建</w:t>
      </w:r>
    </w:p>
    <w:p>
      <w:pPr>
        <w:spacing w:after="0"/>
        <w:jc w:val="left"/>
        <w:rPr>
          <w:sz w:val="21"/>
        </w:rPr>
        <w:sectPr>
          <w:type w:val="continuous"/>
          <w:pgSz w:w="16840" w:h="11910" w:orient="landscape"/>
          <w:pgMar w:top="1580" w:bottom="280" w:left="1460" w:right="1040"/>
          <w:cols w:num="7" w:equalWidth="0">
            <w:col w:w="2827" w:space="40"/>
            <w:col w:w="1652" w:space="161"/>
            <w:col w:w="1734" w:space="620"/>
            <w:col w:w="1271" w:space="990"/>
            <w:col w:w="1271" w:space="680"/>
            <w:col w:w="1269" w:space="323"/>
            <w:col w:w="1502"/>
          </w:cols>
        </w:sectPr>
      </w:pPr>
    </w:p>
    <w:p>
      <w:pPr>
        <w:tabs>
          <w:tab w:pos="2091" w:val="left" w:leader="none"/>
        </w:tabs>
        <w:spacing w:line="239" w:lineRule="exact" w:before="0"/>
        <w:ind w:left="1011" w:right="0" w:firstLine="0"/>
        <w:jc w:val="left"/>
        <w:rPr>
          <w:sz w:val="21"/>
        </w:rPr>
      </w:pPr>
      <w:r>
        <w:rPr>
          <w:sz w:val="21"/>
        </w:rPr>
        <w:t>标项</w:t>
        <w:tab/>
        <w:t>重值</w:t>
      </w:r>
    </w:p>
    <w:p>
      <w:pPr>
        <w:spacing w:line="239" w:lineRule="exact" w:before="0"/>
        <w:ind w:left="1011" w:right="0" w:firstLine="0"/>
        <w:jc w:val="left"/>
        <w:rPr>
          <w:sz w:val="21"/>
        </w:rPr>
      </w:pPr>
      <w:r>
        <w:rPr/>
        <w:br w:type="column"/>
      </w:r>
      <w:r>
        <w:rPr>
          <w:spacing w:val="-5"/>
          <w:sz w:val="21"/>
        </w:rPr>
        <w:t>分权重值</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3"/>
        <w:rPr>
          <w:sz w:val="17"/>
        </w:rPr>
      </w:pPr>
    </w:p>
    <w:p>
      <w:pPr>
        <w:spacing w:line="320" w:lineRule="atLeast" w:before="0"/>
        <w:ind w:left="12" w:right="0" w:firstLine="0"/>
        <w:jc w:val="left"/>
        <w:rPr>
          <w:sz w:val="21"/>
        </w:rPr>
      </w:pPr>
      <w:r>
        <w:rPr>
          <w:sz w:val="21"/>
        </w:rPr>
        <w:t>对于重要的含水层通过充填开采或离层注浆等措施进行</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before="178"/>
        <w:ind w:left="-29" w:right="0" w:firstLine="0"/>
        <w:jc w:val="left"/>
        <w:rPr>
          <w:sz w:val="21"/>
        </w:rPr>
      </w:pPr>
      <w:r>
        <w:rPr>
          <w:spacing w:val="-11"/>
          <w:sz w:val="21"/>
        </w:rPr>
        <w:t>顶板垮落法管理采空区，对于重要的含水层</w:t>
      </w:r>
    </w:p>
    <w:p>
      <w:pPr>
        <w:spacing w:line="239" w:lineRule="exact" w:before="0"/>
        <w:ind w:left="24" w:right="267" w:firstLine="0"/>
        <w:jc w:val="center"/>
        <w:rPr>
          <w:sz w:val="21"/>
        </w:rPr>
      </w:pPr>
      <w:r>
        <w:rPr/>
        <w:br w:type="column"/>
      </w:r>
      <w:r>
        <w:rPr>
          <w:sz w:val="21"/>
        </w:rPr>
        <w:t>后</w:t>
      </w:r>
    </w:p>
    <w:p>
      <w:pPr>
        <w:spacing w:line="290" w:lineRule="auto" w:before="67"/>
        <w:ind w:left="24" w:right="267" w:firstLine="0"/>
        <w:jc w:val="center"/>
        <w:rPr>
          <w:sz w:val="21"/>
        </w:rPr>
      </w:pPr>
      <w:r>
        <w:rPr>
          <w:spacing w:val="-3"/>
          <w:sz w:val="21"/>
        </w:rPr>
        <w:t>形断面采用金属支柱支</w:t>
      </w:r>
      <w:r>
        <w:rPr>
          <w:sz w:val="21"/>
        </w:rPr>
        <w:t>护。</w:t>
      </w:r>
    </w:p>
    <w:p>
      <w:pPr>
        <w:pStyle w:val="BodyText"/>
        <w:spacing w:before="7"/>
        <w:rPr>
          <w:sz w:val="26"/>
        </w:rPr>
      </w:pPr>
    </w:p>
    <w:p>
      <w:pPr>
        <w:spacing w:line="192" w:lineRule="exact" w:before="0"/>
        <w:ind w:left="6" w:right="249" w:firstLine="0"/>
        <w:jc w:val="center"/>
        <w:rPr>
          <w:sz w:val="21"/>
        </w:rPr>
      </w:pPr>
      <w:r>
        <w:rPr>
          <w:sz w:val="21"/>
        </w:rPr>
        <w:t>自然冒落法</w:t>
      </w:r>
    </w:p>
    <w:p>
      <w:pPr>
        <w:spacing w:after="0" w:line="192" w:lineRule="exact"/>
        <w:jc w:val="center"/>
        <w:rPr>
          <w:sz w:val="21"/>
        </w:rPr>
        <w:sectPr>
          <w:type w:val="continuous"/>
          <w:pgSz w:w="16840" w:h="11910" w:orient="landscape"/>
          <w:pgMar w:top="1580" w:bottom="280" w:left="1460" w:right="1040"/>
          <w:cols w:num="5" w:equalWidth="0">
            <w:col w:w="2550" w:space="1974"/>
            <w:col w:w="1850" w:space="40"/>
            <w:col w:w="2644" w:space="39"/>
            <w:col w:w="3858" w:space="39"/>
            <w:col w:w="1346"/>
          </w:cols>
        </w:sectPr>
      </w:pPr>
    </w:p>
    <w:p>
      <w:pPr>
        <w:tabs>
          <w:tab w:pos="2840" w:val="left" w:leader="none"/>
          <w:tab w:pos="4964" w:val="left" w:leader="none"/>
        </w:tabs>
        <w:spacing w:line="174" w:lineRule="exact" w:before="0"/>
        <w:ind w:left="340" w:right="0" w:firstLine="0"/>
        <w:jc w:val="left"/>
        <w:rPr>
          <w:sz w:val="21"/>
        </w:rPr>
      </w:pPr>
      <w:r>
        <w:rPr>
          <w:rFonts w:ascii="Times New Roman" w:hAnsi="Times New Roman" w:eastAsia="Times New Roman"/>
          <w:sz w:val="21"/>
        </w:rPr>
        <w:t>5</w:t>
        <w:tab/>
      </w:r>
      <w:r>
        <w:rPr>
          <w:sz w:val="21"/>
        </w:rPr>
        <w:t>采空区处理（防灾）</w:t>
        <w:tab/>
        <w:t>━</w:t>
      </w:r>
    </w:p>
    <w:p>
      <w:pPr>
        <w:spacing w:line="161" w:lineRule="exact" w:before="0"/>
        <w:ind w:left="340" w:right="0" w:firstLine="0"/>
        <w:jc w:val="left"/>
        <w:rPr>
          <w:rFonts w:ascii="Times New Roman"/>
          <w:sz w:val="21"/>
        </w:rPr>
      </w:pPr>
      <w:r>
        <w:rPr/>
        <w:br w:type="column"/>
      </w:r>
      <w:r>
        <w:rPr>
          <w:rFonts w:ascii="Times New Roman"/>
          <w:sz w:val="21"/>
        </w:rPr>
        <w:t>0.08</w:t>
      </w:r>
    </w:p>
    <w:p>
      <w:pPr>
        <w:spacing w:line="292" w:lineRule="auto" w:before="63"/>
        <w:ind w:left="246" w:right="0" w:firstLine="0"/>
        <w:jc w:val="left"/>
        <w:rPr>
          <w:rFonts w:ascii="Times New Roman" w:eastAsia="Times New Roman"/>
          <w:sz w:val="21"/>
        </w:rPr>
      </w:pPr>
      <w:r>
        <w:rPr/>
        <w:br w:type="column"/>
      </w:r>
      <w:r>
        <w:rPr>
          <w:spacing w:val="-17"/>
          <w:sz w:val="21"/>
        </w:rPr>
        <w:t>保护，并取得较好效果的。</w:t>
      </w:r>
      <w:r>
        <w:rPr>
          <w:rFonts w:ascii="Times New Roman" w:eastAsia="Times New Roman"/>
          <w:sz w:val="21"/>
        </w:rPr>
        <w:t>(</w:t>
      </w:r>
      <w:r>
        <w:rPr>
          <w:spacing w:val="-13"/>
          <w:sz w:val="21"/>
        </w:rPr>
        <w:t>防</w:t>
      </w:r>
      <w:r>
        <w:rPr>
          <w:sz w:val="21"/>
        </w:rPr>
        <w:t>火、冲击地压</w:t>
      </w:r>
      <w:r>
        <w:rPr>
          <w:rFonts w:ascii="Times New Roman" w:eastAsia="Times New Roman"/>
          <w:sz w:val="21"/>
        </w:rPr>
        <w:t>)</w:t>
      </w:r>
    </w:p>
    <w:p>
      <w:pPr>
        <w:spacing w:line="170" w:lineRule="exact" w:before="0"/>
        <w:ind w:left="-31" w:right="0" w:firstLine="0"/>
        <w:jc w:val="left"/>
        <w:rPr>
          <w:sz w:val="21"/>
        </w:rPr>
      </w:pPr>
      <w:r>
        <w:rPr/>
        <w:br w:type="column"/>
      </w:r>
      <w:r>
        <w:rPr>
          <w:sz w:val="21"/>
        </w:rPr>
        <w:t>通过充填开采或离层注浆等措施进行保护，</w:t>
      </w:r>
    </w:p>
    <w:p>
      <w:pPr>
        <w:spacing w:before="57"/>
        <w:ind w:left="-31" w:right="0" w:firstLine="0"/>
        <w:jc w:val="left"/>
        <w:rPr>
          <w:sz w:val="21"/>
        </w:rPr>
      </w:pPr>
      <w:r>
        <w:rPr>
          <w:sz w:val="21"/>
        </w:rPr>
        <w:t>并取得一般效果的。</w:t>
      </w:r>
    </w:p>
    <w:p>
      <w:pPr>
        <w:spacing w:before="63"/>
        <w:ind w:left="26" w:right="0" w:firstLine="0"/>
        <w:jc w:val="left"/>
        <w:rPr>
          <w:sz w:val="21"/>
        </w:rPr>
      </w:pPr>
      <w:r>
        <w:rPr/>
        <w:br w:type="column"/>
      </w:r>
      <w:r>
        <w:rPr>
          <w:sz w:val="21"/>
        </w:rPr>
        <w:t>管理顶板</w:t>
      </w:r>
    </w:p>
    <w:p>
      <w:pPr>
        <w:spacing w:after="0"/>
        <w:jc w:val="left"/>
        <w:rPr>
          <w:sz w:val="21"/>
        </w:rPr>
        <w:sectPr>
          <w:type w:val="continuous"/>
          <w:pgSz w:w="16840" w:h="11910" w:orient="landscape"/>
          <w:pgMar w:top="1580" w:bottom="280" w:left="1460" w:right="1040"/>
          <w:cols w:num="5" w:equalWidth="0">
            <w:col w:w="5214" w:space="217"/>
            <w:col w:w="709" w:space="40"/>
            <w:col w:w="2880" w:space="39"/>
            <w:col w:w="3959" w:space="40"/>
            <w:col w:w="1242"/>
          </w:cols>
        </w:sectPr>
      </w:pPr>
    </w:p>
    <w:p>
      <w:pPr>
        <w:spacing w:line="217" w:lineRule="exact" w:before="9"/>
        <w:ind w:left="2905" w:right="0" w:firstLine="0"/>
        <w:jc w:val="left"/>
        <w:rPr>
          <w:sz w:val="21"/>
        </w:rPr>
      </w:pPr>
      <w:r>
        <w:rPr>
          <w:sz w:val="21"/>
        </w:rPr>
        <w:t>贮煤设施工艺及装</w:t>
      </w:r>
    </w:p>
    <w:p>
      <w:pPr>
        <w:tabs>
          <w:tab w:pos="4964" w:val="left" w:leader="none"/>
        </w:tabs>
        <w:spacing w:line="139" w:lineRule="exact" w:before="0"/>
        <w:ind w:left="340" w:right="0" w:firstLine="0"/>
        <w:jc w:val="left"/>
        <w:rPr>
          <w:sz w:val="21"/>
        </w:rPr>
      </w:pPr>
      <w:r>
        <w:rPr>
          <w:rFonts w:ascii="Times New Roman" w:hAnsi="Times New Roman"/>
          <w:sz w:val="21"/>
        </w:rPr>
        <w:t>6</w:t>
        <w:tab/>
      </w:r>
      <w:r>
        <w:rPr>
          <w:sz w:val="21"/>
        </w:rPr>
        <w:t>━</w:t>
      </w:r>
    </w:p>
    <w:p>
      <w:pPr>
        <w:spacing w:line="177" w:lineRule="exact" w:before="188"/>
        <w:ind w:left="340" w:right="0" w:firstLine="0"/>
        <w:jc w:val="left"/>
        <w:rPr>
          <w:rFonts w:ascii="Times New Roman"/>
          <w:sz w:val="21"/>
        </w:rPr>
      </w:pPr>
      <w:r>
        <w:rPr/>
        <w:br w:type="column"/>
      </w:r>
      <w:r>
        <w:rPr>
          <w:rFonts w:ascii="Times New Roman"/>
          <w:sz w:val="21"/>
        </w:rPr>
        <w:t>0.08</w:t>
      </w:r>
    </w:p>
    <w:p>
      <w:pPr>
        <w:spacing w:line="216" w:lineRule="exact" w:before="9"/>
        <w:ind w:left="246" w:right="0" w:firstLine="0"/>
        <w:jc w:val="left"/>
        <w:rPr>
          <w:sz w:val="21"/>
        </w:rPr>
      </w:pPr>
      <w:r>
        <w:rPr/>
        <w:br w:type="column"/>
      </w:r>
      <w:r>
        <w:rPr>
          <w:sz w:val="21"/>
        </w:rPr>
        <w:t>原煤进筒仓或全封闭的贮煤储煤场设有挡风抑尘措施和洒水喷淋装置，</w:t>
      </w:r>
    </w:p>
    <w:p>
      <w:pPr>
        <w:spacing w:line="141" w:lineRule="exact" w:before="0"/>
        <w:ind w:left="6839" w:right="0" w:firstLine="0"/>
        <w:jc w:val="left"/>
        <w:rPr>
          <w:sz w:val="21"/>
        </w:rPr>
      </w:pPr>
      <w:r>
        <w:rPr>
          <w:sz w:val="21"/>
        </w:rPr>
        <w:t>全封闭煤仓</w:t>
      </w:r>
    </w:p>
    <w:p>
      <w:pPr>
        <w:spacing w:after="0" w:line="141" w:lineRule="exact"/>
        <w:jc w:val="left"/>
        <w:rPr>
          <w:sz w:val="21"/>
        </w:rPr>
        <w:sectPr>
          <w:type w:val="continuous"/>
          <w:pgSz w:w="16840" w:h="11910" w:orient="landscape"/>
          <w:pgMar w:top="1580" w:bottom="280" w:left="1460" w:right="1040"/>
          <w:cols w:num="3" w:equalWidth="0">
            <w:col w:w="5214" w:space="217"/>
            <w:col w:w="709" w:space="40"/>
            <w:col w:w="8160"/>
          </w:cols>
        </w:sectPr>
      </w:pPr>
    </w:p>
    <w:p>
      <w:pPr>
        <w:spacing w:line="239" w:lineRule="exact" w:before="0"/>
        <w:ind w:left="3640" w:right="0" w:firstLine="0"/>
        <w:jc w:val="left"/>
        <w:rPr>
          <w:sz w:val="21"/>
        </w:rPr>
      </w:pPr>
      <w:r>
        <w:rPr>
          <w:w w:val="99"/>
          <w:sz w:val="21"/>
        </w:rPr>
        <w:t>备</w:t>
      </w:r>
    </w:p>
    <w:p>
      <w:pPr>
        <w:tabs>
          <w:tab w:pos="3219" w:val="left" w:leader="none"/>
        </w:tabs>
        <w:spacing w:before="76"/>
        <w:ind w:left="340" w:right="0" w:firstLine="0"/>
        <w:jc w:val="left"/>
        <w:rPr>
          <w:sz w:val="21"/>
        </w:rPr>
      </w:pPr>
      <w:r>
        <w:rPr>
          <w:rFonts w:ascii="Times New Roman" w:eastAsia="Times New Roman"/>
          <w:sz w:val="21"/>
        </w:rPr>
        <w:t>7</w:t>
        <w:tab/>
      </w:r>
      <w:r>
        <w:rPr>
          <w:sz w:val="21"/>
        </w:rPr>
        <w:t>原煤入选率</w:t>
      </w:r>
    </w:p>
    <w:p>
      <w:pPr>
        <w:spacing w:line="239" w:lineRule="exact" w:before="0"/>
        <w:ind w:left="0" w:right="38" w:firstLine="0"/>
        <w:jc w:val="right"/>
        <w:rPr>
          <w:sz w:val="21"/>
        </w:rPr>
      </w:pPr>
      <w:r>
        <w:rPr/>
        <w:br w:type="column"/>
      </w:r>
      <w:r>
        <w:rPr>
          <w:w w:val="95"/>
          <w:sz w:val="21"/>
        </w:rPr>
        <w:t>场</w:t>
      </w:r>
    </w:p>
    <w:p>
      <w:pPr>
        <w:tabs>
          <w:tab w:pos="1179" w:val="left" w:leader="none"/>
        </w:tabs>
        <w:spacing w:before="90"/>
        <w:ind w:left="340" w:right="0" w:firstLine="0"/>
        <w:jc w:val="left"/>
        <w:rPr>
          <w:rFonts w:ascii="Times New Roman"/>
          <w:sz w:val="21"/>
        </w:rPr>
      </w:pPr>
      <w:r>
        <w:rPr>
          <w:rFonts w:ascii="Times New Roman"/>
          <w:sz w:val="21"/>
        </w:rPr>
        <w:t>%</w:t>
        <w:tab/>
        <w:t>0.1</w:t>
      </w:r>
    </w:p>
    <w:p>
      <w:pPr>
        <w:pStyle w:val="BodyText"/>
        <w:spacing w:before="7"/>
        <w:rPr>
          <w:rFonts w:ascii="Times New Roman"/>
          <w:sz w:val="28"/>
        </w:rPr>
      </w:pPr>
      <w:r>
        <w:rPr/>
        <w:br w:type="column"/>
      </w:r>
      <w:r>
        <w:rPr>
          <w:rFonts w:ascii="Times New Roman"/>
          <w:sz w:val="28"/>
        </w:rPr>
      </w:r>
    </w:p>
    <w:p>
      <w:pPr>
        <w:spacing w:before="0"/>
        <w:ind w:left="340" w:right="0" w:firstLine="0"/>
        <w:jc w:val="left"/>
        <w:rPr>
          <w:rFonts w:ascii="Times New Roman"/>
          <w:sz w:val="21"/>
        </w:rPr>
      </w:pPr>
      <w:r>
        <w:rPr>
          <w:rFonts w:ascii="Times New Roman"/>
          <w:sz w:val="21"/>
        </w:rPr>
        <w:t>100</w:t>
      </w:r>
    </w:p>
    <w:p>
      <w:pPr>
        <w:spacing w:line="239" w:lineRule="exact" w:before="0"/>
        <w:ind w:left="340" w:right="0" w:firstLine="0"/>
        <w:jc w:val="left"/>
        <w:rPr>
          <w:sz w:val="21"/>
        </w:rPr>
      </w:pPr>
      <w:r>
        <w:rPr/>
        <w:br w:type="column"/>
      </w:r>
      <w:r>
        <w:rPr>
          <w:sz w:val="21"/>
        </w:rPr>
        <w:t>上层有棚顶或苫盖</w:t>
      </w:r>
    </w:p>
    <w:p>
      <w:pPr>
        <w:tabs>
          <w:tab w:pos="3061" w:val="left" w:leader="none"/>
          <w:tab w:pos="4787" w:val="left" w:leader="none"/>
        </w:tabs>
        <w:spacing w:before="90"/>
        <w:ind w:left="1110" w:right="0" w:firstLine="0"/>
        <w:jc w:val="left"/>
        <w:rPr>
          <w:rFonts w:ascii="Times New Roman" w:hAnsi="Times New Roman"/>
          <w:sz w:val="21"/>
        </w:rPr>
      </w:pPr>
      <w:r>
        <w:rPr>
          <w:rFonts w:ascii="Times New Roman" w:hAnsi="Times New Roman"/>
          <w:sz w:val="21"/>
        </w:rPr>
        <w:t>≥90</w:t>
        <w:tab/>
        <w:t>≥80</w:t>
        <w:tab/>
        <w:t>/</w:t>
      </w:r>
    </w:p>
    <w:p>
      <w:pPr>
        <w:spacing w:before="87"/>
        <w:ind w:left="2219" w:right="0" w:firstLine="0"/>
        <w:jc w:val="left"/>
        <w:rPr>
          <w:sz w:val="21"/>
        </w:rPr>
      </w:pPr>
      <w:r>
        <w:rPr>
          <w:sz w:val="24"/>
        </w:rPr>
        <w:t>由</w:t>
      </w:r>
      <w:r>
        <w:rPr>
          <w:sz w:val="21"/>
        </w:rPr>
        <w:t>箱车或矿车将原煤</w:t>
      </w:r>
    </w:p>
    <w:p>
      <w:pPr>
        <w:spacing w:after="0"/>
        <w:jc w:val="left"/>
        <w:rPr>
          <w:sz w:val="21"/>
        </w:rPr>
        <w:sectPr>
          <w:type w:val="continuous"/>
          <w:pgSz w:w="16840" w:h="11910" w:orient="landscape"/>
          <w:pgMar w:top="1580" w:bottom="280" w:left="1460" w:right="1040"/>
          <w:cols w:num="4" w:equalWidth="0">
            <w:col w:w="4309" w:space="335"/>
            <w:col w:w="2032" w:space="570"/>
            <w:col w:w="696" w:space="787"/>
            <w:col w:w="5611"/>
          </w:cols>
        </w:sectPr>
      </w:pPr>
    </w:p>
    <w:p>
      <w:pPr>
        <w:spacing w:line="217" w:lineRule="exact" w:before="85"/>
        <w:ind w:left="2896" w:right="0" w:firstLine="0"/>
        <w:jc w:val="left"/>
        <w:rPr>
          <w:sz w:val="21"/>
        </w:rPr>
      </w:pPr>
      <w:r>
        <w:rPr>
          <w:sz w:val="21"/>
        </w:rPr>
        <w:t>原煤运 矿井型选煤</w:t>
      </w:r>
    </w:p>
    <w:p>
      <w:pPr>
        <w:tabs>
          <w:tab w:pos="4964" w:val="left" w:leader="none"/>
        </w:tabs>
        <w:spacing w:line="120" w:lineRule="exact" w:before="0"/>
        <w:ind w:left="340" w:right="0" w:firstLine="0"/>
        <w:jc w:val="left"/>
        <w:rPr>
          <w:sz w:val="21"/>
        </w:rPr>
      </w:pPr>
      <w:r>
        <w:rPr>
          <w:rFonts w:ascii="Times New Roman" w:hAnsi="Times New Roman"/>
          <w:sz w:val="21"/>
        </w:rPr>
        <w:t>8</w:t>
        <w:tab/>
      </w:r>
      <w:r>
        <w:rPr>
          <w:sz w:val="21"/>
        </w:rPr>
        <w:t>━</w:t>
      </w:r>
    </w:p>
    <w:p>
      <w:pPr>
        <w:pStyle w:val="BodyText"/>
        <w:spacing w:before="8"/>
        <w:rPr>
          <w:sz w:val="20"/>
        </w:rPr>
      </w:pPr>
      <w:r>
        <w:rPr/>
        <w:br w:type="column"/>
      </w:r>
      <w:r>
        <w:rPr>
          <w:sz w:val="20"/>
        </w:rPr>
      </w:r>
    </w:p>
    <w:p>
      <w:pPr>
        <w:spacing w:line="158" w:lineRule="exact" w:before="0"/>
        <w:ind w:left="340" w:right="0" w:firstLine="0"/>
        <w:jc w:val="left"/>
        <w:rPr>
          <w:rFonts w:ascii="Times New Roman"/>
          <w:sz w:val="21"/>
        </w:rPr>
      </w:pPr>
      <w:r>
        <w:rPr>
          <w:rFonts w:ascii="Times New Roman"/>
          <w:sz w:val="21"/>
        </w:rPr>
        <w:t>0.08</w:t>
      </w:r>
    </w:p>
    <w:p>
      <w:pPr>
        <w:spacing w:line="244" w:lineRule="exact" w:before="65"/>
        <w:ind w:left="246" w:right="0" w:firstLine="0"/>
        <w:jc w:val="left"/>
        <w:rPr>
          <w:sz w:val="21"/>
        </w:rPr>
      </w:pPr>
      <w:r>
        <w:rPr/>
        <w:br w:type="column"/>
      </w:r>
      <w:r>
        <w:rPr>
          <w:sz w:val="21"/>
        </w:rPr>
        <w:t>由封闭皮带运输机将原煤直接运进矿井选煤厂全</w:t>
      </w:r>
      <w:r>
        <w:rPr>
          <w:position w:val="2"/>
          <w:sz w:val="21"/>
        </w:rPr>
        <w:t>运进矿井选煤厂全面</w:t>
      </w:r>
    </w:p>
    <w:p>
      <w:pPr>
        <w:spacing w:line="113" w:lineRule="exact" w:before="0"/>
        <w:ind w:left="0" w:right="761" w:firstLine="0"/>
        <w:jc w:val="right"/>
        <w:rPr>
          <w:rFonts w:ascii="Times New Roman"/>
          <w:sz w:val="21"/>
        </w:rPr>
      </w:pPr>
      <w:r>
        <w:rPr>
          <w:rFonts w:ascii="Times New Roman"/>
          <w:w w:val="99"/>
          <w:sz w:val="21"/>
        </w:rPr>
        <w:t>/</w:t>
      </w:r>
    </w:p>
    <w:p>
      <w:pPr>
        <w:spacing w:after="0" w:line="113" w:lineRule="exact"/>
        <w:jc w:val="right"/>
        <w:rPr>
          <w:rFonts w:ascii="Times New Roman"/>
          <w:sz w:val="21"/>
        </w:rPr>
        <w:sectPr>
          <w:type w:val="continuous"/>
          <w:pgSz w:w="16840" w:h="11910" w:orient="landscape"/>
          <w:pgMar w:top="1580" w:bottom="280" w:left="1460" w:right="1040"/>
          <w:cols w:num="3" w:equalWidth="0">
            <w:col w:w="5214" w:space="217"/>
            <w:col w:w="709" w:space="40"/>
            <w:col w:w="8160"/>
          </w:cols>
        </w:sectPr>
      </w:pPr>
    </w:p>
    <w:p>
      <w:pPr>
        <w:tabs>
          <w:tab w:pos="4014" w:val="left" w:leader="none"/>
          <w:tab w:pos="6426" w:val="left" w:leader="none"/>
          <w:tab w:pos="10947" w:val="left" w:leader="none"/>
        </w:tabs>
        <w:spacing w:line="258" w:lineRule="exact" w:before="0"/>
        <w:ind w:left="3104" w:right="0" w:firstLine="0"/>
        <w:jc w:val="left"/>
        <w:rPr>
          <w:sz w:val="21"/>
        </w:rPr>
      </w:pPr>
      <w:r>
        <w:rPr>
          <w:sz w:val="21"/>
        </w:rPr>
        <w:t>输</w:t>
        <w:tab/>
        <w:t>厂</w:t>
        <w:tab/>
        <w:t>封闭的贮煤设施</w:t>
        <w:tab/>
      </w:r>
      <w:r>
        <w:rPr>
          <w:position w:val="2"/>
          <w:sz w:val="21"/>
        </w:rPr>
        <w:t>防尘的贮煤设施</w:t>
      </w:r>
    </w:p>
    <w:p>
      <w:pPr>
        <w:pStyle w:val="BodyText"/>
        <w:rPr>
          <w:sz w:val="20"/>
        </w:rPr>
      </w:pPr>
    </w:p>
    <w:p>
      <w:pPr>
        <w:spacing w:after="0"/>
        <w:rPr>
          <w:sz w:val="20"/>
        </w:rPr>
        <w:sectPr>
          <w:type w:val="continuous"/>
          <w:pgSz w:w="16840" w:h="11910" w:orient="landscape"/>
          <w:pgMar w:top="1580" w:bottom="280" w:left="1460" w:right="1040"/>
        </w:sectPr>
      </w:pPr>
    </w:p>
    <w:p>
      <w:pPr>
        <w:pStyle w:val="BodyText"/>
        <w:rPr>
          <w:sz w:val="22"/>
        </w:rPr>
      </w:pPr>
    </w:p>
    <w:p>
      <w:pPr>
        <w:pStyle w:val="BodyText"/>
        <w:spacing w:before="9"/>
        <w:rPr>
          <w:sz w:val="32"/>
        </w:rPr>
      </w:pPr>
    </w:p>
    <w:p>
      <w:pPr>
        <w:pStyle w:val="ListParagraph"/>
        <w:numPr>
          <w:ilvl w:val="0"/>
          <w:numId w:val="70"/>
        </w:numPr>
        <w:tabs>
          <w:tab w:pos="3325" w:val="left" w:leader="none"/>
          <w:tab w:pos="3326" w:val="left" w:leader="none"/>
        </w:tabs>
        <w:spacing w:line="240" w:lineRule="auto" w:before="0" w:after="0"/>
        <w:ind w:left="3325" w:right="0" w:hanging="2986"/>
        <w:jc w:val="left"/>
        <w:rPr>
          <w:sz w:val="21"/>
        </w:rPr>
      </w:pPr>
      <w:r>
        <w:rPr>
          <w:sz w:val="21"/>
        </w:rPr>
        <w:t>粉尘控制</w:t>
      </w:r>
    </w:p>
    <w:p>
      <w:pPr>
        <w:pStyle w:val="BodyText"/>
        <w:rPr>
          <w:sz w:val="22"/>
        </w:rPr>
      </w:pPr>
      <w:r>
        <w:rPr/>
        <w:br w:type="column"/>
      </w:r>
      <w:r>
        <w:rPr>
          <w:sz w:val="22"/>
        </w:rPr>
      </w:r>
    </w:p>
    <w:p>
      <w:pPr>
        <w:pStyle w:val="BodyText"/>
        <w:spacing w:before="9"/>
        <w:rPr>
          <w:sz w:val="32"/>
        </w:rPr>
      </w:pPr>
    </w:p>
    <w:p>
      <w:pPr>
        <w:tabs>
          <w:tab w:pos="1199" w:val="left" w:leader="none"/>
        </w:tabs>
        <w:spacing w:before="0"/>
        <w:ind w:left="340" w:right="0" w:firstLine="0"/>
        <w:jc w:val="left"/>
        <w:rPr>
          <w:rFonts w:ascii="Times New Roman" w:hAnsi="Times New Roman"/>
          <w:sz w:val="21"/>
        </w:rPr>
      </w:pPr>
      <w:r>
        <w:rPr>
          <w:sz w:val="21"/>
        </w:rPr>
        <w:t>━</w:t>
        <w:tab/>
      </w:r>
      <w:r>
        <w:rPr>
          <w:rFonts w:ascii="Times New Roman" w:hAnsi="Times New Roman"/>
          <w:spacing w:val="-7"/>
          <w:sz w:val="21"/>
        </w:rPr>
        <w:t>0.1</w:t>
      </w:r>
    </w:p>
    <w:p>
      <w:pPr>
        <w:pStyle w:val="BodyText"/>
        <w:spacing w:before="11"/>
        <w:rPr>
          <w:rFonts w:ascii="Times New Roman"/>
          <w:sz w:val="17"/>
        </w:rPr>
      </w:pPr>
      <w:r>
        <w:rPr/>
        <w:br w:type="column"/>
      </w:r>
      <w:r>
        <w:rPr>
          <w:rFonts w:ascii="Times New Roman"/>
          <w:sz w:val="17"/>
        </w:rPr>
      </w:r>
    </w:p>
    <w:p>
      <w:pPr>
        <w:spacing w:line="290" w:lineRule="auto" w:before="0"/>
        <w:ind w:left="299" w:right="0" w:firstLine="0"/>
        <w:jc w:val="both"/>
        <w:rPr>
          <w:sz w:val="21"/>
        </w:rPr>
      </w:pPr>
      <w:r>
        <w:rPr>
          <w:w w:val="95"/>
          <w:sz w:val="21"/>
        </w:rPr>
        <w:t>原煤分级筛、破碎机等干法作分级筛及相关转载 业及相关转载环节全部封闭环节设集尘罩，带式 作业，并设有集尘系统，车间输送机设喷雾除尘</w:t>
      </w:r>
    </w:p>
    <w:p>
      <w:pPr>
        <w:pStyle w:val="BodyText"/>
        <w:spacing w:before="6"/>
        <w:rPr>
          <w:sz w:val="22"/>
        </w:rPr>
      </w:pPr>
      <w:r>
        <w:rPr/>
        <w:br w:type="column"/>
      </w:r>
      <w:r>
        <w:rPr>
          <w:sz w:val="22"/>
        </w:rPr>
      </w:r>
    </w:p>
    <w:p>
      <w:pPr>
        <w:spacing w:line="146" w:lineRule="auto" w:before="0"/>
        <w:ind w:left="-29" w:right="267" w:firstLine="2071"/>
        <w:jc w:val="left"/>
        <w:rPr>
          <w:sz w:val="21"/>
        </w:rPr>
      </w:pPr>
      <w:r>
        <w:rPr>
          <w:sz w:val="21"/>
        </w:rPr>
        <w:t>本项目无破破碎机、带式输送机、</w:t>
      </w:r>
    </w:p>
    <w:p>
      <w:pPr>
        <w:spacing w:line="132" w:lineRule="exact" w:before="0"/>
        <w:ind w:left="1992" w:right="0" w:firstLine="0"/>
        <w:jc w:val="left"/>
        <w:rPr>
          <w:sz w:val="21"/>
        </w:rPr>
      </w:pPr>
      <w:r>
        <w:rPr>
          <w:sz w:val="21"/>
        </w:rPr>
        <w:t>碎工序，原煤</w:t>
      </w:r>
    </w:p>
    <w:p>
      <w:pPr>
        <w:spacing w:line="163" w:lineRule="exact" w:before="0"/>
        <w:ind w:left="-29" w:right="0" w:firstLine="0"/>
        <w:jc w:val="left"/>
        <w:rPr>
          <w:sz w:val="21"/>
        </w:rPr>
      </w:pPr>
      <w:r>
        <w:rPr>
          <w:sz w:val="21"/>
        </w:rPr>
        <w:t>转载点等设喷雾降尘</w:t>
      </w:r>
    </w:p>
    <w:p>
      <w:pPr>
        <w:spacing w:line="163" w:lineRule="exact" w:before="0"/>
        <w:ind w:left="2043" w:right="0" w:firstLine="0"/>
        <w:jc w:val="left"/>
        <w:rPr>
          <w:sz w:val="21"/>
        </w:rPr>
      </w:pPr>
      <w:r>
        <w:rPr>
          <w:sz w:val="21"/>
        </w:rPr>
        <w:t>分级筛封闭</w:t>
      </w:r>
    </w:p>
    <w:p>
      <w:pPr>
        <w:spacing w:line="141" w:lineRule="exact" w:before="0"/>
        <w:ind w:left="-29" w:right="0" w:firstLine="0"/>
        <w:jc w:val="left"/>
        <w:rPr>
          <w:sz w:val="21"/>
        </w:rPr>
      </w:pPr>
      <w:r>
        <w:rPr>
          <w:sz w:val="21"/>
        </w:rPr>
        <w:t>系统</w:t>
      </w:r>
    </w:p>
    <w:p>
      <w:pPr>
        <w:spacing w:after="0" w:line="141" w:lineRule="exact"/>
        <w:jc w:val="left"/>
        <w:rPr>
          <w:sz w:val="21"/>
        </w:rPr>
        <w:sectPr>
          <w:type w:val="continuous"/>
          <w:pgSz w:w="16840" w:h="11910" w:orient="landscape"/>
          <w:pgMar w:top="1580" w:bottom="280" w:left="1460" w:right="1040"/>
          <w:cols w:num="4" w:equalWidth="0">
            <w:col w:w="4204" w:space="421"/>
            <w:col w:w="1463" w:space="39"/>
            <w:col w:w="4810" w:space="39"/>
            <w:col w:w="3364"/>
          </w:cols>
        </w:sectPr>
      </w:pPr>
    </w:p>
    <w:p>
      <w:pPr>
        <w:tabs>
          <w:tab w:pos="2642" w:val="left" w:leader="none"/>
        </w:tabs>
        <w:spacing w:line="239" w:lineRule="exact" w:before="0"/>
        <w:ind w:left="0" w:right="0" w:firstLine="0"/>
        <w:jc w:val="right"/>
        <w:rPr>
          <w:sz w:val="21"/>
        </w:rPr>
      </w:pPr>
      <w:r>
        <w:rPr>
          <w:sz w:val="21"/>
        </w:rPr>
        <w:t>有机械通风措施</w:t>
        <w:tab/>
      </w:r>
      <w:r>
        <w:rPr>
          <w:spacing w:val="-1"/>
          <w:w w:val="95"/>
          <w:sz w:val="21"/>
        </w:rPr>
        <w:t>系</w:t>
      </w:r>
      <w:r>
        <w:rPr>
          <w:w w:val="95"/>
          <w:sz w:val="21"/>
        </w:rPr>
        <w:t>统</w:t>
      </w:r>
    </w:p>
    <w:p>
      <w:pPr>
        <w:spacing w:line="239" w:lineRule="exact" w:before="0"/>
        <w:ind w:left="3809" w:right="0" w:firstLine="0"/>
        <w:jc w:val="left"/>
        <w:rPr>
          <w:sz w:val="21"/>
        </w:rPr>
      </w:pPr>
      <w:r>
        <w:rPr/>
        <w:br w:type="column"/>
      </w:r>
      <w:r>
        <w:rPr>
          <w:sz w:val="21"/>
        </w:rPr>
        <w:t>作业</w:t>
      </w:r>
    </w:p>
    <w:p>
      <w:pPr>
        <w:spacing w:line="194" w:lineRule="exact" w:before="69"/>
        <w:ind w:left="3442" w:right="0" w:firstLine="0"/>
        <w:jc w:val="left"/>
        <w:rPr>
          <w:sz w:val="21"/>
        </w:rPr>
      </w:pPr>
      <w:r>
        <w:rPr>
          <w:sz w:val="21"/>
        </w:rPr>
        <w:t>全封闭煤仓，</w:t>
      </w:r>
    </w:p>
    <w:p>
      <w:pPr>
        <w:spacing w:after="0" w:line="194" w:lineRule="exact"/>
        <w:jc w:val="left"/>
        <w:rPr>
          <w:sz w:val="21"/>
        </w:rPr>
        <w:sectPr>
          <w:type w:val="continuous"/>
          <w:pgSz w:w="16840" w:h="11910" w:orient="landscape"/>
          <w:pgMar w:top="1580" w:bottom="280" w:left="1460" w:right="1040"/>
          <w:cols w:num="2" w:equalWidth="0">
            <w:col w:w="9487" w:space="40"/>
            <w:col w:w="4813"/>
          </w:cols>
        </w:sectPr>
      </w:pPr>
    </w:p>
    <w:p>
      <w:pPr>
        <w:spacing w:line="186" w:lineRule="exact" w:before="0"/>
        <w:ind w:left="6426" w:right="0" w:firstLine="0"/>
        <w:jc w:val="left"/>
        <w:rPr>
          <w:sz w:val="21"/>
        </w:rPr>
      </w:pPr>
      <w:r>
        <w:rPr>
          <w:sz w:val="21"/>
        </w:rPr>
        <w:t>存于封闭的储存设施。运输有存于半封闭且配有洒水喷淋装置的储存场。</w:t>
      </w:r>
    </w:p>
    <w:p>
      <w:pPr>
        <w:spacing w:line="136" w:lineRule="exact" w:before="0"/>
        <w:ind w:left="13019" w:right="0" w:firstLine="0"/>
        <w:jc w:val="left"/>
        <w:rPr>
          <w:sz w:val="21"/>
        </w:rPr>
      </w:pPr>
      <w:r>
        <w:rPr>
          <w:sz w:val="21"/>
        </w:rPr>
        <w:t>汽车公路外</w:t>
      </w:r>
    </w:p>
    <w:p>
      <w:pPr>
        <w:spacing w:after="0" w:line="136" w:lineRule="exact"/>
        <w:jc w:val="left"/>
        <w:rPr>
          <w:sz w:val="21"/>
        </w:rPr>
        <w:sectPr>
          <w:type w:val="continuous"/>
          <w:pgSz w:w="16840" w:h="11910" w:orient="landscape"/>
          <w:pgMar w:top="1580" w:bottom="280" w:left="1460" w:right="1040"/>
        </w:sectPr>
      </w:pPr>
    </w:p>
    <w:p>
      <w:pPr>
        <w:tabs>
          <w:tab w:pos="4964" w:val="left" w:leader="none"/>
        </w:tabs>
        <w:spacing w:line="248" w:lineRule="exact" w:before="0"/>
        <w:ind w:left="2896" w:right="0" w:firstLine="0"/>
        <w:jc w:val="left"/>
        <w:rPr>
          <w:sz w:val="21"/>
        </w:rPr>
      </w:pPr>
      <w:r>
        <w:rPr>
          <w:sz w:val="21"/>
        </w:rPr>
        <w:t>产品的</w:t>
      </w:r>
      <w:r>
        <w:rPr>
          <w:spacing w:val="-40"/>
          <w:sz w:val="21"/>
        </w:rPr>
        <w:t> </w:t>
      </w:r>
      <w:r>
        <w:rPr>
          <w:sz w:val="21"/>
        </w:rPr>
        <w:t>精煤、中煤</w:t>
        <w:tab/>
        <w:t>━</w:t>
      </w:r>
    </w:p>
    <w:p>
      <w:pPr>
        <w:pStyle w:val="ListParagraph"/>
        <w:numPr>
          <w:ilvl w:val="0"/>
          <w:numId w:val="70"/>
        </w:numPr>
        <w:tabs>
          <w:tab w:pos="2895" w:val="left" w:leader="none"/>
          <w:tab w:pos="2896" w:val="left" w:leader="none"/>
        </w:tabs>
        <w:spacing w:line="240" w:lineRule="auto" w:before="62" w:after="0"/>
        <w:ind w:left="2896" w:right="0" w:hanging="2609"/>
        <w:jc w:val="left"/>
        <w:rPr>
          <w:sz w:val="21"/>
        </w:rPr>
      </w:pPr>
      <w:r>
        <w:rPr>
          <w:sz w:val="21"/>
        </w:rPr>
        <w:t>储运方</w:t>
      </w:r>
    </w:p>
    <w:p>
      <w:pPr>
        <w:spacing w:line="201" w:lineRule="exact" w:before="52"/>
        <w:ind w:left="3104" w:right="0" w:firstLine="0"/>
        <w:jc w:val="left"/>
        <w:rPr>
          <w:sz w:val="21"/>
        </w:rPr>
      </w:pPr>
      <w:r>
        <w:rPr>
          <w:w w:val="99"/>
          <w:sz w:val="21"/>
        </w:rPr>
        <w:t>式</w:t>
      </w:r>
    </w:p>
    <w:p>
      <w:pPr>
        <w:spacing w:line="232" w:lineRule="exact" w:before="0"/>
        <w:ind w:left="287" w:right="0" w:firstLine="0"/>
        <w:jc w:val="left"/>
        <w:rPr>
          <w:rFonts w:ascii="Times New Roman"/>
          <w:sz w:val="21"/>
        </w:rPr>
      </w:pPr>
      <w:r>
        <w:rPr/>
        <w:br w:type="column"/>
      </w:r>
      <w:r>
        <w:rPr>
          <w:rFonts w:ascii="Times New Roman"/>
          <w:sz w:val="21"/>
        </w:rPr>
        <w:t>0.06</w:t>
      </w:r>
    </w:p>
    <w:p>
      <w:pPr>
        <w:spacing w:line="243" w:lineRule="exact" w:before="0"/>
        <w:ind w:left="246" w:right="0" w:firstLine="0"/>
        <w:jc w:val="left"/>
        <w:rPr>
          <w:sz w:val="21"/>
        </w:rPr>
      </w:pPr>
      <w:r>
        <w:rPr/>
        <w:br w:type="column"/>
      </w:r>
      <w:r>
        <w:rPr>
          <w:w w:val="95"/>
          <w:sz w:val="21"/>
        </w:rPr>
        <w:t>铁路专用线及铁路快速装车运输有铁路专用线、铁路快速装车系统，汽</w:t>
      </w:r>
    </w:p>
    <w:p>
      <w:pPr>
        <w:tabs>
          <w:tab w:pos="2889" w:val="left" w:leader="none"/>
        </w:tabs>
        <w:spacing w:before="57"/>
        <w:ind w:left="246" w:right="0" w:firstLine="0"/>
        <w:jc w:val="left"/>
        <w:rPr>
          <w:sz w:val="21"/>
        </w:rPr>
      </w:pPr>
      <w:r>
        <w:rPr>
          <w:sz w:val="21"/>
        </w:rPr>
        <w:t>系统</w:t>
        <w:tab/>
        <w:t>车公路外运采用全封闭车厢</w:t>
      </w:r>
    </w:p>
    <w:p>
      <w:pPr>
        <w:spacing w:line="290" w:lineRule="auto" w:before="137"/>
        <w:ind w:left="233" w:right="267" w:hanging="212"/>
        <w:jc w:val="left"/>
        <w:rPr>
          <w:sz w:val="21"/>
        </w:rPr>
      </w:pPr>
      <w:r>
        <w:rPr/>
        <w:br w:type="column"/>
      </w:r>
      <w:r>
        <w:rPr>
          <w:sz w:val="21"/>
        </w:rPr>
        <w:t>运采用全封闭车厢</w:t>
      </w:r>
    </w:p>
    <w:p>
      <w:pPr>
        <w:spacing w:after="0" w:line="290" w:lineRule="auto"/>
        <w:jc w:val="left"/>
        <w:rPr>
          <w:sz w:val="21"/>
        </w:rPr>
        <w:sectPr>
          <w:type w:val="continuous"/>
          <w:pgSz w:w="16840" w:h="11910" w:orient="landscape"/>
          <w:pgMar w:top="1580" w:bottom="280" w:left="1460" w:right="1040"/>
          <w:cols w:num="4" w:equalWidth="0">
            <w:col w:w="5214" w:space="270"/>
            <w:col w:w="656" w:space="40"/>
            <w:col w:w="6778" w:space="39"/>
            <w:col w:w="1343"/>
          </w:cols>
        </w:sectPr>
      </w:pPr>
    </w:p>
    <w:p>
      <w:pPr>
        <w:spacing w:line="186" w:lineRule="exact" w:before="0"/>
        <w:ind w:left="3592" w:right="0" w:firstLine="0"/>
        <w:jc w:val="left"/>
        <w:rPr>
          <w:sz w:val="21"/>
        </w:rPr>
      </w:pPr>
      <w:r>
        <w:rPr>
          <w:sz w:val="21"/>
        </w:rPr>
        <w:t>煤矸石、煤</w:t>
      </w:r>
    </w:p>
    <w:p>
      <w:pPr>
        <w:spacing w:line="138" w:lineRule="exact" w:before="0"/>
        <w:ind w:left="4964" w:right="0" w:firstLine="0"/>
        <w:jc w:val="left"/>
        <w:rPr>
          <w:sz w:val="21"/>
        </w:rPr>
      </w:pPr>
      <w:r>
        <w:rPr>
          <w:w w:val="99"/>
          <w:sz w:val="21"/>
        </w:rPr>
        <w:t>━</w:t>
      </w:r>
    </w:p>
    <w:p>
      <w:pPr>
        <w:spacing w:line="175" w:lineRule="exact" w:before="149"/>
        <w:ind w:left="557" w:right="0" w:firstLine="0"/>
        <w:jc w:val="left"/>
        <w:rPr>
          <w:rFonts w:ascii="Times New Roman"/>
          <w:sz w:val="21"/>
        </w:rPr>
      </w:pPr>
      <w:r>
        <w:rPr/>
        <w:br w:type="column"/>
      </w:r>
      <w:r>
        <w:rPr>
          <w:rFonts w:ascii="Times New Roman"/>
          <w:sz w:val="21"/>
        </w:rPr>
        <w:t>0.06</w:t>
      </w:r>
    </w:p>
    <w:p>
      <w:pPr>
        <w:spacing w:line="239" w:lineRule="exact" w:before="0"/>
        <w:ind w:left="246" w:right="0" w:firstLine="0"/>
        <w:jc w:val="left"/>
        <w:rPr>
          <w:sz w:val="21"/>
        </w:rPr>
      </w:pPr>
      <w:r>
        <w:rPr/>
        <w:br w:type="column"/>
      </w:r>
      <w:r>
        <w:rPr>
          <w:sz w:val="21"/>
        </w:rPr>
        <w:t>首先考虑综合利用，不能利用的暂时存于封闭或半封闭的储存设施，地 不设立永久</w:t>
      </w:r>
    </w:p>
    <w:p>
      <w:pPr>
        <w:spacing w:after="0" w:line="239" w:lineRule="exact"/>
        <w:jc w:val="left"/>
        <w:rPr>
          <w:sz w:val="21"/>
        </w:rPr>
        <w:sectPr>
          <w:type w:val="continuous"/>
          <w:pgSz w:w="16840" w:h="11910" w:orient="landscape"/>
          <w:pgMar w:top="1580" w:bottom="280" w:left="1460" w:right="1040"/>
          <w:cols w:num="3" w:equalWidth="0">
            <w:col w:w="5174" w:space="40"/>
            <w:col w:w="926" w:space="39"/>
            <w:col w:w="8161"/>
          </w:cols>
        </w:sectPr>
      </w:pPr>
    </w:p>
    <w:p>
      <w:pPr>
        <w:tabs>
          <w:tab w:pos="6426" w:val="left" w:leader="none"/>
          <w:tab w:pos="12968" w:val="left" w:leader="none"/>
        </w:tabs>
        <w:spacing w:line="239" w:lineRule="exact" w:before="0"/>
        <w:ind w:left="3592" w:right="0" w:firstLine="0"/>
        <w:jc w:val="left"/>
        <w:rPr>
          <w:sz w:val="21"/>
        </w:rPr>
      </w:pPr>
      <w:r>
        <w:rPr/>
        <w:pict>
          <v:shape style="position:absolute;margin-left:78.059998pt;margin-top:78.119987pt;width:701.6pt;height:437.1pt;mso-position-horizontal-relative:page;mso-position-vertical-relative:page;z-index:-285889536" coordorigin="1561,1562" coordsize="14032,8742" path="m1561,1607l15593,1607m1561,2271l15593,2271m1561,3261l2143,3261m1561,4578l2143,4578m1561,5242l2143,5242m1561,5592l2143,5592m1561,7043l2143,7043m1561,8360l2143,8360m1561,10339l15593,10339m1566,1602l1566,10344m2138,1602l2138,10334m3228,1602l3228,10334m4291,3261l15593,3261m4291,4578l15593,4578m4291,5242l15593,5242m4291,5592l15593,5592m4291,7043l15593,7043m4291,8360l15593,8360m4296,1602l4296,10334m5046,5587l5046,7038m5041,9678l15593,9678m5046,8355l5046,10334m6114,1602l6114,10334m6949,1602l6949,10334m7882,1602l7882,10334m10523,1602l10523,5587m10523,7038l10523,9673m12402,1602l12402,2266m12402,5237l12402,8355m14423,1602l14423,10334m15588,1612l15588,10344e" filled="false" stroked="true" strokeweight=".48pt" strokecolor="#000000">
            <v:path arrowok="t"/>
            <v:stroke dashstyle="solid"/>
            <w10:wrap type="none"/>
          </v:shape>
        </w:pict>
      </w:r>
      <w:r>
        <w:rPr>
          <w:sz w:val="21"/>
        </w:rPr>
        <w:t>泥</w:t>
        <w:tab/>
        <w:t>面不设立永久矸石山，煤矸石、煤泥外运采用全封闭车厢</w:t>
        <w:tab/>
        <w:t>矸石山</w:t>
      </w:r>
      <w:r>
        <w:rPr>
          <w:spacing w:val="-104"/>
          <w:sz w:val="21"/>
        </w:rPr>
        <w:t>，</w:t>
      </w:r>
      <w:r>
        <w:rPr>
          <w:sz w:val="21"/>
        </w:rPr>
        <w:t>矸石</w:t>
      </w:r>
    </w:p>
    <w:p>
      <w:pPr>
        <w:spacing w:after="0" w:line="239" w:lineRule="exact"/>
        <w:jc w:val="left"/>
        <w:rPr>
          <w:sz w:val="21"/>
        </w:rPr>
        <w:sectPr>
          <w:type w:val="continuous"/>
          <w:pgSz w:w="16840" w:h="11910" w:orient="landscape"/>
          <w:pgMar w:top="1580" w:bottom="280" w:left="1460" w:right="1040"/>
        </w:sectPr>
      </w:pPr>
    </w:p>
    <w:p>
      <w:pPr>
        <w:pStyle w:val="BodyText"/>
        <w:rPr>
          <w:sz w:val="20"/>
        </w:rPr>
      </w:pPr>
      <w:r>
        <w:rPr/>
        <w:pict>
          <v:shape style="position:absolute;margin-left:78.059998pt;margin-top:80.099991pt;width:701.85pt;height:432.9pt;mso-position-horizontal-relative:page;mso-position-vertical-relative:page;z-index:2518190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750"/>
                    <w:gridCol w:w="1068"/>
                    <w:gridCol w:w="835"/>
                    <w:gridCol w:w="933"/>
                    <w:gridCol w:w="2641"/>
                    <w:gridCol w:w="1879"/>
                    <w:gridCol w:w="2021"/>
                    <w:gridCol w:w="1165"/>
                  </w:tblGrid>
                  <w:tr>
                    <w:trPr>
                      <w:trHeight w:val="653" w:hRule="atLeast"/>
                    </w:trPr>
                    <w:tc>
                      <w:tcPr>
                        <w:tcW w:w="572" w:type="dxa"/>
                      </w:tcPr>
                      <w:p>
                        <w:pPr>
                          <w:pStyle w:val="TableParagraph"/>
                          <w:spacing w:before="164"/>
                          <w:ind w:left="54" w:right="48"/>
                          <w:rPr>
                            <w:sz w:val="21"/>
                          </w:rPr>
                        </w:pPr>
                        <w:r>
                          <w:rPr>
                            <w:sz w:val="21"/>
                          </w:rPr>
                          <w:t>序号</w:t>
                        </w:r>
                      </w:p>
                    </w:tc>
                    <w:tc>
                      <w:tcPr>
                        <w:tcW w:w="1090" w:type="dxa"/>
                      </w:tcPr>
                      <w:p>
                        <w:pPr>
                          <w:pStyle w:val="TableParagraph"/>
                          <w:ind w:left="7"/>
                          <w:rPr>
                            <w:sz w:val="21"/>
                          </w:rPr>
                        </w:pPr>
                        <w:r>
                          <w:rPr>
                            <w:sz w:val="21"/>
                          </w:rPr>
                          <w:t>一级指标指</w:t>
                        </w:r>
                      </w:p>
                      <w:p>
                        <w:pPr>
                          <w:pStyle w:val="TableParagraph"/>
                          <w:spacing w:before="58"/>
                          <w:ind w:left="5"/>
                          <w:rPr>
                            <w:sz w:val="21"/>
                          </w:rPr>
                        </w:pPr>
                        <w:r>
                          <w:rPr>
                            <w:sz w:val="21"/>
                          </w:rPr>
                          <w:t>标项</w:t>
                        </w:r>
                      </w:p>
                    </w:tc>
                    <w:tc>
                      <w:tcPr>
                        <w:tcW w:w="1068" w:type="dxa"/>
                      </w:tcPr>
                      <w:p>
                        <w:pPr>
                          <w:pStyle w:val="TableParagraph"/>
                          <w:ind w:left="9" w:right="-15"/>
                          <w:rPr>
                            <w:sz w:val="21"/>
                          </w:rPr>
                        </w:pPr>
                        <w:r>
                          <w:rPr>
                            <w:sz w:val="21"/>
                          </w:rPr>
                          <w:t>一级指标权</w:t>
                        </w:r>
                      </w:p>
                      <w:p>
                        <w:pPr>
                          <w:pStyle w:val="TableParagraph"/>
                          <w:spacing w:before="58"/>
                          <w:ind w:left="7"/>
                          <w:rPr>
                            <w:sz w:val="21"/>
                          </w:rPr>
                        </w:pPr>
                        <w:r>
                          <w:rPr>
                            <w:sz w:val="21"/>
                          </w:rPr>
                          <w:t>重值</w:t>
                        </w:r>
                      </w:p>
                    </w:tc>
                    <w:tc>
                      <w:tcPr>
                        <w:tcW w:w="1818" w:type="dxa"/>
                        <w:gridSpan w:val="2"/>
                      </w:tcPr>
                      <w:p>
                        <w:pPr>
                          <w:pStyle w:val="TableParagraph"/>
                          <w:spacing w:before="164"/>
                          <w:ind w:left="172"/>
                          <w:jc w:val="left"/>
                          <w:rPr>
                            <w:sz w:val="21"/>
                          </w:rPr>
                        </w:pPr>
                        <w:r>
                          <w:rPr>
                            <w:sz w:val="21"/>
                          </w:rPr>
                          <w:t>二级指标指标项</w:t>
                        </w:r>
                      </w:p>
                    </w:tc>
                    <w:tc>
                      <w:tcPr>
                        <w:tcW w:w="835" w:type="dxa"/>
                      </w:tcPr>
                      <w:p>
                        <w:pPr>
                          <w:pStyle w:val="TableParagraph"/>
                          <w:spacing w:before="164"/>
                          <w:ind w:right="197"/>
                          <w:jc w:val="right"/>
                          <w:rPr>
                            <w:sz w:val="21"/>
                          </w:rPr>
                        </w:pPr>
                        <w:r>
                          <w:rPr>
                            <w:w w:val="95"/>
                            <w:sz w:val="21"/>
                          </w:rPr>
                          <w:t>单位</w:t>
                        </w:r>
                      </w:p>
                    </w:tc>
                    <w:tc>
                      <w:tcPr>
                        <w:tcW w:w="933" w:type="dxa"/>
                      </w:tcPr>
                      <w:p>
                        <w:pPr>
                          <w:pStyle w:val="TableParagraph"/>
                          <w:ind w:left="46"/>
                          <w:jc w:val="left"/>
                          <w:rPr>
                            <w:sz w:val="21"/>
                          </w:rPr>
                        </w:pPr>
                        <w:r>
                          <w:rPr>
                            <w:w w:val="95"/>
                            <w:sz w:val="21"/>
                          </w:rPr>
                          <w:t>二级指标</w:t>
                        </w:r>
                      </w:p>
                      <w:p>
                        <w:pPr>
                          <w:pStyle w:val="TableParagraph"/>
                          <w:spacing w:before="58"/>
                          <w:ind w:left="46"/>
                          <w:jc w:val="left"/>
                          <w:rPr>
                            <w:sz w:val="21"/>
                          </w:rPr>
                        </w:pPr>
                        <w:r>
                          <w:rPr>
                            <w:w w:val="95"/>
                            <w:sz w:val="21"/>
                          </w:rPr>
                          <w:t>分权重值</w:t>
                        </w:r>
                      </w:p>
                    </w:tc>
                    <w:tc>
                      <w:tcPr>
                        <w:tcW w:w="2641" w:type="dxa"/>
                      </w:tcPr>
                      <w:p>
                        <w:pPr>
                          <w:pStyle w:val="TableParagraph"/>
                          <w:spacing w:before="164"/>
                          <w:ind w:left="793"/>
                          <w:jc w:val="left"/>
                          <w:rPr>
                            <w:sz w:val="21"/>
                          </w:rPr>
                        </w:pPr>
                        <w:r>
                          <w:rPr>
                            <w:sz w:val="21"/>
                          </w:rPr>
                          <w:t>Ⅰ级基准值</w:t>
                        </w:r>
                      </w:p>
                    </w:tc>
                    <w:tc>
                      <w:tcPr>
                        <w:tcW w:w="1879" w:type="dxa"/>
                      </w:tcPr>
                      <w:p>
                        <w:pPr>
                          <w:pStyle w:val="TableParagraph"/>
                          <w:spacing w:before="164"/>
                          <w:ind w:left="393" w:right="386"/>
                          <w:rPr>
                            <w:sz w:val="21"/>
                          </w:rPr>
                        </w:pPr>
                        <w:r>
                          <w:rPr>
                            <w:sz w:val="21"/>
                          </w:rPr>
                          <w:t>Ⅱ级基准值</w:t>
                        </w:r>
                      </w:p>
                    </w:tc>
                    <w:tc>
                      <w:tcPr>
                        <w:tcW w:w="2021" w:type="dxa"/>
                      </w:tcPr>
                      <w:p>
                        <w:pPr>
                          <w:pStyle w:val="TableParagraph"/>
                          <w:spacing w:before="164"/>
                          <w:ind w:left="464" w:right="457"/>
                          <w:rPr>
                            <w:sz w:val="21"/>
                          </w:rPr>
                        </w:pPr>
                        <w:r>
                          <w:rPr>
                            <w:sz w:val="21"/>
                          </w:rPr>
                          <w:t>Ⅲ级基准值</w:t>
                        </w:r>
                      </w:p>
                    </w:tc>
                    <w:tc>
                      <w:tcPr>
                        <w:tcW w:w="1165" w:type="dxa"/>
                      </w:tcPr>
                      <w:p>
                        <w:pPr>
                          <w:pStyle w:val="TableParagraph"/>
                          <w:ind w:left="18" w:right="13"/>
                          <w:rPr>
                            <w:sz w:val="21"/>
                          </w:rPr>
                        </w:pPr>
                        <w:r>
                          <w:rPr>
                            <w:sz w:val="21"/>
                          </w:rPr>
                          <w:t>本煤矿扩建</w:t>
                        </w:r>
                      </w:p>
                      <w:p>
                        <w:pPr>
                          <w:pStyle w:val="TableParagraph"/>
                          <w:spacing w:before="58"/>
                          <w:ind w:left="5"/>
                          <w:rPr>
                            <w:sz w:val="21"/>
                          </w:rPr>
                        </w:pPr>
                        <w:r>
                          <w:rPr>
                            <w:w w:val="99"/>
                            <w:sz w:val="21"/>
                          </w:rPr>
                          <w:t>后</w:t>
                        </w:r>
                      </w:p>
                    </w:tc>
                  </w:tr>
                  <w:tr>
                    <w:trPr>
                      <w:trHeight w:val="2286" w:hRule="atLeast"/>
                    </w:trPr>
                    <w:tc>
                      <w:tcPr>
                        <w:tcW w:w="572" w:type="dxa"/>
                      </w:tcPr>
                      <w:p>
                        <w:pPr>
                          <w:pStyle w:val="TableParagraph"/>
                          <w:jc w:val="left"/>
                          <w:rPr>
                            <w:rFonts w:ascii="Times New Roman"/>
                            <w:sz w:val="20"/>
                          </w:rPr>
                        </w:pPr>
                      </w:p>
                    </w:tc>
                    <w:tc>
                      <w:tcPr>
                        <w:tcW w:w="1090" w:type="dxa"/>
                        <w:vMerge w:val="restart"/>
                      </w:tcPr>
                      <w:p>
                        <w:pPr>
                          <w:pStyle w:val="TableParagraph"/>
                          <w:jc w:val="left"/>
                          <w:rPr>
                            <w:rFonts w:ascii="Times New Roman"/>
                            <w:sz w:val="20"/>
                          </w:rPr>
                        </w:pPr>
                      </w:p>
                    </w:tc>
                    <w:tc>
                      <w:tcPr>
                        <w:tcW w:w="1068" w:type="dxa"/>
                        <w:vMerge w:val="restart"/>
                      </w:tcPr>
                      <w:p>
                        <w:pPr>
                          <w:pStyle w:val="TableParagraph"/>
                          <w:jc w:val="left"/>
                          <w:rPr>
                            <w:rFonts w:ascii="Times New Roman"/>
                            <w:sz w:val="20"/>
                          </w:rPr>
                        </w:pPr>
                      </w:p>
                    </w:tc>
                    <w:tc>
                      <w:tcPr>
                        <w:tcW w:w="750" w:type="dxa"/>
                      </w:tcPr>
                      <w:p>
                        <w:pPr>
                          <w:pStyle w:val="TableParagraph"/>
                          <w:jc w:val="left"/>
                          <w:rPr>
                            <w:rFonts w:ascii="Times New Roman"/>
                            <w:sz w:val="20"/>
                          </w:rPr>
                        </w:pPr>
                      </w:p>
                    </w:tc>
                    <w:tc>
                      <w:tcPr>
                        <w:tcW w:w="1068" w:type="dxa"/>
                      </w:tcPr>
                      <w:p>
                        <w:pPr>
                          <w:pStyle w:val="TableParagraph"/>
                          <w:jc w:val="left"/>
                          <w:rPr>
                            <w:rFonts w:ascii="Times New Roman"/>
                            <w:sz w:val="20"/>
                          </w:rPr>
                        </w:pPr>
                      </w:p>
                    </w:tc>
                    <w:tc>
                      <w:tcPr>
                        <w:tcW w:w="835" w:type="dxa"/>
                      </w:tcPr>
                      <w:p>
                        <w:pPr>
                          <w:pStyle w:val="TableParagraph"/>
                          <w:jc w:val="left"/>
                          <w:rPr>
                            <w:rFonts w:ascii="Times New Roman"/>
                            <w:sz w:val="20"/>
                          </w:rPr>
                        </w:pPr>
                      </w:p>
                    </w:tc>
                    <w:tc>
                      <w:tcPr>
                        <w:tcW w:w="933" w:type="dxa"/>
                      </w:tcPr>
                      <w:p>
                        <w:pPr>
                          <w:pStyle w:val="TableParagraph"/>
                          <w:jc w:val="left"/>
                          <w:rPr>
                            <w:rFonts w:ascii="Times New Roman"/>
                            <w:sz w:val="20"/>
                          </w:rPr>
                        </w:pPr>
                      </w:p>
                    </w:tc>
                    <w:tc>
                      <w:tcPr>
                        <w:tcW w:w="6541" w:type="dxa"/>
                        <w:gridSpan w:val="3"/>
                      </w:tcPr>
                      <w:p>
                        <w:pPr>
                          <w:pStyle w:val="TableParagraph"/>
                          <w:jc w:val="left"/>
                          <w:rPr>
                            <w:rFonts w:ascii="Times New Roman"/>
                            <w:sz w:val="20"/>
                          </w:rPr>
                        </w:pPr>
                      </w:p>
                    </w:tc>
                    <w:tc>
                      <w:tcPr>
                        <w:tcW w:w="1165" w:type="dxa"/>
                      </w:tcPr>
                      <w:p>
                        <w:pPr>
                          <w:pStyle w:val="TableParagraph"/>
                          <w:spacing w:line="290" w:lineRule="auto"/>
                          <w:ind w:left="5" w:right="-15" w:firstLine="50"/>
                          <w:jc w:val="both"/>
                          <w:rPr>
                            <w:sz w:val="21"/>
                          </w:rPr>
                        </w:pPr>
                        <w:r>
                          <w:rPr>
                            <w:sz w:val="21"/>
                          </w:rPr>
                          <w:t>暂存于煤矸</w:t>
                        </w:r>
                        <w:r>
                          <w:rPr>
                            <w:spacing w:val="-19"/>
                            <w:sz w:val="21"/>
                          </w:rPr>
                          <w:t>石暂存厂，用来平整工业</w:t>
                        </w:r>
                        <w:r>
                          <w:rPr>
                            <w:spacing w:val="-25"/>
                            <w:sz w:val="21"/>
                          </w:rPr>
                          <w:t>场地；用作公路的路基石</w:t>
                        </w:r>
                        <w:r>
                          <w:rPr>
                            <w:spacing w:val="-23"/>
                            <w:sz w:val="21"/>
                          </w:rPr>
                          <w:t>料；用于填沟</w:t>
                        </w:r>
                      </w:p>
                      <w:p>
                        <w:pPr>
                          <w:pStyle w:val="TableParagraph"/>
                          <w:spacing w:before="6"/>
                          <w:ind w:left="372"/>
                          <w:jc w:val="left"/>
                          <w:rPr>
                            <w:sz w:val="21"/>
                          </w:rPr>
                        </w:pPr>
                        <w:r>
                          <w:rPr>
                            <w:sz w:val="21"/>
                          </w:rPr>
                          <w:t>造地</w:t>
                        </w:r>
                      </w:p>
                    </w:tc>
                  </w:tr>
                  <w:tr>
                    <w:trPr>
                      <w:trHeight w:val="1308" w:hRule="atLeast"/>
                    </w:trPr>
                    <w:tc>
                      <w:tcPr>
                        <w:tcW w:w="572" w:type="dxa"/>
                      </w:tcPr>
                      <w:p>
                        <w:pPr>
                          <w:pStyle w:val="TableParagraph"/>
                          <w:jc w:val="left"/>
                          <w:rPr>
                            <w:sz w:val="22"/>
                          </w:rPr>
                        </w:pPr>
                      </w:p>
                      <w:p>
                        <w:pPr>
                          <w:pStyle w:val="TableParagraph"/>
                          <w:spacing w:before="7"/>
                          <w:jc w:val="left"/>
                          <w:rPr>
                            <w:sz w:val="17"/>
                          </w:rPr>
                        </w:pPr>
                      </w:p>
                      <w:p>
                        <w:pPr>
                          <w:pStyle w:val="TableParagraph"/>
                          <w:ind w:left="54" w:right="44"/>
                          <w:rPr>
                            <w:rFonts w:ascii="Times New Roman"/>
                            <w:sz w:val="21"/>
                          </w:rPr>
                        </w:pPr>
                        <w:r>
                          <w:rPr>
                            <w:rFonts w:ascii="Times New Roman"/>
                            <w:sz w:val="21"/>
                          </w:rPr>
                          <w:t>11</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jc w:val="left"/>
                          <w:rPr>
                            <w:sz w:val="20"/>
                          </w:rPr>
                        </w:pPr>
                      </w:p>
                      <w:p>
                        <w:pPr>
                          <w:pStyle w:val="TableParagraph"/>
                          <w:spacing w:before="4"/>
                          <w:jc w:val="left"/>
                          <w:rPr>
                            <w:sz w:val="18"/>
                          </w:rPr>
                        </w:pPr>
                      </w:p>
                      <w:p>
                        <w:pPr>
                          <w:pStyle w:val="TableParagraph"/>
                          <w:ind w:left="278"/>
                          <w:jc w:val="left"/>
                          <w:rPr>
                            <w:sz w:val="21"/>
                          </w:rPr>
                        </w:pPr>
                        <w:r>
                          <w:rPr>
                            <w:sz w:val="21"/>
                          </w:rPr>
                          <w:t>选煤工艺装备</w:t>
                        </w:r>
                      </w:p>
                    </w:tc>
                    <w:tc>
                      <w:tcPr>
                        <w:tcW w:w="835" w:type="dxa"/>
                      </w:tcPr>
                      <w:p>
                        <w:pPr>
                          <w:pStyle w:val="TableParagraph"/>
                          <w:jc w:val="left"/>
                          <w:rPr>
                            <w:sz w:val="20"/>
                          </w:rPr>
                        </w:pPr>
                      </w:p>
                      <w:p>
                        <w:pPr>
                          <w:pStyle w:val="TableParagraph"/>
                          <w:spacing w:before="4"/>
                          <w:jc w:val="left"/>
                          <w:rPr>
                            <w:sz w:val="18"/>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spacing w:before="7"/>
                          <w:jc w:val="left"/>
                          <w:rPr>
                            <w:sz w:val="17"/>
                          </w:rPr>
                        </w:pPr>
                      </w:p>
                      <w:p>
                        <w:pPr>
                          <w:pStyle w:val="TableParagraph"/>
                          <w:ind w:right="270"/>
                          <w:jc w:val="right"/>
                          <w:rPr>
                            <w:rFonts w:ascii="Times New Roman"/>
                            <w:sz w:val="21"/>
                          </w:rPr>
                        </w:pPr>
                        <w:r>
                          <w:rPr>
                            <w:rFonts w:ascii="Times New Roman"/>
                            <w:sz w:val="21"/>
                          </w:rPr>
                          <w:t>0.08</w:t>
                        </w:r>
                      </w:p>
                    </w:tc>
                    <w:tc>
                      <w:tcPr>
                        <w:tcW w:w="4520" w:type="dxa"/>
                        <w:gridSpan w:val="2"/>
                      </w:tcPr>
                      <w:p>
                        <w:pPr>
                          <w:pStyle w:val="TableParagraph"/>
                          <w:spacing w:before="7"/>
                          <w:jc w:val="left"/>
                          <w:rPr>
                            <w:sz w:val="25"/>
                          </w:rPr>
                        </w:pPr>
                      </w:p>
                      <w:p>
                        <w:pPr>
                          <w:pStyle w:val="TableParagraph"/>
                          <w:spacing w:line="290" w:lineRule="auto"/>
                          <w:ind w:left="4" w:right="-15"/>
                          <w:jc w:val="left"/>
                          <w:rPr>
                            <w:sz w:val="21"/>
                          </w:rPr>
                        </w:pPr>
                        <w:r>
                          <w:rPr>
                            <w:spacing w:val="3"/>
                            <w:w w:val="95"/>
                            <w:sz w:val="21"/>
                          </w:rPr>
                          <w:t>采用先进的选煤工艺和设备，实现数量、质量自 </w:t>
                        </w:r>
                        <w:r>
                          <w:rPr>
                            <w:spacing w:val="3"/>
                            <w:sz w:val="21"/>
                          </w:rPr>
                          <w:t>动监测控制和信息化管理</w:t>
                        </w:r>
                      </w:p>
                    </w:tc>
                    <w:tc>
                      <w:tcPr>
                        <w:tcW w:w="2021" w:type="dxa"/>
                      </w:tcPr>
                      <w:p>
                        <w:pPr>
                          <w:pStyle w:val="TableParagraph"/>
                          <w:spacing w:line="290" w:lineRule="auto" w:before="1"/>
                          <w:ind w:left="5" w:right="-15"/>
                          <w:jc w:val="both"/>
                          <w:rPr>
                            <w:sz w:val="21"/>
                          </w:rPr>
                        </w:pPr>
                        <w:r>
                          <w:rPr>
                            <w:spacing w:val="12"/>
                            <w:sz w:val="21"/>
                          </w:rPr>
                          <w:t>采用成熟的选煤工艺</w:t>
                        </w:r>
                        <w:r>
                          <w:rPr>
                            <w:spacing w:val="-8"/>
                            <w:sz w:val="21"/>
                          </w:rPr>
                          <w:t>和设备，实现单元作业</w:t>
                        </w:r>
                        <w:r>
                          <w:rPr>
                            <w:spacing w:val="-16"/>
                            <w:sz w:val="21"/>
                          </w:rPr>
                          <w:t>操作程序自动化，设有</w:t>
                        </w:r>
                      </w:p>
                      <w:p>
                        <w:pPr>
                          <w:pStyle w:val="TableParagraph"/>
                          <w:spacing w:before="3"/>
                          <w:ind w:left="5"/>
                          <w:jc w:val="left"/>
                          <w:rPr>
                            <w:sz w:val="21"/>
                          </w:rPr>
                        </w:pPr>
                        <w:r>
                          <w:rPr>
                            <w:sz w:val="21"/>
                          </w:rPr>
                          <w:t>全过程自动控制手段</w:t>
                        </w:r>
                      </w:p>
                    </w:tc>
                    <w:tc>
                      <w:tcPr>
                        <w:tcW w:w="1165" w:type="dxa"/>
                      </w:tcPr>
                      <w:p>
                        <w:pPr>
                          <w:pStyle w:val="TableParagraph"/>
                          <w:jc w:val="left"/>
                          <w:rPr>
                            <w:sz w:val="22"/>
                          </w:rPr>
                        </w:pPr>
                      </w:p>
                      <w:p>
                        <w:pPr>
                          <w:pStyle w:val="TableParagraph"/>
                          <w:spacing w:before="7"/>
                          <w:jc w:val="left"/>
                          <w:rPr>
                            <w:sz w:val="17"/>
                          </w:rPr>
                        </w:pPr>
                      </w:p>
                      <w:p>
                        <w:pPr>
                          <w:pStyle w:val="TableParagraph"/>
                          <w:ind w:left="8"/>
                          <w:rPr>
                            <w:rFonts w:ascii="Times New Roman"/>
                            <w:sz w:val="21"/>
                          </w:rPr>
                        </w:pPr>
                        <w:r>
                          <w:rPr>
                            <w:rFonts w:ascii="Times New Roman"/>
                            <w:w w:val="99"/>
                            <w:sz w:val="21"/>
                          </w:rPr>
                          <w:t>/</w:t>
                        </w:r>
                      </w:p>
                    </w:tc>
                  </w:tr>
                  <w:tr>
                    <w:trPr>
                      <w:trHeight w:val="340" w:hRule="atLeast"/>
                    </w:trPr>
                    <w:tc>
                      <w:tcPr>
                        <w:tcW w:w="572" w:type="dxa"/>
                      </w:tcPr>
                      <w:p>
                        <w:pPr>
                          <w:pStyle w:val="TableParagraph"/>
                          <w:spacing w:before="24"/>
                          <w:ind w:left="54" w:right="44"/>
                          <w:rPr>
                            <w:rFonts w:ascii="Times New Roman"/>
                            <w:sz w:val="21"/>
                          </w:rPr>
                        </w:pPr>
                        <w:r>
                          <w:rPr>
                            <w:rFonts w:ascii="Times New Roman"/>
                            <w:sz w:val="21"/>
                          </w:rPr>
                          <w:t>12</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5"/>
                          <w:ind w:left="383"/>
                          <w:jc w:val="left"/>
                          <w:rPr>
                            <w:sz w:val="21"/>
                          </w:rPr>
                        </w:pPr>
                        <w:r>
                          <w:rPr>
                            <w:sz w:val="21"/>
                          </w:rPr>
                          <w:t>煤泥水管理</w:t>
                        </w:r>
                      </w:p>
                    </w:tc>
                    <w:tc>
                      <w:tcPr>
                        <w:tcW w:w="835" w:type="dxa"/>
                      </w:tcPr>
                      <w:p>
                        <w:pPr>
                          <w:pStyle w:val="TableParagraph"/>
                          <w:spacing w:before="5"/>
                          <w:ind w:left="5"/>
                          <w:rPr>
                            <w:sz w:val="21"/>
                          </w:rPr>
                        </w:pPr>
                        <w:r>
                          <w:rPr>
                            <w:w w:val="99"/>
                            <w:sz w:val="21"/>
                          </w:rPr>
                          <w:t>━</w:t>
                        </w:r>
                      </w:p>
                    </w:tc>
                    <w:tc>
                      <w:tcPr>
                        <w:tcW w:w="933" w:type="dxa"/>
                      </w:tcPr>
                      <w:p>
                        <w:pPr>
                          <w:pStyle w:val="TableParagraph"/>
                          <w:spacing w:before="24"/>
                          <w:ind w:right="270"/>
                          <w:jc w:val="right"/>
                          <w:rPr>
                            <w:rFonts w:ascii="Times New Roman"/>
                            <w:sz w:val="21"/>
                          </w:rPr>
                        </w:pPr>
                        <w:r>
                          <w:rPr>
                            <w:rFonts w:ascii="Times New Roman"/>
                            <w:sz w:val="21"/>
                          </w:rPr>
                          <w:t>0.06</w:t>
                        </w:r>
                      </w:p>
                    </w:tc>
                    <w:tc>
                      <w:tcPr>
                        <w:tcW w:w="6541" w:type="dxa"/>
                        <w:gridSpan w:val="3"/>
                      </w:tcPr>
                      <w:p>
                        <w:pPr>
                          <w:pStyle w:val="TableParagraph"/>
                          <w:spacing w:before="5"/>
                          <w:ind w:left="4"/>
                          <w:jc w:val="left"/>
                          <w:rPr>
                            <w:sz w:val="21"/>
                          </w:rPr>
                        </w:pPr>
                        <w:r>
                          <w:rPr>
                            <w:sz w:val="21"/>
                          </w:rPr>
                          <w:t>洗水一级闭路循环、煤泥全部利用或无害化处置</w:t>
                        </w:r>
                      </w:p>
                    </w:tc>
                    <w:tc>
                      <w:tcPr>
                        <w:tcW w:w="1165" w:type="dxa"/>
                      </w:tcPr>
                      <w:p>
                        <w:pPr>
                          <w:pStyle w:val="TableParagraph"/>
                          <w:spacing w:before="24"/>
                          <w:ind w:left="8"/>
                          <w:rPr>
                            <w:rFonts w:ascii="Times New Roman"/>
                            <w:sz w:val="21"/>
                          </w:rPr>
                        </w:pPr>
                        <w:r>
                          <w:rPr>
                            <w:rFonts w:ascii="Times New Roman"/>
                            <w:w w:val="99"/>
                            <w:sz w:val="21"/>
                          </w:rPr>
                          <w:t>/</w:t>
                        </w:r>
                      </w:p>
                    </w:tc>
                  </w:tr>
                  <w:tr>
                    <w:trPr>
                      <w:trHeight w:val="340" w:hRule="atLeast"/>
                    </w:trPr>
                    <w:tc>
                      <w:tcPr>
                        <w:tcW w:w="572" w:type="dxa"/>
                      </w:tcPr>
                      <w:p>
                        <w:pPr>
                          <w:pStyle w:val="TableParagraph"/>
                          <w:spacing w:before="25"/>
                          <w:ind w:left="54" w:right="44"/>
                          <w:rPr>
                            <w:rFonts w:ascii="Times New Roman"/>
                            <w:sz w:val="21"/>
                          </w:rPr>
                        </w:pPr>
                        <w:r>
                          <w:rPr>
                            <w:rFonts w:ascii="Times New Roman"/>
                            <w:sz w:val="21"/>
                          </w:rPr>
                          <w:t>13</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6"/>
                          <w:ind w:left="69"/>
                          <w:jc w:val="left"/>
                          <w:rPr>
                            <w:sz w:val="21"/>
                          </w:rPr>
                        </w:pPr>
                        <w:r>
                          <w:rPr>
                            <w:sz w:val="21"/>
                          </w:rPr>
                          <w:t>矿井瓦斯抽采要求</w:t>
                        </w:r>
                      </w:p>
                    </w:tc>
                    <w:tc>
                      <w:tcPr>
                        <w:tcW w:w="835" w:type="dxa"/>
                      </w:tcPr>
                      <w:p>
                        <w:pPr>
                          <w:pStyle w:val="TableParagraph"/>
                          <w:spacing w:before="6"/>
                          <w:ind w:left="5"/>
                          <w:rPr>
                            <w:sz w:val="21"/>
                          </w:rPr>
                        </w:pPr>
                        <w:r>
                          <w:rPr>
                            <w:w w:val="99"/>
                            <w:sz w:val="21"/>
                          </w:rPr>
                          <w:t>━</w:t>
                        </w:r>
                      </w:p>
                    </w:tc>
                    <w:tc>
                      <w:tcPr>
                        <w:tcW w:w="933" w:type="dxa"/>
                      </w:tcPr>
                      <w:p>
                        <w:pPr>
                          <w:pStyle w:val="TableParagraph"/>
                          <w:spacing w:before="25"/>
                          <w:ind w:right="270"/>
                          <w:jc w:val="right"/>
                          <w:rPr>
                            <w:rFonts w:ascii="Times New Roman"/>
                            <w:sz w:val="21"/>
                          </w:rPr>
                        </w:pPr>
                        <w:r>
                          <w:rPr>
                            <w:rFonts w:ascii="Times New Roman"/>
                            <w:sz w:val="21"/>
                          </w:rPr>
                          <w:t>0.06</w:t>
                        </w:r>
                      </w:p>
                    </w:tc>
                    <w:tc>
                      <w:tcPr>
                        <w:tcW w:w="6541" w:type="dxa"/>
                        <w:gridSpan w:val="3"/>
                      </w:tcPr>
                      <w:p>
                        <w:pPr>
                          <w:pStyle w:val="TableParagraph"/>
                          <w:spacing w:before="6"/>
                          <w:ind w:left="4"/>
                          <w:jc w:val="left"/>
                          <w:rPr>
                            <w:sz w:val="21"/>
                          </w:rPr>
                        </w:pPr>
                        <w:r>
                          <w:rPr>
                            <w:sz w:val="21"/>
                          </w:rPr>
                          <w:t>符合《煤矿瓦斯抽采达标暂行规定》等相关要求</w:t>
                        </w:r>
                      </w:p>
                    </w:tc>
                    <w:tc>
                      <w:tcPr>
                        <w:tcW w:w="1165" w:type="dxa"/>
                      </w:tcPr>
                      <w:p>
                        <w:pPr>
                          <w:pStyle w:val="TableParagraph"/>
                          <w:spacing w:before="25"/>
                          <w:ind w:left="8"/>
                          <w:rPr>
                            <w:rFonts w:ascii="Times New Roman"/>
                            <w:sz w:val="21"/>
                          </w:rPr>
                        </w:pPr>
                        <w:r>
                          <w:rPr>
                            <w:rFonts w:ascii="Times New Roman"/>
                            <w:w w:val="99"/>
                            <w:sz w:val="21"/>
                          </w:rPr>
                          <w:t>/</w:t>
                        </w:r>
                      </w:p>
                    </w:tc>
                  </w:tr>
                  <w:tr>
                    <w:trPr>
                      <w:trHeight w:val="1306" w:hRule="atLeast"/>
                    </w:trPr>
                    <w:tc>
                      <w:tcPr>
                        <w:tcW w:w="572" w:type="dxa"/>
                      </w:tcPr>
                      <w:p>
                        <w:pPr>
                          <w:pStyle w:val="TableParagraph"/>
                          <w:jc w:val="left"/>
                          <w:rPr>
                            <w:sz w:val="22"/>
                          </w:rPr>
                        </w:pPr>
                      </w:p>
                      <w:p>
                        <w:pPr>
                          <w:pStyle w:val="TableParagraph"/>
                          <w:spacing w:before="8"/>
                          <w:jc w:val="left"/>
                          <w:rPr>
                            <w:sz w:val="17"/>
                          </w:rPr>
                        </w:pPr>
                      </w:p>
                      <w:p>
                        <w:pPr>
                          <w:pStyle w:val="TableParagraph"/>
                          <w:ind w:left="54" w:right="44"/>
                          <w:rPr>
                            <w:rFonts w:ascii="Times New Roman"/>
                            <w:sz w:val="21"/>
                          </w:rPr>
                        </w:pPr>
                        <w:r>
                          <w:rPr>
                            <w:rFonts w:ascii="Times New Roman"/>
                            <w:sz w:val="21"/>
                          </w:rPr>
                          <w:t>14</w:t>
                        </w:r>
                      </w:p>
                    </w:tc>
                    <w:tc>
                      <w:tcPr>
                        <w:tcW w:w="1090"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8"/>
                          <w:jc w:val="left"/>
                          <w:rPr>
                            <w:sz w:val="24"/>
                          </w:rPr>
                        </w:pPr>
                      </w:p>
                      <w:p>
                        <w:pPr>
                          <w:pStyle w:val="TableParagraph"/>
                          <w:spacing w:line="290" w:lineRule="auto"/>
                          <w:ind w:left="124" w:right="115"/>
                          <w:jc w:val="both"/>
                          <w:rPr>
                            <w:sz w:val="21"/>
                          </w:rPr>
                        </w:pPr>
                        <w:r>
                          <w:rPr>
                            <w:sz w:val="21"/>
                          </w:rPr>
                          <w:t>（二）资源能源消耗指标</w:t>
                        </w:r>
                      </w:p>
                    </w:tc>
                    <w:tc>
                      <w:tcPr>
                        <w:tcW w:w="1068"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5"/>
                          <w:jc w:val="left"/>
                          <w:rPr>
                            <w:sz w:val="21"/>
                          </w:rPr>
                        </w:pPr>
                      </w:p>
                      <w:p>
                        <w:pPr>
                          <w:pStyle w:val="TableParagraph"/>
                          <w:ind w:left="10"/>
                          <w:rPr>
                            <w:rFonts w:ascii="Times New Roman"/>
                            <w:sz w:val="21"/>
                          </w:rPr>
                        </w:pPr>
                        <w:r>
                          <w:rPr>
                            <w:rFonts w:ascii="Times New Roman"/>
                            <w:sz w:val="21"/>
                          </w:rPr>
                          <w:t>0.2</w:t>
                        </w:r>
                      </w:p>
                    </w:tc>
                    <w:tc>
                      <w:tcPr>
                        <w:tcW w:w="1818" w:type="dxa"/>
                        <w:gridSpan w:val="2"/>
                      </w:tcPr>
                      <w:p>
                        <w:pPr>
                          <w:pStyle w:val="TableParagraph"/>
                          <w:jc w:val="left"/>
                          <w:rPr>
                            <w:sz w:val="22"/>
                          </w:rPr>
                        </w:pPr>
                      </w:p>
                      <w:p>
                        <w:pPr>
                          <w:pStyle w:val="TableParagraph"/>
                          <w:spacing w:before="2"/>
                          <w:jc w:val="left"/>
                          <w:rPr>
                            <w:sz w:val="16"/>
                          </w:rPr>
                        </w:pPr>
                      </w:p>
                      <w:p>
                        <w:pPr>
                          <w:pStyle w:val="TableParagraph"/>
                          <w:ind w:left="330"/>
                          <w:jc w:val="left"/>
                          <w:rPr>
                            <w:sz w:val="21"/>
                          </w:rPr>
                        </w:pPr>
                        <w:r>
                          <w:rPr>
                            <w:rFonts w:ascii="Times New Roman" w:eastAsia="Times New Roman"/>
                            <w:sz w:val="21"/>
                          </w:rPr>
                          <w:t>*</w:t>
                        </w:r>
                        <w:r>
                          <w:rPr>
                            <w:sz w:val="21"/>
                          </w:rPr>
                          <w:t>采区回采率</w:t>
                        </w:r>
                      </w:p>
                    </w:tc>
                    <w:tc>
                      <w:tcPr>
                        <w:tcW w:w="835" w:type="dxa"/>
                      </w:tcPr>
                      <w:p>
                        <w:pPr>
                          <w:pStyle w:val="TableParagraph"/>
                          <w:jc w:val="left"/>
                          <w:rPr>
                            <w:sz w:val="20"/>
                          </w:rPr>
                        </w:pPr>
                      </w:p>
                      <w:p>
                        <w:pPr>
                          <w:pStyle w:val="TableParagraph"/>
                          <w:spacing w:before="2"/>
                          <w:jc w:val="left"/>
                          <w:rPr>
                            <w:sz w:val="18"/>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spacing w:before="8"/>
                          <w:jc w:val="left"/>
                          <w:rPr>
                            <w:sz w:val="17"/>
                          </w:rPr>
                        </w:pPr>
                      </w:p>
                      <w:p>
                        <w:pPr>
                          <w:pStyle w:val="TableParagraph"/>
                          <w:ind w:right="323"/>
                          <w:jc w:val="right"/>
                          <w:rPr>
                            <w:rFonts w:ascii="Times New Roman"/>
                            <w:sz w:val="21"/>
                          </w:rPr>
                        </w:pPr>
                        <w:r>
                          <w:rPr>
                            <w:rFonts w:ascii="Times New Roman"/>
                            <w:w w:val="95"/>
                            <w:sz w:val="21"/>
                          </w:rPr>
                          <w:t>0.3</w:t>
                        </w:r>
                      </w:p>
                    </w:tc>
                    <w:tc>
                      <w:tcPr>
                        <w:tcW w:w="6541" w:type="dxa"/>
                        <w:gridSpan w:val="3"/>
                      </w:tcPr>
                      <w:p>
                        <w:pPr>
                          <w:pStyle w:val="TableParagraph"/>
                          <w:jc w:val="left"/>
                          <w:rPr>
                            <w:sz w:val="20"/>
                          </w:rPr>
                        </w:pPr>
                      </w:p>
                      <w:p>
                        <w:pPr>
                          <w:pStyle w:val="TableParagraph"/>
                          <w:spacing w:before="2"/>
                          <w:jc w:val="left"/>
                          <w:rPr>
                            <w:sz w:val="18"/>
                          </w:rPr>
                        </w:pPr>
                      </w:p>
                      <w:p>
                        <w:pPr>
                          <w:pStyle w:val="TableParagraph"/>
                          <w:ind w:left="4"/>
                          <w:jc w:val="left"/>
                          <w:rPr>
                            <w:sz w:val="21"/>
                          </w:rPr>
                        </w:pPr>
                        <w:r>
                          <w:rPr>
                            <w:sz w:val="21"/>
                          </w:rPr>
                          <w:t>满足《生产煤矿回采率管理暂行规定》的要求</w:t>
                        </w:r>
                      </w:p>
                    </w:tc>
                    <w:tc>
                      <w:tcPr>
                        <w:tcW w:w="1165" w:type="dxa"/>
                      </w:tcPr>
                      <w:p>
                        <w:pPr>
                          <w:pStyle w:val="TableParagraph"/>
                          <w:spacing w:line="290" w:lineRule="auto"/>
                          <w:ind w:left="5" w:right="-15"/>
                          <w:jc w:val="both"/>
                          <w:rPr>
                            <w:sz w:val="21"/>
                          </w:rPr>
                        </w:pPr>
                        <w:r>
                          <w:rPr>
                            <w:spacing w:val="-19"/>
                            <w:sz w:val="21"/>
                          </w:rPr>
                          <w:t>满足《生产煤矿回采率管理暂行规定</w:t>
                        </w:r>
                      </w:p>
                      <w:p>
                        <w:pPr>
                          <w:pStyle w:val="TableParagraph"/>
                          <w:spacing w:before="4"/>
                          <w:ind w:left="267"/>
                          <w:jc w:val="left"/>
                          <w:rPr>
                            <w:sz w:val="21"/>
                          </w:rPr>
                        </w:pPr>
                        <w:r>
                          <w:rPr>
                            <w:sz w:val="21"/>
                          </w:rPr>
                          <w:t>的要求</w:t>
                        </w:r>
                      </w:p>
                    </w:tc>
                  </w:tr>
                  <w:tr>
                    <w:trPr>
                      <w:trHeight w:val="980" w:hRule="atLeast"/>
                    </w:trPr>
                    <w:tc>
                      <w:tcPr>
                        <w:tcW w:w="572" w:type="dxa"/>
                      </w:tcPr>
                      <w:p>
                        <w:pPr>
                          <w:pStyle w:val="TableParagraph"/>
                          <w:spacing w:before="12"/>
                          <w:jc w:val="left"/>
                          <w:rPr>
                            <w:sz w:val="26"/>
                          </w:rPr>
                        </w:pPr>
                      </w:p>
                      <w:p>
                        <w:pPr>
                          <w:pStyle w:val="TableParagraph"/>
                          <w:ind w:left="54" w:right="44"/>
                          <w:rPr>
                            <w:rFonts w:ascii="Times New Roman"/>
                            <w:sz w:val="21"/>
                          </w:rPr>
                        </w:pPr>
                        <w:r>
                          <w:rPr>
                            <w:rFonts w:ascii="Times New Roman"/>
                            <w:sz w:val="21"/>
                          </w:rPr>
                          <w:t>15</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6"/>
                          <w:jc w:val="left"/>
                          <w:rPr>
                            <w:sz w:val="25"/>
                          </w:rPr>
                        </w:pPr>
                      </w:p>
                      <w:p>
                        <w:pPr>
                          <w:pStyle w:val="TableParagraph"/>
                          <w:ind w:left="16"/>
                          <w:jc w:val="left"/>
                          <w:rPr>
                            <w:sz w:val="21"/>
                          </w:rPr>
                        </w:pPr>
                        <w:r>
                          <w:rPr>
                            <w:rFonts w:ascii="Times New Roman" w:eastAsia="Times New Roman"/>
                            <w:sz w:val="21"/>
                          </w:rPr>
                          <w:t>*</w:t>
                        </w:r>
                        <w:r>
                          <w:rPr>
                            <w:sz w:val="21"/>
                          </w:rPr>
                          <w:t>原煤生产综合能耗</w:t>
                        </w:r>
                      </w:p>
                    </w:tc>
                    <w:tc>
                      <w:tcPr>
                        <w:tcW w:w="835" w:type="dxa"/>
                      </w:tcPr>
                      <w:p>
                        <w:pPr>
                          <w:pStyle w:val="TableParagraph"/>
                          <w:spacing w:before="12"/>
                          <w:jc w:val="left"/>
                          <w:rPr>
                            <w:sz w:val="26"/>
                          </w:rPr>
                        </w:pPr>
                      </w:p>
                      <w:p>
                        <w:pPr>
                          <w:pStyle w:val="TableParagraph"/>
                          <w:ind w:right="149"/>
                          <w:jc w:val="right"/>
                          <w:rPr>
                            <w:rFonts w:ascii="Times New Roman"/>
                            <w:sz w:val="21"/>
                          </w:rPr>
                        </w:pPr>
                        <w:r>
                          <w:rPr>
                            <w:rFonts w:ascii="Times New Roman"/>
                            <w:sz w:val="21"/>
                          </w:rPr>
                          <w:t>kgce/t</w:t>
                        </w:r>
                      </w:p>
                    </w:tc>
                    <w:tc>
                      <w:tcPr>
                        <w:tcW w:w="933" w:type="dxa"/>
                      </w:tcPr>
                      <w:p>
                        <w:pPr>
                          <w:pStyle w:val="TableParagraph"/>
                          <w:spacing w:before="12"/>
                          <w:jc w:val="left"/>
                          <w:rPr>
                            <w:sz w:val="26"/>
                          </w:rPr>
                        </w:pPr>
                      </w:p>
                      <w:p>
                        <w:pPr>
                          <w:pStyle w:val="TableParagraph"/>
                          <w:ind w:right="270"/>
                          <w:jc w:val="right"/>
                          <w:rPr>
                            <w:rFonts w:ascii="Times New Roman"/>
                            <w:sz w:val="21"/>
                          </w:rPr>
                        </w:pPr>
                        <w:r>
                          <w:rPr>
                            <w:rFonts w:ascii="Times New Roman"/>
                            <w:sz w:val="21"/>
                          </w:rPr>
                          <w:t>0.15</w:t>
                        </w:r>
                      </w:p>
                    </w:tc>
                    <w:tc>
                      <w:tcPr>
                        <w:tcW w:w="2641" w:type="dxa"/>
                      </w:tcPr>
                      <w:p>
                        <w:pPr>
                          <w:pStyle w:val="TableParagraph"/>
                          <w:spacing w:before="6"/>
                          <w:jc w:val="left"/>
                          <w:rPr>
                            <w:sz w:val="25"/>
                          </w:rPr>
                        </w:pPr>
                      </w:p>
                      <w:p>
                        <w:pPr>
                          <w:pStyle w:val="TableParagraph"/>
                          <w:ind w:left="4"/>
                          <w:jc w:val="left"/>
                          <w:rPr>
                            <w:sz w:val="21"/>
                          </w:rPr>
                        </w:pPr>
                        <w:r>
                          <w:rPr>
                            <w:sz w:val="21"/>
                          </w:rPr>
                          <w:t>按 </w:t>
                        </w:r>
                        <w:r>
                          <w:rPr>
                            <w:rFonts w:ascii="Times New Roman" w:eastAsia="Times New Roman"/>
                            <w:sz w:val="21"/>
                          </w:rPr>
                          <w:t>GB29444 </w:t>
                        </w:r>
                        <w:r>
                          <w:rPr>
                            <w:sz w:val="21"/>
                          </w:rPr>
                          <w:t>先进值要求</w:t>
                        </w:r>
                      </w:p>
                    </w:tc>
                    <w:tc>
                      <w:tcPr>
                        <w:tcW w:w="1879" w:type="dxa"/>
                      </w:tcPr>
                      <w:p>
                        <w:pPr>
                          <w:pStyle w:val="TableParagraph"/>
                          <w:spacing w:line="290" w:lineRule="auto" w:before="163"/>
                          <w:ind w:left="5" w:right="-15"/>
                          <w:jc w:val="left"/>
                          <w:rPr>
                            <w:sz w:val="21"/>
                          </w:rPr>
                        </w:pPr>
                        <w:r>
                          <w:rPr>
                            <w:spacing w:val="-15"/>
                            <w:sz w:val="21"/>
                          </w:rPr>
                          <w:t>按 </w:t>
                        </w:r>
                        <w:r>
                          <w:rPr>
                            <w:rFonts w:ascii="Times New Roman" w:eastAsia="Times New Roman"/>
                            <w:sz w:val="21"/>
                          </w:rPr>
                          <w:t>GB29444</w:t>
                        </w:r>
                        <w:r>
                          <w:rPr>
                            <w:rFonts w:ascii="Times New Roman" w:eastAsia="Times New Roman"/>
                            <w:spacing w:val="25"/>
                            <w:sz w:val="21"/>
                          </w:rPr>
                          <w:t> </w:t>
                        </w:r>
                        <w:r>
                          <w:rPr>
                            <w:spacing w:val="18"/>
                            <w:sz w:val="21"/>
                          </w:rPr>
                          <w:t>准入值要求</w:t>
                        </w:r>
                      </w:p>
                    </w:tc>
                    <w:tc>
                      <w:tcPr>
                        <w:tcW w:w="2021" w:type="dxa"/>
                      </w:tcPr>
                      <w:p>
                        <w:pPr>
                          <w:pStyle w:val="TableParagraph"/>
                          <w:spacing w:line="290" w:lineRule="auto" w:before="163"/>
                          <w:ind w:left="5" w:right="-15"/>
                          <w:jc w:val="left"/>
                          <w:rPr>
                            <w:sz w:val="21"/>
                          </w:rPr>
                        </w:pPr>
                        <w:r>
                          <w:rPr>
                            <w:spacing w:val="-25"/>
                            <w:sz w:val="21"/>
                          </w:rPr>
                          <w:t>按 </w:t>
                        </w:r>
                        <w:r>
                          <w:rPr>
                            <w:rFonts w:ascii="Times New Roman" w:eastAsia="Times New Roman"/>
                            <w:sz w:val="21"/>
                          </w:rPr>
                          <w:t>GB29444</w:t>
                        </w:r>
                        <w:r>
                          <w:rPr>
                            <w:rFonts w:ascii="Times New Roman" w:eastAsia="Times New Roman"/>
                            <w:spacing w:val="5"/>
                            <w:sz w:val="21"/>
                          </w:rPr>
                          <w:t> </w:t>
                        </w:r>
                        <w:r>
                          <w:rPr>
                            <w:spacing w:val="6"/>
                            <w:sz w:val="21"/>
                          </w:rPr>
                          <w:t>限定值要求</w:t>
                        </w:r>
                      </w:p>
                    </w:tc>
                    <w:tc>
                      <w:tcPr>
                        <w:tcW w:w="1165" w:type="dxa"/>
                      </w:tcPr>
                      <w:p>
                        <w:pPr>
                          <w:pStyle w:val="TableParagraph"/>
                          <w:ind w:left="21" w:right="13"/>
                          <w:rPr>
                            <w:sz w:val="21"/>
                          </w:rPr>
                        </w:pPr>
                        <w:r>
                          <w:rPr>
                            <w:sz w:val="21"/>
                          </w:rPr>
                          <w:t>满足</w:t>
                        </w:r>
                      </w:p>
                      <w:p>
                        <w:pPr>
                          <w:pStyle w:val="TableParagraph"/>
                          <w:spacing w:before="57"/>
                          <w:ind w:left="21" w:right="13"/>
                          <w:rPr>
                            <w:sz w:val="21"/>
                          </w:rPr>
                        </w:pPr>
                        <w:r>
                          <w:rPr>
                            <w:rFonts w:ascii="Times New Roman" w:eastAsia="Times New Roman"/>
                            <w:sz w:val="21"/>
                          </w:rPr>
                          <w:t>GB29444 </w:t>
                        </w:r>
                        <w:r>
                          <w:rPr>
                            <w:sz w:val="21"/>
                          </w:rPr>
                          <w:t>先</w:t>
                        </w:r>
                      </w:p>
                      <w:p>
                        <w:pPr>
                          <w:pStyle w:val="TableParagraph"/>
                          <w:spacing w:before="57"/>
                          <w:ind w:left="18" w:right="13"/>
                          <w:rPr>
                            <w:sz w:val="21"/>
                          </w:rPr>
                        </w:pPr>
                        <w:r>
                          <w:rPr>
                            <w:sz w:val="21"/>
                          </w:rPr>
                          <w:t>进值要求</w:t>
                        </w:r>
                      </w:p>
                    </w:tc>
                  </w:tr>
                  <w:tr>
                    <w:trPr>
                      <w:trHeight w:val="340" w:hRule="atLeast"/>
                    </w:trPr>
                    <w:tc>
                      <w:tcPr>
                        <w:tcW w:w="572" w:type="dxa"/>
                      </w:tcPr>
                      <w:p>
                        <w:pPr>
                          <w:pStyle w:val="TableParagraph"/>
                          <w:spacing w:before="24"/>
                          <w:ind w:left="54" w:right="44"/>
                          <w:rPr>
                            <w:rFonts w:ascii="Times New Roman"/>
                            <w:sz w:val="21"/>
                          </w:rPr>
                        </w:pPr>
                        <w:r>
                          <w:rPr>
                            <w:rFonts w:ascii="Times New Roman"/>
                            <w:sz w:val="21"/>
                          </w:rPr>
                          <w:t>16</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6"/>
                          <w:ind w:left="278"/>
                          <w:jc w:val="left"/>
                          <w:rPr>
                            <w:sz w:val="21"/>
                          </w:rPr>
                        </w:pPr>
                        <w:r>
                          <w:rPr>
                            <w:sz w:val="21"/>
                          </w:rPr>
                          <w:t>原煤生产电耗</w:t>
                        </w:r>
                      </w:p>
                    </w:tc>
                    <w:tc>
                      <w:tcPr>
                        <w:tcW w:w="835" w:type="dxa"/>
                      </w:tcPr>
                      <w:p>
                        <w:pPr>
                          <w:pStyle w:val="TableParagraph"/>
                          <w:spacing w:before="24"/>
                          <w:ind w:right="144"/>
                          <w:jc w:val="right"/>
                          <w:rPr>
                            <w:rFonts w:ascii="Times New Roman"/>
                            <w:sz w:val="21"/>
                          </w:rPr>
                        </w:pPr>
                        <w:r>
                          <w:rPr>
                            <w:rFonts w:ascii="Times New Roman"/>
                            <w:sz w:val="21"/>
                          </w:rPr>
                          <w:t>kWh/t</w:t>
                        </w:r>
                      </w:p>
                    </w:tc>
                    <w:tc>
                      <w:tcPr>
                        <w:tcW w:w="933" w:type="dxa"/>
                      </w:tcPr>
                      <w:p>
                        <w:pPr>
                          <w:pStyle w:val="TableParagraph"/>
                          <w:spacing w:before="24"/>
                          <w:ind w:right="270"/>
                          <w:jc w:val="right"/>
                          <w:rPr>
                            <w:rFonts w:ascii="Times New Roman"/>
                            <w:sz w:val="21"/>
                          </w:rPr>
                        </w:pPr>
                        <w:r>
                          <w:rPr>
                            <w:rFonts w:ascii="Times New Roman"/>
                            <w:sz w:val="21"/>
                          </w:rPr>
                          <w:t>0.15</w:t>
                        </w:r>
                      </w:p>
                    </w:tc>
                    <w:tc>
                      <w:tcPr>
                        <w:tcW w:w="2641" w:type="dxa"/>
                      </w:tcPr>
                      <w:p>
                        <w:pPr>
                          <w:pStyle w:val="TableParagraph"/>
                          <w:spacing w:before="24"/>
                          <w:ind w:left="773" w:right="762"/>
                          <w:rPr>
                            <w:rFonts w:ascii="Times New Roman" w:hAnsi="Times New Roman"/>
                            <w:sz w:val="21"/>
                          </w:rPr>
                        </w:pPr>
                        <w:r>
                          <w:rPr>
                            <w:rFonts w:ascii="Times New Roman" w:hAnsi="Times New Roman"/>
                            <w:sz w:val="21"/>
                          </w:rPr>
                          <w:t>≤18</w:t>
                        </w:r>
                      </w:p>
                    </w:tc>
                    <w:tc>
                      <w:tcPr>
                        <w:tcW w:w="1879" w:type="dxa"/>
                      </w:tcPr>
                      <w:p>
                        <w:pPr>
                          <w:pStyle w:val="TableParagraph"/>
                          <w:spacing w:before="24"/>
                          <w:ind w:left="393" w:right="385"/>
                          <w:rPr>
                            <w:rFonts w:ascii="Times New Roman" w:hAnsi="Times New Roman"/>
                            <w:sz w:val="21"/>
                          </w:rPr>
                        </w:pPr>
                        <w:r>
                          <w:rPr>
                            <w:rFonts w:ascii="Times New Roman" w:hAnsi="Times New Roman"/>
                            <w:sz w:val="21"/>
                          </w:rPr>
                          <w:t>≤22</w:t>
                        </w:r>
                      </w:p>
                    </w:tc>
                    <w:tc>
                      <w:tcPr>
                        <w:tcW w:w="2021" w:type="dxa"/>
                      </w:tcPr>
                      <w:p>
                        <w:pPr>
                          <w:pStyle w:val="TableParagraph"/>
                          <w:spacing w:before="24"/>
                          <w:ind w:left="464" w:right="454"/>
                          <w:rPr>
                            <w:rFonts w:ascii="Times New Roman" w:hAnsi="Times New Roman"/>
                            <w:sz w:val="21"/>
                          </w:rPr>
                        </w:pPr>
                        <w:r>
                          <w:rPr>
                            <w:rFonts w:ascii="Times New Roman" w:hAnsi="Times New Roman"/>
                            <w:sz w:val="21"/>
                          </w:rPr>
                          <w:t>≤25</w:t>
                        </w:r>
                      </w:p>
                    </w:tc>
                    <w:tc>
                      <w:tcPr>
                        <w:tcW w:w="1165" w:type="dxa"/>
                      </w:tcPr>
                      <w:p>
                        <w:pPr>
                          <w:pStyle w:val="TableParagraph"/>
                          <w:spacing w:before="24"/>
                          <w:ind w:left="21" w:right="10"/>
                          <w:rPr>
                            <w:rFonts w:ascii="Times New Roman"/>
                            <w:sz w:val="21"/>
                          </w:rPr>
                        </w:pPr>
                        <w:r>
                          <w:rPr>
                            <w:rFonts w:ascii="Times New Roman"/>
                            <w:sz w:val="21"/>
                          </w:rPr>
                          <w:t>29.3</w:t>
                        </w:r>
                      </w:p>
                    </w:tc>
                  </w:tr>
                  <w:tr>
                    <w:trPr>
                      <w:trHeight w:val="340" w:hRule="atLeast"/>
                    </w:trPr>
                    <w:tc>
                      <w:tcPr>
                        <w:tcW w:w="572" w:type="dxa"/>
                      </w:tcPr>
                      <w:p>
                        <w:pPr>
                          <w:pStyle w:val="TableParagraph"/>
                          <w:spacing w:before="25"/>
                          <w:ind w:left="54" w:right="44"/>
                          <w:rPr>
                            <w:rFonts w:ascii="Times New Roman"/>
                            <w:sz w:val="21"/>
                          </w:rPr>
                        </w:pPr>
                        <w:r>
                          <w:rPr>
                            <w:rFonts w:ascii="Times New Roman"/>
                            <w:sz w:val="21"/>
                          </w:rPr>
                          <w:t>17</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6"/>
                          <w:ind w:left="278"/>
                          <w:jc w:val="left"/>
                          <w:rPr>
                            <w:sz w:val="21"/>
                          </w:rPr>
                        </w:pPr>
                        <w:r>
                          <w:rPr>
                            <w:sz w:val="21"/>
                          </w:rPr>
                          <w:t>原煤生产水耗</w:t>
                        </w:r>
                      </w:p>
                    </w:tc>
                    <w:tc>
                      <w:tcPr>
                        <w:tcW w:w="835" w:type="dxa"/>
                      </w:tcPr>
                      <w:p>
                        <w:pPr>
                          <w:pStyle w:val="TableParagraph"/>
                          <w:spacing w:before="25"/>
                          <w:ind w:right="233"/>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Pr>
                      <w:p>
                        <w:pPr>
                          <w:pStyle w:val="TableParagraph"/>
                          <w:spacing w:before="25"/>
                          <w:ind w:right="270"/>
                          <w:jc w:val="right"/>
                          <w:rPr>
                            <w:rFonts w:ascii="Times New Roman"/>
                            <w:sz w:val="21"/>
                          </w:rPr>
                        </w:pPr>
                        <w:r>
                          <w:rPr>
                            <w:rFonts w:ascii="Times New Roman"/>
                            <w:sz w:val="21"/>
                          </w:rPr>
                          <w:t>0.15</w:t>
                        </w:r>
                      </w:p>
                    </w:tc>
                    <w:tc>
                      <w:tcPr>
                        <w:tcW w:w="2641" w:type="dxa"/>
                      </w:tcPr>
                      <w:p>
                        <w:pPr>
                          <w:pStyle w:val="TableParagraph"/>
                          <w:spacing w:before="25"/>
                          <w:ind w:left="773" w:right="762"/>
                          <w:rPr>
                            <w:rFonts w:ascii="Times New Roman" w:hAnsi="Times New Roman"/>
                            <w:sz w:val="21"/>
                          </w:rPr>
                        </w:pPr>
                        <w:r>
                          <w:rPr>
                            <w:rFonts w:ascii="Times New Roman" w:hAnsi="Times New Roman"/>
                            <w:sz w:val="21"/>
                          </w:rPr>
                          <w:t>≤0.1</w:t>
                        </w:r>
                      </w:p>
                    </w:tc>
                    <w:tc>
                      <w:tcPr>
                        <w:tcW w:w="1879" w:type="dxa"/>
                      </w:tcPr>
                      <w:p>
                        <w:pPr>
                          <w:pStyle w:val="TableParagraph"/>
                          <w:spacing w:before="25"/>
                          <w:ind w:left="393" w:right="385"/>
                          <w:rPr>
                            <w:rFonts w:ascii="Times New Roman" w:hAnsi="Times New Roman"/>
                            <w:sz w:val="21"/>
                          </w:rPr>
                        </w:pPr>
                        <w:r>
                          <w:rPr>
                            <w:rFonts w:ascii="Times New Roman" w:hAnsi="Times New Roman"/>
                            <w:sz w:val="21"/>
                          </w:rPr>
                          <w:t>≤0.2</w:t>
                        </w:r>
                      </w:p>
                    </w:tc>
                    <w:tc>
                      <w:tcPr>
                        <w:tcW w:w="2021" w:type="dxa"/>
                      </w:tcPr>
                      <w:p>
                        <w:pPr>
                          <w:pStyle w:val="TableParagraph"/>
                          <w:spacing w:before="25"/>
                          <w:ind w:left="464" w:right="454"/>
                          <w:rPr>
                            <w:rFonts w:ascii="Times New Roman" w:hAnsi="Times New Roman"/>
                            <w:sz w:val="21"/>
                          </w:rPr>
                        </w:pPr>
                        <w:r>
                          <w:rPr>
                            <w:rFonts w:ascii="Times New Roman" w:hAnsi="Times New Roman"/>
                            <w:sz w:val="21"/>
                          </w:rPr>
                          <w:t>≤0.3</w:t>
                        </w:r>
                      </w:p>
                    </w:tc>
                    <w:tc>
                      <w:tcPr>
                        <w:tcW w:w="1165" w:type="dxa"/>
                      </w:tcPr>
                      <w:p>
                        <w:pPr>
                          <w:pStyle w:val="TableParagraph"/>
                          <w:spacing w:before="25"/>
                          <w:ind w:left="21" w:right="10"/>
                          <w:rPr>
                            <w:rFonts w:ascii="Times New Roman"/>
                            <w:sz w:val="21"/>
                          </w:rPr>
                        </w:pPr>
                        <w:r>
                          <w:rPr>
                            <w:rFonts w:ascii="Times New Roman"/>
                            <w:sz w:val="21"/>
                          </w:rPr>
                          <w:t>0.04</w:t>
                        </w:r>
                      </w:p>
                    </w:tc>
                  </w:tr>
                  <w:tr>
                    <w:trPr>
                      <w:trHeight w:val="652" w:hRule="atLeast"/>
                    </w:trPr>
                    <w:tc>
                      <w:tcPr>
                        <w:tcW w:w="572" w:type="dxa"/>
                      </w:tcPr>
                      <w:p>
                        <w:pPr>
                          <w:pStyle w:val="TableParagraph"/>
                          <w:spacing w:before="181"/>
                          <w:ind w:left="54" w:right="44"/>
                          <w:rPr>
                            <w:rFonts w:ascii="Times New Roman"/>
                            <w:sz w:val="21"/>
                          </w:rPr>
                        </w:pPr>
                        <w:r>
                          <w:rPr>
                            <w:rFonts w:ascii="Times New Roman"/>
                            <w:sz w:val="21"/>
                          </w:rPr>
                          <w:t>18</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750" w:type="dxa"/>
                      </w:tcPr>
                      <w:p>
                        <w:pPr>
                          <w:pStyle w:val="TableParagraph"/>
                          <w:spacing w:before="2"/>
                          <w:ind w:left="59"/>
                          <w:jc w:val="left"/>
                          <w:rPr>
                            <w:sz w:val="21"/>
                          </w:rPr>
                        </w:pPr>
                        <w:r>
                          <w:rPr>
                            <w:w w:val="95"/>
                            <w:sz w:val="21"/>
                          </w:rPr>
                          <w:t>选煤吨</w:t>
                        </w:r>
                      </w:p>
                      <w:p>
                        <w:pPr>
                          <w:pStyle w:val="TableParagraph"/>
                          <w:spacing w:before="55"/>
                          <w:ind w:left="59"/>
                          <w:jc w:val="left"/>
                          <w:rPr>
                            <w:sz w:val="21"/>
                          </w:rPr>
                        </w:pPr>
                        <w:r>
                          <w:rPr>
                            <w:w w:val="95"/>
                            <w:sz w:val="21"/>
                          </w:rPr>
                          <w:t>煤电耗</w:t>
                        </w:r>
                      </w:p>
                    </w:tc>
                    <w:tc>
                      <w:tcPr>
                        <w:tcW w:w="1068" w:type="dxa"/>
                      </w:tcPr>
                      <w:p>
                        <w:pPr>
                          <w:pStyle w:val="TableParagraph"/>
                          <w:spacing w:before="165"/>
                          <w:ind w:left="219"/>
                          <w:jc w:val="left"/>
                          <w:rPr>
                            <w:sz w:val="21"/>
                          </w:rPr>
                        </w:pPr>
                        <w:r>
                          <w:rPr>
                            <w:sz w:val="21"/>
                          </w:rPr>
                          <w:t>动力煤</w:t>
                        </w:r>
                      </w:p>
                    </w:tc>
                    <w:tc>
                      <w:tcPr>
                        <w:tcW w:w="835" w:type="dxa"/>
                      </w:tcPr>
                      <w:p>
                        <w:pPr>
                          <w:pStyle w:val="TableParagraph"/>
                          <w:spacing w:before="181"/>
                          <w:ind w:right="144"/>
                          <w:jc w:val="right"/>
                          <w:rPr>
                            <w:rFonts w:ascii="Times New Roman"/>
                            <w:sz w:val="21"/>
                          </w:rPr>
                        </w:pPr>
                        <w:r>
                          <w:rPr>
                            <w:rFonts w:ascii="Times New Roman"/>
                            <w:sz w:val="21"/>
                          </w:rPr>
                          <w:t>kWh/t</w:t>
                        </w:r>
                      </w:p>
                    </w:tc>
                    <w:tc>
                      <w:tcPr>
                        <w:tcW w:w="933" w:type="dxa"/>
                      </w:tcPr>
                      <w:p>
                        <w:pPr>
                          <w:pStyle w:val="TableParagraph"/>
                          <w:spacing w:before="181"/>
                          <w:ind w:right="270"/>
                          <w:jc w:val="right"/>
                          <w:rPr>
                            <w:rFonts w:ascii="Times New Roman"/>
                            <w:sz w:val="21"/>
                          </w:rPr>
                        </w:pPr>
                        <w:r>
                          <w:rPr>
                            <w:rFonts w:ascii="Times New Roman"/>
                            <w:sz w:val="21"/>
                          </w:rPr>
                          <w:t>0.15</w:t>
                        </w:r>
                      </w:p>
                    </w:tc>
                    <w:tc>
                      <w:tcPr>
                        <w:tcW w:w="2641" w:type="dxa"/>
                      </w:tcPr>
                      <w:p>
                        <w:pPr>
                          <w:pStyle w:val="TableParagraph"/>
                          <w:spacing w:before="165"/>
                          <w:ind w:left="4"/>
                          <w:jc w:val="left"/>
                          <w:rPr>
                            <w:sz w:val="21"/>
                          </w:rPr>
                        </w:pPr>
                        <w:r>
                          <w:rPr>
                            <w:sz w:val="21"/>
                          </w:rPr>
                          <w:t>按 </w:t>
                        </w:r>
                        <w:r>
                          <w:rPr>
                            <w:rFonts w:ascii="Times New Roman" w:eastAsia="Times New Roman"/>
                            <w:sz w:val="21"/>
                          </w:rPr>
                          <w:t>GB29446 </w:t>
                        </w:r>
                        <w:r>
                          <w:rPr>
                            <w:sz w:val="21"/>
                          </w:rPr>
                          <w:t>先进值要求</w:t>
                        </w:r>
                      </w:p>
                    </w:tc>
                    <w:tc>
                      <w:tcPr>
                        <w:tcW w:w="1879" w:type="dxa"/>
                      </w:tcPr>
                      <w:p>
                        <w:pPr>
                          <w:pStyle w:val="TableParagraph"/>
                          <w:spacing w:before="2"/>
                          <w:ind w:left="5" w:right="-15"/>
                          <w:jc w:val="left"/>
                          <w:rPr>
                            <w:sz w:val="21"/>
                          </w:rPr>
                        </w:pPr>
                        <w:r>
                          <w:rPr>
                            <w:spacing w:val="-15"/>
                            <w:sz w:val="21"/>
                          </w:rPr>
                          <w:t>按 </w:t>
                        </w:r>
                        <w:r>
                          <w:rPr>
                            <w:rFonts w:ascii="Times New Roman" w:eastAsia="Times New Roman"/>
                            <w:sz w:val="21"/>
                          </w:rPr>
                          <w:t>GB29446</w:t>
                        </w:r>
                        <w:r>
                          <w:rPr>
                            <w:rFonts w:ascii="Times New Roman" w:eastAsia="Times New Roman"/>
                            <w:spacing w:val="25"/>
                            <w:sz w:val="21"/>
                          </w:rPr>
                          <w:t> </w:t>
                        </w:r>
                        <w:r>
                          <w:rPr>
                            <w:spacing w:val="18"/>
                            <w:sz w:val="21"/>
                          </w:rPr>
                          <w:t>准入值</w:t>
                        </w:r>
                      </w:p>
                      <w:p>
                        <w:pPr>
                          <w:pStyle w:val="TableParagraph"/>
                          <w:spacing w:before="55"/>
                          <w:ind w:left="5"/>
                          <w:jc w:val="left"/>
                          <w:rPr>
                            <w:sz w:val="21"/>
                          </w:rPr>
                        </w:pPr>
                        <w:r>
                          <w:rPr>
                            <w:sz w:val="21"/>
                          </w:rPr>
                          <w:t>要求</w:t>
                        </w:r>
                      </w:p>
                    </w:tc>
                    <w:tc>
                      <w:tcPr>
                        <w:tcW w:w="2021" w:type="dxa"/>
                      </w:tcPr>
                      <w:p>
                        <w:pPr>
                          <w:pStyle w:val="TableParagraph"/>
                          <w:spacing w:before="2"/>
                          <w:ind w:left="5" w:right="-15"/>
                          <w:jc w:val="left"/>
                          <w:rPr>
                            <w:sz w:val="21"/>
                          </w:rPr>
                        </w:pPr>
                        <w:r>
                          <w:rPr>
                            <w:spacing w:val="-25"/>
                            <w:sz w:val="21"/>
                          </w:rPr>
                          <w:t>按 </w:t>
                        </w:r>
                        <w:r>
                          <w:rPr>
                            <w:rFonts w:ascii="Times New Roman" w:eastAsia="Times New Roman"/>
                            <w:sz w:val="21"/>
                          </w:rPr>
                          <w:t>GB29446</w:t>
                        </w:r>
                        <w:r>
                          <w:rPr>
                            <w:rFonts w:ascii="Times New Roman" w:eastAsia="Times New Roman"/>
                            <w:spacing w:val="5"/>
                            <w:sz w:val="21"/>
                          </w:rPr>
                          <w:t> </w:t>
                        </w:r>
                        <w:r>
                          <w:rPr>
                            <w:spacing w:val="6"/>
                            <w:sz w:val="21"/>
                          </w:rPr>
                          <w:t>限定值要</w:t>
                        </w:r>
                      </w:p>
                      <w:p>
                        <w:pPr>
                          <w:pStyle w:val="TableParagraph"/>
                          <w:spacing w:before="55"/>
                          <w:ind w:left="5"/>
                          <w:jc w:val="left"/>
                          <w:rPr>
                            <w:sz w:val="21"/>
                          </w:rPr>
                        </w:pPr>
                        <w:r>
                          <w:rPr>
                            <w:w w:val="99"/>
                            <w:sz w:val="21"/>
                          </w:rPr>
                          <w:t>求</w:t>
                        </w:r>
                      </w:p>
                    </w:tc>
                    <w:tc>
                      <w:tcPr>
                        <w:tcW w:w="1165" w:type="dxa"/>
                      </w:tcPr>
                      <w:p>
                        <w:pPr>
                          <w:pStyle w:val="TableParagraph"/>
                          <w:spacing w:before="181"/>
                          <w:ind w:left="8"/>
                          <w:rPr>
                            <w:rFonts w:ascii="Times New Roman"/>
                            <w:sz w:val="21"/>
                          </w:rPr>
                        </w:pPr>
                        <w:r>
                          <w:rPr>
                            <w:rFonts w:ascii="Times New Roman"/>
                            <w:w w:val="99"/>
                            <w:sz w:val="21"/>
                          </w:rPr>
                          <w:t>/</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8"/>
        </w:rPr>
      </w:pPr>
    </w:p>
    <w:p>
      <w:pPr>
        <w:spacing w:before="0"/>
        <w:ind w:left="0" w:right="109" w:firstLine="0"/>
        <w:jc w:val="right"/>
        <w:rPr>
          <w:sz w:val="21"/>
        </w:rPr>
      </w:pPr>
      <w:r>
        <w:rPr>
          <w:w w:val="99"/>
          <w:sz w:val="21"/>
        </w:rPr>
        <w:t>》</w:t>
      </w:r>
    </w:p>
    <w:p>
      <w:pPr>
        <w:spacing w:after="0"/>
        <w:jc w:val="right"/>
        <w:rPr>
          <w:sz w:val="21"/>
        </w:rPr>
        <w:sectPr>
          <w:pgSz w:w="16840" w:h="11910" w:orient="landscape"/>
          <w:pgMar w:header="0" w:footer="1089" w:top="1100" w:bottom="1360" w:left="1460" w:right="1040"/>
        </w:sectPr>
      </w:pPr>
    </w:p>
    <w:p>
      <w:pPr>
        <w:pStyle w:val="BodyText"/>
        <w:rPr>
          <w:rFonts w:ascii="Times New Roman"/>
          <w:sz w:val="20"/>
        </w:rPr>
      </w:pPr>
    </w:p>
    <w:p>
      <w:pPr>
        <w:pStyle w:val="BodyText"/>
        <w:spacing w:before="1"/>
        <w:rPr>
          <w:rFonts w:ascii="Times New Roman"/>
          <w:sz w:val="2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750"/>
        <w:gridCol w:w="1068"/>
        <w:gridCol w:w="835"/>
        <w:gridCol w:w="933"/>
        <w:gridCol w:w="2641"/>
        <w:gridCol w:w="1879"/>
        <w:gridCol w:w="2021"/>
        <w:gridCol w:w="1165"/>
      </w:tblGrid>
      <w:tr>
        <w:trPr>
          <w:trHeight w:val="653" w:hRule="atLeast"/>
        </w:trPr>
        <w:tc>
          <w:tcPr>
            <w:tcW w:w="572" w:type="dxa"/>
          </w:tcPr>
          <w:p>
            <w:pPr>
              <w:pStyle w:val="TableParagraph"/>
              <w:spacing w:before="164"/>
              <w:ind w:left="54" w:right="48"/>
              <w:rPr>
                <w:sz w:val="21"/>
              </w:rPr>
            </w:pPr>
            <w:r>
              <w:rPr>
                <w:sz w:val="21"/>
              </w:rPr>
              <w:t>序号</w:t>
            </w:r>
          </w:p>
        </w:tc>
        <w:tc>
          <w:tcPr>
            <w:tcW w:w="1090" w:type="dxa"/>
          </w:tcPr>
          <w:p>
            <w:pPr>
              <w:pStyle w:val="TableParagraph"/>
              <w:ind w:left="7"/>
              <w:rPr>
                <w:sz w:val="21"/>
              </w:rPr>
            </w:pPr>
            <w:r>
              <w:rPr>
                <w:sz w:val="21"/>
              </w:rPr>
              <w:t>一级指标指</w:t>
            </w:r>
          </w:p>
          <w:p>
            <w:pPr>
              <w:pStyle w:val="TableParagraph"/>
              <w:spacing w:before="58"/>
              <w:ind w:left="5"/>
              <w:rPr>
                <w:sz w:val="21"/>
              </w:rPr>
            </w:pPr>
            <w:r>
              <w:rPr>
                <w:sz w:val="21"/>
              </w:rPr>
              <w:t>标项</w:t>
            </w:r>
          </w:p>
        </w:tc>
        <w:tc>
          <w:tcPr>
            <w:tcW w:w="1068" w:type="dxa"/>
          </w:tcPr>
          <w:p>
            <w:pPr>
              <w:pStyle w:val="TableParagraph"/>
              <w:ind w:left="9" w:right="-15"/>
              <w:rPr>
                <w:sz w:val="21"/>
              </w:rPr>
            </w:pPr>
            <w:r>
              <w:rPr>
                <w:sz w:val="21"/>
              </w:rPr>
              <w:t>一级指标权</w:t>
            </w:r>
          </w:p>
          <w:p>
            <w:pPr>
              <w:pStyle w:val="TableParagraph"/>
              <w:spacing w:before="58"/>
              <w:ind w:left="7"/>
              <w:rPr>
                <w:sz w:val="21"/>
              </w:rPr>
            </w:pPr>
            <w:r>
              <w:rPr>
                <w:sz w:val="21"/>
              </w:rPr>
              <w:t>重值</w:t>
            </w:r>
          </w:p>
        </w:tc>
        <w:tc>
          <w:tcPr>
            <w:tcW w:w="1818" w:type="dxa"/>
            <w:gridSpan w:val="2"/>
          </w:tcPr>
          <w:p>
            <w:pPr>
              <w:pStyle w:val="TableParagraph"/>
              <w:spacing w:before="164"/>
              <w:ind w:left="172"/>
              <w:jc w:val="left"/>
              <w:rPr>
                <w:sz w:val="21"/>
              </w:rPr>
            </w:pPr>
            <w:r>
              <w:rPr>
                <w:sz w:val="21"/>
              </w:rPr>
              <w:t>二级指标指标项</w:t>
            </w:r>
          </w:p>
        </w:tc>
        <w:tc>
          <w:tcPr>
            <w:tcW w:w="835" w:type="dxa"/>
          </w:tcPr>
          <w:p>
            <w:pPr>
              <w:pStyle w:val="TableParagraph"/>
              <w:spacing w:before="164"/>
              <w:ind w:left="186" w:right="179"/>
              <w:rPr>
                <w:sz w:val="21"/>
              </w:rPr>
            </w:pPr>
            <w:r>
              <w:rPr>
                <w:sz w:val="21"/>
              </w:rPr>
              <w:t>单位</w:t>
            </w:r>
          </w:p>
        </w:tc>
        <w:tc>
          <w:tcPr>
            <w:tcW w:w="933" w:type="dxa"/>
          </w:tcPr>
          <w:p>
            <w:pPr>
              <w:pStyle w:val="TableParagraph"/>
              <w:ind w:left="46"/>
              <w:jc w:val="left"/>
              <w:rPr>
                <w:sz w:val="21"/>
              </w:rPr>
            </w:pPr>
            <w:r>
              <w:rPr>
                <w:w w:val="95"/>
                <w:sz w:val="21"/>
              </w:rPr>
              <w:t>二级指标</w:t>
            </w:r>
          </w:p>
          <w:p>
            <w:pPr>
              <w:pStyle w:val="TableParagraph"/>
              <w:spacing w:before="58"/>
              <w:ind w:left="46"/>
              <w:jc w:val="left"/>
              <w:rPr>
                <w:sz w:val="21"/>
              </w:rPr>
            </w:pPr>
            <w:r>
              <w:rPr>
                <w:w w:val="95"/>
                <w:sz w:val="21"/>
              </w:rPr>
              <w:t>分权重值</w:t>
            </w:r>
          </w:p>
        </w:tc>
        <w:tc>
          <w:tcPr>
            <w:tcW w:w="2641" w:type="dxa"/>
          </w:tcPr>
          <w:p>
            <w:pPr>
              <w:pStyle w:val="TableParagraph"/>
              <w:spacing w:before="164"/>
              <w:ind w:left="773" w:right="768"/>
              <w:rPr>
                <w:sz w:val="21"/>
              </w:rPr>
            </w:pPr>
            <w:r>
              <w:rPr>
                <w:sz w:val="21"/>
              </w:rPr>
              <w:t>Ⅰ级基准值</w:t>
            </w:r>
          </w:p>
        </w:tc>
        <w:tc>
          <w:tcPr>
            <w:tcW w:w="1879" w:type="dxa"/>
          </w:tcPr>
          <w:p>
            <w:pPr>
              <w:pStyle w:val="TableParagraph"/>
              <w:spacing w:before="164"/>
              <w:ind w:left="393" w:right="386"/>
              <w:rPr>
                <w:sz w:val="21"/>
              </w:rPr>
            </w:pPr>
            <w:r>
              <w:rPr>
                <w:sz w:val="21"/>
              </w:rPr>
              <w:t>Ⅱ级基准值</w:t>
            </w:r>
          </w:p>
        </w:tc>
        <w:tc>
          <w:tcPr>
            <w:tcW w:w="2021" w:type="dxa"/>
          </w:tcPr>
          <w:p>
            <w:pPr>
              <w:pStyle w:val="TableParagraph"/>
              <w:spacing w:before="164"/>
              <w:ind w:left="464" w:right="457"/>
              <w:rPr>
                <w:sz w:val="21"/>
              </w:rPr>
            </w:pPr>
            <w:r>
              <w:rPr>
                <w:sz w:val="21"/>
              </w:rPr>
              <w:t>Ⅲ级基准值</w:t>
            </w:r>
          </w:p>
        </w:tc>
        <w:tc>
          <w:tcPr>
            <w:tcW w:w="1165" w:type="dxa"/>
          </w:tcPr>
          <w:p>
            <w:pPr>
              <w:pStyle w:val="TableParagraph"/>
              <w:ind w:left="18" w:right="13"/>
              <w:rPr>
                <w:sz w:val="21"/>
              </w:rPr>
            </w:pPr>
            <w:r>
              <w:rPr>
                <w:sz w:val="21"/>
              </w:rPr>
              <w:t>本煤矿扩建</w:t>
            </w:r>
          </w:p>
          <w:p>
            <w:pPr>
              <w:pStyle w:val="TableParagraph"/>
              <w:spacing w:before="58"/>
              <w:ind w:left="5"/>
              <w:rPr>
                <w:sz w:val="21"/>
              </w:rPr>
            </w:pPr>
            <w:r>
              <w:rPr>
                <w:w w:val="99"/>
                <w:sz w:val="21"/>
              </w:rPr>
              <w:t>后</w:t>
            </w:r>
          </w:p>
        </w:tc>
      </w:tr>
      <w:tr>
        <w:trPr>
          <w:trHeight w:val="652" w:hRule="atLeast"/>
        </w:trPr>
        <w:tc>
          <w:tcPr>
            <w:tcW w:w="572" w:type="dxa"/>
          </w:tcPr>
          <w:p>
            <w:pPr>
              <w:pStyle w:val="TableParagraph"/>
              <w:spacing w:before="181"/>
              <w:ind w:left="54" w:right="44"/>
              <w:rPr>
                <w:rFonts w:ascii="Times New Roman"/>
                <w:sz w:val="21"/>
              </w:rPr>
            </w:pPr>
            <w:r>
              <w:rPr>
                <w:rFonts w:ascii="Times New Roman"/>
                <w:sz w:val="21"/>
              </w:rPr>
              <w:t>19</w:t>
            </w:r>
          </w:p>
        </w:tc>
        <w:tc>
          <w:tcPr>
            <w:tcW w:w="1090" w:type="dxa"/>
          </w:tcPr>
          <w:p>
            <w:pPr>
              <w:pStyle w:val="TableParagraph"/>
              <w:jc w:val="left"/>
              <w:rPr>
                <w:rFonts w:ascii="Times New Roman"/>
                <w:sz w:val="20"/>
              </w:rPr>
            </w:pPr>
          </w:p>
        </w:tc>
        <w:tc>
          <w:tcPr>
            <w:tcW w:w="1068" w:type="dxa"/>
          </w:tcPr>
          <w:p>
            <w:pPr>
              <w:pStyle w:val="TableParagraph"/>
              <w:jc w:val="left"/>
              <w:rPr>
                <w:rFonts w:ascii="Times New Roman"/>
                <w:sz w:val="20"/>
              </w:rPr>
            </w:pPr>
          </w:p>
        </w:tc>
        <w:tc>
          <w:tcPr>
            <w:tcW w:w="1818" w:type="dxa"/>
            <w:gridSpan w:val="2"/>
          </w:tcPr>
          <w:p>
            <w:pPr>
              <w:pStyle w:val="TableParagraph"/>
              <w:spacing w:line="268" w:lineRule="exact"/>
              <w:ind w:left="8"/>
              <w:rPr>
                <w:sz w:val="21"/>
              </w:rPr>
            </w:pPr>
            <w:r>
              <w:rPr>
                <w:sz w:val="21"/>
              </w:rPr>
              <w:t>单位入选原煤取水</w:t>
            </w:r>
          </w:p>
          <w:p>
            <w:pPr>
              <w:pStyle w:val="TableParagraph"/>
              <w:spacing w:before="57"/>
              <w:ind w:left="8"/>
              <w:rPr>
                <w:sz w:val="21"/>
              </w:rPr>
            </w:pPr>
            <w:r>
              <w:rPr>
                <w:w w:val="99"/>
                <w:sz w:val="21"/>
              </w:rPr>
              <w:t>量</w:t>
            </w:r>
          </w:p>
        </w:tc>
        <w:tc>
          <w:tcPr>
            <w:tcW w:w="835" w:type="dxa"/>
          </w:tcPr>
          <w:p>
            <w:pPr>
              <w:pStyle w:val="TableParagraph"/>
              <w:spacing w:before="181"/>
              <w:ind w:left="186" w:right="179"/>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Pr>
          <w:p>
            <w:pPr>
              <w:pStyle w:val="TableParagraph"/>
              <w:spacing w:before="181"/>
              <w:ind w:right="323"/>
              <w:jc w:val="right"/>
              <w:rPr>
                <w:rFonts w:ascii="Times New Roman"/>
                <w:sz w:val="21"/>
              </w:rPr>
            </w:pPr>
            <w:r>
              <w:rPr>
                <w:rFonts w:ascii="Times New Roman"/>
                <w:w w:val="95"/>
                <w:sz w:val="21"/>
              </w:rPr>
              <w:t>0.1</w:t>
            </w:r>
          </w:p>
        </w:tc>
        <w:tc>
          <w:tcPr>
            <w:tcW w:w="6541" w:type="dxa"/>
            <w:gridSpan w:val="3"/>
          </w:tcPr>
          <w:p>
            <w:pPr>
              <w:pStyle w:val="TableParagraph"/>
              <w:spacing w:before="162"/>
              <w:ind w:left="4"/>
              <w:jc w:val="left"/>
              <w:rPr>
                <w:sz w:val="21"/>
              </w:rPr>
            </w:pPr>
            <w:r>
              <w:rPr>
                <w:sz w:val="21"/>
              </w:rPr>
              <w:t>符合《</w:t>
            </w:r>
            <w:r>
              <w:rPr>
                <w:rFonts w:ascii="Times New Roman" w:eastAsia="Times New Roman"/>
                <w:sz w:val="21"/>
              </w:rPr>
              <w:t>GB/T18916.11 </w:t>
            </w:r>
            <w:r>
              <w:rPr>
                <w:sz w:val="21"/>
              </w:rPr>
              <w:t>取水定额第 </w:t>
            </w:r>
            <w:r>
              <w:rPr>
                <w:rFonts w:ascii="Times New Roman" w:eastAsia="Times New Roman"/>
                <w:sz w:val="21"/>
              </w:rPr>
              <w:t>11 </w:t>
            </w:r>
            <w:r>
              <w:rPr>
                <w:sz w:val="21"/>
              </w:rPr>
              <w:t>部分：选煤》要求</w:t>
            </w:r>
          </w:p>
        </w:tc>
        <w:tc>
          <w:tcPr>
            <w:tcW w:w="1165" w:type="dxa"/>
          </w:tcPr>
          <w:p>
            <w:pPr>
              <w:pStyle w:val="TableParagraph"/>
              <w:spacing w:before="181"/>
              <w:ind w:left="8"/>
              <w:rPr>
                <w:rFonts w:ascii="Times New Roman"/>
                <w:sz w:val="21"/>
              </w:rPr>
            </w:pPr>
            <w:r>
              <w:rPr>
                <w:rFonts w:ascii="Times New Roman"/>
                <w:w w:val="99"/>
                <w:sz w:val="21"/>
              </w:rPr>
              <w:t>/</w:t>
            </w:r>
          </w:p>
        </w:tc>
      </w:tr>
      <w:tr>
        <w:trPr>
          <w:trHeight w:val="653" w:hRule="atLeast"/>
        </w:trPr>
        <w:tc>
          <w:tcPr>
            <w:tcW w:w="572" w:type="dxa"/>
          </w:tcPr>
          <w:p>
            <w:pPr>
              <w:pStyle w:val="TableParagraph"/>
              <w:spacing w:before="180"/>
              <w:ind w:left="54" w:right="44"/>
              <w:rPr>
                <w:rFonts w:ascii="Times New Roman"/>
                <w:sz w:val="21"/>
              </w:rPr>
            </w:pPr>
            <w:r>
              <w:rPr>
                <w:rFonts w:ascii="Times New Roman"/>
                <w:sz w:val="21"/>
              </w:rPr>
              <w:t>20</w:t>
            </w:r>
          </w:p>
        </w:tc>
        <w:tc>
          <w:tcPr>
            <w:tcW w:w="1090"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290" w:lineRule="auto" w:before="141"/>
              <w:ind w:left="19" w:right="9"/>
              <w:rPr>
                <w:sz w:val="21"/>
              </w:rPr>
            </w:pPr>
            <w:r>
              <w:rPr>
                <w:sz w:val="21"/>
              </w:rPr>
              <w:t>（三）资源综合利用指标</w:t>
            </w:r>
          </w:p>
        </w:tc>
        <w:tc>
          <w:tcPr>
            <w:tcW w:w="1068" w:type="dxa"/>
            <w:vMerge w:val="restart"/>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64"/>
              <w:ind w:left="350"/>
              <w:jc w:val="left"/>
              <w:rPr>
                <w:rFonts w:ascii="Times New Roman"/>
                <w:sz w:val="21"/>
              </w:rPr>
            </w:pPr>
            <w:r>
              <w:rPr>
                <w:rFonts w:ascii="Times New Roman"/>
                <w:sz w:val="21"/>
              </w:rPr>
              <w:t>0.15</w:t>
            </w:r>
          </w:p>
        </w:tc>
        <w:tc>
          <w:tcPr>
            <w:tcW w:w="1818" w:type="dxa"/>
            <w:gridSpan w:val="2"/>
          </w:tcPr>
          <w:p>
            <w:pPr>
              <w:pStyle w:val="TableParagraph"/>
              <w:spacing w:before="1"/>
              <w:ind w:left="6"/>
              <w:rPr>
                <w:sz w:val="21"/>
              </w:rPr>
            </w:pPr>
            <w:r>
              <w:rPr>
                <w:rFonts w:ascii="Times New Roman" w:eastAsia="Times New Roman"/>
                <w:sz w:val="21"/>
              </w:rPr>
              <w:t>*</w:t>
            </w:r>
            <w:r>
              <w:rPr>
                <w:sz w:val="21"/>
              </w:rPr>
              <w:t>当年产生煤矸石综</w:t>
            </w:r>
          </w:p>
          <w:p>
            <w:pPr>
              <w:pStyle w:val="TableParagraph"/>
              <w:spacing w:before="57"/>
              <w:ind w:left="8"/>
              <w:rPr>
                <w:sz w:val="21"/>
              </w:rPr>
            </w:pPr>
            <w:r>
              <w:rPr>
                <w:sz w:val="21"/>
              </w:rPr>
              <w:t>合利用率</w:t>
            </w:r>
          </w:p>
        </w:tc>
        <w:tc>
          <w:tcPr>
            <w:tcW w:w="835" w:type="dxa"/>
          </w:tcPr>
          <w:p>
            <w:pPr>
              <w:pStyle w:val="TableParagraph"/>
              <w:spacing w:before="180"/>
              <w:ind w:left="8"/>
              <w:rPr>
                <w:rFonts w:ascii="Times New Roman"/>
                <w:sz w:val="21"/>
              </w:rPr>
            </w:pPr>
            <w:r>
              <w:rPr>
                <w:rFonts w:ascii="Times New Roman"/>
                <w:w w:val="99"/>
                <w:sz w:val="21"/>
              </w:rPr>
              <w:t>%</w:t>
            </w:r>
          </w:p>
        </w:tc>
        <w:tc>
          <w:tcPr>
            <w:tcW w:w="933" w:type="dxa"/>
          </w:tcPr>
          <w:p>
            <w:pPr>
              <w:pStyle w:val="TableParagraph"/>
              <w:spacing w:before="180"/>
              <w:ind w:right="323"/>
              <w:jc w:val="right"/>
              <w:rPr>
                <w:rFonts w:ascii="Times New Roman"/>
                <w:sz w:val="21"/>
              </w:rPr>
            </w:pPr>
            <w:r>
              <w:rPr>
                <w:rFonts w:ascii="Times New Roman"/>
                <w:w w:val="95"/>
                <w:sz w:val="21"/>
              </w:rPr>
              <w:t>0.3</w:t>
            </w:r>
          </w:p>
        </w:tc>
        <w:tc>
          <w:tcPr>
            <w:tcW w:w="2641" w:type="dxa"/>
          </w:tcPr>
          <w:p>
            <w:pPr>
              <w:pStyle w:val="TableParagraph"/>
              <w:spacing w:before="180"/>
              <w:ind w:left="773" w:right="762"/>
              <w:rPr>
                <w:rFonts w:ascii="Times New Roman" w:hAnsi="Times New Roman"/>
                <w:sz w:val="21"/>
              </w:rPr>
            </w:pPr>
            <w:r>
              <w:rPr>
                <w:rFonts w:ascii="Times New Roman" w:hAnsi="Times New Roman"/>
                <w:sz w:val="21"/>
              </w:rPr>
              <w:t>≥85</w:t>
            </w:r>
          </w:p>
        </w:tc>
        <w:tc>
          <w:tcPr>
            <w:tcW w:w="1879" w:type="dxa"/>
          </w:tcPr>
          <w:p>
            <w:pPr>
              <w:pStyle w:val="TableParagraph"/>
              <w:spacing w:before="180"/>
              <w:ind w:left="393" w:right="385"/>
              <w:rPr>
                <w:rFonts w:ascii="Times New Roman" w:hAnsi="Times New Roman"/>
                <w:sz w:val="21"/>
              </w:rPr>
            </w:pPr>
            <w:r>
              <w:rPr>
                <w:rFonts w:ascii="Times New Roman" w:hAnsi="Times New Roman"/>
                <w:sz w:val="21"/>
              </w:rPr>
              <w:t>≥80</w:t>
            </w:r>
          </w:p>
        </w:tc>
        <w:tc>
          <w:tcPr>
            <w:tcW w:w="2021" w:type="dxa"/>
          </w:tcPr>
          <w:p>
            <w:pPr>
              <w:pStyle w:val="TableParagraph"/>
              <w:spacing w:before="180"/>
              <w:ind w:left="464" w:right="454"/>
              <w:rPr>
                <w:rFonts w:ascii="Times New Roman" w:hAnsi="Times New Roman"/>
                <w:sz w:val="21"/>
              </w:rPr>
            </w:pPr>
            <w:r>
              <w:rPr>
                <w:rFonts w:ascii="Times New Roman" w:hAnsi="Times New Roman"/>
                <w:sz w:val="21"/>
              </w:rPr>
              <w:t>≥75</w:t>
            </w:r>
          </w:p>
        </w:tc>
        <w:tc>
          <w:tcPr>
            <w:tcW w:w="1165" w:type="dxa"/>
          </w:tcPr>
          <w:p>
            <w:pPr>
              <w:pStyle w:val="TableParagraph"/>
              <w:spacing w:before="180"/>
              <w:ind w:left="21" w:right="12"/>
              <w:rPr>
                <w:rFonts w:ascii="Times New Roman" w:hAnsi="Times New Roman"/>
                <w:sz w:val="21"/>
              </w:rPr>
            </w:pPr>
            <w:r>
              <w:rPr>
                <w:rFonts w:ascii="Times New Roman" w:hAnsi="Times New Roman"/>
                <w:sz w:val="21"/>
              </w:rPr>
              <w:t>≥85</w:t>
            </w:r>
          </w:p>
        </w:tc>
      </w:tr>
      <w:tr>
        <w:trPr>
          <w:trHeight w:val="654" w:hRule="atLeast"/>
        </w:trPr>
        <w:tc>
          <w:tcPr>
            <w:tcW w:w="572" w:type="dxa"/>
          </w:tcPr>
          <w:p>
            <w:pPr>
              <w:pStyle w:val="TableParagraph"/>
              <w:spacing w:before="179"/>
              <w:ind w:left="54" w:right="44"/>
              <w:rPr>
                <w:rFonts w:ascii="Times New Roman"/>
                <w:sz w:val="21"/>
              </w:rPr>
            </w:pPr>
            <w:r>
              <w:rPr>
                <w:rFonts w:ascii="Times New Roman"/>
                <w:sz w:val="21"/>
              </w:rPr>
              <w:t>21</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750" w:type="dxa"/>
          </w:tcPr>
          <w:p>
            <w:pPr>
              <w:pStyle w:val="TableParagraph"/>
              <w:spacing w:line="268" w:lineRule="exact"/>
              <w:ind w:left="6" w:right="-15"/>
              <w:jc w:val="left"/>
              <w:rPr>
                <w:sz w:val="21"/>
              </w:rPr>
            </w:pPr>
            <w:r>
              <w:rPr>
                <w:rFonts w:ascii="Times New Roman" w:eastAsia="Times New Roman"/>
                <w:sz w:val="21"/>
              </w:rPr>
              <w:t>*</w:t>
            </w:r>
            <w:r>
              <w:rPr>
                <w:sz w:val="21"/>
              </w:rPr>
              <w:t>矿井水</w:t>
            </w:r>
          </w:p>
          <w:p>
            <w:pPr>
              <w:pStyle w:val="TableParagraph"/>
              <w:spacing w:before="57"/>
              <w:ind w:left="59"/>
              <w:jc w:val="left"/>
              <w:rPr>
                <w:sz w:val="21"/>
              </w:rPr>
            </w:pPr>
            <w:r>
              <w:rPr>
                <w:sz w:val="21"/>
              </w:rPr>
              <w:t>利用率</w:t>
            </w:r>
          </w:p>
        </w:tc>
        <w:tc>
          <w:tcPr>
            <w:tcW w:w="1068" w:type="dxa"/>
          </w:tcPr>
          <w:p>
            <w:pPr>
              <w:pStyle w:val="TableParagraph"/>
              <w:spacing w:line="268" w:lineRule="exact"/>
              <w:ind w:left="7"/>
              <w:rPr>
                <w:sz w:val="21"/>
              </w:rPr>
            </w:pPr>
            <w:r>
              <w:rPr>
                <w:sz w:val="21"/>
              </w:rPr>
              <w:t>水资源短缺</w:t>
            </w:r>
          </w:p>
          <w:p>
            <w:pPr>
              <w:pStyle w:val="TableParagraph"/>
              <w:spacing w:before="57"/>
              <w:ind w:left="4"/>
              <w:rPr>
                <w:sz w:val="21"/>
              </w:rPr>
            </w:pPr>
            <w:r>
              <w:rPr>
                <w:sz w:val="21"/>
              </w:rPr>
              <w:t>矿区</w:t>
            </w:r>
          </w:p>
        </w:tc>
        <w:tc>
          <w:tcPr>
            <w:tcW w:w="835" w:type="dxa"/>
          </w:tcPr>
          <w:p>
            <w:pPr>
              <w:pStyle w:val="TableParagraph"/>
              <w:spacing w:before="179"/>
              <w:ind w:left="8"/>
              <w:rPr>
                <w:rFonts w:ascii="Times New Roman"/>
                <w:sz w:val="21"/>
              </w:rPr>
            </w:pPr>
            <w:r>
              <w:rPr>
                <w:rFonts w:ascii="Times New Roman"/>
                <w:w w:val="99"/>
                <w:sz w:val="21"/>
              </w:rPr>
              <w:t>%</w:t>
            </w:r>
          </w:p>
        </w:tc>
        <w:tc>
          <w:tcPr>
            <w:tcW w:w="933" w:type="dxa"/>
          </w:tcPr>
          <w:p>
            <w:pPr>
              <w:pStyle w:val="TableParagraph"/>
              <w:spacing w:before="179"/>
              <w:ind w:right="323"/>
              <w:jc w:val="right"/>
              <w:rPr>
                <w:rFonts w:ascii="Times New Roman"/>
                <w:sz w:val="21"/>
              </w:rPr>
            </w:pPr>
            <w:r>
              <w:rPr>
                <w:rFonts w:ascii="Times New Roman"/>
                <w:w w:val="95"/>
                <w:sz w:val="21"/>
              </w:rPr>
              <w:t>0.3</w:t>
            </w:r>
          </w:p>
        </w:tc>
        <w:tc>
          <w:tcPr>
            <w:tcW w:w="2641" w:type="dxa"/>
          </w:tcPr>
          <w:p>
            <w:pPr>
              <w:pStyle w:val="TableParagraph"/>
              <w:spacing w:before="179"/>
              <w:ind w:left="773" w:right="762"/>
              <w:rPr>
                <w:rFonts w:ascii="Times New Roman" w:hAnsi="Times New Roman"/>
                <w:sz w:val="21"/>
              </w:rPr>
            </w:pPr>
            <w:r>
              <w:rPr>
                <w:rFonts w:ascii="Times New Roman" w:hAnsi="Times New Roman"/>
                <w:sz w:val="21"/>
              </w:rPr>
              <w:t>≥95</w:t>
            </w:r>
          </w:p>
        </w:tc>
        <w:tc>
          <w:tcPr>
            <w:tcW w:w="1879" w:type="dxa"/>
          </w:tcPr>
          <w:p>
            <w:pPr>
              <w:pStyle w:val="TableParagraph"/>
              <w:spacing w:before="179"/>
              <w:ind w:left="393" w:right="385"/>
              <w:rPr>
                <w:rFonts w:ascii="Times New Roman" w:hAnsi="Times New Roman"/>
                <w:sz w:val="21"/>
              </w:rPr>
            </w:pPr>
            <w:r>
              <w:rPr>
                <w:rFonts w:ascii="Times New Roman" w:hAnsi="Times New Roman"/>
                <w:sz w:val="21"/>
              </w:rPr>
              <w:t>≥90</w:t>
            </w:r>
          </w:p>
        </w:tc>
        <w:tc>
          <w:tcPr>
            <w:tcW w:w="2021" w:type="dxa"/>
          </w:tcPr>
          <w:p>
            <w:pPr>
              <w:pStyle w:val="TableParagraph"/>
              <w:spacing w:before="179"/>
              <w:ind w:left="464" w:right="454"/>
              <w:rPr>
                <w:rFonts w:ascii="Times New Roman" w:hAnsi="Times New Roman"/>
                <w:sz w:val="21"/>
              </w:rPr>
            </w:pPr>
            <w:r>
              <w:rPr>
                <w:rFonts w:ascii="Times New Roman" w:hAnsi="Times New Roman"/>
                <w:sz w:val="21"/>
              </w:rPr>
              <w:t>≥85</w:t>
            </w:r>
          </w:p>
        </w:tc>
        <w:tc>
          <w:tcPr>
            <w:tcW w:w="1165" w:type="dxa"/>
          </w:tcPr>
          <w:p>
            <w:pPr>
              <w:pStyle w:val="TableParagraph"/>
              <w:spacing w:before="179"/>
              <w:ind w:left="21" w:right="12"/>
              <w:rPr>
                <w:rFonts w:ascii="Times New Roman" w:hAnsi="Times New Roman"/>
                <w:sz w:val="21"/>
              </w:rPr>
            </w:pPr>
            <w:r>
              <w:rPr>
                <w:rFonts w:ascii="Times New Roman" w:hAnsi="Times New Roman"/>
                <w:sz w:val="21"/>
              </w:rPr>
              <w:t>≥95</w:t>
            </w:r>
          </w:p>
        </w:tc>
      </w:tr>
      <w:tr>
        <w:trPr>
          <w:trHeight w:val="652" w:hRule="atLeast"/>
        </w:trPr>
        <w:tc>
          <w:tcPr>
            <w:tcW w:w="572" w:type="dxa"/>
          </w:tcPr>
          <w:p>
            <w:pPr>
              <w:pStyle w:val="TableParagraph"/>
              <w:spacing w:before="179"/>
              <w:ind w:left="54" w:right="44"/>
              <w:rPr>
                <w:rFonts w:ascii="Times New Roman"/>
                <w:sz w:val="21"/>
              </w:rPr>
            </w:pPr>
            <w:r>
              <w:rPr>
                <w:rFonts w:ascii="Times New Roman"/>
                <w:sz w:val="21"/>
              </w:rPr>
              <w:t>22</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ind w:left="8"/>
              <w:rPr>
                <w:sz w:val="21"/>
              </w:rPr>
            </w:pPr>
            <w:r>
              <w:rPr>
                <w:sz w:val="21"/>
              </w:rPr>
              <w:t>矿区生活污水综合</w:t>
            </w:r>
          </w:p>
          <w:p>
            <w:pPr>
              <w:pStyle w:val="TableParagraph"/>
              <w:spacing w:before="57"/>
              <w:ind w:left="6"/>
              <w:rPr>
                <w:sz w:val="21"/>
              </w:rPr>
            </w:pPr>
            <w:r>
              <w:rPr>
                <w:sz w:val="21"/>
              </w:rPr>
              <w:t>利用率</w:t>
            </w:r>
          </w:p>
        </w:tc>
        <w:tc>
          <w:tcPr>
            <w:tcW w:w="835" w:type="dxa"/>
          </w:tcPr>
          <w:p>
            <w:pPr>
              <w:pStyle w:val="TableParagraph"/>
              <w:spacing w:before="179"/>
              <w:ind w:left="8"/>
              <w:rPr>
                <w:rFonts w:ascii="Times New Roman"/>
                <w:sz w:val="21"/>
              </w:rPr>
            </w:pPr>
            <w:r>
              <w:rPr>
                <w:rFonts w:ascii="Times New Roman"/>
                <w:w w:val="99"/>
                <w:sz w:val="21"/>
              </w:rPr>
              <w:t>%</w:t>
            </w:r>
          </w:p>
        </w:tc>
        <w:tc>
          <w:tcPr>
            <w:tcW w:w="933" w:type="dxa"/>
          </w:tcPr>
          <w:p>
            <w:pPr>
              <w:pStyle w:val="TableParagraph"/>
              <w:spacing w:before="179"/>
              <w:ind w:right="323"/>
              <w:jc w:val="right"/>
              <w:rPr>
                <w:rFonts w:ascii="Times New Roman"/>
                <w:sz w:val="21"/>
              </w:rPr>
            </w:pPr>
            <w:r>
              <w:rPr>
                <w:rFonts w:ascii="Times New Roman"/>
                <w:w w:val="95"/>
                <w:sz w:val="21"/>
              </w:rPr>
              <w:t>0.2</w:t>
            </w:r>
          </w:p>
        </w:tc>
        <w:tc>
          <w:tcPr>
            <w:tcW w:w="2641" w:type="dxa"/>
          </w:tcPr>
          <w:p>
            <w:pPr>
              <w:pStyle w:val="TableParagraph"/>
              <w:spacing w:before="179"/>
              <w:ind w:left="773" w:right="762"/>
              <w:rPr>
                <w:rFonts w:ascii="Times New Roman"/>
                <w:sz w:val="21"/>
              </w:rPr>
            </w:pPr>
            <w:r>
              <w:rPr>
                <w:rFonts w:ascii="Times New Roman"/>
                <w:sz w:val="21"/>
              </w:rPr>
              <w:t>100</w:t>
            </w:r>
          </w:p>
        </w:tc>
        <w:tc>
          <w:tcPr>
            <w:tcW w:w="1879" w:type="dxa"/>
          </w:tcPr>
          <w:p>
            <w:pPr>
              <w:pStyle w:val="TableParagraph"/>
              <w:spacing w:before="179"/>
              <w:ind w:left="393" w:right="385"/>
              <w:rPr>
                <w:rFonts w:ascii="Times New Roman" w:hAnsi="Times New Roman"/>
                <w:sz w:val="21"/>
              </w:rPr>
            </w:pPr>
            <w:r>
              <w:rPr>
                <w:rFonts w:ascii="Times New Roman" w:hAnsi="Times New Roman"/>
                <w:sz w:val="21"/>
              </w:rPr>
              <w:t>≥95</w:t>
            </w:r>
          </w:p>
        </w:tc>
        <w:tc>
          <w:tcPr>
            <w:tcW w:w="2021" w:type="dxa"/>
          </w:tcPr>
          <w:p>
            <w:pPr>
              <w:pStyle w:val="TableParagraph"/>
              <w:spacing w:before="179"/>
              <w:ind w:left="464" w:right="454"/>
              <w:rPr>
                <w:rFonts w:ascii="Times New Roman" w:hAnsi="Times New Roman"/>
                <w:sz w:val="21"/>
              </w:rPr>
            </w:pPr>
            <w:r>
              <w:rPr>
                <w:rFonts w:ascii="Times New Roman" w:hAnsi="Times New Roman"/>
                <w:sz w:val="21"/>
              </w:rPr>
              <w:t>≥90</w:t>
            </w:r>
          </w:p>
        </w:tc>
        <w:tc>
          <w:tcPr>
            <w:tcW w:w="1165" w:type="dxa"/>
          </w:tcPr>
          <w:p>
            <w:pPr>
              <w:pStyle w:val="TableParagraph"/>
              <w:spacing w:before="179"/>
              <w:ind w:left="21" w:right="10"/>
              <w:rPr>
                <w:rFonts w:ascii="Times New Roman"/>
                <w:sz w:val="21"/>
              </w:rPr>
            </w:pPr>
            <w:r>
              <w:rPr>
                <w:rFonts w:ascii="Times New Roman"/>
                <w:sz w:val="21"/>
              </w:rPr>
              <w:t>100</w:t>
            </w:r>
          </w:p>
        </w:tc>
      </w:tr>
      <w:tr>
        <w:trPr>
          <w:trHeight w:val="653" w:hRule="atLeast"/>
        </w:trPr>
        <w:tc>
          <w:tcPr>
            <w:tcW w:w="572" w:type="dxa"/>
          </w:tcPr>
          <w:p>
            <w:pPr>
              <w:pStyle w:val="TableParagraph"/>
              <w:spacing w:before="181"/>
              <w:ind w:left="54" w:right="44"/>
              <w:rPr>
                <w:rFonts w:ascii="Times New Roman"/>
                <w:sz w:val="21"/>
              </w:rPr>
            </w:pPr>
            <w:r>
              <w:rPr>
                <w:rFonts w:ascii="Times New Roman"/>
                <w:sz w:val="21"/>
              </w:rPr>
              <w:t>23</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2"/>
              <w:ind w:left="8"/>
              <w:rPr>
                <w:sz w:val="21"/>
              </w:rPr>
            </w:pPr>
            <w:r>
              <w:rPr>
                <w:sz w:val="21"/>
              </w:rPr>
              <w:t>高瓦斯矿井当年抽</w:t>
            </w:r>
          </w:p>
          <w:p>
            <w:pPr>
              <w:pStyle w:val="TableParagraph"/>
              <w:spacing w:before="55"/>
              <w:ind w:left="6"/>
              <w:rPr>
                <w:sz w:val="21"/>
              </w:rPr>
            </w:pPr>
            <w:r>
              <w:rPr>
                <w:sz w:val="21"/>
              </w:rPr>
              <w:t>采瓦斯利用率</w:t>
            </w:r>
          </w:p>
        </w:tc>
        <w:tc>
          <w:tcPr>
            <w:tcW w:w="835" w:type="dxa"/>
          </w:tcPr>
          <w:p>
            <w:pPr>
              <w:pStyle w:val="TableParagraph"/>
              <w:spacing w:before="181"/>
              <w:ind w:left="8"/>
              <w:rPr>
                <w:rFonts w:ascii="Times New Roman"/>
                <w:sz w:val="21"/>
              </w:rPr>
            </w:pPr>
            <w:r>
              <w:rPr>
                <w:rFonts w:ascii="Times New Roman"/>
                <w:w w:val="99"/>
                <w:sz w:val="21"/>
              </w:rPr>
              <w:t>%</w:t>
            </w:r>
          </w:p>
        </w:tc>
        <w:tc>
          <w:tcPr>
            <w:tcW w:w="933" w:type="dxa"/>
          </w:tcPr>
          <w:p>
            <w:pPr>
              <w:pStyle w:val="TableParagraph"/>
              <w:spacing w:before="181"/>
              <w:ind w:right="323"/>
              <w:jc w:val="right"/>
              <w:rPr>
                <w:rFonts w:ascii="Times New Roman"/>
                <w:sz w:val="21"/>
              </w:rPr>
            </w:pPr>
            <w:r>
              <w:rPr>
                <w:rFonts w:ascii="Times New Roman"/>
                <w:w w:val="95"/>
                <w:sz w:val="21"/>
              </w:rPr>
              <w:t>0.2</w:t>
            </w:r>
          </w:p>
        </w:tc>
        <w:tc>
          <w:tcPr>
            <w:tcW w:w="2641" w:type="dxa"/>
          </w:tcPr>
          <w:p>
            <w:pPr>
              <w:pStyle w:val="TableParagraph"/>
              <w:spacing w:before="181"/>
              <w:ind w:left="773" w:right="762"/>
              <w:rPr>
                <w:rFonts w:ascii="Times New Roman" w:hAnsi="Times New Roman"/>
                <w:sz w:val="21"/>
              </w:rPr>
            </w:pPr>
            <w:r>
              <w:rPr>
                <w:rFonts w:ascii="Times New Roman" w:hAnsi="Times New Roman"/>
                <w:sz w:val="21"/>
              </w:rPr>
              <w:t>≥85</w:t>
            </w:r>
          </w:p>
        </w:tc>
        <w:tc>
          <w:tcPr>
            <w:tcW w:w="1879" w:type="dxa"/>
          </w:tcPr>
          <w:p>
            <w:pPr>
              <w:pStyle w:val="TableParagraph"/>
              <w:spacing w:before="181"/>
              <w:ind w:left="393" w:right="385"/>
              <w:rPr>
                <w:rFonts w:ascii="Times New Roman" w:hAnsi="Times New Roman"/>
                <w:sz w:val="21"/>
              </w:rPr>
            </w:pPr>
            <w:r>
              <w:rPr>
                <w:rFonts w:ascii="Times New Roman" w:hAnsi="Times New Roman"/>
                <w:sz w:val="21"/>
              </w:rPr>
              <w:t>≥70</w:t>
            </w:r>
          </w:p>
        </w:tc>
        <w:tc>
          <w:tcPr>
            <w:tcW w:w="2021" w:type="dxa"/>
          </w:tcPr>
          <w:p>
            <w:pPr>
              <w:pStyle w:val="TableParagraph"/>
              <w:spacing w:before="181"/>
              <w:ind w:left="464" w:right="454"/>
              <w:rPr>
                <w:rFonts w:ascii="Times New Roman" w:hAnsi="Times New Roman"/>
                <w:sz w:val="21"/>
              </w:rPr>
            </w:pPr>
            <w:r>
              <w:rPr>
                <w:rFonts w:ascii="Times New Roman" w:hAnsi="Times New Roman"/>
                <w:sz w:val="21"/>
              </w:rPr>
              <w:t>≥60</w:t>
            </w:r>
          </w:p>
        </w:tc>
        <w:tc>
          <w:tcPr>
            <w:tcW w:w="1165" w:type="dxa"/>
          </w:tcPr>
          <w:p>
            <w:pPr>
              <w:pStyle w:val="TableParagraph"/>
              <w:spacing w:before="2"/>
              <w:ind w:left="18" w:right="13"/>
              <w:rPr>
                <w:sz w:val="21"/>
              </w:rPr>
            </w:pPr>
            <w:r>
              <w:rPr>
                <w:sz w:val="21"/>
              </w:rPr>
              <w:t>本煤矿为低</w:t>
            </w:r>
          </w:p>
          <w:p>
            <w:pPr>
              <w:pStyle w:val="TableParagraph"/>
              <w:spacing w:before="55"/>
              <w:ind w:left="18" w:right="13"/>
              <w:rPr>
                <w:sz w:val="21"/>
              </w:rPr>
            </w:pPr>
            <w:r>
              <w:rPr>
                <w:sz w:val="21"/>
              </w:rPr>
              <w:t>瓦斯矿井</w:t>
            </w:r>
          </w:p>
        </w:tc>
      </w:tr>
      <w:tr>
        <w:trPr>
          <w:trHeight w:val="652" w:hRule="atLeast"/>
        </w:trPr>
        <w:tc>
          <w:tcPr>
            <w:tcW w:w="572" w:type="dxa"/>
          </w:tcPr>
          <w:p>
            <w:pPr>
              <w:pStyle w:val="TableParagraph"/>
              <w:spacing w:before="180"/>
              <w:ind w:left="54" w:right="44"/>
              <w:rPr>
                <w:rFonts w:ascii="Times New Roman"/>
                <w:sz w:val="21"/>
              </w:rPr>
            </w:pPr>
            <w:r>
              <w:rPr>
                <w:rFonts w:ascii="Times New Roman"/>
                <w:sz w:val="21"/>
              </w:rPr>
              <w:t>24</w:t>
            </w:r>
          </w:p>
        </w:tc>
        <w:tc>
          <w:tcPr>
            <w:tcW w:w="1090"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spacing w:before="3"/>
              <w:jc w:val="left"/>
              <w:rPr>
                <w:rFonts w:ascii="Times New Roman"/>
                <w:sz w:val="19"/>
              </w:rPr>
            </w:pPr>
          </w:p>
          <w:p>
            <w:pPr>
              <w:pStyle w:val="TableParagraph"/>
              <w:spacing w:line="290" w:lineRule="auto"/>
              <w:ind w:left="124" w:right="9" w:hanging="106"/>
              <w:jc w:val="left"/>
              <w:rPr>
                <w:sz w:val="21"/>
              </w:rPr>
            </w:pPr>
            <w:r>
              <w:rPr>
                <w:sz w:val="21"/>
              </w:rPr>
              <w:t>（四）生态环境指标</w:t>
            </w:r>
          </w:p>
        </w:tc>
        <w:tc>
          <w:tcPr>
            <w:tcW w:w="1068" w:type="dxa"/>
            <w:vMerge w:val="restart"/>
          </w:tcPr>
          <w:p>
            <w:pPr>
              <w:pStyle w:val="TableParagraph"/>
              <w:jc w:val="left"/>
              <w:rPr>
                <w:rFonts w:ascii="Times New Roman"/>
                <w:sz w:val="22"/>
              </w:rPr>
            </w:pPr>
          </w:p>
          <w:p>
            <w:pPr>
              <w:pStyle w:val="TableParagraph"/>
              <w:jc w:val="left"/>
              <w:rPr>
                <w:rFonts w:ascii="Times New Roman"/>
                <w:sz w:val="22"/>
              </w:rPr>
            </w:pPr>
          </w:p>
          <w:p>
            <w:pPr>
              <w:pStyle w:val="TableParagraph"/>
              <w:spacing w:before="1"/>
              <w:jc w:val="left"/>
              <w:rPr>
                <w:rFonts w:ascii="Times New Roman"/>
                <w:sz w:val="31"/>
              </w:rPr>
            </w:pPr>
          </w:p>
          <w:p>
            <w:pPr>
              <w:pStyle w:val="TableParagraph"/>
              <w:ind w:left="350"/>
              <w:jc w:val="left"/>
              <w:rPr>
                <w:rFonts w:ascii="Times New Roman"/>
                <w:sz w:val="21"/>
              </w:rPr>
            </w:pPr>
            <w:r>
              <w:rPr>
                <w:rFonts w:ascii="Times New Roman"/>
                <w:sz w:val="21"/>
              </w:rPr>
              <w:t>0.15</w:t>
            </w:r>
          </w:p>
        </w:tc>
        <w:tc>
          <w:tcPr>
            <w:tcW w:w="1818" w:type="dxa"/>
            <w:gridSpan w:val="2"/>
          </w:tcPr>
          <w:p>
            <w:pPr>
              <w:pStyle w:val="TableParagraph"/>
              <w:ind w:left="19"/>
              <w:rPr>
                <w:sz w:val="21"/>
              </w:rPr>
            </w:pPr>
            <w:r>
              <w:rPr>
                <w:spacing w:val="-11"/>
                <w:w w:val="95"/>
                <w:sz w:val="21"/>
              </w:rPr>
              <w:t>煤矸石、煤泥、粉煤</w:t>
            </w:r>
          </w:p>
          <w:p>
            <w:pPr>
              <w:pStyle w:val="TableParagraph"/>
              <w:spacing w:before="57"/>
              <w:ind w:left="6"/>
              <w:rPr>
                <w:sz w:val="21"/>
              </w:rPr>
            </w:pPr>
            <w:r>
              <w:rPr>
                <w:sz w:val="21"/>
              </w:rPr>
              <w:t>灰安全处置率</w:t>
            </w:r>
          </w:p>
        </w:tc>
        <w:tc>
          <w:tcPr>
            <w:tcW w:w="835" w:type="dxa"/>
          </w:tcPr>
          <w:p>
            <w:pPr>
              <w:pStyle w:val="TableParagraph"/>
              <w:spacing w:before="180"/>
              <w:ind w:left="8"/>
              <w:rPr>
                <w:rFonts w:ascii="Times New Roman"/>
                <w:sz w:val="21"/>
              </w:rPr>
            </w:pPr>
            <w:r>
              <w:rPr>
                <w:rFonts w:ascii="Times New Roman"/>
                <w:w w:val="99"/>
                <w:sz w:val="21"/>
              </w:rPr>
              <w:t>%</w:t>
            </w:r>
          </w:p>
        </w:tc>
        <w:tc>
          <w:tcPr>
            <w:tcW w:w="933" w:type="dxa"/>
          </w:tcPr>
          <w:p>
            <w:pPr>
              <w:pStyle w:val="TableParagraph"/>
              <w:spacing w:before="180"/>
              <w:ind w:right="270"/>
              <w:jc w:val="right"/>
              <w:rPr>
                <w:rFonts w:ascii="Times New Roman"/>
                <w:sz w:val="21"/>
              </w:rPr>
            </w:pPr>
            <w:r>
              <w:rPr>
                <w:rFonts w:ascii="Times New Roman"/>
                <w:sz w:val="21"/>
              </w:rPr>
              <w:t>0.15</w:t>
            </w:r>
          </w:p>
        </w:tc>
        <w:tc>
          <w:tcPr>
            <w:tcW w:w="2641" w:type="dxa"/>
          </w:tcPr>
          <w:p>
            <w:pPr>
              <w:pStyle w:val="TableParagraph"/>
              <w:spacing w:before="180"/>
              <w:ind w:left="773" w:right="762"/>
              <w:rPr>
                <w:rFonts w:ascii="Times New Roman"/>
                <w:sz w:val="21"/>
              </w:rPr>
            </w:pPr>
            <w:r>
              <w:rPr>
                <w:rFonts w:ascii="Times New Roman"/>
                <w:sz w:val="21"/>
              </w:rPr>
              <w:t>100</w:t>
            </w:r>
          </w:p>
        </w:tc>
        <w:tc>
          <w:tcPr>
            <w:tcW w:w="1879" w:type="dxa"/>
          </w:tcPr>
          <w:p>
            <w:pPr>
              <w:pStyle w:val="TableParagraph"/>
              <w:spacing w:before="180"/>
              <w:ind w:left="393" w:right="385"/>
              <w:rPr>
                <w:rFonts w:ascii="Times New Roman"/>
                <w:sz w:val="21"/>
              </w:rPr>
            </w:pPr>
            <w:r>
              <w:rPr>
                <w:rFonts w:ascii="Times New Roman"/>
                <w:sz w:val="21"/>
              </w:rPr>
              <w:t>100</w:t>
            </w:r>
          </w:p>
        </w:tc>
        <w:tc>
          <w:tcPr>
            <w:tcW w:w="2021" w:type="dxa"/>
          </w:tcPr>
          <w:p>
            <w:pPr>
              <w:pStyle w:val="TableParagraph"/>
              <w:spacing w:before="180"/>
              <w:ind w:left="464" w:right="454"/>
              <w:rPr>
                <w:rFonts w:ascii="Times New Roman"/>
                <w:sz w:val="21"/>
              </w:rPr>
            </w:pPr>
            <w:r>
              <w:rPr>
                <w:rFonts w:ascii="Times New Roman"/>
                <w:sz w:val="21"/>
              </w:rPr>
              <w:t>100</w:t>
            </w:r>
          </w:p>
        </w:tc>
        <w:tc>
          <w:tcPr>
            <w:tcW w:w="1165" w:type="dxa"/>
          </w:tcPr>
          <w:p>
            <w:pPr>
              <w:pStyle w:val="TableParagraph"/>
              <w:spacing w:before="180"/>
              <w:ind w:left="21" w:right="10"/>
              <w:rPr>
                <w:rFonts w:ascii="Times New Roman"/>
                <w:sz w:val="21"/>
              </w:rPr>
            </w:pPr>
            <w:r>
              <w:rPr>
                <w:rFonts w:ascii="Times New Roman"/>
                <w:sz w:val="21"/>
              </w:rPr>
              <w:t>100</w:t>
            </w:r>
          </w:p>
        </w:tc>
      </w:tr>
      <w:tr>
        <w:trPr>
          <w:trHeight w:val="341" w:hRule="atLeast"/>
        </w:trPr>
        <w:tc>
          <w:tcPr>
            <w:tcW w:w="572" w:type="dxa"/>
          </w:tcPr>
          <w:p>
            <w:pPr>
              <w:pStyle w:val="TableParagraph"/>
              <w:spacing w:before="25"/>
              <w:ind w:left="54" w:right="44"/>
              <w:rPr>
                <w:rFonts w:ascii="Times New Roman"/>
                <w:sz w:val="21"/>
              </w:rPr>
            </w:pPr>
            <w:r>
              <w:rPr>
                <w:rFonts w:ascii="Times New Roman"/>
                <w:sz w:val="21"/>
              </w:rPr>
              <w:t>25</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7"/>
              <w:ind w:left="278"/>
              <w:jc w:val="left"/>
              <w:rPr>
                <w:sz w:val="21"/>
              </w:rPr>
            </w:pPr>
            <w:r>
              <w:rPr>
                <w:sz w:val="21"/>
              </w:rPr>
              <w:t>沉陷区治理率</w:t>
            </w:r>
          </w:p>
        </w:tc>
        <w:tc>
          <w:tcPr>
            <w:tcW w:w="835" w:type="dxa"/>
          </w:tcPr>
          <w:p>
            <w:pPr>
              <w:pStyle w:val="TableParagraph"/>
              <w:spacing w:before="25"/>
              <w:ind w:left="8"/>
              <w:rPr>
                <w:rFonts w:ascii="Times New Roman"/>
                <w:sz w:val="21"/>
              </w:rPr>
            </w:pPr>
            <w:r>
              <w:rPr>
                <w:rFonts w:ascii="Times New Roman"/>
                <w:w w:val="99"/>
                <w:sz w:val="21"/>
              </w:rPr>
              <w:t>%</w:t>
            </w:r>
          </w:p>
        </w:tc>
        <w:tc>
          <w:tcPr>
            <w:tcW w:w="933" w:type="dxa"/>
          </w:tcPr>
          <w:p>
            <w:pPr>
              <w:pStyle w:val="TableParagraph"/>
              <w:spacing w:before="25"/>
              <w:ind w:right="270"/>
              <w:jc w:val="right"/>
              <w:rPr>
                <w:rFonts w:ascii="Times New Roman"/>
                <w:sz w:val="21"/>
              </w:rPr>
            </w:pPr>
            <w:r>
              <w:rPr>
                <w:rFonts w:ascii="Times New Roman"/>
                <w:sz w:val="21"/>
              </w:rPr>
              <w:t>0.15</w:t>
            </w:r>
          </w:p>
        </w:tc>
        <w:tc>
          <w:tcPr>
            <w:tcW w:w="2641" w:type="dxa"/>
          </w:tcPr>
          <w:p>
            <w:pPr>
              <w:pStyle w:val="TableParagraph"/>
              <w:spacing w:before="25"/>
              <w:ind w:left="773" w:right="767"/>
              <w:rPr>
                <w:rFonts w:ascii="Times New Roman"/>
                <w:sz w:val="21"/>
              </w:rPr>
            </w:pPr>
            <w:r>
              <w:rPr>
                <w:rFonts w:ascii="Times New Roman"/>
                <w:sz w:val="21"/>
              </w:rPr>
              <w:t>90</w:t>
            </w:r>
          </w:p>
        </w:tc>
        <w:tc>
          <w:tcPr>
            <w:tcW w:w="1879" w:type="dxa"/>
          </w:tcPr>
          <w:p>
            <w:pPr>
              <w:pStyle w:val="TableParagraph"/>
              <w:spacing w:before="25"/>
              <w:ind w:left="393" w:right="385"/>
              <w:rPr>
                <w:rFonts w:ascii="Times New Roman"/>
                <w:sz w:val="21"/>
              </w:rPr>
            </w:pPr>
            <w:r>
              <w:rPr>
                <w:rFonts w:ascii="Times New Roman"/>
                <w:sz w:val="21"/>
              </w:rPr>
              <w:t>80</w:t>
            </w:r>
          </w:p>
        </w:tc>
        <w:tc>
          <w:tcPr>
            <w:tcW w:w="2021" w:type="dxa"/>
          </w:tcPr>
          <w:p>
            <w:pPr>
              <w:pStyle w:val="TableParagraph"/>
              <w:spacing w:before="25"/>
              <w:ind w:left="464" w:right="454"/>
              <w:rPr>
                <w:rFonts w:ascii="Times New Roman"/>
                <w:sz w:val="21"/>
              </w:rPr>
            </w:pPr>
            <w:r>
              <w:rPr>
                <w:rFonts w:ascii="Times New Roman"/>
                <w:sz w:val="21"/>
              </w:rPr>
              <w:t>70</w:t>
            </w:r>
          </w:p>
        </w:tc>
        <w:tc>
          <w:tcPr>
            <w:tcW w:w="1165" w:type="dxa"/>
          </w:tcPr>
          <w:p>
            <w:pPr>
              <w:pStyle w:val="TableParagraph"/>
              <w:spacing w:before="25"/>
              <w:ind w:left="20" w:right="13"/>
              <w:rPr>
                <w:rFonts w:ascii="Times New Roman"/>
                <w:sz w:val="21"/>
              </w:rPr>
            </w:pPr>
            <w:r>
              <w:rPr>
                <w:rFonts w:ascii="Times New Roman"/>
                <w:sz w:val="21"/>
              </w:rPr>
              <w:t>90</w:t>
            </w:r>
          </w:p>
        </w:tc>
      </w:tr>
      <w:tr>
        <w:trPr>
          <w:trHeight w:val="653" w:hRule="atLeast"/>
        </w:trPr>
        <w:tc>
          <w:tcPr>
            <w:tcW w:w="572" w:type="dxa"/>
          </w:tcPr>
          <w:p>
            <w:pPr>
              <w:pStyle w:val="TableParagraph"/>
              <w:spacing w:before="181"/>
              <w:ind w:left="54" w:right="44"/>
              <w:rPr>
                <w:rFonts w:ascii="Times New Roman"/>
                <w:sz w:val="21"/>
              </w:rPr>
            </w:pPr>
            <w:r>
              <w:rPr>
                <w:rFonts w:ascii="Times New Roman"/>
                <w:sz w:val="21"/>
              </w:rPr>
              <w:t>26</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1"/>
              <w:ind w:left="6"/>
              <w:rPr>
                <w:sz w:val="21"/>
              </w:rPr>
            </w:pPr>
            <w:r>
              <w:rPr>
                <w:rFonts w:ascii="Times New Roman" w:eastAsia="Times New Roman"/>
                <w:sz w:val="21"/>
              </w:rPr>
              <w:t>*</w:t>
            </w:r>
            <w:r>
              <w:rPr>
                <w:sz w:val="21"/>
              </w:rPr>
              <w:t>塌陷稳定后土地复</w:t>
            </w:r>
          </w:p>
          <w:p>
            <w:pPr>
              <w:pStyle w:val="TableParagraph"/>
              <w:spacing w:before="58"/>
              <w:ind w:left="6"/>
              <w:rPr>
                <w:sz w:val="21"/>
              </w:rPr>
            </w:pPr>
            <w:r>
              <w:rPr>
                <w:sz w:val="21"/>
              </w:rPr>
              <w:t>垦率</w:t>
            </w:r>
          </w:p>
        </w:tc>
        <w:tc>
          <w:tcPr>
            <w:tcW w:w="835" w:type="dxa"/>
          </w:tcPr>
          <w:p>
            <w:pPr>
              <w:pStyle w:val="TableParagraph"/>
              <w:spacing w:before="181"/>
              <w:ind w:left="8"/>
              <w:rPr>
                <w:rFonts w:ascii="Times New Roman"/>
                <w:sz w:val="21"/>
              </w:rPr>
            </w:pPr>
            <w:r>
              <w:rPr>
                <w:rFonts w:ascii="Times New Roman"/>
                <w:w w:val="99"/>
                <w:sz w:val="21"/>
              </w:rPr>
              <w:t>%</w:t>
            </w:r>
          </w:p>
        </w:tc>
        <w:tc>
          <w:tcPr>
            <w:tcW w:w="933" w:type="dxa"/>
          </w:tcPr>
          <w:p>
            <w:pPr>
              <w:pStyle w:val="TableParagraph"/>
              <w:spacing w:before="181"/>
              <w:ind w:right="323"/>
              <w:jc w:val="right"/>
              <w:rPr>
                <w:rFonts w:ascii="Times New Roman"/>
                <w:sz w:val="21"/>
              </w:rPr>
            </w:pPr>
            <w:r>
              <w:rPr>
                <w:rFonts w:ascii="Times New Roman"/>
                <w:w w:val="95"/>
                <w:sz w:val="21"/>
              </w:rPr>
              <w:t>0.2</w:t>
            </w:r>
          </w:p>
        </w:tc>
        <w:tc>
          <w:tcPr>
            <w:tcW w:w="2641" w:type="dxa"/>
          </w:tcPr>
          <w:p>
            <w:pPr>
              <w:pStyle w:val="TableParagraph"/>
              <w:spacing w:before="181"/>
              <w:ind w:left="773" w:right="762"/>
              <w:rPr>
                <w:rFonts w:ascii="Times New Roman" w:hAnsi="Times New Roman"/>
                <w:sz w:val="21"/>
              </w:rPr>
            </w:pPr>
            <w:r>
              <w:rPr>
                <w:rFonts w:ascii="Times New Roman" w:hAnsi="Times New Roman"/>
                <w:sz w:val="21"/>
              </w:rPr>
              <w:t>≥80</w:t>
            </w:r>
          </w:p>
        </w:tc>
        <w:tc>
          <w:tcPr>
            <w:tcW w:w="1879" w:type="dxa"/>
          </w:tcPr>
          <w:p>
            <w:pPr>
              <w:pStyle w:val="TableParagraph"/>
              <w:spacing w:before="181"/>
              <w:ind w:left="393" w:right="385"/>
              <w:rPr>
                <w:rFonts w:ascii="Times New Roman" w:hAnsi="Times New Roman"/>
                <w:sz w:val="21"/>
              </w:rPr>
            </w:pPr>
            <w:r>
              <w:rPr>
                <w:rFonts w:ascii="Times New Roman" w:hAnsi="Times New Roman"/>
                <w:sz w:val="21"/>
              </w:rPr>
              <w:t>≥75</w:t>
            </w:r>
          </w:p>
        </w:tc>
        <w:tc>
          <w:tcPr>
            <w:tcW w:w="2021" w:type="dxa"/>
          </w:tcPr>
          <w:p>
            <w:pPr>
              <w:pStyle w:val="TableParagraph"/>
              <w:spacing w:before="181"/>
              <w:ind w:left="464" w:right="454"/>
              <w:rPr>
                <w:rFonts w:ascii="Times New Roman" w:hAnsi="Times New Roman"/>
                <w:sz w:val="21"/>
              </w:rPr>
            </w:pPr>
            <w:r>
              <w:rPr>
                <w:rFonts w:ascii="Times New Roman" w:hAnsi="Times New Roman"/>
                <w:sz w:val="21"/>
              </w:rPr>
              <w:t>≥70</w:t>
            </w:r>
          </w:p>
        </w:tc>
        <w:tc>
          <w:tcPr>
            <w:tcW w:w="1165" w:type="dxa"/>
          </w:tcPr>
          <w:p>
            <w:pPr>
              <w:pStyle w:val="TableParagraph"/>
              <w:spacing w:before="181"/>
              <w:ind w:left="21" w:right="12"/>
              <w:rPr>
                <w:rFonts w:ascii="Times New Roman" w:hAnsi="Times New Roman"/>
                <w:sz w:val="21"/>
              </w:rPr>
            </w:pPr>
            <w:r>
              <w:rPr>
                <w:rFonts w:ascii="Times New Roman" w:hAnsi="Times New Roman"/>
                <w:sz w:val="21"/>
              </w:rPr>
              <w:t>≥80</w:t>
            </w:r>
          </w:p>
        </w:tc>
      </w:tr>
      <w:tr>
        <w:trPr>
          <w:trHeight w:val="340" w:hRule="atLeast"/>
        </w:trPr>
        <w:tc>
          <w:tcPr>
            <w:tcW w:w="572" w:type="dxa"/>
          </w:tcPr>
          <w:p>
            <w:pPr>
              <w:pStyle w:val="TableParagraph"/>
              <w:spacing w:before="26"/>
              <w:ind w:left="54" w:right="44"/>
              <w:rPr>
                <w:rFonts w:ascii="Times New Roman"/>
                <w:sz w:val="21"/>
              </w:rPr>
            </w:pPr>
            <w:r>
              <w:rPr>
                <w:rFonts w:ascii="Times New Roman"/>
                <w:sz w:val="21"/>
              </w:rPr>
              <w:t>27</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spacing w:before="7"/>
              <w:ind w:left="172"/>
              <w:jc w:val="left"/>
              <w:rPr>
                <w:sz w:val="21"/>
              </w:rPr>
            </w:pPr>
            <w:r>
              <w:rPr>
                <w:sz w:val="21"/>
              </w:rPr>
              <w:t>工业广场绿化率</w:t>
            </w:r>
          </w:p>
        </w:tc>
        <w:tc>
          <w:tcPr>
            <w:tcW w:w="835" w:type="dxa"/>
          </w:tcPr>
          <w:p>
            <w:pPr>
              <w:pStyle w:val="TableParagraph"/>
              <w:spacing w:before="26"/>
              <w:ind w:left="8"/>
              <w:rPr>
                <w:rFonts w:ascii="Times New Roman"/>
                <w:sz w:val="21"/>
              </w:rPr>
            </w:pPr>
            <w:r>
              <w:rPr>
                <w:rFonts w:ascii="Times New Roman"/>
                <w:w w:val="99"/>
                <w:sz w:val="21"/>
              </w:rPr>
              <w:t>%</w:t>
            </w:r>
          </w:p>
        </w:tc>
        <w:tc>
          <w:tcPr>
            <w:tcW w:w="933" w:type="dxa"/>
          </w:tcPr>
          <w:p>
            <w:pPr>
              <w:pStyle w:val="TableParagraph"/>
              <w:spacing w:before="26"/>
              <w:ind w:right="270"/>
              <w:jc w:val="right"/>
              <w:rPr>
                <w:rFonts w:ascii="Times New Roman"/>
                <w:sz w:val="21"/>
              </w:rPr>
            </w:pPr>
            <w:r>
              <w:rPr>
                <w:rFonts w:ascii="Times New Roman"/>
                <w:sz w:val="21"/>
              </w:rPr>
              <w:t>0.15</w:t>
            </w:r>
          </w:p>
        </w:tc>
        <w:tc>
          <w:tcPr>
            <w:tcW w:w="2641" w:type="dxa"/>
          </w:tcPr>
          <w:p>
            <w:pPr>
              <w:pStyle w:val="TableParagraph"/>
              <w:spacing w:before="26"/>
              <w:ind w:left="773" w:right="762"/>
              <w:rPr>
                <w:rFonts w:ascii="Times New Roman" w:hAnsi="Times New Roman"/>
                <w:sz w:val="21"/>
              </w:rPr>
            </w:pPr>
            <w:r>
              <w:rPr>
                <w:rFonts w:ascii="Times New Roman" w:hAnsi="Times New Roman"/>
                <w:sz w:val="21"/>
              </w:rPr>
              <w:t>≥30</w:t>
            </w:r>
          </w:p>
        </w:tc>
        <w:tc>
          <w:tcPr>
            <w:tcW w:w="1879" w:type="dxa"/>
          </w:tcPr>
          <w:p>
            <w:pPr>
              <w:pStyle w:val="TableParagraph"/>
              <w:spacing w:before="26"/>
              <w:ind w:left="393" w:right="385"/>
              <w:rPr>
                <w:rFonts w:ascii="Times New Roman" w:hAnsi="Times New Roman"/>
                <w:sz w:val="21"/>
              </w:rPr>
            </w:pPr>
            <w:r>
              <w:rPr>
                <w:rFonts w:ascii="Times New Roman" w:hAnsi="Times New Roman"/>
                <w:sz w:val="21"/>
              </w:rPr>
              <w:t>≥25</w:t>
            </w:r>
          </w:p>
        </w:tc>
        <w:tc>
          <w:tcPr>
            <w:tcW w:w="2021" w:type="dxa"/>
          </w:tcPr>
          <w:p>
            <w:pPr>
              <w:pStyle w:val="TableParagraph"/>
              <w:spacing w:before="26"/>
              <w:ind w:left="464" w:right="454"/>
              <w:rPr>
                <w:rFonts w:ascii="Times New Roman" w:hAnsi="Times New Roman"/>
                <w:sz w:val="21"/>
              </w:rPr>
            </w:pPr>
            <w:r>
              <w:rPr>
                <w:rFonts w:ascii="Times New Roman" w:hAnsi="Times New Roman"/>
                <w:sz w:val="21"/>
              </w:rPr>
              <w:t>≥20</w:t>
            </w:r>
          </w:p>
        </w:tc>
        <w:tc>
          <w:tcPr>
            <w:tcW w:w="1165" w:type="dxa"/>
          </w:tcPr>
          <w:p>
            <w:pPr>
              <w:pStyle w:val="TableParagraph"/>
              <w:spacing w:before="26"/>
              <w:ind w:left="21" w:right="12"/>
              <w:rPr>
                <w:rFonts w:ascii="Times New Roman" w:hAnsi="Times New Roman"/>
                <w:sz w:val="21"/>
              </w:rPr>
            </w:pPr>
            <w:r>
              <w:rPr>
                <w:rFonts w:ascii="Times New Roman" w:hAnsi="Times New Roman"/>
                <w:sz w:val="21"/>
              </w:rPr>
              <w:t>≥20</w:t>
            </w:r>
          </w:p>
        </w:tc>
      </w:tr>
      <w:tr>
        <w:trPr>
          <w:trHeight w:val="1307" w:hRule="atLeast"/>
        </w:trPr>
        <w:tc>
          <w:tcPr>
            <w:tcW w:w="572" w:type="dxa"/>
          </w:tcPr>
          <w:p>
            <w:pPr>
              <w:pStyle w:val="TableParagraph"/>
              <w:jc w:val="left"/>
              <w:rPr>
                <w:rFonts w:ascii="Times New Roman"/>
                <w:sz w:val="22"/>
              </w:rPr>
            </w:pPr>
          </w:p>
          <w:p>
            <w:pPr>
              <w:pStyle w:val="TableParagraph"/>
              <w:spacing w:before="2"/>
              <w:jc w:val="left"/>
              <w:rPr>
                <w:rFonts w:ascii="Times New Roman"/>
                <w:sz w:val="22"/>
              </w:rPr>
            </w:pPr>
          </w:p>
          <w:p>
            <w:pPr>
              <w:pStyle w:val="TableParagraph"/>
              <w:ind w:left="54" w:right="44"/>
              <w:rPr>
                <w:rFonts w:ascii="Times New Roman"/>
                <w:sz w:val="21"/>
              </w:rPr>
            </w:pPr>
            <w:r>
              <w:rPr>
                <w:rFonts w:ascii="Times New Roman"/>
                <w:sz w:val="21"/>
              </w:rPr>
              <w:t>28</w:t>
            </w:r>
          </w:p>
        </w:tc>
        <w:tc>
          <w:tcPr>
            <w:tcW w:w="1090" w:type="dxa"/>
            <w:vMerge w:val="restart"/>
          </w:tcPr>
          <w:p>
            <w:pPr>
              <w:pStyle w:val="TableParagraph"/>
              <w:jc w:val="left"/>
              <w:rPr>
                <w:rFonts w:ascii="Times New Roman"/>
                <w:sz w:val="20"/>
              </w:rPr>
            </w:pPr>
          </w:p>
          <w:p>
            <w:pPr>
              <w:pStyle w:val="TableParagraph"/>
              <w:jc w:val="left"/>
              <w:rPr>
                <w:rFonts w:ascii="Times New Roman"/>
                <w:sz w:val="20"/>
              </w:rPr>
            </w:pPr>
          </w:p>
          <w:p>
            <w:pPr>
              <w:pStyle w:val="TableParagraph"/>
              <w:jc w:val="left"/>
              <w:rPr>
                <w:rFonts w:ascii="Times New Roman"/>
                <w:sz w:val="20"/>
              </w:rPr>
            </w:pPr>
          </w:p>
          <w:p>
            <w:pPr>
              <w:pStyle w:val="TableParagraph"/>
              <w:spacing w:line="290" w:lineRule="auto" w:before="131"/>
              <w:ind w:left="19" w:right="9"/>
              <w:rPr>
                <w:sz w:val="21"/>
              </w:rPr>
            </w:pPr>
            <w:r>
              <w:rPr>
                <w:sz w:val="21"/>
              </w:rPr>
              <w:t>（五）清洁生产管理指标</w:t>
            </w:r>
          </w:p>
        </w:tc>
        <w:tc>
          <w:tcPr>
            <w:tcW w:w="1068" w:type="dxa"/>
            <w:vMerge w:val="restart"/>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54"/>
              <w:ind w:left="350"/>
              <w:jc w:val="left"/>
              <w:rPr>
                <w:rFonts w:ascii="Times New Roman"/>
                <w:sz w:val="21"/>
              </w:rPr>
            </w:pPr>
            <w:r>
              <w:rPr>
                <w:rFonts w:ascii="Times New Roman"/>
                <w:sz w:val="21"/>
              </w:rPr>
              <w:t>0.25</w:t>
            </w:r>
          </w:p>
        </w:tc>
        <w:tc>
          <w:tcPr>
            <w:tcW w:w="1818" w:type="dxa"/>
            <w:gridSpan w:val="2"/>
          </w:tcPr>
          <w:p>
            <w:pPr>
              <w:pStyle w:val="TableParagraph"/>
              <w:spacing w:before="4"/>
              <w:jc w:val="left"/>
              <w:rPr>
                <w:rFonts w:ascii="Times New Roman"/>
                <w:sz w:val="28"/>
              </w:rPr>
            </w:pPr>
          </w:p>
          <w:p>
            <w:pPr>
              <w:pStyle w:val="TableParagraph"/>
              <w:spacing w:line="290" w:lineRule="auto" w:before="1"/>
              <w:ind w:left="383" w:right="8" w:hanging="368"/>
              <w:jc w:val="left"/>
              <w:rPr>
                <w:sz w:val="21"/>
              </w:rPr>
            </w:pPr>
            <w:r>
              <w:rPr>
                <w:rFonts w:ascii="Times New Roman" w:eastAsia="Times New Roman"/>
                <w:sz w:val="21"/>
              </w:rPr>
              <w:t>*</w:t>
            </w:r>
            <w:r>
              <w:rPr>
                <w:sz w:val="21"/>
              </w:rPr>
              <w:t>环境法律法规标准政策符合性</w:t>
            </w:r>
          </w:p>
        </w:tc>
        <w:tc>
          <w:tcPr>
            <w:tcW w:w="835" w:type="dxa"/>
          </w:tcPr>
          <w:p>
            <w:pPr>
              <w:pStyle w:val="TableParagraph"/>
              <w:jc w:val="left"/>
              <w:rPr>
                <w:rFonts w:ascii="Times New Roman"/>
                <w:sz w:val="20"/>
              </w:rPr>
            </w:pPr>
          </w:p>
          <w:p>
            <w:pPr>
              <w:pStyle w:val="TableParagraph"/>
              <w:spacing w:before="7"/>
              <w:jc w:val="left"/>
              <w:rPr>
                <w:rFonts w:ascii="Times New Roman"/>
                <w:sz w:val="22"/>
              </w:rPr>
            </w:pPr>
          </w:p>
          <w:p>
            <w:pPr>
              <w:pStyle w:val="TableParagraph"/>
              <w:ind w:left="5"/>
              <w:rPr>
                <w:sz w:val="21"/>
              </w:rPr>
            </w:pPr>
            <w:r>
              <w:rPr>
                <w:w w:val="99"/>
                <w:sz w:val="21"/>
              </w:rPr>
              <w:t>━</w:t>
            </w:r>
          </w:p>
        </w:tc>
        <w:tc>
          <w:tcPr>
            <w:tcW w:w="933" w:type="dxa"/>
          </w:tcPr>
          <w:p>
            <w:pPr>
              <w:pStyle w:val="TableParagraph"/>
              <w:jc w:val="left"/>
              <w:rPr>
                <w:rFonts w:ascii="Times New Roman"/>
                <w:sz w:val="22"/>
              </w:rPr>
            </w:pPr>
          </w:p>
          <w:p>
            <w:pPr>
              <w:pStyle w:val="TableParagraph"/>
              <w:spacing w:before="2"/>
              <w:jc w:val="left"/>
              <w:rPr>
                <w:rFonts w:ascii="Times New Roman"/>
                <w:sz w:val="22"/>
              </w:rPr>
            </w:pPr>
          </w:p>
          <w:p>
            <w:pPr>
              <w:pStyle w:val="TableParagraph"/>
              <w:ind w:right="270"/>
              <w:jc w:val="right"/>
              <w:rPr>
                <w:rFonts w:ascii="Times New Roman"/>
                <w:sz w:val="21"/>
              </w:rPr>
            </w:pPr>
            <w:r>
              <w:rPr>
                <w:rFonts w:ascii="Times New Roman"/>
                <w:sz w:val="21"/>
              </w:rPr>
              <w:t>0.15</w:t>
            </w:r>
          </w:p>
        </w:tc>
        <w:tc>
          <w:tcPr>
            <w:tcW w:w="6541" w:type="dxa"/>
            <w:gridSpan w:val="3"/>
          </w:tcPr>
          <w:p>
            <w:pPr>
              <w:pStyle w:val="TableParagraph"/>
              <w:spacing w:line="290" w:lineRule="auto"/>
              <w:ind w:left="4"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TableParagraph"/>
              <w:spacing w:before="5"/>
              <w:ind w:left="4"/>
              <w:jc w:val="left"/>
              <w:rPr>
                <w:sz w:val="21"/>
              </w:rPr>
            </w:pPr>
            <w:r>
              <w:rPr>
                <w:sz w:val="21"/>
              </w:rPr>
              <w:t>矿生产能力管理、淘汰落后产能的相关政策措施</w:t>
            </w:r>
          </w:p>
        </w:tc>
        <w:tc>
          <w:tcPr>
            <w:tcW w:w="1165" w:type="dxa"/>
          </w:tcPr>
          <w:p>
            <w:pPr>
              <w:pStyle w:val="TableParagraph"/>
              <w:jc w:val="left"/>
              <w:rPr>
                <w:rFonts w:ascii="Times New Roman"/>
                <w:sz w:val="20"/>
              </w:rPr>
            </w:pPr>
          </w:p>
          <w:p>
            <w:pPr>
              <w:pStyle w:val="TableParagraph"/>
              <w:spacing w:before="7"/>
              <w:jc w:val="left"/>
              <w:rPr>
                <w:rFonts w:ascii="Times New Roman"/>
                <w:sz w:val="22"/>
              </w:rPr>
            </w:pPr>
          </w:p>
          <w:p>
            <w:pPr>
              <w:pStyle w:val="TableParagraph"/>
              <w:ind w:left="18" w:right="13"/>
              <w:rPr>
                <w:sz w:val="21"/>
              </w:rPr>
            </w:pPr>
            <w:r>
              <w:rPr>
                <w:sz w:val="21"/>
              </w:rPr>
              <w:t>符合要求</w:t>
            </w:r>
          </w:p>
        </w:tc>
      </w:tr>
      <w:tr>
        <w:trPr>
          <w:trHeight w:val="1306" w:hRule="atLeast"/>
        </w:trPr>
        <w:tc>
          <w:tcPr>
            <w:tcW w:w="572" w:type="dxa"/>
          </w:tcPr>
          <w:p>
            <w:pPr>
              <w:pStyle w:val="TableParagraph"/>
              <w:jc w:val="left"/>
              <w:rPr>
                <w:rFonts w:ascii="Times New Roman"/>
                <w:sz w:val="22"/>
              </w:rPr>
            </w:pPr>
          </w:p>
          <w:p>
            <w:pPr>
              <w:pStyle w:val="TableParagraph"/>
              <w:jc w:val="left"/>
              <w:rPr>
                <w:rFonts w:ascii="Times New Roman"/>
                <w:sz w:val="22"/>
              </w:rPr>
            </w:pPr>
          </w:p>
          <w:p>
            <w:pPr>
              <w:pStyle w:val="TableParagraph"/>
              <w:spacing w:before="1"/>
              <w:ind w:left="54" w:right="44"/>
              <w:rPr>
                <w:rFonts w:ascii="Times New Roman"/>
                <w:sz w:val="21"/>
              </w:rPr>
            </w:pPr>
            <w:r>
              <w:rPr>
                <w:rFonts w:ascii="Times New Roman"/>
                <w:sz w:val="21"/>
              </w:rPr>
              <w:t>29</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gridSpan w:val="2"/>
          </w:tcPr>
          <w:p>
            <w:pPr>
              <w:pStyle w:val="TableParagraph"/>
              <w:jc w:val="left"/>
              <w:rPr>
                <w:rFonts w:ascii="Times New Roman"/>
                <w:sz w:val="20"/>
              </w:rPr>
            </w:pPr>
          </w:p>
          <w:p>
            <w:pPr>
              <w:pStyle w:val="TableParagraph"/>
              <w:spacing w:before="7"/>
              <w:jc w:val="left"/>
              <w:rPr>
                <w:rFonts w:ascii="Times New Roman"/>
                <w:sz w:val="22"/>
              </w:rPr>
            </w:pPr>
          </w:p>
          <w:p>
            <w:pPr>
              <w:pStyle w:val="TableParagraph"/>
              <w:ind w:left="278"/>
              <w:jc w:val="left"/>
              <w:rPr>
                <w:sz w:val="21"/>
              </w:rPr>
            </w:pPr>
            <w:r>
              <w:rPr>
                <w:sz w:val="21"/>
              </w:rPr>
              <w:t>清洁生产管理</w:t>
            </w:r>
          </w:p>
        </w:tc>
        <w:tc>
          <w:tcPr>
            <w:tcW w:w="835" w:type="dxa"/>
          </w:tcPr>
          <w:p>
            <w:pPr>
              <w:pStyle w:val="TableParagraph"/>
              <w:jc w:val="left"/>
              <w:rPr>
                <w:rFonts w:ascii="Times New Roman"/>
                <w:sz w:val="20"/>
              </w:rPr>
            </w:pPr>
          </w:p>
          <w:p>
            <w:pPr>
              <w:pStyle w:val="TableParagraph"/>
              <w:spacing w:before="7"/>
              <w:jc w:val="left"/>
              <w:rPr>
                <w:rFonts w:ascii="Times New Roman"/>
                <w:sz w:val="22"/>
              </w:rPr>
            </w:pPr>
          </w:p>
          <w:p>
            <w:pPr>
              <w:pStyle w:val="TableParagraph"/>
              <w:ind w:left="5"/>
              <w:rPr>
                <w:sz w:val="21"/>
              </w:rPr>
            </w:pPr>
            <w:r>
              <w:rPr>
                <w:w w:val="99"/>
                <w:sz w:val="21"/>
              </w:rPr>
              <w:t>━</w:t>
            </w:r>
          </w:p>
        </w:tc>
        <w:tc>
          <w:tcPr>
            <w:tcW w:w="933" w:type="dxa"/>
          </w:tcPr>
          <w:p>
            <w:pPr>
              <w:pStyle w:val="TableParagraph"/>
              <w:jc w:val="left"/>
              <w:rPr>
                <w:rFonts w:ascii="Times New Roman"/>
                <w:sz w:val="22"/>
              </w:rPr>
            </w:pPr>
          </w:p>
          <w:p>
            <w:pPr>
              <w:pStyle w:val="TableParagraph"/>
              <w:jc w:val="left"/>
              <w:rPr>
                <w:rFonts w:ascii="Times New Roman"/>
                <w:sz w:val="22"/>
              </w:rPr>
            </w:pPr>
          </w:p>
          <w:p>
            <w:pPr>
              <w:pStyle w:val="TableParagraph"/>
              <w:spacing w:before="1"/>
              <w:ind w:right="270"/>
              <w:jc w:val="right"/>
              <w:rPr>
                <w:rFonts w:ascii="Times New Roman"/>
                <w:sz w:val="21"/>
              </w:rPr>
            </w:pPr>
            <w:r>
              <w:rPr>
                <w:rFonts w:ascii="Times New Roman"/>
                <w:sz w:val="21"/>
              </w:rPr>
              <w:t>0.15</w:t>
            </w:r>
          </w:p>
        </w:tc>
        <w:tc>
          <w:tcPr>
            <w:tcW w:w="6541" w:type="dxa"/>
            <w:gridSpan w:val="3"/>
          </w:tcPr>
          <w:p>
            <w:pPr>
              <w:pStyle w:val="TableParagraph"/>
              <w:spacing w:line="290" w:lineRule="auto" w:before="1"/>
              <w:ind w:left="4"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w:t>
            </w:r>
          </w:p>
          <w:p>
            <w:pPr>
              <w:pStyle w:val="TableParagraph"/>
              <w:spacing w:before="2"/>
              <w:ind w:left="4" w:right="-15"/>
              <w:jc w:val="left"/>
              <w:rPr>
                <w:sz w:val="21"/>
              </w:rPr>
            </w:pPr>
            <w:r>
              <w:rPr>
                <w:sz w:val="21"/>
              </w:rPr>
              <w:t>标、清洁生产方案，认真组织落实；资源、能源、环保设施运行统计台</w:t>
            </w:r>
          </w:p>
        </w:tc>
        <w:tc>
          <w:tcPr>
            <w:tcW w:w="1165" w:type="dxa"/>
          </w:tcPr>
          <w:p>
            <w:pPr>
              <w:pStyle w:val="TableParagraph"/>
              <w:jc w:val="left"/>
              <w:rPr>
                <w:rFonts w:ascii="Times New Roman"/>
                <w:sz w:val="20"/>
              </w:rPr>
            </w:pPr>
          </w:p>
          <w:p>
            <w:pPr>
              <w:pStyle w:val="TableParagraph"/>
              <w:spacing w:before="7"/>
              <w:jc w:val="left"/>
              <w:rPr>
                <w:rFonts w:ascii="Times New Roman"/>
                <w:sz w:val="22"/>
              </w:rPr>
            </w:pPr>
          </w:p>
          <w:p>
            <w:pPr>
              <w:pStyle w:val="TableParagraph"/>
              <w:ind w:left="18" w:right="13"/>
              <w:rPr>
                <w:sz w:val="21"/>
              </w:rPr>
            </w:pPr>
            <w:r>
              <w:rPr>
                <w:sz w:val="21"/>
              </w:rPr>
              <w:t>符合要求</w:t>
            </w:r>
          </w:p>
        </w:tc>
      </w:tr>
    </w:tbl>
    <w:p>
      <w:pPr>
        <w:spacing w:after="0"/>
        <w:rPr>
          <w:sz w:val="21"/>
        </w:rPr>
        <w:sectPr>
          <w:pgSz w:w="16840" w:h="11910" w:orient="landscape"/>
          <w:pgMar w:header="0" w:footer="1089" w:top="1100" w:bottom="1280" w:left="1460" w:right="1040"/>
        </w:sectPr>
      </w:pPr>
    </w:p>
    <w:p>
      <w:pPr>
        <w:pStyle w:val="BodyText"/>
        <w:rPr>
          <w:rFonts w:ascii="Times New Roman"/>
          <w:sz w:val="20"/>
        </w:rPr>
      </w:pPr>
      <w:r>
        <w:rPr/>
        <w:pict>
          <v:shape style="position:absolute;margin-left:78.059998pt;margin-top:80.099991pt;width:701.85pt;height:444.6pt;mso-position-horizontal-relative:page;mso-position-vertical-relative:page;z-index:2518200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1818"/>
                    <w:gridCol w:w="835"/>
                    <w:gridCol w:w="933"/>
                    <w:gridCol w:w="2641"/>
                    <w:gridCol w:w="1879"/>
                    <w:gridCol w:w="2021"/>
                    <w:gridCol w:w="1165"/>
                  </w:tblGrid>
                  <w:tr>
                    <w:trPr>
                      <w:trHeight w:val="653" w:hRule="atLeast"/>
                    </w:trPr>
                    <w:tc>
                      <w:tcPr>
                        <w:tcW w:w="572" w:type="dxa"/>
                      </w:tcPr>
                      <w:p>
                        <w:pPr>
                          <w:pStyle w:val="TableParagraph"/>
                          <w:spacing w:before="164"/>
                          <w:ind w:left="54" w:right="48"/>
                          <w:rPr>
                            <w:sz w:val="21"/>
                          </w:rPr>
                        </w:pPr>
                        <w:r>
                          <w:rPr>
                            <w:sz w:val="21"/>
                          </w:rPr>
                          <w:t>序号</w:t>
                        </w:r>
                      </w:p>
                    </w:tc>
                    <w:tc>
                      <w:tcPr>
                        <w:tcW w:w="1090" w:type="dxa"/>
                      </w:tcPr>
                      <w:p>
                        <w:pPr>
                          <w:pStyle w:val="TableParagraph"/>
                          <w:ind w:left="7"/>
                          <w:rPr>
                            <w:sz w:val="21"/>
                          </w:rPr>
                        </w:pPr>
                        <w:r>
                          <w:rPr>
                            <w:sz w:val="21"/>
                          </w:rPr>
                          <w:t>一级指标指</w:t>
                        </w:r>
                      </w:p>
                      <w:p>
                        <w:pPr>
                          <w:pStyle w:val="TableParagraph"/>
                          <w:spacing w:before="58"/>
                          <w:ind w:left="5"/>
                          <w:rPr>
                            <w:sz w:val="21"/>
                          </w:rPr>
                        </w:pPr>
                        <w:r>
                          <w:rPr>
                            <w:sz w:val="21"/>
                          </w:rPr>
                          <w:t>标项</w:t>
                        </w:r>
                      </w:p>
                    </w:tc>
                    <w:tc>
                      <w:tcPr>
                        <w:tcW w:w="1068" w:type="dxa"/>
                      </w:tcPr>
                      <w:p>
                        <w:pPr>
                          <w:pStyle w:val="TableParagraph"/>
                          <w:ind w:left="9" w:right="-15"/>
                          <w:rPr>
                            <w:sz w:val="21"/>
                          </w:rPr>
                        </w:pPr>
                        <w:r>
                          <w:rPr>
                            <w:sz w:val="21"/>
                          </w:rPr>
                          <w:t>一级指标权</w:t>
                        </w:r>
                      </w:p>
                      <w:p>
                        <w:pPr>
                          <w:pStyle w:val="TableParagraph"/>
                          <w:spacing w:before="58"/>
                          <w:ind w:left="7"/>
                          <w:rPr>
                            <w:sz w:val="21"/>
                          </w:rPr>
                        </w:pPr>
                        <w:r>
                          <w:rPr>
                            <w:sz w:val="21"/>
                          </w:rPr>
                          <w:t>重值</w:t>
                        </w:r>
                      </w:p>
                    </w:tc>
                    <w:tc>
                      <w:tcPr>
                        <w:tcW w:w="1818" w:type="dxa"/>
                      </w:tcPr>
                      <w:p>
                        <w:pPr>
                          <w:pStyle w:val="TableParagraph"/>
                          <w:spacing w:before="164"/>
                          <w:ind w:left="6"/>
                          <w:rPr>
                            <w:sz w:val="21"/>
                          </w:rPr>
                        </w:pPr>
                        <w:r>
                          <w:rPr>
                            <w:sz w:val="21"/>
                          </w:rPr>
                          <w:t>二级指标指标项</w:t>
                        </w:r>
                      </w:p>
                    </w:tc>
                    <w:tc>
                      <w:tcPr>
                        <w:tcW w:w="835" w:type="dxa"/>
                      </w:tcPr>
                      <w:p>
                        <w:pPr>
                          <w:pStyle w:val="TableParagraph"/>
                          <w:spacing w:before="164"/>
                          <w:ind w:left="186" w:right="179"/>
                          <w:rPr>
                            <w:sz w:val="21"/>
                          </w:rPr>
                        </w:pPr>
                        <w:r>
                          <w:rPr>
                            <w:sz w:val="21"/>
                          </w:rPr>
                          <w:t>单位</w:t>
                        </w:r>
                      </w:p>
                    </w:tc>
                    <w:tc>
                      <w:tcPr>
                        <w:tcW w:w="933" w:type="dxa"/>
                      </w:tcPr>
                      <w:p>
                        <w:pPr>
                          <w:pStyle w:val="TableParagraph"/>
                          <w:ind w:left="46"/>
                          <w:jc w:val="left"/>
                          <w:rPr>
                            <w:sz w:val="21"/>
                          </w:rPr>
                        </w:pPr>
                        <w:r>
                          <w:rPr>
                            <w:w w:val="95"/>
                            <w:sz w:val="21"/>
                          </w:rPr>
                          <w:t>二级指标</w:t>
                        </w:r>
                      </w:p>
                      <w:p>
                        <w:pPr>
                          <w:pStyle w:val="TableParagraph"/>
                          <w:spacing w:before="58"/>
                          <w:ind w:left="46"/>
                          <w:jc w:val="left"/>
                          <w:rPr>
                            <w:sz w:val="21"/>
                          </w:rPr>
                        </w:pPr>
                        <w:r>
                          <w:rPr>
                            <w:w w:val="95"/>
                            <w:sz w:val="21"/>
                          </w:rPr>
                          <w:t>分权重值</w:t>
                        </w:r>
                      </w:p>
                    </w:tc>
                    <w:tc>
                      <w:tcPr>
                        <w:tcW w:w="2641" w:type="dxa"/>
                      </w:tcPr>
                      <w:p>
                        <w:pPr>
                          <w:pStyle w:val="TableParagraph"/>
                          <w:spacing w:before="164"/>
                          <w:ind w:left="793"/>
                          <w:jc w:val="left"/>
                          <w:rPr>
                            <w:sz w:val="21"/>
                          </w:rPr>
                        </w:pPr>
                        <w:r>
                          <w:rPr>
                            <w:sz w:val="21"/>
                          </w:rPr>
                          <w:t>Ⅰ级基准值</w:t>
                        </w:r>
                      </w:p>
                    </w:tc>
                    <w:tc>
                      <w:tcPr>
                        <w:tcW w:w="1879" w:type="dxa"/>
                      </w:tcPr>
                      <w:p>
                        <w:pPr>
                          <w:pStyle w:val="TableParagraph"/>
                          <w:spacing w:before="164"/>
                          <w:ind w:left="413"/>
                          <w:jc w:val="left"/>
                          <w:rPr>
                            <w:sz w:val="21"/>
                          </w:rPr>
                        </w:pPr>
                        <w:r>
                          <w:rPr>
                            <w:sz w:val="21"/>
                          </w:rPr>
                          <w:t>Ⅱ级基准值</w:t>
                        </w:r>
                      </w:p>
                    </w:tc>
                    <w:tc>
                      <w:tcPr>
                        <w:tcW w:w="2021" w:type="dxa"/>
                      </w:tcPr>
                      <w:p>
                        <w:pPr>
                          <w:pStyle w:val="TableParagraph"/>
                          <w:spacing w:before="164"/>
                          <w:ind w:left="485"/>
                          <w:jc w:val="left"/>
                          <w:rPr>
                            <w:sz w:val="21"/>
                          </w:rPr>
                        </w:pPr>
                        <w:r>
                          <w:rPr>
                            <w:sz w:val="21"/>
                          </w:rPr>
                          <w:t>Ⅲ级基准值</w:t>
                        </w:r>
                      </w:p>
                    </w:tc>
                    <w:tc>
                      <w:tcPr>
                        <w:tcW w:w="1165" w:type="dxa"/>
                      </w:tcPr>
                      <w:p>
                        <w:pPr>
                          <w:pStyle w:val="TableParagraph"/>
                          <w:ind w:left="18" w:right="13"/>
                          <w:rPr>
                            <w:sz w:val="21"/>
                          </w:rPr>
                        </w:pPr>
                        <w:r>
                          <w:rPr>
                            <w:sz w:val="21"/>
                          </w:rPr>
                          <w:t>本煤矿扩建</w:t>
                        </w:r>
                      </w:p>
                      <w:p>
                        <w:pPr>
                          <w:pStyle w:val="TableParagraph"/>
                          <w:spacing w:before="58"/>
                          <w:ind w:left="5"/>
                          <w:rPr>
                            <w:sz w:val="21"/>
                          </w:rPr>
                        </w:pPr>
                        <w:r>
                          <w:rPr>
                            <w:w w:val="99"/>
                            <w:sz w:val="21"/>
                          </w:rPr>
                          <w:t>后</w:t>
                        </w:r>
                      </w:p>
                    </w:tc>
                  </w:tr>
                  <w:tr>
                    <w:trPr>
                      <w:trHeight w:val="979" w:hRule="atLeast"/>
                    </w:trPr>
                    <w:tc>
                      <w:tcPr>
                        <w:tcW w:w="572" w:type="dxa"/>
                      </w:tcPr>
                      <w:p>
                        <w:pPr>
                          <w:pStyle w:val="TableParagraph"/>
                          <w:jc w:val="left"/>
                          <w:rPr>
                            <w:rFonts w:ascii="Times New Roman"/>
                            <w:sz w:val="20"/>
                          </w:rPr>
                        </w:pPr>
                      </w:p>
                    </w:tc>
                    <w:tc>
                      <w:tcPr>
                        <w:tcW w:w="1090" w:type="dxa"/>
                        <w:vMerge w:val="restart"/>
                      </w:tcPr>
                      <w:p>
                        <w:pPr>
                          <w:pStyle w:val="TableParagraph"/>
                          <w:jc w:val="left"/>
                          <w:rPr>
                            <w:rFonts w:ascii="Times New Roman"/>
                            <w:sz w:val="20"/>
                          </w:rPr>
                        </w:pPr>
                      </w:p>
                    </w:tc>
                    <w:tc>
                      <w:tcPr>
                        <w:tcW w:w="1068" w:type="dxa"/>
                        <w:vMerge w:val="restart"/>
                      </w:tcPr>
                      <w:p>
                        <w:pPr>
                          <w:pStyle w:val="TableParagraph"/>
                          <w:jc w:val="left"/>
                          <w:rPr>
                            <w:rFonts w:ascii="Times New Roman"/>
                            <w:sz w:val="20"/>
                          </w:rPr>
                        </w:pPr>
                      </w:p>
                    </w:tc>
                    <w:tc>
                      <w:tcPr>
                        <w:tcW w:w="1818" w:type="dxa"/>
                      </w:tcPr>
                      <w:p>
                        <w:pPr>
                          <w:pStyle w:val="TableParagraph"/>
                          <w:jc w:val="left"/>
                          <w:rPr>
                            <w:rFonts w:ascii="Times New Roman"/>
                            <w:sz w:val="20"/>
                          </w:rPr>
                        </w:pPr>
                      </w:p>
                    </w:tc>
                    <w:tc>
                      <w:tcPr>
                        <w:tcW w:w="835" w:type="dxa"/>
                      </w:tcPr>
                      <w:p>
                        <w:pPr>
                          <w:pStyle w:val="TableParagraph"/>
                          <w:jc w:val="left"/>
                          <w:rPr>
                            <w:rFonts w:ascii="Times New Roman"/>
                            <w:sz w:val="20"/>
                          </w:rPr>
                        </w:pPr>
                      </w:p>
                    </w:tc>
                    <w:tc>
                      <w:tcPr>
                        <w:tcW w:w="933" w:type="dxa"/>
                      </w:tcPr>
                      <w:p>
                        <w:pPr>
                          <w:pStyle w:val="TableParagraph"/>
                          <w:jc w:val="left"/>
                          <w:rPr>
                            <w:rFonts w:ascii="Times New Roman"/>
                            <w:sz w:val="20"/>
                          </w:rPr>
                        </w:pPr>
                      </w:p>
                    </w:tc>
                    <w:tc>
                      <w:tcPr>
                        <w:tcW w:w="6541" w:type="dxa"/>
                        <w:gridSpan w:val="3"/>
                      </w:tcPr>
                      <w:p>
                        <w:pPr>
                          <w:pStyle w:val="TableParagraph"/>
                          <w:spacing w:line="290" w:lineRule="auto"/>
                          <w:ind w:left="4" w:right="-15"/>
                          <w:jc w:val="left"/>
                          <w:rPr>
                            <w:sz w:val="21"/>
                          </w:rPr>
                        </w:pPr>
                        <w:r>
                          <w:rPr>
                            <w:sz w:val="21"/>
                          </w:rPr>
                          <w:t>账齐全；建立、制定环境突发性事件应急预案（预案要通过相应环保部门备案）并定期演练。按行业无组织排放监管的相关政策要求，加强对</w:t>
                        </w:r>
                      </w:p>
                      <w:p>
                        <w:pPr>
                          <w:pStyle w:val="TableParagraph"/>
                          <w:spacing w:before="1"/>
                          <w:ind w:left="4"/>
                          <w:jc w:val="left"/>
                          <w:rPr>
                            <w:sz w:val="21"/>
                          </w:rPr>
                        </w:pPr>
                        <w:r>
                          <w:rPr>
                            <w:sz w:val="21"/>
                          </w:rPr>
                          <w:t>无组织排放的防控措施，减少生产过程无组织排放。</w:t>
                        </w:r>
                      </w:p>
                    </w:tc>
                    <w:tc>
                      <w:tcPr>
                        <w:tcW w:w="1165" w:type="dxa"/>
                      </w:tcPr>
                      <w:p>
                        <w:pPr>
                          <w:pStyle w:val="TableParagraph"/>
                          <w:jc w:val="left"/>
                          <w:rPr>
                            <w:rFonts w:ascii="Times New Roman"/>
                            <w:sz w:val="20"/>
                          </w:rPr>
                        </w:pPr>
                      </w:p>
                    </w:tc>
                  </w:tr>
                  <w:tr>
                    <w:trPr>
                      <w:trHeight w:val="1307" w:hRule="atLeast"/>
                    </w:trPr>
                    <w:tc>
                      <w:tcPr>
                        <w:tcW w:w="572" w:type="dxa"/>
                      </w:tcPr>
                      <w:p>
                        <w:pPr>
                          <w:pStyle w:val="TableParagraph"/>
                          <w:jc w:val="left"/>
                          <w:rPr>
                            <w:sz w:val="22"/>
                          </w:rPr>
                        </w:pPr>
                      </w:p>
                      <w:p>
                        <w:pPr>
                          <w:pStyle w:val="TableParagraph"/>
                          <w:spacing w:before="9"/>
                          <w:jc w:val="left"/>
                          <w:rPr>
                            <w:sz w:val="17"/>
                          </w:rPr>
                        </w:pPr>
                      </w:p>
                      <w:p>
                        <w:pPr>
                          <w:pStyle w:val="TableParagraph"/>
                          <w:ind w:left="54" w:right="44"/>
                          <w:rPr>
                            <w:rFonts w:ascii="Times New Roman"/>
                            <w:sz w:val="21"/>
                          </w:rPr>
                        </w:pPr>
                        <w:r>
                          <w:rPr>
                            <w:rFonts w:ascii="Times New Roman"/>
                            <w:sz w:val="21"/>
                          </w:rPr>
                          <w:t>30</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spacing w:before="3"/>
                          <w:jc w:val="left"/>
                          <w:rPr>
                            <w:sz w:val="18"/>
                          </w:rPr>
                        </w:pPr>
                      </w:p>
                      <w:p>
                        <w:pPr>
                          <w:pStyle w:val="TableParagraph"/>
                          <w:ind w:left="6"/>
                          <w:rPr>
                            <w:sz w:val="21"/>
                          </w:rPr>
                        </w:pPr>
                        <w:r>
                          <w:rPr>
                            <w:sz w:val="21"/>
                          </w:rPr>
                          <w:t>清洁生产审核</w:t>
                        </w:r>
                      </w:p>
                    </w:tc>
                    <w:tc>
                      <w:tcPr>
                        <w:tcW w:w="835" w:type="dxa"/>
                      </w:tcPr>
                      <w:p>
                        <w:pPr>
                          <w:pStyle w:val="TableParagraph"/>
                          <w:jc w:val="left"/>
                          <w:rPr>
                            <w:sz w:val="20"/>
                          </w:rPr>
                        </w:pPr>
                      </w:p>
                      <w:p>
                        <w:pPr>
                          <w:pStyle w:val="TableParagraph"/>
                          <w:spacing w:before="3"/>
                          <w:jc w:val="left"/>
                          <w:rPr>
                            <w:sz w:val="18"/>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spacing w:before="9"/>
                          <w:jc w:val="left"/>
                          <w:rPr>
                            <w:sz w:val="17"/>
                          </w:rPr>
                        </w:pPr>
                      </w:p>
                      <w:p>
                        <w:pPr>
                          <w:pStyle w:val="TableParagraph"/>
                          <w:ind w:right="270"/>
                          <w:jc w:val="right"/>
                          <w:rPr>
                            <w:rFonts w:ascii="Times New Roman"/>
                            <w:sz w:val="21"/>
                          </w:rPr>
                        </w:pPr>
                        <w:r>
                          <w:rPr>
                            <w:rFonts w:ascii="Times New Roman"/>
                            <w:sz w:val="21"/>
                          </w:rPr>
                          <w:t>0.05</w:t>
                        </w:r>
                      </w:p>
                    </w:tc>
                    <w:tc>
                      <w:tcPr>
                        <w:tcW w:w="6541" w:type="dxa"/>
                        <w:gridSpan w:val="3"/>
                      </w:tcPr>
                      <w:p>
                        <w:pPr>
                          <w:pStyle w:val="TableParagraph"/>
                          <w:jc w:val="left"/>
                          <w:rPr>
                            <w:sz w:val="20"/>
                          </w:rPr>
                        </w:pPr>
                      </w:p>
                      <w:p>
                        <w:pPr>
                          <w:pStyle w:val="TableParagraph"/>
                          <w:spacing w:before="3"/>
                          <w:jc w:val="left"/>
                          <w:rPr>
                            <w:sz w:val="18"/>
                          </w:rPr>
                        </w:pPr>
                      </w:p>
                      <w:p>
                        <w:pPr>
                          <w:pStyle w:val="TableParagraph"/>
                          <w:ind w:left="4"/>
                          <w:jc w:val="left"/>
                          <w:rPr>
                            <w:sz w:val="21"/>
                          </w:rPr>
                        </w:pPr>
                        <w:r>
                          <w:rPr>
                            <w:sz w:val="21"/>
                          </w:rPr>
                          <w:t>按照国家和地方要求，定期开展清洁生产审核</w:t>
                        </w:r>
                      </w:p>
                    </w:tc>
                    <w:tc>
                      <w:tcPr>
                        <w:tcW w:w="1165" w:type="dxa"/>
                      </w:tcPr>
                      <w:p>
                        <w:pPr>
                          <w:pStyle w:val="TableParagraph"/>
                          <w:spacing w:line="290" w:lineRule="auto"/>
                          <w:ind w:left="5" w:right="-15" w:firstLine="50"/>
                          <w:jc w:val="both"/>
                          <w:rPr>
                            <w:sz w:val="21"/>
                          </w:rPr>
                        </w:pPr>
                        <w:r>
                          <w:rPr>
                            <w:sz w:val="21"/>
                          </w:rPr>
                          <w:t>按照国家和</w:t>
                        </w:r>
                        <w:r>
                          <w:rPr>
                            <w:spacing w:val="-19"/>
                            <w:sz w:val="21"/>
                          </w:rPr>
                          <w:t>地方要求，定期开展清洁</w:t>
                        </w:r>
                      </w:p>
                      <w:p>
                        <w:pPr>
                          <w:pStyle w:val="TableParagraph"/>
                          <w:spacing w:before="5"/>
                          <w:ind w:left="161"/>
                          <w:jc w:val="left"/>
                          <w:rPr>
                            <w:sz w:val="21"/>
                          </w:rPr>
                        </w:pPr>
                        <w:r>
                          <w:rPr>
                            <w:sz w:val="21"/>
                          </w:rPr>
                          <w:t>生产审核</w:t>
                        </w:r>
                      </w:p>
                    </w:tc>
                  </w:tr>
                  <w:tr>
                    <w:trPr>
                      <w:trHeight w:val="981" w:hRule="atLeast"/>
                    </w:trPr>
                    <w:tc>
                      <w:tcPr>
                        <w:tcW w:w="572" w:type="dxa"/>
                      </w:tcPr>
                      <w:p>
                        <w:pPr>
                          <w:pStyle w:val="TableParagraph"/>
                          <w:jc w:val="left"/>
                          <w:rPr>
                            <w:sz w:val="27"/>
                          </w:rPr>
                        </w:pPr>
                      </w:p>
                      <w:p>
                        <w:pPr>
                          <w:pStyle w:val="TableParagraph"/>
                          <w:ind w:left="54" w:right="44"/>
                          <w:rPr>
                            <w:rFonts w:ascii="Times New Roman"/>
                            <w:sz w:val="21"/>
                          </w:rPr>
                        </w:pPr>
                        <w:r>
                          <w:rPr>
                            <w:rFonts w:ascii="Times New Roman"/>
                            <w:sz w:val="21"/>
                          </w:rPr>
                          <w:t>31</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spacing w:before="7"/>
                          <w:jc w:val="left"/>
                          <w:rPr>
                            <w:sz w:val="25"/>
                          </w:rPr>
                        </w:pPr>
                      </w:p>
                      <w:p>
                        <w:pPr>
                          <w:pStyle w:val="TableParagraph"/>
                          <w:ind w:left="6"/>
                          <w:rPr>
                            <w:sz w:val="21"/>
                          </w:rPr>
                        </w:pPr>
                        <w:r>
                          <w:rPr>
                            <w:sz w:val="21"/>
                          </w:rPr>
                          <w:t>固体废物处置</w:t>
                        </w:r>
                      </w:p>
                    </w:tc>
                    <w:tc>
                      <w:tcPr>
                        <w:tcW w:w="835" w:type="dxa"/>
                      </w:tcPr>
                      <w:p>
                        <w:pPr>
                          <w:pStyle w:val="TableParagraph"/>
                          <w:spacing w:before="7"/>
                          <w:jc w:val="left"/>
                          <w:rPr>
                            <w:sz w:val="25"/>
                          </w:rPr>
                        </w:pPr>
                      </w:p>
                      <w:p>
                        <w:pPr>
                          <w:pStyle w:val="TableParagraph"/>
                          <w:ind w:left="5"/>
                          <w:rPr>
                            <w:sz w:val="21"/>
                          </w:rPr>
                        </w:pPr>
                        <w:r>
                          <w:rPr>
                            <w:w w:val="99"/>
                            <w:sz w:val="21"/>
                          </w:rPr>
                          <w:t>━</w:t>
                        </w:r>
                      </w:p>
                    </w:tc>
                    <w:tc>
                      <w:tcPr>
                        <w:tcW w:w="933" w:type="dxa"/>
                      </w:tcPr>
                      <w:p>
                        <w:pPr>
                          <w:pStyle w:val="TableParagraph"/>
                          <w:jc w:val="left"/>
                          <w:rPr>
                            <w:sz w:val="27"/>
                          </w:rPr>
                        </w:pPr>
                      </w:p>
                      <w:p>
                        <w:pPr>
                          <w:pStyle w:val="TableParagraph"/>
                          <w:ind w:right="270"/>
                          <w:jc w:val="right"/>
                          <w:rPr>
                            <w:rFonts w:ascii="Times New Roman"/>
                            <w:sz w:val="21"/>
                          </w:rPr>
                        </w:pPr>
                        <w:r>
                          <w:rPr>
                            <w:rFonts w:ascii="Times New Roman"/>
                            <w:sz w:val="21"/>
                          </w:rPr>
                          <w:t>0.05</w:t>
                        </w:r>
                      </w:p>
                    </w:tc>
                    <w:tc>
                      <w:tcPr>
                        <w:tcW w:w="6541" w:type="dxa"/>
                        <w:gridSpan w:val="3"/>
                      </w:tcPr>
                      <w:p>
                        <w:pPr>
                          <w:pStyle w:val="TableParagraph"/>
                          <w:spacing w:line="290" w:lineRule="auto" w:before="1"/>
                          <w:ind w:left="4" w:right="-15"/>
                          <w:jc w:val="left"/>
                          <w:rPr>
                            <w:sz w:val="21"/>
                          </w:rPr>
                        </w:pPr>
                        <w:r>
                          <w:rPr>
                            <w:sz w:val="21"/>
                          </w:rPr>
                          <w:t>按照《中华人民共和国固体废物污染环境防治法》、《煤矸石综合利用管理办法》的有关要求，建立完善的标识、申报登记、源头分类、应急</w:t>
                        </w:r>
                      </w:p>
                      <w:p>
                        <w:pPr>
                          <w:pStyle w:val="TableParagraph"/>
                          <w:spacing w:before="1"/>
                          <w:ind w:left="4"/>
                          <w:jc w:val="left"/>
                          <w:rPr>
                            <w:sz w:val="21"/>
                          </w:rPr>
                        </w:pPr>
                        <w:r>
                          <w:rPr>
                            <w:sz w:val="21"/>
                          </w:rPr>
                          <w:t>预案等管理制度，制定合理的煤矸石综合利用方案及安全处置措施</w:t>
                        </w:r>
                      </w:p>
                    </w:tc>
                    <w:tc>
                      <w:tcPr>
                        <w:tcW w:w="1165" w:type="dxa"/>
                      </w:tcPr>
                      <w:p>
                        <w:pPr>
                          <w:pStyle w:val="TableParagraph"/>
                          <w:spacing w:before="7"/>
                          <w:jc w:val="left"/>
                          <w:rPr>
                            <w:sz w:val="25"/>
                          </w:rPr>
                        </w:pPr>
                      </w:p>
                      <w:p>
                        <w:pPr>
                          <w:pStyle w:val="TableParagraph"/>
                          <w:ind w:left="161"/>
                          <w:jc w:val="left"/>
                          <w:rPr>
                            <w:sz w:val="21"/>
                          </w:rPr>
                        </w:pPr>
                        <w:r>
                          <w:rPr>
                            <w:sz w:val="21"/>
                          </w:rPr>
                          <w:t>符合要求</w:t>
                        </w:r>
                      </w:p>
                    </w:tc>
                  </w:tr>
                  <w:tr>
                    <w:trPr>
                      <w:trHeight w:val="2941" w:hRule="atLeast"/>
                    </w:trPr>
                    <w:tc>
                      <w:tcPr>
                        <w:tcW w:w="572"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5"/>
                          <w:ind w:left="54" w:right="44"/>
                          <w:rPr>
                            <w:rFonts w:ascii="Times New Roman"/>
                            <w:sz w:val="21"/>
                          </w:rPr>
                        </w:pPr>
                        <w:r>
                          <w:rPr>
                            <w:rFonts w:ascii="Times New Roman"/>
                            <w:sz w:val="21"/>
                          </w:rPr>
                          <w:t>32</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21"/>
                          </w:rPr>
                        </w:pPr>
                      </w:p>
                      <w:p>
                        <w:pPr>
                          <w:pStyle w:val="TableParagraph"/>
                          <w:ind w:left="8"/>
                          <w:rPr>
                            <w:sz w:val="21"/>
                          </w:rPr>
                        </w:pPr>
                        <w:r>
                          <w:rPr>
                            <w:sz w:val="21"/>
                          </w:rPr>
                          <w:t>宣传培训</w:t>
                        </w:r>
                      </w:p>
                    </w:tc>
                    <w:tc>
                      <w:tcPr>
                        <w:tcW w:w="83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21"/>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5"/>
                          <w:ind w:right="323"/>
                          <w:jc w:val="right"/>
                          <w:rPr>
                            <w:rFonts w:ascii="Times New Roman"/>
                            <w:sz w:val="21"/>
                          </w:rPr>
                        </w:pPr>
                        <w:r>
                          <w:rPr>
                            <w:rFonts w:ascii="Times New Roman"/>
                            <w:w w:val="95"/>
                            <w:sz w:val="21"/>
                          </w:rPr>
                          <w:t>0.1</w:t>
                        </w:r>
                      </w:p>
                    </w:tc>
                    <w:tc>
                      <w:tcPr>
                        <w:tcW w:w="2641" w:type="dxa"/>
                      </w:tcPr>
                      <w:p>
                        <w:pPr>
                          <w:pStyle w:val="TableParagraph"/>
                          <w:spacing w:before="4"/>
                          <w:jc w:val="left"/>
                          <w:rPr>
                            <w:sz w:val="25"/>
                          </w:rPr>
                        </w:pPr>
                      </w:p>
                      <w:p>
                        <w:pPr>
                          <w:pStyle w:val="TableParagraph"/>
                          <w:spacing w:line="290" w:lineRule="auto" w:before="1"/>
                          <w:ind w:left="4" w:right="-15"/>
                          <w:jc w:val="both"/>
                          <w:rPr>
                            <w:sz w:val="21"/>
                          </w:rPr>
                        </w:pPr>
                        <w:r>
                          <w:rPr>
                            <w:spacing w:val="8"/>
                            <w:sz w:val="21"/>
                          </w:rPr>
                          <w:t>制定有绿色低碳宣传和节能</w:t>
                        </w:r>
                        <w:r>
                          <w:rPr>
                            <w:spacing w:val="-4"/>
                            <w:sz w:val="21"/>
                          </w:rPr>
                          <w:t>环保培训年度计划，并付诸实</w:t>
                        </w:r>
                        <w:r>
                          <w:rPr>
                            <w:spacing w:val="-11"/>
                            <w:sz w:val="21"/>
                          </w:rPr>
                          <w:t>施；在国家规定的重要节能环</w:t>
                        </w:r>
                        <w:r>
                          <w:rPr>
                            <w:spacing w:val="-22"/>
                            <w:sz w:val="21"/>
                          </w:rPr>
                          <w:t>保日</w:t>
                        </w:r>
                        <w:r>
                          <w:rPr>
                            <w:sz w:val="21"/>
                          </w:rPr>
                          <w:t>（周</w:t>
                        </w:r>
                        <w:r>
                          <w:rPr>
                            <w:spacing w:val="-32"/>
                            <w:sz w:val="21"/>
                          </w:rPr>
                          <w:t>）</w:t>
                        </w:r>
                        <w:r>
                          <w:rPr>
                            <w:spacing w:val="-5"/>
                            <w:sz w:val="21"/>
                          </w:rPr>
                          <w:t>开展宣传活动；每</w:t>
                        </w:r>
                        <w:r>
                          <w:rPr>
                            <w:spacing w:val="8"/>
                            <w:sz w:val="21"/>
                          </w:rPr>
                          <w:t>年开展节能环保专业培训不</w:t>
                        </w:r>
                        <w:r>
                          <w:rPr>
                            <w:spacing w:val="-14"/>
                            <w:sz w:val="21"/>
                          </w:rPr>
                          <w:t>少于 </w:t>
                        </w:r>
                        <w:r>
                          <w:rPr>
                            <w:rFonts w:ascii="Times New Roman" w:eastAsia="Times New Roman"/>
                            <w:sz w:val="21"/>
                          </w:rPr>
                          <w:t>2 </w:t>
                        </w:r>
                        <w:r>
                          <w:rPr>
                            <w:spacing w:val="-12"/>
                            <w:sz w:val="21"/>
                          </w:rPr>
                          <w:t>次，所有在岗人员进行</w:t>
                        </w:r>
                        <w:r>
                          <w:rPr>
                            <w:spacing w:val="-15"/>
                            <w:sz w:val="21"/>
                          </w:rPr>
                          <w:t>过岗前培训，有岗位培训记录</w:t>
                        </w:r>
                      </w:p>
                    </w:tc>
                    <w:tc>
                      <w:tcPr>
                        <w:tcW w:w="1879" w:type="dxa"/>
                      </w:tcPr>
                      <w:p>
                        <w:pPr>
                          <w:pStyle w:val="TableParagraph"/>
                          <w:spacing w:line="290" w:lineRule="auto" w:before="1"/>
                          <w:ind w:left="5" w:right="-15"/>
                          <w:jc w:val="both"/>
                          <w:rPr>
                            <w:sz w:val="21"/>
                          </w:rPr>
                        </w:pPr>
                        <w:r>
                          <w:rPr>
                            <w:spacing w:val="22"/>
                            <w:sz w:val="21"/>
                          </w:rPr>
                          <w:t>定期开展绿色低碳</w:t>
                        </w:r>
                        <w:r>
                          <w:rPr>
                            <w:sz w:val="21"/>
                          </w:rPr>
                          <w:t>宣传，在国家规定的</w:t>
                        </w:r>
                        <w:r>
                          <w:rPr>
                            <w:spacing w:val="-21"/>
                            <w:sz w:val="21"/>
                          </w:rPr>
                          <w:t>重 要 节 能 环 保 日</w:t>
                        </w:r>
                      </w:p>
                      <w:p>
                        <w:pPr>
                          <w:pStyle w:val="TableParagraph"/>
                          <w:spacing w:line="290" w:lineRule="auto" w:before="2"/>
                          <w:ind w:left="5" w:right="-15"/>
                          <w:jc w:val="both"/>
                          <w:rPr>
                            <w:sz w:val="21"/>
                          </w:rPr>
                        </w:pPr>
                        <w:r>
                          <w:rPr>
                            <w:sz w:val="21"/>
                          </w:rPr>
                          <w:t>（</w:t>
                        </w:r>
                        <w:r>
                          <w:rPr>
                            <w:spacing w:val="-28"/>
                            <w:sz w:val="21"/>
                          </w:rPr>
                          <w:t> 周</w:t>
                        </w:r>
                        <w:r>
                          <w:rPr>
                            <w:sz w:val="21"/>
                          </w:rPr>
                          <w:t>）</w:t>
                        </w:r>
                        <w:r>
                          <w:rPr>
                            <w:spacing w:val="4"/>
                            <w:sz w:val="21"/>
                          </w:rPr>
                          <w:t> 开展宣传活</w:t>
                        </w:r>
                        <w:r>
                          <w:rPr>
                            <w:spacing w:val="-4"/>
                            <w:sz w:val="21"/>
                          </w:rPr>
                          <w:t>动；每年开展节能环</w:t>
                        </w:r>
                        <w:r>
                          <w:rPr>
                            <w:spacing w:val="-10"/>
                            <w:sz w:val="21"/>
                          </w:rPr>
                          <w:t>保专业培训不少于 </w:t>
                        </w:r>
                        <w:r>
                          <w:rPr>
                            <w:rFonts w:ascii="Times New Roman" w:eastAsia="Times New Roman"/>
                            <w:sz w:val="21"/>
                          </w:rPr>
                          <w:t>1 </w:t>
                        </w:r>
                        <w:r>
                          <w:rPr>
                            <w:spacing w:val="-5"/>
                            <w:sz w:val="21"/>
                          </w:rPr>
                          <w:t>次，主要岗位人员进</w:t>
                        </w:r>
                        <w:r>
                          <w:rPr>
                            <w:spacing w:val="-7"/>
                            <w:w w:val="95"/>
                            <w:sz w:val="21"/>
                          </w:rPr>
                          <w:t>行过岗前培训，有岗</w:t>
                        </w:r>
                      </w:p>
                      <w:p>
                        <w:pPr>
                          <w:pStyle w:val="TableParagraph"/>
                          <w:spacing w:before="7"/>
                          <w:ind w:left="5"/>
                          <w:jc w:val="left"/>
                          <w:rPr>
                            <w:sz w:val="21"/>
                          </w:rPr>
                        </w:pPr>
                        <w:r>
                          <w:rPr>
                            <w:sz w:val="21"/>
                          </w:rPr>
                          <w:t>位培训记录</w:t>
                        </w:r>
                      </w:p>
                    </w:tc>
                    <w:tc>
                      <w:tcPr>
                        <w:tcW w:w="2021" w:type="dxa"/>
                      </w:tcPr>
                      <w:p>
                        <w:pPr>
                          <w:pStyle w:val="TableParagraph"/>
                          <w:jc w:val="left"/>
                          <w:rPr>
                            <w:sz w:val="22"/>
                          </w:rPr>
                        </w:pPr>
                      </w:p>
                      <w:p>
                        <w:pPr>
                          <w:pStyle w:val="TableParagraph"/>
                          <w:spacing w:before="3"/>
                          <w:jc w:val="left"/>
                          <w:rPr>
                            <w:sz w:val="16"/>
                          </w:rPr>
                        </w:pPr>
                      </w:p>
                      <w:p>
                        <w:pPr>
                          <w:pStyle w:val="TableParagraph"/>
                          <w:spacing w:line="290" w:lineRule="auto" w:before="1"/>
                          <w:ind w:left="5" w:right="-15"/>
                          <w:jc w:val="both"/>
                          <w:rPr>
                            <w:sz w:val="21"/>
                          </w:rPr>
                        </w:pPr>
                        <w:r>
                          <w:rPr>
                            <w:spacing w:val="12"/>
                            <w:sz w:val="21"/>
                          </w:rPr>
                          <w:t>定期开展绿色低碳宣</w:t>
                        </w:r>
                        <w:r>
                          <w:rPr>
                            <w:spacing w:val="-9"/>
                            <w:sz w:val="21"/>
                          </w:rPr>
                          <w:t>传，在国家规定的重要</w:t>
                        </w:r>
                        <w:r>
                          <w:rPr>
                            <w:spacing w:val="-16"/>
                            <w:sz w:val="21"/>
                          </w:rPr>
                          <w:t>节能环保日</w:t>
                        </w:r>
                        <w:r>
                          <w:rPr>
                            <w:sz w:val="21"/>
                          </w:rPr>
                          <w:t>（周</w:t>
                        </w:r>
                        <w:r>
                          <w:rPr>
                            <w:spacing w:val="-46"/>
                            <w:sz w:val="21"/>
                          </w:rPr>
                          <w:t>）</w:t>
                        </w:r>
                        <w:r>
                          <w:rPr>
                            <w:sz w:val="21"/>
                          </w:rPr>
                          <w:t>开展</w:t>
                        </w:r>
                        <w:r>
                          <w:rPr>
                            <w:spacing w:val="-10"/>
                            <w:sz w:val="21"/>
                          </w:rPr>
                          <w:t>宣传活动，每年开展节</w:t>
                        </w:r>
                        <w:r>
                          <w:rPr>
                            <w:spacing w:val="12"/>
                            <w:sz w:val="21"/>
                          </w:rPr>
                          <w:t>能环保专业培训不少</w:t>
                        </w:r>
                        <w:r>
                          <w:rPr>
                            <w:spacing w:val="-21"/>
                            <w:sz w:val="21"/>
                          </w:rPr>
                          <w:t>于 </w:t>
                        </w:r>
                        <w:r>
                          <w:rPr>
                            <w:rFonts w:ascii="Times New Roman" w:eastAsia="Times New Roman"/>
                            <w:sz w:val="21"/>
                          </w:rPr>
                          <w:t>1 </w:t>
                        </w:r>
                        <w:r>
                          <w:rPr>
                            <w:sz w:val="21"/>
                          </w:rPr>
                          <w:t>次</w:t>
                        </w:r>
                      </w:p>
                    </w:tc>
                    <w:tc>
                      <w:tcPr>
                        <w:tcW w:w="1165" w:type="dxa"/>
                      </w:tcPr>
                      <w:p>
                        <w:pPr>
                          <w:pStyle w:val="TableParagraph"/>
                          <w:spacing w:line="290" w:lineRule="auto" w:before="162"/>
                          <w:ind w:left="5" w:right="48" w:firstLine="50"/>
                          <w:rPr>
                            <w:sz w:val="21"/>
                          </w:rPr>
                        </w:pPr>
                        <w:r>
                          <w:rPr>
                            <w:sz w:val="21"/>
                          </w:rPr>
                          <w:t>制定有绿色低碳宣传和节能环保培训年度计划并付诸实施在国家规定的重要节能环</w:t>
                        </w:r>
                      </w:p>
                    </w:tc>
                  </w:tr>
                  <w:tr>
                    <w:trPr>
                      <w:trHeight w:val="1959" w:hRule="atLeast"/>
                    </w:trPr>
                    <w:tc>
                      <w:tcPr>
                        <w:tcW w:w="572" w:type="dxa"/>
                      </w:tcPr>
                      <w:p>
                        <w:pPr>
                          <w:pStyle w:val="TableParagraph"/>
                          <w:jc w:val="left"/>
                          <w:rPr>
                            <w:sz w:val="22"/>
                          </w:rPr>
                        </w:pPr>
                      </w:p>
                      <w:p>
                        <w:pPr>
                          <w:pStyle w:val="TableParagraph"/>
                          <w:jc w:val="left"/>
                          <w:rPr>
                            <w:sz w:val="22"/>
                          </w:rPr>
                        </w:pPr>
                      </w:p>
                      <w:p>
                        <w:pPr>
                          <w:pStyle w:val="TableParagraph"/>
                          <w:spacing w:before="1"/>
                          <w:jc w:val="left"/>
                          <w:rPr>
                            <w:sz w:val="21"/>
                          </w:rPr>
                        </w:pPr>
                      </w:p>
                      <w:p>
                        <w:pPr>
                          <w:pStyle w:val="TableParagraph"/>
                          <w:ind w:left="54" w:right="44"/>
                          <w:rPr>
                            <w:rFonts w:ascii="Times New Roman"/>
                            <w:sz w:val="21"/>
                          </w:rPr>
                        </w:pPr>
                        <w:r>
                          <w:rPr>
                            <w:rFonts w:ascii="Times New Roman"/>
                            <w:sz w:val="21"/>
                          </w:rPr>
                          <w:t>33</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spacing w:line="288" w:lineRule="auto" w:before="142"/>
                          <w:ind w:left="698" w:right="58" w:hanging="629"/>
                          <w:jc w:val="left"/>
                          <w:rPr>
                            <w:sz w:val="21"/>
                          </w:rPr>
                        </w:pPr>
                        <w:r>
                          <w:rPr>
                            <w:sz w:val="21"/>
                          </w:rPr>
                          <w:t>建立健全环境管理体系</w:t>
                        </w:r>
                      </w:p>
                    </w:tc>
                    <w:tc>
                      <w:tcPr>
                        <w:tcW w:w="835" w:type="dxa"/>
                      </w:tcPr>
                      <w:p>
                        <w:pPr>
                          <w:pStyle w:val="TableParagraph"/>
                          <w:jc w:val="left"/>
                          <w:rPr>
                            <w:sz w:val="20"/>
                          </w:rPr>
                        </w:pPr>
                      </w:p>
                      <w:p>
                        <w:pPr>
                          <w:pStyle w:val="TableParagraph"/>
                          <w:jc w:val="left"/>
                          <w:rPr>
                            <w:sz w:val="20"/>
                          </w:rPr>
                        </w:pPr>
                      </w:p>
                      <w:p>
                        <w:pPr>
                          <w:pStyle w:val="TableParagraph"/>
                          <w:spacing w:before="11"/>
                          <w:jc w:val="left"/>
                          <w:rPr>
                            <w:sz w:val="23"/>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spacing w:before="1"/>
                          <w:jc w:val="left"/>
                          <w:rPr>
                            <w:sz w:val="21"/>
                          </w:rPr>
                        </w:pPr>
                      </w:p>
                      <w:p>
                        <w:pPr>
                          <w:pStyle w:val="TableParagraph"/>
                          <w:ind w:right="270"/>
                          <w:jc w:val="right"/>
                          <w:rPr>
                            <w:rFonts w:ascii="Times New Roman"/>
                            <w:sz w:val="21"/>
                          </w:rPr>
                        </w:pPr>
                        <w:r>
                          <w:rPr>
                            <w:rFonts w:ascii="Times New Roman"/>
                            <w:sz w:val="21"/>
                          </w:rPr>
                          <w:t>0.05</w:t>
                        </w:r>
                      </w:p>
                    </w:tc>
                    <w:tc>
                      <w:tcPr>
                        <w:tcW w:w="2641" w:type="dxa"/>
                      </w:tcPr>
                      <w:p>
                        <w:pPr>
                          <w:pStyle w:val="TableParagraph"/>
                          <w:spacing w:line="290" w:lineRule="auto" w:before="2"/>
                          <w:ind w:left="4" w:right="-29"/>
                          <w:jc w:val="both"/>
                          <w:rPr>
                            <w:sz w:val="21"/>
                          </w:rPr>
                        </w:pPr>
                        <w:r>
                          <w:rPr>
                            <w:spacing w:val="-8"/>
                            <w:sz w:val="21"/>
                          </w:rPr>
                          <w:t>建立有 </w:t>
                        </w:r>
                        <w:r>
                          <w:rPr>
                            <w:rFonts w:ascii="Times New Roman" w:eastAsia="Times New Roman"/>
                            <w:sz w:val="21"/>
                          </w:rPr>
                          <w:t>GB/T24001</w:t>
                        </w:r>
                        <w:r>
                          <w:rPr>
                            <w:rFonts w:ascii="Times New Roman" w:eastAsia="Times New Roman"/>
                            <w:spacing w:val="3"/>
                            <w:sz w:val="21"/>
                          </w:rPr>
                          <w:t> </w:t>
                        </w:r>
                        <w:r>
                          <w:rPr>
                            <w:spacing w:val="6"/>
                            <w:sz w:val="21"/>
                          </w:rPr>
                          <w:t>环境管理</w:t>
                        </w:r>
                        <w:r>
                          <w:rPr>
                            <w:spacing w:val="-10"/>
                            <w:sz w:val="21"/>
                          </w:rPr>
                          <w:t>体系，并取得认证，能有效运</w:t>
                        </w:r>
                        <w:r>
                          <w:rPr>
                            <w:spacing w:val="-16"/>
                            <w:sz w:val="21"/>
                          </w:rPr>
                          <w:t>行；全部完成年度环境目标、</w:t>
                        </w:r>
                        <w:r>
                          <w:rPr>
                            <w:spacing w:val="-10"/>
                            <w:sz w:val="21"/>
                          </w:rPr>
                          <w:t>指标和环境管理方案，并达到</w:t>
                        </w:r>
                        <w:r>
                          <w:rPr>
                            <w:spacing w:val="-16"/>
                            <w:w w:val="95"/>
                            <w:sz w:val="21"/>
                          </w:rPr>
                          <w:t>环境持续改进的要求；环境管</w:t>
                        </w:r>
                      </w:p>
                      <w:p>
                        <w:pPr>
                          <w:pStyle w:val="TableParagraph"/>
                          <w:spacing w:before="4"/>
                          <w:ind w:left="4" w:right="-15"/>
                          <w:jc w:val="left"/>
                          <w:rPr>
                            <w:sz w:val="21"/>
                          </w:rPr>
                        </w:pPr>
                        <w:r>
                          <w:rPr>
                            <w:spacing w:val="-11"/>
                            <w:w w:val="95"/>
                            <w:sz w:val="21"/>
                          </w:rPr>
                          <w:t>理手册、程序文件及作业文件</w:t>
                        </w:r>
                      </w:p>
                    </w:tc>
                    <w:tc>
                      <w:tcPr>
                        <w:tcW w:w="1879" w:type="dxa"/>
                      </w:tcPr>
                      <w:p>
                        <w:pPr>
                          <w:pStyle w:val="TableParagraph"/>
                          <w:spacing w:line="290" w:lineRule="auto" w:before="2"/>
                          <w:ind w:left="5" w:right="-15"/>
                          <w:jc w:val="both"/>
                          <w:rPr>
                            <w:sz w:val="21"/>
                          </w:rPr>
                        </w:pPr>
                        <w:r>
                          <w:rPr>
                            <w:spacing w:val="-15"/>
                            <w:sz w:val="21"/>
                          </w:rPr>
                          <w:t>建 立 有 </w:t>
                        </w:r>
                        <w:r>
                          <w:rPr>
                            <w:rFonts w:ascii="Times New Roman" w:hAnsi="Times New Roman" w:eastAsia="Times New Roman"/>
                            <w:sz w:val="21"/>
                          </w:rPr>
                          <w:t>GB/T24001 </w:t>
                        </w:r>
                        <w:r>
                          <w:rPr>
                            <w:spacing w:val="-4"/>
                            <w:sz w:val="21"/>
                          </w:rPr>
                          <w:t>环境管理体系，并能</w:t>
                        </w:r>
                        <w:r>
                          <w:rPr>
                            <w:spacing w:val="-6"/>
                            <w:sz w:val="21"/>
                          </w:rPr>
                          <w:t>有效运行；完成年度</w:t>
                        </w:r>
                        <w:r>
                          <w:rPr>
                            <w:spacing w:val="-7"/>
                            <w:sz w:val="21"/>
                          </w:rPr>
                          <w:t>环境目标、指标和环</w:t>
                        </w:r>
                        <w:r>
                          <w:rPr>
                            <w:spacing w:val="-1"/>
                            <w:w w:val="99"/>
                            <w:sz w:val="21"/>
                          </w:rPr>
                          <w:t>境管理方案</w:t>
                        </w:r>
                        <w:r>
                          <w:rPr>
                            <w:rFonts w:ascii="Times New Roman" w:hAnsi="Times New Roman" w:eastAsia="Times New Roman"/>
                            <w:spacing w:val="-2"/>
                            <w:w w:val="99"/>
                            <w:sz w:val="21"/>
                          </w:rPr>
                          <w:t>≥</w:t>
                        </w:r>
                        <w:r>
                          <w:rPr>
                            <w:rFonts w:ascii="Times New Roman" w:hAnsi="Times New Roman" w:eastAsia="Times New Roman"/>
                            <w:spacing w:val="1"/>
                            <w:w w:val="99"/>
                            <w:sz w:val="21"/>
                          </w:rPr>
                          <w:t>80%</w:t>
                        </w:r>
                        <w:r>
                          <w:rPr>
                            <w:spacing w:val="-50"/>
                            <w:w w:val="99"/>
                            <w:sz w:val="21"/>
                          </w:rPr>
                          <w:t>，达</w:t>
                        </w:r>
                      </w:p>
                      <w:p>
                        <w:pPr>
                          <w:pStyle w:val="TableParagraph"/>
                          <w:spacing w:before="4"/>
                          <w:ind w:left="5"/>
                          <w:jc w:val="both"/>
                          <w:rPr>
                            <w:sz w:val="21"/>
                          </w:rPr>
                        </w:pPr>
                        <w:r>
                          <w:rPr>
                            <w:spacing w:val="20"/>
                            <w:w w:val="95"/>
                            <w:sz w:val="21"/>
                          </w:rPr>
                          <w:t>到环境持续改进的</w:t>
                        </w:r>
                      </w:p>
                    </w:tc>
                    <w:tc>
                      <w:tcPr>
                        <w:tcW w:w="2021" w:type="dxa"/>
                      </w:tcPr>
                      <w:p>
                        <w:pPr>
                          <w:pStyle w:val="TableParagraph"/>
                          <w:spacing w:line="290" w:lineRule="auto" w:before="2"/>
                          <w:ind w:left="5" w:right="-15"/>
                          <w:jc w:val="both"/>
                          <w:rPr>
                            <w:sz w:val="21"/>
                          </w:rPr>
                        </w:pPr>
                        <w:r>
                          <w:rPr>
                            <w:spacing w:val="-2"/>
                            <w:sz w:val="21"/>
                          </w:rPr>
                          <w:t>建立有 </w:t>
                        </w:r>
                        <w:r>
                          <w:rPr>
                            <w:rFonts w:ascii="Times New Roman" w:hAnsi="Times New Roman" w:eastAsia="Times New Roman"/>
                            <w:sz w:val="21"/>
                          </w:rPr>
                          <w:t>GB/T24001</w:t>
                        </w:r>
                        <w:r>
                          <w:rPr>
                            <w:rFonts w:ascii="Times New Roman" w:hAnsi="Times New Roman" w:eastAsia="Times New Roman"/>
                            <w:spacing w:val="12"/>
                            <w:sz w:val="21"/>
                          </w:rPr>
                          <w:t> </w:t>
                        </w:r>
                        <w:r>
                          <w:rPr>
                            <w:sz w:val="21"/>
                          </w:rPr>
                          <w:t>环</w:t>
                        </w:r>
                        <w:r>
                          <w:rPr>
                            <w:spacing w:val="-10"/>
                            <w:sz w:val="21"/>
                          </w:rPr>
                          <w:t>境管理体系，并能有效</w:t>
                        </w:r>
                        <w:r>
                          <w:rPr>
                            <w:spacing w:val="-14"/>
                            <w:sz w:val="21"/>
                          </w:rPr>
                          <w:t>运行；完成年度环境目</w:t>
                        </w:r>
                        <w:r>
                          <w:rPr>
                            <w:spacing w:val="-13"/>
                            <w:sz w:val="21"/>
                          </w:rPr>
                          <w:t>标、指标和环境管理方</w:t>
                        </w:r>
                        <w:r>
                          <w:rPr>
                            <w:spacing w:val="7"/>
                            <w:w w:val="95"/>
                            <w:sz w:val="21"/>
                          </w:rPr>
                          <w:t>案</w:t>
                        </w:r>
                        <w:r>
                          <w:rPr>
                            <w:rFonts w:ascii="Times New Roman" w:hAnsi="Times New Roman" w:eastAsia="Times New Roman"/>
                            <w:spacing w:val="2"/>
                            <w:w w:val="95"/>
                            <w:sz w:val="21"/>
                          </w:rPr>
                          <w:t>≥60%</w:t>
                        </w:r>
                        <w:r>
                          <w:rPr>
                            <w:spacing w:val="4"/>
                            <w:w w:val="95"/>
                            <w:sz w:val="21"/>
                          </w:rPr>
                          <w:t>，部分达到环</w:t>
                        </w:r>
                      </w:p>
                      <w:p>
                        <w:pPr>
                          <w:pStyle w:val="TableParagraph"/>
                          <w:spacing w:before="4"/>
                          <w:ind w:left="5" w:right="-15"/>
                          <w:jc w:val="left"/>
                          <w:rPr>
                            <w:sz w:val="21"/>
                          </w:rPr>
                        </w:pPr>
                        <w:r>
                          <w:rPr>
                            <w:spacing w:val="-9"/>
                            <w:w w:val="95"/>
                            <w:sz w:val="21"/>
                          </w:rPr>
                          <w:t>境持续改进的要求；环</w:t>
                        </w:r>
                      </w:p>
                    </w:tc>
                    <w:tc>
                      <w:tcPr>
                        <w:tcW w:w="1165" w:type="dxa"/>
                      </w:tcPr>
                      <w:p>
                        <w:pPr>
                          <w:pStyle w:val="TableParagraph"/>
                          <w:spacing w:before="19"/>
                          <w:ind w:left="21" w:right="13"/>
                          <w:rPr>
                            <w:sz w:val="21"/>
                          </w:rPr>
                        </w:pPr>
                        <w:r>
                          <w:rPr>
                            <w:sz w:val="21"/>
                          </w:rPr>
                          <w:t>建立有</w:t>
                        </w:r>
                      </w:p>
                      <w:p>
                        <w:pPr>
                          <w:pStyle w:val="TableParagraph"/>
                          <w:spacing w:before="57"/>
                          <w:ind w:left="20" w:right="13"/>
                          <w:rPr>
                            <w:rFonts w:ascii="Times New Roman"/>
                            <w:sz w:val="21"/>
                          </w:rPr>
                        </w:pPr>
                        <w:r>
                          <w:rPr>
                            <w:rFonts w:ascii="Times New Roman"/>
                            <w:sz w:val="21"/>
                          </w:rPr>
                          <w:t>GB/T24001</w:t>
                        </w:r>
                      </w:p>
                      <w:p>
                        <w:pPr>
                          <w:pStyle w:val="TableParagraph"/>
                          <w:spacing w:line="290" w:lineRule="auto" w:before="49"/>
                          <w:ind w:left="5" w:right="-15" w:firstLine="50"/>
                          <w:jc w:val="both"/>
                          <w:rPr>
                            <w:sz w:val="21"/>
                          </w:rPr>
                        </w:pPr>
                        <w:r>
                          <w:rPr>
                            <w:sz w:val="21"/>
                          </w:rPr>
                          <w:t>环境管理体</w:t>
                        </w:r>
                        <w:r>
                          <w:rPr>
                            <w:spacing w:val="-19"/>
                            <w:sz w:val="21"/>
                          </w:rPr>
                          <w:t>系，并能有效</w:t>
                        </w:r>
                        <w:r>
                          <w:rPr>
                            <w:spacing w:val="-25"/>
                            <w:sz w:val="21"/>
                          </w:rPr>
                          <w:t>运行；完成年度环境目标</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spacing w:before="70"/>
        <w:ind w:left="14017" w:right="0" w:firstLine="0"/>
        <w:jc w:val="left"/>
        <w:rPr>
          <w:sz w:val="21"/>
        </w:rPr>
      </w:pPr>
      <w:r>
        <w:rPr>
          <w:w w:val="99"/>
          <w:sz w:val="21"/>
        </w:rPr>
        <w:t>，</w:t>
      </w:r>
    </w:p>
    <w:p>
      <w:pPr>
        <w:spacing w:before="57"/>
        <w:ind w:left="14017" w:right="0" w:firstLine="0"/>
        <w:jc w:val="left"/>
        <w:rPr>
          <w:sz w:val="21"/>
        </w:rPr>
      </w:pPr>
      <w:r>
        <w:rPr>
          <w:w w:val="99"/>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1"/>
        <w:ind w:left="14017" w:right="0" w:firstLine="0"/>
        <w:jc w:val="left"/>
        <w:rPr>
          <w:sz w:val="21"/>
        </w:rPr>
      </w:pPr>
      <w:r>
        <w:rPr>
          <w:w w:val="99"/>
          <w:sz w:val="21"/>
        </w:rPr>
        <w:t>、</w:t>
      </w:r>
    </w:p>
    <w:p>
      <w:pPr>
        <w:spacing w:after="0"/>
        <w:jc w:val="left"/>
        <w:rPr>
          <w:sz w:val="21"/>
        </w:rPr>
        <w:sectPr>
          <w:pgSz w:w="16840" w:h="11910" w:orient="landscape"/>
          <w:pgMar w:header="0" w:footer="1089" w:top="1100" w:bottom="1280" w:left="1460" w:right="1040"/>
        </w:sectPr>
      </w:pPr>
    </w:p>
    <w:p>
      <w:pPr>
        <w:pStyle w:val="BodyText"/>
        <w:rPr>
          <w:sz w:val="20"/>
        </w:rPr>
      </w:pPr>
      <w:r>
        <w:rPr/>
        <w:pict>
          <v:shape style="position:absolute;margin-left:78.059998pt;margin-top:80.099991pt;width:701.85pt;height:444.75pt;mso-position-horizontal-relative:page;mso-position-vertical-relative:page;z-index:25182105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1818"/>
                    <w:gridCol w:w="835"/>
                    <w:gridCol w:w="933"/>
                    <w:gridCol w:w="2641"/>
                    <w:gridCol w:w="1879"/>
                    <w:gridCol w:w="2021"/>
                    <w:gridCol w:w="1165"/>
                  </w:tblGrid>
                  <w:tr>
                    <w:trPr>
                      <w:trHeight w:val="653" w:hRule="atLeast"/>
                    </w:trPr>
                    <w:tc>
                      <w:tcPr>
                        <w:tcW w:w="572" w:type="dxa"/>
                      </w:tcPr>
                      <w:p>
                        <w:pPr>
                          <w:pStyle w:val="TableParagraph"/>
                          <w:spacing w:before="164"/>
                          <w:ind w:left="54" w:right="48"/>
                          <w:rPr>
                            <w:sz w:val="21"/>
                          </w:rPr>
                        </w:pPr>
                        <w:r>
                          <w:rPr>
                            <w:sz w:val="21"/>
                          </w:rPr>
                          <w:t>序号</w:t>
                        </w:r>
                      </w:p>
                    </w:tc>
                    <w:tc>
                      <w:tcPr>
                        <w:tcW w:w="1090" w:type="dxa"/>
                      </w:tcPr>
                      <w:p>
                        <w:pPr>
                          <w:pStyle w:val="TableParagraph"/>
                          <w:ind w:left="7"/>
                          <w:rPr>
                            <w:sz w:val="21"/>
                          </w:rPr>
                        </w:pPr>
                        <w:r>
                          <w:rPr>
                            <w:sz w:val="21"/>
                          </w:rPr>
                          <w:t>一级指标指</w:t>
                        </w:r>
                      </w:p>
                      <w:p>
                        <w:pPr>
                          <w:pStyle w:val="TableParagraph"/>
                          <w:spacing w:before="58"/>
                          <w:ind w:left="5"/>
                          <w:rPr>
                            <w:sz w:val="21"/>
                          </w:rPr>
                        </w:pPr>
                        <w:r>
                          <w:rPr>
                            <w:sz w:val="21"/>
                          </w:rPr>
                          <w:t>标项</w:t>
                        </w:r>
                      </w:p>
                    </w:tc>
                    <w:tc>
                      <w:tcPr>
                        <w:tcW w:w="1068" w:type="dxa"/>
                      </w:tcPr>
                      <w:p>
                        <w:pPr>
                          <w:pStyle w:val="TableParagraph"/>
                          <w:ind w:left="9" w:right="-15"/>
                          <w:rPr>
                            <w:sz w:val="21"/>
                          </w:rPr>
                        </w:pPr>
                        <w:r>
                          <w:rPr>
                            <w:sz w:val="21"/>
                          </w:rPr>
                          <w:t>一级指标权</w:t>
                        </w:r>
                      </w:p>
                      <w:p>
                        <w:pPr>
                          <w:pStyle w:val="TableParagraph"/>
                          <w:spacing w:before="58"/>
                          <w:ind w:left="7"/>
                          <w:rPr>
                            <w:sz w:val="21"/>
                          </w:rPr>
                        </w:pPr>
                        <w:r>
                          <w:rPr>
                            <w:sz w:val="21"/>
                          </w:rPr>
                          <w:t>重值</w:t>
                        </w:r>
                      </w:p>
                    </w:tc>
                    <w:tc>
                      <w:tcPr>
                        <w:tcW w:w="1818" w:type="dxa"/>
                      </w:tcPr>
                      <w:p>
                        <w:pPr>
                          <w:pStyle w:val="TableParagraph"/>
                          <w:spacing w:before="164"/>
                          <w:ind w:left="6"/>
                          <w:rPr>
                            <w:sz w:val="21"/>
                          </w:rPr>
                        </w:pPr>
                        <w:r>
                          <w:rPr>
                            <w:sz w:val="21"/>
                          </w:rPr>
                          <w:t>二级指标指标项</w:t>
                        </w:r>
                      </w:p>
                    </w:tc>
                    <w:tc>
                      <w:tcPr>
                        <w:tcW w:w="835" w:type="dxa"/>
                      </w:tcPr>
                      <w:p>
                        <w:pPr>
                          <w:pStyle w:val="TableParagraph"/>
                          <w:spacing w:before="164"/>
                          <w:ind w:left="186" w:right="179"/>
                          <w:rPr>
                            <w:sz w:val="21"/>
                          </w:rPr>
                        </w:pPr>
                        <w:r>
                          <w:rPr>
                            <w:sz w:val="21"/>
                          </w:rPr>
                          <w:t>单位</w:t>
                        </w:r>
                      </w:p>
                    </w:tc>
                    <w:tc>
                      <w:tcPr>
                        <w:tcW w:w="933" w:type="dxa"/>
                      </w:tcPr>
                      <w:p>
                        <w:pPr>
                          <w:pStyle w:val="TableParagraph"/>
                          <w:ind w:left="46"/>
                          <w:jc w:val="left"/>
                          <w:rPr>
                            <w:sz w:val="21"/>
                          </w:rPr>
                        </w:pPr>
                        <w:r>
                          <w:rPr>
                            <w:w w:val="95"/>
                            <w:sz w:val="21"/>
                          </w:rPr>
                          <w:t>二级指标</w:t>
                        </w:r>
                      </w:p>
                      <w:p>
                        <w:pPr>
                          <w:pStyle w:val="TableParagraph"/>
                          <w:spacing w:before="58"/>
                          <w:ind w:left="46"/>
                          <w:jc w:val="left"/>
                          <w:rPr>
                            <w:sz w:val="21"/>
                          </w:rPr>
                        </w:pPr>
                        <w:r>
                          <w:rPr>
                            <w:w w:val="95"/>
                            <w:sz w:val="21"/>
                          </w:rPr>
                          <w:t>分权重值</w:t>
                        </w:r>
                      </w:p>
                    </w:tc>
                    <w:tc>
                      <w:tcPr>
                        <w:tcW w:w="2641" w:type="dxa"/>
                      </w:tcPr>
                      <w:p>
                        <w:pPr>
                          <w:pStyle w:val="TableParagraph"/>
                          <w:spacing w:before="164"/>
                          <w:ind w:left="793"/>
                          <w:jc w:val="left"/>
                          <w:rPr>
                            <w:sz w:val="21"/>
                          </w:rPr>
                        </w:pPr>
                        <w:r>
                          <w:rPr>
                            <w:sz w:val="21"/>
                          </w:rPr>
                          <w:t>Ⅰ级基准值</w:t>
                        </w:r>
                      </w:p>
                    </w:tc>
                    <w:tc>
                      <w:tcPr>
                        <w:tcW w:w="1879" w:type="dxa"/>
                      </w:tcPr>
                      <w:p>
                        <w:pPr>
                          <w:pStyle w:val="TableParagraph"/>
                          <w:spacing w:before="164"/>
                          <w:ind w:left="413"/>
                          <w:jc w:val="left"/>
                          <w:rPr>
                            <w:sz w:val="21"/>
                          </w:rPr>
                        </w:pPr>
                        <w:r>
                          <w:rPr>
                            <w:sz w:val="21"/>
                          </w:rPr>
                          <w:t>Ⅱ级基准值</w:t>
                        </w:r>
                      </w:p>
                    </w:tc>
                    <w:tc>
                      <w:tcPr>
                        <w:tcW w:w="2021" w:type="dxa"/>
                      </w:tcPr>
                      <w:p>
                        <w:pPr>
                          <w:pStyle w:val="TableParagraph"/>
                          <w:spacing w:before="164"/>
                          <w:ind w:left="485"/>
                          <w:jc w:val="left"/>
                          <w:rPr>
                            <w:sz w:val="21"/>
                          </w:rPr>
                        </w:pPr>
                        <w:r>
                          <w:rPr>
                            <w:sz w:val="21"/>
                          </w:rPr>
                          <w:t>Ⅲ级基准值</w:t>
                        </w:r>
                      </w:p>
                    </w:tc>
                    <w:tc>
                      <w:tcPr>
                        <w:tcW w:w="1165" w:type="dxa"/>
                      </w:tcPr>
                      <w:p>
                        <w:pPr>
                          <w:pStyle w:val="TableParagraph"/>
                          <w:ind w:left="18" w:right="13"/>
                          <w:rPr>
                            <w:sz w:val="21"/>
                          </w:rPr>
                        </w:pPr>
                        <w:r>
                          <w:rPr>
                            <w:sz w:val="21"/>
                          </w:rPr>
                          <w:t>本煤矿扩建</w:t>
                        </w:r>
                      </w:p>
                      <w:p>
                        <w:pPr>
                          <w:pStyle w:val="TableParagraph"/>
                          <w:spacing w:before="58"/>
                          <w:ind w:left="5"/>
                          <w:rPr>
                            <w:sz w:val="21"/>
                          </w:rPr>
                        </w:pPr>
                        <w:r>
                          <w:rPr>
                            <w:w w:val="99"/>
                            <w:sz w:val="21"/>
                          </w:rPr>
                          <w:t>后</w:t>
                        </w:r>
                      </w:p>
                    </w:tc>
                  </w:tr>
                  <w:tr>
                    <w:trPr>
                      <w:trHeight w:val="2940" w:hRule="atLeast"/>
                    </w:trPr>
                    <w:tc>
                      <w:tcPr>
                        <w:tcW w:w="572" w:type="dxa"/>
                      </w:tcPr>
                      <w:p>
                        <w:pPr>
                          <w:pStyle w:val="TableParagraph"/>
                          <w:jc w:val="left"/>
                          <w:rPr>
                            <w:rFonts w:ascii="Times New Roman"/>
                            <w:sz w:val="20"/>
                          </w:rPr>
                        </w:pPr>
                      </w:p>
                    </w:tc>
                    <w:tc>
                      <w:tcPr>
                        <w:tcW w:w="1090" w:type="dxa"/>
                        <w:vMerge w:val="restart"/>
                      </w:tcPr>
                      <w:p>
                        <w:pPr>
                          <w:pStyle w:val="TableParagraph"/>
                          <w:jc w:val="left"/>
                          <w:rPr>
                            <w:rFonts w:ascii="Times New Roman"/>
                            <w:sz w:val="20"/>
                          </w:rPr>
                        </w:pPr>
                      </w:p>
                    </w:tc>
                    <w:tc>
                      <w:tcPr>
                        <w:tcW w:w="1068" w:type="dxa"/>
                        <w:vMerge w:val="restart"/>
                      </w:tcPr>
                      <w:p>
                        <w:pPr>
                          <w:pStyle w:val="TableParagraph"/>
                          <w:jc w:val="left"/>
                          <w:rPr>
                            <w:rFonts w:ascii="Times New Roman"/>
                            <w:sz w:val="20"/>
                          </w:rPr>
                        </w:pPr>
                      </w:p>
                    </w:tc>
                    <w:tc>
                      <w:tcPr>
                        <w:tcW w:w="1818" w:type="dxa"/>
                      </w:tcPr>
                      <w:p>
                        <w:pPr>
                          <w:pStyle w:val="TableParagraph"/>
                          <w:jc w:val="left"/>
                          <w:rPr>
                            <w:rFonts w:ascii="Times New Roman"/>
                            <w:sz w:val="20"/>
                          </w:rPr>
                        </w:pPr>
                      </w:p>
                    </w:tc>
                    <w:tc>
                      <w:tcPr>
                        <w:tcW w:w="835" w:type="dxa"/>
                      </w:tcPr>
                      <w:p>
                        <w:pPr>
                          <w:pStyle w:val="TableParagraph"/>
                          <w:jc w:val="left"/>
                          <w:rPr>
                            <w:rFonts w:ascii="Times New Roman"/>
                            <w:sz w:val="20"/>
                          </w:rPr>
                        </w:pPr>
                      </w:p>
                    </w:tc>
                    <w:tc>
                      <w:tcPr>
                        <w:tcW w:w="933" w:type="dxa"/>
                      </w:tcPr>
                      <w:p>
                        <w:pPr>
                          <w:pStyle w:val="TableParagraph"/>
                          <w:jc w:val="left"/>
                          <w:rPr>
                            <w:rFonts w:ascii="Times New Roman"/>
                            <w:sz w:val="20"/>
                          </w:rPr>
                        </w:pPr>
                      </w:p>
                    </w:tc>
                    <w:tc>
                      <w:tcPr>
                        <w:tcW w:w="2641" w:type="dxa"/>
                      </w:tcPr>
                      <w:p>
                        <w:pPr>
                          <w:pStyle w:val="TableParagraph"/>
                          <w:spacing w:line="268" w:lineRule="exact"/>
                          <w:ind w:left="4"/>
                          <w:jc w:val="left"/>
                          <w:rPr>
                            <w:sz w:val="21"/>
                          </w:rPr>
                        </w:pPr>
                        <w:r>
                          <w:rPr>
                            <w:sz w:val="21"/>
                          </w:rPr>
                          <w:t>齐备、有效。</w:t>
                        </w:r>
                      </w:p>
                    </w:tc>
                    <w:tc>
                      <w:tcPr>
                        <w:tcW w:w="1879" w:type="dxa"/>
                      </w:tcPr>
                      <w:p>
                        <w:pPr>
                          <w:pStyle w:val="TableParagraph"/>
                          <w:spacing w:line="290" w:lineRule="auto"/>
                          <w:ind w:left="5" w:right="-15"/>
                          <w:jc w:val="both"/>
                          <w:rPr>
                            <w:sz w:val="21"/>
                          </w:rPr>
                        </w:pPr>
                        <w:r>
                          <w:rPr>
                            <w:spacing w:val="7"/>
                            <w:sz w:val="21"/>
                          </w:rPr>
                          <w:t>要求； 环境管理手</w:t>
                        </w:r>
                        <w:r>
                          <w:rPr>
                            <w:spacing w:val="-4"/>
                            <w:sz w:val="21"/>
                          </w:rPr>
                          <w:t>册、程序文件及作业文件齐备、有效。</w:t>
                        </w:r>
                      </w:p>
                    </w:tc>
                    <w:tc>
                      <w:tcPr>
                        <w:tcW w:w="2021" w:type="dxa"/>
                      </w:tcPr>
                      <w:p>
                        <w:pPr>
                          <w:pStyle w:val="TableParagraph"/>
                          <w:spacing w:line="290" w:lineRule="auto"/>
                          <w:ind w:left="5" w:right="-15"/>
                          <w:jc w:val="left"/>
                          <w:rPr>
                            <w:sz w:val="21"/>
                          </w:rPr>
                        </w:pPr>
                        <w:r>
                          <w:rPr>
                            <w:spacing w:val="-10"/>
                            <w:sz w:val="21"/>
                          </w:rPr>
                          <w:t>境管理手册、程序文件及作业文件齐备。</w:t>
                        </w:r>
                      </w:p>
                    </w:tc>
                    <w:tc>
                      <w:tcPr>
                        <w:tcW w:w="1165" w:type="dxa"/>
                      </w:tcPr>
                      <w:p>
                        <w:pPr>
                          <w:pStyle w:val="TableParagraph"/>
                          <w:spacing w:line="290" w:lineRule="auto"/>
                          <w:ind w:left="55" w:right="48"/>
                          <w:rPr>
                            <w:sz w:val="21"/>
                          </w:rPr>
                        </w:pPr>
                        <w:r>
                          <w:rPr>
                            <w:sz w:val="21"/>
                          </w:rPr>
                          <w:t>指标和环境管理方案</w:t>
                        </w:r>
                      </w:p>
                      <w:p>
                        <w:pPr>
                          <w:pStyle w:val="TableParagraph"/>
                          <w:spacing w:line="290" w:lineRule="auto" w:before="1"/>
                          <w:ind w:left="5" w:right="-15" w:hanging="1"/>
                          <w:rPr>
                            <w:sz w:val="21"/>
                          </w:rPr>
                        </w:pPr>
                        <w:r>
                          <w:rPr>
                            <w:rFonts w:ascii="Times New Roman" w:hAnsi="Times New Roman" w:eastAsia="Times New Roman"/>
                            <w:sz w:val="21"/>
                          </w:rPr>
                          <w:t>≥80%</w:t>
                        </w:r>
                        <w:r>
                          <w:rPr>
                            <w:sz w:val="21"/>
                          </w:rPr>
                          <w:t>，达到环境持续改</w:t>
                        </w:r>
                        <w:r>
                          <w:rPr>
                            <w:spacing w:val="-19"/>
                            <w:sz w:val="21"/>
                          </w:rPr>
                          <w:t>进的要求；环境管理手册程序文件及作业文件齐</w:t>
                        </w:r>
                      </w:p>
                      <w:p>
                        <w:pPr>
                          <w:pStyle w:val="TableParagraph"/>
                          <w:spacing w:before="9"/>
                          <w:ind w:left="18" w:right="13"/>
                          <w:rPr>
                            <w:sz w:val="21"/>
                          </w:rPr>
                        </w:pPr>
                        <w:r>
                          <w:rPr>
                            <w:w w:val="95"/>
                            <w:sz w:val="21"/>
                          </w:rPr>
                          <w:t>备、有效。</w:t>
                        </w:r>
                      </w:p>
                    </w:tc>
                  </w:tr>
                  <w:tr>
                    <w:trPr>
                      <w:trHeight w:val="2941" w:hRule="atLeast"/>
                    </w:trPr>
                    <w:tc>
                      <w:tcPr>
                        <w:tcW w:w="572"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7"/>
                          <w:ind w:left="54" w:right="44"/>
                          <w:rPr>
                            <w:rFonts w:ascii="Times New Roman"/>
                            <w:sz w:val="21"/>
                          </w:rPr>
                        </w:pPr>
                        <w:r>
                          <w:rPr>
                            <w:rFonts w:ascii="Times New Roman"/>
                            <w:sz w:val="21"/>
                          </w:rPr>
                          <w:t>34</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29"/>
                          </w:rPr>
                        </w:pPr>
                      </w:p>
                      <w:p>
                        <w:pPr>
                          <w:pStyle w:val="TableParagraph"/>
                          <w:spacing w:line="290" w:lineRule="auto"/>
                          <w:ind w:left="592" w:right="58" w:hanging="524"/>
                          <w:jc w:val="left"/>
                          <w:rPr>
                            <w:sz w:val="21"/>
                          </w:rPr>
                        </w:pPr>
                        <w:r>
                          <w:rPr>
                            <w:sz w:val="21"/>
                          </w:rPr>
                          <w:t>管理机构及环境管理制度</w:t>
                        </w:r>
                      </w:p>
                    </w:tc>
                    <w:tc>
                      <w:tcPr>
                        <w:tcW w:w="835"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22"/>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97"/>
                          <w:ind w:left="334"/>
                          <w:jc w:val="left"/>
                          <w:rPr>
                            <w:rFonts w:ascii="Times New Roman"/>
                            <w:sz w:val="21"/>
                          </w:rPr>
                        </w:pPr>
                        <w:r>
                          <w:rPr>
                            <w:rFonts w:ascii="Times New Roman"/>
                            <w:sz w:val="21"/>
                          </w:rPr>
                          <w:t>0.1</w:t>
                        </w:r>
                      </w:p>
                    </w:tc>
                    <w:tc>
                      <w:tcPr>
                        <w:tcW w:w="4520" w:type="dxa"/>
                        <w:gridSpan w:val="2"/>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16"/>
                          </w:rPr>
                        </w:pPr>
                      </w:p>
                      <w:p>
                        <w:pPr>
                          <w:pStyle w:val="TableParagraph"/>
                          <w:spacing w:line="290" w:lineRule="auto"/>
                          <w:ind w:left="4" w:right="-15"/>
                          <w:jc w:val="both"/>
                          <w:rPr>
                            <w:sz w:val="21"/>
                          </w:rPr>
                        </w:pPr>
                        <w:r>
                          <w:rPr>
                            <w:spacing w:val="3"/>
                            <w:w w:val="95"/>
                            <w:sz w:val="21"/>
                          </w:rPr>
                          <w:t>设有独立的节能环保管理职能部门，配有专职管 理人员，环境管理制度健全、完善，并纳入日常 </w:t>
                        </w:r>
                        <w:r>
                          <w:rPr>
                            <w:spacing w:val="3"/>
                            <w:sz w:val="21"/>
                          </w:rPr>
                          <w:t>管理</w:t>
                        </w:r>
                      </w:p>
                    </w:tc>
                    <w:tc>
                      <w:tcPr>
                        <w:tcW w:w="2021" w:type="dxa"/>
                      </w:tcPr>
                      <w:p>
                        <w:pPr>
                          <w:pStyle w:val="TableParagraph"/>
                          <w:jc w:val="left"/>
                          <w:rPr>
                            <w:sz w:val="20"/>
                          </w:rPr>
                        </w:pPr>
                      </w:p>
                      <w:p>
                        <w:pPr>
                          <w:pStyle w:val="TableParagraph"/>
                          <w:jc w:val="left"/>
                          <w:rPr>
                            <w:sz w:val="20"/>
                          </w:rPr>
                        </w:pPr>
                      </w:p>
                      <w:p>
                        <w:pPr>
                          <w:pStyle w:val="TableParagraph"/>
                          <w:spacing w:before="9"/>
                          <w:jc w:val="left"/>
                          <w:rPr>
                            <w:sz w:val="23"/>
                          </w:rPr>
                        </w:pPr>
                      </w:p>
                      <w:p>
                        <w:pPr>
                          <w:pStyle w:val="TableParagraph"/>
                          <w:spacing w:line="290" w:lineRule="auto"/>
                          <w:ind w:left="5" w:right="-15"/>
                          <w:jc w:val="both"/>
                          <w:rPr>
                            <w:sz w:val="21"/>
                          </w:rPr>
                        </w:pPr>
                        <w:r>
                          <w:rPr>
                            <w:spacing w:val="12"/>
                            <w:sz w:val="21"/>
                          </w:rPr>
                          <w:t>有明确的节能环保管</w:t>
                        </w:r>
                        <w:r>
                          <w:rPr>
                            <w:spacing w:val="-3"/>
                            <w:sz w:val="21"/>
                          </w:rPr>
                          <w:t>理部门和人员，环境管</w:t>
                        </w:r>
                        <w:r>
                          <w:rPr>
                            <w:spacing w:val="-12"/>
                            <w:sz w:val="21"/>
                          </w:rPr>
                          <w:t>理制度较完善，并纳入日常管理</w:t>
                        </w:r>
                      </w:p>
                    </w:tc>
                    <w:tc>
                      <w:tcPr>
                        <w:tcW w:w="1165" w:type="dxa"/>
                      </w:tcPr>
                      <w:p>
                        <w:pPr>
                          <w:pStyle w:val="TableParagraph"/>
                          <w:spacing w:line="290" w:lineRule="auto"/>
                          <w:ind w:left="5" w:right="-15" w:firstLine="50"/>
                          <w:jc w:val="both"/>
                          <w:rPr>
                            <w:sz w:val="21"/>
                          </w:rPr>
                        </w:pPr>
                        <w:r>
                          <w:rPr>
                            <w:sz w:val="21"/>
                          </w:rPr>
                          <w:t>设有独立的节能环保管理职能部门配有专职管</w:t>
                        </w:r>
                        <w:r>
                          <w:rPr>
                            <w:spacing w:val="-18"/>
                            <w:sz w:val="21"/>
                          </w:rPr>
                          <w:t>理人员，环境管理制度健</w:t>
                        </w:r>
                        <w:r>
                          <w:rPr>
                            <w:spacing w:val="-21"/>
                            <w:sz w:val="21"/>
                          </w:rPr>
                          <w:t>全、完善，并纳入日常管</w:t>
                        </w:r>
                      </w:p>
                      <w:p>
                        <w:pPr>
                          <w:pStyle w:val="TableParagraph"/>
                          <w:spacing w:before="9"/>
                          <w:ind w:left="5"/>
                          <w:rPr>
                            <w:sz w:val="21"/>
                          </w:rPr>
                        </w:pPr>
                        <w:r>
                          <w:rPr>
                            <w:w w:val="99"/>
                            <w:sz w:val="21"/>
                          </w:rPr>
                          <w:t>理</w:t>
                        </w:r>
                      </w:p>
                    </w:tc>
                  </w:tr>
                  <w:tr>
                    <w:trPr>
                      <w:trHeight w:val="340" w:hRule="atLeast"/>
                    </w:trPr>
                    <w:tc>
                      <w:tcPr>
                        <w:tcW w:w="572" w:type="dxa"/>
                      </w:tcPr>
                      <w:p>
                        <w:pPr>
                          <w:pStyle w:val="TableParagraph"/>
                          <w:spacing w:before="24"/>
                          <w:ind w:left="54" w:right="44"/>
                          <w:rPr>
                            <w:rFonts w:ascii="Times New Roman"/>
                            <w:sz w:val="21"/>
                          </w:rPr>
                        </w:pPr>
                        <w:r>
                          <w:rPr>
                            <w:rFonts w:ascii="Times New Roman"/>
                            <w:sz w:val="21"/>
                          </w:rPr>
                          <w:t>35</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spacing w:before="6"/>
                          <w:ind w:left="6"/>
                          <w:rPr>
                            <w:sz w:val="21"/>
                          </w:rPr>
                        </w:pPr>
                        <w:r>
                          <w:rPr>
                            <w:rFonts w:ascii="Times New Roman" w:eastAsia="Times New Roman"/>
                            <w:sz w:val="21"/>
                          </w:rPr>
                          <w:t>*</w:t>
                        </w:r>
                        <w:r>
                          <w:rPr>
                            <w:sz w:val="21"/>
                          </w:rPr>
                          <w:t>排污口规范化管理</w:t>
                        </w:r>
                      </w:p>
                    </w:tc>
                    <w:tc>
                      <w:tcPr>
                        <w:tcW w:w="835" w:type="dxa"/>
                      </w:tcPr>
                      <w:p>
                        <w:pPr>
                          <w:pStyle w:val="TableParagraph"/>
                          <w:spacing w:before="6"/>
                          <w:ind w:left="5"/>
                          <w:rPr>
                            <w:sz w:val="21"/>
                          </w:rPr>
                        </w:pPr>
                        <w:r>
                          <w:rPr>
                            <w:w w:val="99"/>
                            <w:sz w:val="21"/>
                          </w:rPr>
                          <w:t>━</w:t>
                        </w:r>
                      </w:p>
                    </w:tc>
                    <w:tc>
                      <w:tcPr>
                        <w:tcW w:w="933" w:type="dxa"/>
                      </w:tcPr>
                      <w:p>
                        <w:pPr>
                          <w:pStyle w:val="TableParagraph"/>
                          <w:spacing w:before="24"/>
                          <w:ind w:left="334"/>
                          <w:jc w:val="left"/>
                          <w:rPr>
                            <w:rFonts w:ascii="Times New Roman"/>
                            <w:sz w:val="21"/>
                          </w:rPr>
                        </w:pPr>
                        <w:r>
                          <w:rPr>
                            <w:rFonts w:ascii="Times New Roman"/>
                            <w:sz w:val="21"/>
                          </w:rPr>
                          <w:t>0.1</w:t>
                        </w:r>
                      </w:p>
                    </w:tc>
                    <w:tc>
                      <w:tcPr>
                        <w:tcW w:w="6541" w:type="dxa"/>
                        <w:gridSpan w:val="3"/>
                      </w:tcPr>
                      <w:p>
                        <w:pPr>
                          <w:pStyle w:val="TableParagraph"/>
                          <w:spacing w:before="6"/>
                          <w:ind w:left="4"/>
                          <w:jc w:val="left"/>
                          <w:rPr>
                            <w:sz w:val="21"/>
                          </w:rPr>
                        </w:pPr>
                        <w:r>
                          <w:rPr>
                            <w:sz w:val="21"/>
                          </w:rPr>
                          <w:t>排污口设置符合《排污口规范化整治技术要求（试行）》相关要求</w:t>
                        </w:r>
                      </w:p>
                    </w:tc>
                    <w:tc>
                      <w:tcPr>
                        <w:tcW w:w="1165" w:type="dxa"/>
                      </w:tcPr>
                      <w:p>
                        <w:pPr>
                          <w:pStyle w:val="TableParagraph"/>
                          <w:spacing w:before="6"/>
                          <w:ind w:left="161"/>
                          <w:jc w:val="left"/>
                          <w:rPr>
                            <w:sz w:val="21"/>
                          </w:rPr>
                        </w:pPr>
                        <w:r>
                          <w:rPr>
                            <w:sz w:val="21"/>
                          </w:rPr>
                          <w:t>符合要求</w:t>
                        </w:r>
                      </w:p>
                    </w:tc>
                  </w:tr>
                  <w:tr>
                    <w:trPr>
                      <w:trHeight w:val="1959" w:hRule="atLeast"/>
                    </w:trPr>
                    <w:tc>
                      <w:tcPr>
                        <w:tcW w:w="572" w:type="dxa"/>
                      </w:tcPr>
                      <w:p>
                        <w:pPr>
                          <w:pStyle w:val="TableParagraph"/>
                          <w:jc w:val="left"/>
                          <w:rPr>
                            <w:sz w:val="22"/>
                          </w:rPr>
                        </w:pPr>
                      </w:p>
                      <w:p>
                        <w:pPr>
                          <w:pStyle w:val="TableParagraph"/>
                          <w:jc w:val="left"/>
                          <w:rPr>
                            <w:sz w:val="22"/>
                          </w:rPr>
                        </w:pPr>
                      </w:p>
                      <w:p>
                        <w:pPr>
                          <w:pStyle w:val="TableParagraph"/>
                          <w:spacing w:before="1"/>
                          <w:jc w:val="left"/>
                          <w:rPr>
                            <w:sz w:val="21"/>
                          </w:rPr>
                        </w:pPr>
                      </w:p>
                      <w:p>
                        <w:pPr>
                          <w:pStyle w:val="TableParagraph"/>
                          <w:ind w:left="54" w:right="44"/>
                          <w:rPr>
                            <w:rFonts w:ascii="Times New Roman"/>
                            <w:sz w:val="21"/>
                          </w:rPr>
                        </w:pPr>
                        <w:r>
                          <w:rPr>
                            <w:rFonts w:ascii="Times New Roman"/>
                            <w:sz w:val="21"/>
                          </w:rPr>
                          <w:t>36</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jc w:val="left"/>
                          <w:rPr>
                            <w:sz w:val="20"/>
                          </w:rPr>
                        </w:pPr>
                      </w:p>
                      <w:p>
                        <w:pPr>
                          <w:pStyle w:val="TableParagraph"/>
                          <w:jc w:val="left"/>
                          <w:rPr>
                            <w:sz w:val="20"/>
                          </w:rPr>
                        </w:pPr>
                      </w:p>
                      <w:p>
                        <w:pPr>
                          <w:pStyle w:val="TableParagraph"/>
                          <w:spacing w:before="10"/>
                          <w:jc w:val="left"/>
                          <w:rPr>
                            <w:sz w:val="23"/>
                          </w:rPr>
                        </w:pPr>
                      </w:p>
                      <w:p>
                        <w:pPr>
                          <w:pStyle w:val="TableParagraph"/>
                          <w:ind w:left="8"/>
                          <w:rPr>
                            <w:sz w:val="21"/>
                          </w:rPr>
                        </w:pPr>
                        <w:r>
                          <w:rPr>
                            <w:sz w:val="21"/>
                          </w:rPr>
                          <w:t>生态环境管理规划</w:t>
                        </w:r>
                      </w:p>
                    </w:tc>
                    <w:tc>
                      <w:tcPr>
                        <w:tcW w:w="835" w:type="dxa"/>
                      </w:tcPr>
                      <w:p>
                        <w:pPr>
                          <w:pStyle w:val="TableParagraph"/>
                          <w:jc w:val="left"/>
                          <w:rPr>
                            <w:sz w:val="20"/>
                          </w:rPr>
                        </w:pPr>
                      </w:p>
                      <w:p>
                        <w:pPr>
                          <w:pStyle w:val="TableParagraph"/>
                          <w:jc w:val="left"/>
                          <w:rPr>
                            <w:sz w:val="20"/>
                          </w:rPr>
                        </w:pPr>
                      </w:p>
                      <w:p>
                        <w:pPr>
                          <w:pStyle w:val="TableParagraph"/>
                          <w:spacing w:before="10"/>
                          <w:jc w:val="left"/>
                          <w:rPr>
                            <w:sz w:val="23"/>
                          </w:rPr>
                        </w:pPr>
                      </w:p>
                      <w:p>
                        <w:pPr>
                          <w:pStyle w:val="TableParagraph"/>
                          <w:ind w:left="5"/>
                          <w:rPr>
                            <w:sz w:val="21"/>
                          </w:rPr>
                        </w:pPr>
                        <w:r>
                          <w:rPr>
                            <w:w w:val="99"/>
                            <w:sz w:val="21"/>
                          </w:rPr>
                          <w:t>━</w:t>
                        </w:r>
                      </w:p>
                    </w:tc>
                    <w:tc>
                      <w:tcPr>
                        <w:tcW w:w="933" w:type="dxa"/>
                      </w:tcPr>
                      <w:p>
                        <w:pPr>
                          <w:pStyle w:val="TableParagraph"/>
                          <w:jc w:val="left"/>
                          <w:rPr>
                            <w:sz w:val="22"/>
                          </w:rPr>
                        </w:pPr>
                      </w:p>
                      <w:p>
                        <w:pPr>
                          <w:pStyle w:val="TableParagraph"/>
                          <w:jc w:val="left"/>
                          <w:rPr>
                            <w:sz w:val="22"/>
                          </w:rPr>
                        </w:pPr>
                      </w:p>
                      <w:p>
                        <w:pPr>
                          <w:pStyle w:val="TableParagraph"/>
                          <w:spacing w:before="1"/>
                          <w:jc w:val="left"/>
                          <w:rPr>
                            <w:sz w:val="21"/>
                          </w:rPr>
                        </w:pPr>
                      </w:p>
                      <w:p>
                        <w:pPr>
                          <w:pStyle w:val="TableParagraph"/>
                          <w:ind w:left="334"/>
                          <w:jc w:val="left"/>
                          <w:rPr>
                            <w:rFonts w:ascii="Times New Roman"/>
                            <w:sz w:val="21"/>
                          </w:rPr>
                        </w:pPr>
                        <w:r>
                          <w:rPr>
                            <w:rFonts w:ascii="Times New Roman"/>
                            <w:sz w:val="21"/>
                          </w:rPr>
                          <w:t>0.1</w:t>
                        </w:r>
                      </w:p>
                    </w:tc>
                    <w:tc>
                      <w:tcPr>
                        <w:tcW w:w="2641" w:type="dxa"/>
                      </w:tcPr>
                      <w:p>
                        <w:pPr>
                          <w:pStyle w:val="TableParagraph"/>
                          <w:spacing w:line="290" w:lineRule="auto" w:before="1"/>
                          <w:ind w:left="4" w:right="-29"/>
                          <w:jc w:val="both"/>
                          <w:rPr>
                            <w:sz w:val="21"/>
                          </w:rPr>
                        </w:pPr>
                        <w:r>
                          <w:rPr>
                            <w:spacing w:val="8"/>
                            <w:sz w:val="21"/>
                          </w:rPr>
                          <w:t>制定有完整的矿区生产期和服务期满时的矿山生态环境</w:t>
                        </w:r>
                        <w:r>
                          <w:rPr>
                            <w:spacing w:val="-9"/>
                            <w:sz w:val="21"/>
                          </w:rPr>
                          <w:t>修复计划、合理可行的节能环</w:t>
                        </w:r>
                        <w:r>
                          <w:rPr>
                            <w:spacing w:val="-26"/>
                            <w:sz w:val="21"/>
                          </w:rPr>
                          <w:t>保近、远期规划，包括煤矸石、</w:t>
                        </w:r>
                        <w:r>
                          <w:rPr>
                            <w:spacing w:val="-11"/>
                            <w:w w:val="95"/>
                            <w:sz w:val="21"/>
                          </w:rPr>
                          <w:t>煤泥、矿井水、瓦斯气处置及</w:t>
                        </w:r>
                      </w:p>
                      <w:p>
                        <w:pPr>
                          <w:pStyle w:val="TableParagraph"/>
                          <w:spacing w:before="7"/>
                          <w:ind w:left="4" w:right="-15"/>
                          <w:jc w:val="left"/>
                          <w:rPr>
                            <w:sz w:val="21"/>
                          </w:rPr>
                        </w:pPr>
                        <w:r>
                          <w:rPr>
                            <w:spacing w:val="-11"/>
                            <w:w w:val="95"/>
                            <w:sz w:val="21"/>
                          </w:rPr>
                          <w:t>综合利用、矿山生态恢复及闭</w:t>
                        </w:r>
                      </w:p>
                    </w:tc>
                    <w:tc>
                      <w:tcPr>
                        <w:tcW w:w="1879" w:type="dxa"/>
                      </w:tcPr>
                      <w:p>
                        <w:pPr>
                          <w:pStyle w:val="TableParagraph"/>
                          <w:spacing w:line="290" w:lineRule="auto" w:before="1"/>
                          <w:ind w:left="5" w:right="-15"/>
                          <w:jc w:val="both"/>
                          <w:rPr>
                            <w:sz w:val="21"/>
                          </w:rPr>
                        </w:pPr>
                        <w:r>
                          <w:rPr>
                            <w:spacing w:val="22"/>
                            <w:sz w:val="21"/>
                          </w:rPr>
                          <w:t>制定有完整的矿区生产期和服务期满时的矿山生态环境</w:t>
                        </w:r>
                        <w:r>
                          <w:rPr>
                            <w:spacing w:val="6"/>
                            <w:sz w:val="21"/>
                          </w:rPr>
                          <w:t>修复计划、节能环保</w:t>
                        </w:r>
                        <w:r>
                          <w:rPr>
                            <w:spacing w:val="-4"/>
                            <w:w w:val="95"/>
                            <w:sz w:val="21"/>
                          </w:rPr>
                          <w:t>近、远期规划，措施</w:t>
                        </w:r>
                      </w:p>
                      <w:p>
                        <w:pPr>
                          <w:pStyle w:val="TableParagraph"/>
                          <w:spacing w:before="7"/>
                          <w:ind w:left="5" w:right="-15"/>
                          <w:jc w:val="left"/>
                          <w:rPr>
                            <w:sz w:val="21"/>
                          </w:rPr>
                        </w:pPr>
                        <w:r>
                          <w:rPr>
                            <w:spacing w:val="-5"/>
                            <w:w w:val="95"/>
                            <w:sz w:val="21"/>
                          </w:rPr>
                          <w:t>可行，有一定的操作</w:t>
                        </w:r>
                      </w:p>
                    </w:tc>
                    <w:tc>
                      <w:tcPr>
                        <w:tcW w:w="2021" w:type="dxa"/>
                      </w:tcPr>
                      <w:p>
                        <w:pPr>
                          <w:pStyle w:val="TableParagraph"/>
                          <w:spacing w:line="290" w:lineRule="auto" w:before="1"/>
                          <w:ind w:left="5" w:right="-15"/>
                          <w:jc w:val="both"/>
                          <w:rPr>
                            <w:sz w:val="21"/>
                          </w:rPr>
                        </w:pPr>
                        <w:r>
                          <w:rPr>
                            <w:spacing w:val="12"/>
                            <w:sz w:val="21"/>
                          </w:rPr>
                          <w:t>制定有较完整的矿区生产期和服务期满时的矿山生态环境修复</w:t>
                        </w:r>
                        <w:r>
                          <w:rPr>
                            <w:spacing w:val="-9"/>
                            <w:sz w:val="21"/>
                          </w:rPr>
                          <w:t>计划、节能环保近期规</w:t>
                        </w:r>
                        <w:r>
                          <w:rPr>
                            <w:spacing w:val="12"/>
                            <w:w w:val="95"/>
                            <w:sz w:val="21"/>
                          </w:rPr>
                          <w:t>划和远期规划或企业</w:t>
                        </w:r>
                      </w:p>
                      <w:p>
                        <w:pPr>
                          <w:pStyle w:val="TableParagraph"/>
                          <w:spacing w:before="7"/>
                          <w:ind w:left="5" w:right="-15"/>
                          <w:jc w:val="left"/>
                          <w:rPr>
                            <w:sz w:val="21"/>
                          </w:rPr>
                        </w:pPr>
                        <w:r>
                          <w:rPr>
                            <w:spacing w:val="12"/>
                            <w:w w:val="95"/>
                            <w:sz w:val="21"/>
                          </w:rPr>
                          <w:t>相关规划中节能环保</w:t>
                        </w:r>
                      </w:p>
                    </w:tc>
                    <w:tc>
                      <w:tcPr>
                        <w:tcW w:w="1165" w:type="dxa"/>
                      </w:tcPr>
                      <w:p>
                        <w:pPr>
                          <w:pStyle w:val="TableParagraph"/>
                          <w:spacing w:line="290" w:lineRule="auto" w:before="1"/>
                          <w:ind w:left="55" w:right="48"/>
                          <w:jc w:val="both"/>
                          <w:rPr>
                            <w:sz w:val="21"/>
                          </w:rPr>
                        </w:pPr>
                        <w:r>
                          <w:rPr>
                            <w:spacing w:val="-3"/>
                            <w:sz w:val="21"/>
                          </w:rPr>
                          <w:t>制定有完整的矿区生产期和服务期满时的矿山</w:t>
                        </w:r>
                        <w:r>
                          <w:rPr>
                            <w:spacing w:val="-3"/>
                            <w:w w:val="95"/>
                            <w:sz w:val="21"/>
                          </w:rPr>
                          <w:t>生态环境修</w:t>
                        </w:r>
                      </w:p>
                      <w:p>
                        <w:pPr>
                          <w:pStyle w:val="TableParagraph"/>
                          <w:spacing w:before="7"/>
                          <w:ind w:left="5" w:right="-15"/>
                          <w:jc w:val="left"/>
                          <w:rPr>
                            <w:sz w:val="21"/>
                          </w:rPr>
                        </w:pPr>
                        <w:r>
                          <w:rPr>
                            <w:spacing w:val="-19"/>
                            <w:w w:val="95"/>
                            <w:sz w:val="21"/>
                          </w:rPr>
                          <w:t>复计划、节能</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0"/>
        <w:ind w:left="0" w:right="109" w:firstLine="0"/>
        <w:jc w:val="right"/>
        <w:rPr>
          <w:sz w:val="21"/>
        </w:rPr>
      </w:pPr>
      <w:r>
        <w:rPr>
          <w:w w:val="99"/>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4"/>
        <w:ind w:left="0" w:right="109" w:firstLine="0"/>
        <w:jc w:val="right"/>
        <w:rPr>
          <w:sz w:val="21"/>
        </w:rPr>
      </w:pPr>
      <w:r>
        <w:rPr>
          <w:w w:val="99"/>
          <w:sz w:val="21"/>
        </w:rPr>
        <w:t>，</w:t>
      </w:r>
    </w:p>
    <w:p>
      <w:pPr>
        <w:spacing w:after="0"/>
        <w:jc w:val="right"/>
        <w:rPr>
          <w:sz w:val="21"/>
        </w:rPr>
        <w:sectPr>
          <w:pgSz w:w="16840" w:h="11910" w:orient="landscape"/>
          <w:pgMar w:header="0" w:footer="1089" w:top="1100" w:bottom="1320" w:left="1460" w:right="1040"/>
        </w:sectPr>
      </w:pPr>
    </w:p>
    <w:p>
      <w:pPr>
        <w:pStyle w:val="BodyText"/>
        <w:rPr>
          <w:sz w:val="20"/>
        </w:rPr>
      </w:pPr>
    </w:p>
    <w:p>
      <w:pPr>
        <w:pStyle w:val="BodyText"/>
        <w:spacing w:before="9"/>
        <w:rPr>
          <w:sz w:val="1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090"/>
        <w:gridCol w:w="1068"/>
        <w:gridCol w:w="1818"/>
        <w:gridCol w:w="835"/>
        <w:gridCol w:w="933"/>
        <w:gridCol w:w="2641"/>
        <w:gridCol w:w="1879"/>
        <w:gridCol w:w="2021"/>
        <w:gridCol w:w="1165"/>
      </w:tblGrid>
      <w:tr>
        <w:trPr>
          <w:trHeight w:val="653" w:hRule="atLeast"/>
        </w:trPr>
        <w:tc>
          <w:tcPr>
            <w:tcW w:w="572" w:type="dxa"/>
          </w:tcPr>
          <w:p>
            <w:pPr>
              <w:pStyle w:val="TableParagraph"/>
              <w:spacing w:before="164"/>
              <w:ind w:left="54" w:right="48"/>
              <w:rPr>
                <w:sz w:val="21"/>
              </w:rPr>
            </w:pPr>
            <w:r>
              <w:rPr>
                <w:sz w:val="21"/>
              </w:rPr>
              <w:t>序号</w:t>
            </w:r>
          </w:p>
        </w:tc>
        <w:tc>
          <w:tcPr>
            <w:tcW w:w="1090" w:type="dxa"/>
          </w:tcPr>
          <w:p>
            <w:pPr>
              <w:pStyle w:val="TableParagraph"/>
              <w:ind w:left="7"/>
              <w:rPr>
                <w:sz w:val="21"/>
              </w:rPr>
            </w:pPr>
            <w:r>
              <w:rPr>
                <w:sz w:val="21"/>
              </w:rPr>
              <w:t>一级指标指</w:t>
            </w:r>
          </w:p>
          <w:p>
            <w:pPr>
              <w:pStyle w:val="TableParagraph"/>
              <w:spacing w:before="58"/>
              <w:ind w:left="5"/>
              <w:rPr>
                <w:sz w:val="21"/>
              </w:rPr>
            </w:pPr>
            <w:r>
              <w:rPr>
                <w:sz w:val="21"/>
              </w:rPr>
              <w:t>标项</w:t>
            </w:r>
          </w:p>
        </w:tc>
        <w:tc>
          <w:tcPr>
            <w:tcW w:w="1068" w:type="dxa"/>
          </w:tcPr>
          <w:p>
            <w:pPr>
              <w:pStyle w:val="TableParagraph"/>
              <w:ind w:left="9" w:right="-15"/>
              <w:rPr>
                <w:sz w:val="21"/>
              </w:rPr>
            </w:pPr>
            <w:r>
              <w:rPr>
                <w:sz w:val="21"/>
              </w:rPr>
              <w:t>一级指标权</w:t>
            </w:r>
          </w:p>
          <w:p>
            <w:pPr>
              <w:pStyle w:val="TableParagraph"/>
              <w:spacing w:before="58"/>
              <w:ind w:left="7"/>
              <w:rPr>
                <w:sz w:val="21"/>
              </w:rPr>
            </w:pPr>
            <w:r>
              <w:rPr>
                <w:sz w:val="21"/>
              </w:rPr>
              <w:t>重值</w:t>
            </w:r>
          </w:p>
        </w:tc>
        <w:tc>
          <w:tcPr>
            <w:tcW w:w="1818" w:type="dxa"/>
          </w:tcPr>
          <w:p>
            <w:pPr>
              <w:pStyle w:val="TableParagraph"/>
              <w:spacing w:before="164"/>
              <w:ind w:left="6"/>
              <w:rPr>
                <w:sz w:val="21"/>
              </w:rPr>
            </w:pPr>
            <w:r>
              <w:rPr>
                <w:sz w:val="21"/>
              </w:rPr>
              <w:t>二级指标指标项</w:t>
            </w:r>
          </w:p>
        </w:tc>
        <w:tc>
          <w:tcPr>
            <w:tcW w:w="835" w:type="dxa"/>
          </w:tcPr>
          <w:p>
            <w:pPr>
              <w:pStyle w:val="TableParagraph"/>
              <w:spacing w:before="164"/>
              <w:ind w:left="186" w:right="179"/>
              <w:rPr>
                <w:sz w:val="21"/>
              </w:rPr>
            </w:pPr>
            <w:r>
              <w:rPr>
                <w:sz w:val="21"/>
              </w:rPr>
              <w:t>单位</w:t>
            </w:r>
          </w:p>
        </w:tc>
        <w:tc>
          <w:tcPr>
            <w:tcW w:w="933" w:type="dxa"/>
          </w:tcPr>
          <w:p>
            <w:pPr>
              <w:pStyle w:val="TableParagraph"/>
              <w:ind w:left="46"/>
              <w:jc w:val="left"/>
              <w:rPr>
                <w:sz w:val="21"/>
              </w:rPr>
            </w:pPr>
            <w:r>
              <w:rPr>
                <w:w w:val="95"/>
                <w:sz w:val="21"/>
              </w:rPr>
              <w:t>二级指标</w:t>
            </w:r>
          </w:p>
          <w:p>
            <w:pPr>
              <w:pStyle w:val="TableParagraph"/>
              <w:spacing w:before="58"/>
              <w:ind w:left="46"/>
              <w:jc w:val="left"/>
              <w:rPr>
                <w:sz w:val="21"/>
              </w:rPr>
            </w:pPr>
            <w:r>
              <w:rPr>
                <w:w w:val="95"/>
                <w:sz w:val="21"/>
              </w:rPr>
              <w:t>分权重值</w:t>
            </w:r>
          </w:p>
        </w:tc>
        <w:tc>
          <w:tcPr>
            <w:tcW w:w="2641" w:type="dxa"/>
          </w:tcPr>
          <w:p>
            <w:pPr>
              <w:pStyle w:val="TableParagraph"/>
              <w:spacing w:before="164"/>
              <w:ind w:right="786"/>
              <w:jc w:val="right"/>
              <w:rPr>
                <w:sz w:val="21"/>
              </w:rPr>
            </w:pPr>
            <w:r>
              <w:rPr>
                <w:w w:val="95"/>
                <w:sz w:val="21"/>
              </w:rPr>
              <w:t>Ⅰ级基准值</w:t>
            </w:r>
          </w:p>
        </w:tc>
        <w:tc>
          <w:tcPr>
            <w:tcW w:w="1879" w:type="dxa"/>
          </w:tcPr>
          <w:p>
            <w:pPr>
              <w:pStyle w:val="TableParagraph"/>
              <w:spacing w:before="164"/>
              <w:ind w:left="413"/>
              <w:jc w:val="left"/>
              <w:rPr>
                <w:sz w:val="21"/>
              </w:rPr>
            </w:pPr>
            <w:r>
              <w:rPr>
                <w:sz w:val="21"/>
              </w:rPr>
              <w:t>Ⅱ级基准值</w:t>
            </w:r>
          </w:p>
        </w:tc>
        <w:tc>
          <w:tcPr>
            <w:tcW w:w="2021" w:type="dxa"/>
          </w:tcPr>
          <w:p>
            <w:pPr>
              <w:pStyle w:val="TableParagraph"/>
              <w:spacing w:before="164"/>
              <w:ind w:left="485"/>
              <w:jc w:val="left"/>
              <w:rPr>
                <w:sz w:val="21"/>
              </w:rPr>
            </w:pPr>
            <w:r>
              <w:rPr>
                <w:sz w:val="21"/>
              </w:rPr>
              <w:t>Ⅲ级基准值</w:t>
            </w:r>
          </w:p>
        </w:tc>
        <w:tc>
          <w:tcPr>
            <w:tcW w:w="1165" w:type="dxa"/>
          </w:tcPr>
          <w:p>
            <w:pPr>
              <w:pStyle w:val="TableParagraph"/>
              <w:ind w:left="18" w:right="13"/>
              <w:rPr>
                <w:sz w:val="21"/>
              </w:rPr>
            </w:pPr>
            <w:r>
              <w:rPr>
                <w:sz w:val="21"/>
              </w:rPr>
              <w:t>本煤矿扩建</w:t>
            </w:r>
          </w:p>
          <w:p>
            <w:pPr>
              <w:pStyle w:val="TableParagraph"/>
              <w:spacing w:before="58"/>
              <w:ind w:left="5"/>
              <w:rPr>
                <w:sz w:val="21"/>
              </w:rPr>
            </w:pPr>
            <w:r>
              <w:rPr>
                <w:w w:val="99"/>
                <w:sz w:val="21"/>
              </w:rPr>
              <w:t>后</w:t>
            </w:r>
          </w:p>
        </w:tc>
      </w:tr>
      <w:tr>
        <w:trPr>
          <w:trHeight w:val="1306" w:hRule="atLeast"/>
        </w:trPr>
        <w:tc>
          <w:tcPr>
            <w:tcW w:w="572" w:type="dxa"/>
          </w:tcPr>
          <w:p>
            <w:pPr>
              <w:pStyle w:val="TableParagraph"/>
              <w:jc w:val="left"/>
              <w:rPr>
                <w:rFonts w:ascii="Times New Roman"/>
                <w:sz w:val="20"/>
              </w:rPr>
            </w:pPr>
          </w:p>
        </w:tc>
        <w:tc>
          <w:tcPr>
            <w:tcW w:w="1090" w:type="dxa"/>
            <w:vMerge w:val="restart"/>
          </w:tcPr>
          <w:p>
            <w:pPr>
              <w:pStyle w:val="TableParagraph"/>
              <w:jc w:val="left"/>
              <w:rPr>
                <w:rFonts w:ascii="Times New Roman"/>
                <w:sz w:val="20"/>
              </w:rPr>
            </w:pPr>
          </w:p>
        </w:tc>
        <w:tc>
          <w:tcPr>
            <w:tcW w:w="1068" w:type="dxa"/>
            <w:vMerge w:val="restart"/>
          </w:tcPr>
          <w:p>
            <w:pPr>
              <w:pStyle w:val="TableParagraph"/>
              <w:jc w:val="left"/>
              <w:rPr>
                <w:rFonts w:ascii="Times New Roman"/>
                <w:sz w:val="20"/>
              </w:rPr>
            </w:pPr>
          </w:p>
        </w:tc>
        <w:tc>
          <w:tcPr>
            <w:tcW w:w="1818" w:type="dxa"/>
          </w:tcPr>
          <w:p>
            <w:pPr>
              <w:pStyle w:val="TableParagraph"/>
              <w:jc w:val="left"/>
              <w:rPr>
                <w:rFonts w:ascii="Times New Roman"/>
                <w:sz w:val="20"/>
              </w:rPr>
            </w:pPr>
          </w:p>
        </w:tc>
        <w:tc>
          <w:tcPr>
            <w:tcW w:w="835" w:type="dxa"/>
          </w:tcPr>
          <w:p>
            <w:pPr>
              <w:pStyle w:val="TableParagraph"/>
              <w:jc w:val="left"/>
              <w:rPr>
                <w:rFonts w:ascii="Times New Roman"/>
                <w:sz w:val="20"/>
              </w:rPr>
            </w:pPr>
          </w:p>
        </w:tc>
        <w:tc>
          <w:tcPr>
            <w:tcW w:w="933" w:type="dxa"/>
          </w:tcPr>
          <w:p>
            <w:pPr>
              <w:pStyle w:val="TableParagraph"/>
              <w:jc w:val="left"/>
              <w:rPr>
                <w:rFonts w:ascii="Times New Roman"/>
                <w:sz w:val="20"/>
              </w:rPr>
            </w:pPr>
          </w:p>
        </w:tc>
        <w:tc>
          <w:tcPr>
            <w:tcW w:w="2641" w:type="dxa"/>
          </w:tcPr>
          <w:p>
            <w:pPr>
              <w:pStyle w:val="TableParagraph"/>
              <w:spacing w:line="268" w:lineRule="exact"/>
              <w:ind w:right="735"/>
              <w:jc w:val="right"/>
              <w:rPr>
                <w:sz w:val="21"/>
              </w:rPr>
            </w:pPr>
            <w:r>
              <w:rPr>
                <w:w w:val="95"/>
                <w:sz w:val="21"/>
              </w:rPr>
              <w:t>矿后的恢复措施计划</w:t>
            </w:r>
          </w:p>
        </w:tc>
        <w:tc>
          <w:tcPr>
            <w:tcW w:w="1879" w:type="dxa"/>
          </w:tcPr>
          <w:p>
            <w:pPr>
              <w:pStyle w:val="TableParagraph"/>
              <w:spacing w:line="268" w:lineRule="exact"/>
              <w:ind w:left="5"/>
              <w:jc w:val="left"/>
              <w:rPr>
                <w:sz w:val="21"/>
              </w:rPr>
            </w:pPr>
            <w:r>
              <w:rPr>
                <w:w w:val="99"/>
                <w:sz w:val="21"/>
              </w:rPr>
              <w:t>性</w:t>
            </w:r>
          </w:p>
        </w:tc>
        <w:tc>
          <w:tcPr>
            <w:tcW w:w="2021" w:type="dxa"/>
          </w:tcPr>
          <w:p>
            <w:pPr>
              <w:pStyle w:val="TableParagraph"/>
              <w:spacing w:line="268" w:lineRule="exact"/>
              <w:ind w:left="5"/>
              <w:jc w:val="left"/>
              <w:rPr>
                <w:sz w:val="21"/>
              </w:rPr>
            </w:pPr>
            <w:r>
              <w:rPr>
                <w:sz w:val="21"/>
              </w:rPr>
              <w:t>篇章</w:t>
            </w:r>
          </w:p>
        </w:tc>
        <w:tc>
          <w:tcPr>
            <w:tcW w:w="1165" w:type="dxa"/>
          </w:tcPr>
          <w:p>
            <w:pPr>
              <w:pStyle w:val="TableParagraph"/>
              <w:spacing w:line="290" w:lineRule="auto"/>
              <w:ind w:left="5" w:right="-15"/>
              <w:jc w:val="both"/>
              <w:rPr>
                <w:sz w:val="21"/>
              </w:rPr>
            </w:pPr>
            <w:r>
              <w:rPr>
                <w:spacing w:val="-18"/>
                <w:sz w:val="21"/>
              </w:rPr>
              <w:t>环保近、远期</w:t>
            </w:r>
            <w:r>
              <w:rPr>
                <w:spacing w:val="-25"/>
                <w:sz w:val="21"/>
              </w:rPr>
              <w:t>规划，措施可</w:t>
            </w:r>
            <w:r>
              <w:rPr>
                <w:spacing w:val="-23"/>
                <w:sz w:val="21"/>
              </w:rPr>
              <w:t>行，有一定的</w:t>
            </w:r>
          </w:p>
          <w:p>
            <w:pPr>
              <w:pStyle w:val="TableParagraph"/>
              <w:spacing w:before="4"/>
              <w:ind w:left="267"/>
              <w:jc w:val="left"/>
              <w:rPr>
                <w:sz w:val="21"/>
              </w:rPr>
            </w:pPr>
            <w:r>
              <w:rPr>
                <w:sz w:val="21"/>
              </w:rPr>
              <w:t>操作性</w:t>
            </w:r>
          </w:p>
        </w:tc>
      </w:tr>
      <w:tr>
        <w:trPr>
          <w:trHeight w:val="340" w:hRule="atLeast"/>
        </w:trPr>
        <w:tc>
          <w:tcPr>
            <w:tcW w:w="572" w:type="dxa"/>
          </w:tcPr>
          <w:p>
            <w:pPr>
              <w:pStyle w:val="TableParagraph"/>
              <w:spacing w:before="23"/>
              <w:ind w:left="54" w:right="44"/>
              <w:rPr>
                <w:rFonts w:ascii="Times New Roman"/>
                <w:sz w:val="21"/>
              </w:rPr>
            </w:pPr>
            <w:r>
              <w:rPr>
                <w:rFonts w:ascii="Times New Roman"/>
                <w:sz w:val="21"/>
              </w:rPr>
              <w:t>37</w:t>
            </w:r>
          </w:p>
        </w:tc>
        <w:tc>
          <w:tcPr>
            <w:tcW w:w="1090" w:type="dxa"/>
            <w:vMerge/>
            <w:tcBorders>
              <w:top w:val="nil"/>
            </w:tcBorders>
          </w:tcPr>
          <w:p>
            <w:pPr>
              <w:rPr>
                <w:sz w:val="2"/>
                <w:szCs w:val="2"/>
              </w:rPr>
            </w:pPr>
          </w:p>
        </w:tc>
        <w:tc>
          <w:tcPr>
            <w:tcW w:w="1068" w:type="dxa"/>
            <w:vMerge/>
            <w:tcBorders>
              <w:top w:val="nil"/>
            </w:tcBorders>
          </w:tcPr>
          <w:p>
            <w:pPr>
              <w:rPr>
                <w:sz w:val="2"/>
                <w:szCs w:val="2"/>
              </w:rPr>
            </w:pPr>
          </w:p>
        </w:tc>
        <w:tc>
          <w:tcPr>
            <w:tcW w:w="1818" w:type="dxa"/>
          </w:tcPr>
          <w:p>
            <w:pPr>
              <w:pStyle w:val="TableParagraph"/>
              <w:spacing w:before="7"/>
              <w:ind w:left="6"/>
              <w:rPr>
                <w:sz w:val="21"/>
              </w:rPr>
            </w:pPr>
            <w:r>
              <w:rPr>
                <w:sz w:val="21"/>
              </w:rPr>
              <w:t>环境信息公开</w:t>
            </w:r>
          </w:p>
        </w:tc>
        <w:tc>
          <w:tcPr>
            <w:tcW w:w="835" w:type="dxa"/>
          </w:tcPr>
          <w:p>
            <w:pPr>
              <w:pStyle w:val="TableParagraph"/>
              <w:spacing w:before="7"/>
              <w:ind w:left="5"/>
              <w:rPr>
                <w:sz w:val="21"/>
              </w:rPr>
            </w:pPr>
            <w:r>
              <w:rPr>
                <w:w w:val="99"/>
                <w:sz w:val="21"/>
              </w:rPr>
              <w:t>━</w:t>
            </w:r>
          </w:p>
        </w:tc>
        <w:tc>
          <w:tcPr>
            <w:tcW w:w="933" w:type="dxa"/>
          </w:tcPr>
          <w:p>
            <w:pPr>
              <w:pStyle w:val="TableParagraph"/>
              <w:spacing w:before="23"/>
              <w:ind w:left="281"/>
              <w:jc w:val="left"/>
              <w:rPr>
                <w:rFonts w:ascii="Times New Roman"/>
                <w:sz w:val="21"/>
              </w:rPr>
            </w:pPr>
            <w:r>
              <w:rPr>
                <w:rFonts w:ascii="Times New Roman"/>
                <w:sz w:val="21"/>
              </w:rPr>
              <w:t>0.15</w:t>
            </w:r>
          </w:p>
        </w:tc>
        <w:tc>
          <w:tcPr>
            <w:tcW w:w="6541" w:type="dxa"/>
            <w:gridSpan w:val="3"/>
          </w:tcPr>
          <w:p>
            <w:pPr>
              <w:pStyle w:val="TableParagraph"/>
              <w:spacing w:before="7"/>
              <w:ind w:left="4" w:right="-15"/>
              <w:jc w:val="left"/>
              <w:rPr>
                <w:sz w:val="21"/>
              </w:rPr>
            </w:pPr>
            <w:r>
              <w:rPr>
                <w:spacing w:val="-4"/>
                <w:sz w:val="21"/>
              </w:rPr>
              <w:t>按照国家有关要求公开环境相关信息，按照 </w:t>
            </w:r>
            <w:r>
              <w:rPr>
                <w:rFonts w:ascii="Times New Roman" w:eastAsia="Times New Roman"/>
                <w:sz w:val="21"/>
              </w:rPr>
              <w:t>HJ617</w:t>
            </w:r>
            <w:r>
              <w:rPr>
                <w:rFonts w:ascii="Times New Roman" w:eastAsia="Times New Roman"/>
                <w:spacing w:val="-8"/>
                <w:sz w:val="21"/>
              </w:rPr>
              <w:t> </w:t>
            </w:r>
            <w:r>
              <w:rPr>
                <w:sz w:val="21"/>
              </w:rPr>
              <w:t>编写企业环境报告书</w:t>
            </w:r>
          </w:p>
        </w:tc>
        <w:tc>
          <w:tcPr>
            <w:tcW w:w="1165" w:type="dxa"/>
          </w:tcPr>
          <w:p>
            <w:pPr>
              <w:pStyle w:val="TableParagraph"/>
              <w:spacing w:before="7"/>
              <w:ind w:left="55"/>
              <w:jc w:val="left"/>
              <w:rPr>
                <w:sz w:val="21"/>
              </w:rPr>
            </w:pPr>
            <w:r>
              <w:rPr>
                <w:sz w:val="21"/>
              </w:rPr>
              <w:t>按要求编制</w:t>
            </w:r>
          </w:p>
        </w:tc>
      </w:tr>
    </w:tbl>
    <w:p>
      <w:pPr>
        <w:spacing w:before="0"/>
        <w:ind w:left="116"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line="244" w:lineRule="auto" w:before="139"/>
        <w:ind w:left="536" w:right="532" w:firstLine="420"/>
        <w:jc w:val="left"/>
        <w:rPr>
          <w:sz w:val="21"/>
        </w:rPr>
      </w:pPr>
      <w:r>
        <w:rPr>
          <w:rFonts w:ascii="Times New Roman" w:hAnsi="Times New Roman" w:eastAsia="Times New Roman"/>
          <w:sz w:val="21"/>
        </w:rPr>
        <w:t>2</w:t>
      </w:r>
      <w:r>
        <w:rPr>
          <w:sz w:val="21"/>
        </w:rPr>
        <w:t>、水资源短缺矿区，指矿井涌水量</w:t>
      </w:r>
      <w:r>
        <w:rPr>
          <w:rFonts w:ascii="Times New Roman" w:hAnsi="Times New Roman" w:eastAsia="Times New Roman"/>
          <w:sz w:val="21"/>
        </w:rPr>
        <w:t>≤60 </w:t>
      </w:r>
      <w:r>
        <w:rPr>
          <w:sz w:val="21"/>
        </w:rPr>
        <w:t>立方米</w:t>
      </w:r>
      <w:r>
        <w:rPr>
          <w:rFonts w:ascii="Times New Roman" w:hAnsi="Times New Roman" w:eastAsia="Times New Roman"/>
          <w:sz w:val="21"/>
        </w:rPr>
        <w:t>/</w:t>
      </w:r>
      <w:r>
        <w:rPr>
          <w:sz w:val="21"/>
        </w:rPr>
        <w:t>小时；一般水资源矿区，指矿井涌水量 </w:t>
      </w:r>
      <w:r>
        <w:rPr>
          <w:rFonts w:ascii="Times New Roman" w:hAnsi="Times New Roman" w:eastAsia="Times New Roman"/>
          <w:sz w:val="21"/>
        </w:rPr>
        <w:t>60</w:t>
      </w:r>
      <w:r>
        <w:rPr>
          <w:sz w:val="21"/>
        </w:rPr>
        <w:t>～</w:t>
      </w:r>
      <w:r>
        <w:rPr>
          <w:rFonts w:ascii="Times New Roman" w:hAnsi="Times New Roman" w:eastAsia="Times New Roman"/>
          <w:sz w:val="21"/>
        </w:rPr>
        <w:t>300 </w:t>
      </w:r>
      <w:r>
        <w:rPr>
          <w:sz w:val="21"/>
        </w:rPr>
        <w:t>立方米</w:t>
      </w:r>
      <w:r>
        <w:rPr>
          <w:rFonts w:ascii="Times New Roman" w:hAnsi="Times New Roman" w:eastAsia="Times New Roman"/>
          <w:sz w:val="21"/>
        </w:rPr>
        <w:t>/</w:t>
      </w:r>
      <w:r>
        <w:rPr>
          <w:sz w:val="21"/>
        </w:rPr>
        <w:t>小时；水资源丰富矿区，指矿井涌水量</w:t>
      </w:r>
      <w:r>
        <w:rPr>
          <w:rFonts w:ascii="Times New Roman" w:hAnsi="Times New Roman" w:eastAsia="Times New Roman"/>
          <w:sz w:val="21"/>
        </w:rPr>
        <w:t>≥300 </w:t>
      </w:r>
      <w:r>
        <w:rPr>
          <w:sz w:val="21"/>
        </w:rPr>
        <w:t>立方米</w:t>
      </w:r>
      <w:r>
        <w:rPr>
          <w:rFonts w:ascii="Times New Roman" w:hAnsi="Times New Roman" w:eastAsia="Times New Roman"/>
          <w:sz w:val="21"/>
        </w:rPr>
        <w:t>/</w:t>
      </w:r>
      <w:r>
        <w:rPr>
          <w:sz w:val="21"/>
        </w:rPr>
        <w:t>小时（矿井涌水量一般指正常涌水量）。</w:t>
      </w:r>
    </w:p>
    <w:p>
      <w:pPr>
        <w:spacing w:after="0" w:line="244" w:lineRule="auto"/>
        <w:jc w:val="left"/>
        <w:rPr>
          <w:sz w:val="21"/>
        </w:rPr>
        <w:sectPr>
          <w:pgSz w:w="16840" w:h="11910" w:orient="landscape"/>
          <w:pgMar w:header="0" w:footer="1089" w:top="1100" w:bottom="1360" w:left="1460" w:right="1040"/>
        </w:sectPr>
      </w:pPr>
    </w:p>
    <w:p>
      <w:pPr>
        <w:pStyle w:val="Heading2"/>
        <w:numPr>
          <w:ilvl w:val="1"/>
          <w:numId w:val="71"/>
        </w:numPr>
        <w:tabs>
          <w:tab w:pos="816" w:val="left" w:leader="none"/>
        </w:tabs>
        <w:spacing w:line="240" w:lineRule="auto" w:before="46" w:after="0"/>
        <w:ind w:left="816" w:right="0" w:hanging="601"/>
        <w:jc w:val="left"/>
      </w:pPr>
      <w:bookmarkStart w:name="12.3清洁生产管理体系建设" w:id="1036"/>
      <w:bookmarkEnd w:id="1036"/>
      <w:r>
        <w:rPr>
          <w:b w:val="0"/>
        </w:rPr>
      </w:r>
      <w:bookmarkStart w:name="_bookmark64" w:id="1037"/>
      <w:bookmarkEnd w:id="1037"/>
      <w:r>
        <w:rPr>
          <w:b w:val="0"/>
        </w:rPr>
      </w:r>
      <w:bookmarkStart w:name="_bookmark64" w:id="1038"/>
      <w:bookmarkEnd w:id="1038"/>
      <w:r>
        <w:rPr/>
        <w:t>清洁生产管理体系建设</w:t>
      </w:r>
    </w:p>
    <w:p>
      <w:pPr>
        <w:pStyle w:val="BodyText"/>
        <w:spacing w:line="364" w:lineRule="auto" w:before="199"/>
        <w:ind w:left="215" w:right="249" w:firstLine="480"/>
      </w:pPr>
      <w:r>
        <w:rPr/>
        <w:t>要实现生产过程的清洁生产，除了采取先进的生产技术与装备外，还要建立有效的环境管理与清洁生产管理制度，本评价对该项目实施提出相应的环境管理建议，见下表。</w:t>
      </w:r>
    </w:p>
    <w:p>
      <w:pPr>
        <w:pStyle w:val="Heading4"/>
        <w:spacing w:line="307" w:lineRule="exact"/>
        <w:ind w:left="2678" w:right="2698"/>
        <w:jc w:val="center"/>
      </w:pPr>
      <w:r>
        <w:rPr/>
        <w:t>表 </w:t>
      </w:r>
      <w:r>
        <w:rPr>
          <w:rFonts w:ascii="Times New Roman" w:eastAsia="Times New Roman"/>
        </w:rPr>
        <w:t>12.3-1 </w:t>
      </w:r>
      <w:r>
        <w:rPr/>
        <w:t>矿井清洁生产中环境管理要求</w:t>
      </w:r>
    </w:p>
    <w:p>
      <w:pPr>
        <w:pStyle w:val="BodyText"/>
        <w:spacing w:before="2"/>
        <w:rPr>
          <w:b/>
          <w:sz w:val="12"/>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0"/>
        <w:gridCol w:w="5788"/>
      </w:tblGrid>
      <w:tr>
        <w:trPr>
          <w:trHeight w:val="454" w:hRule="atLeast"/>
        </w:trPr>
        <w:tc>
          <w:tcPr>
            <w:tcW w:w="3280" w:type="dxa"/>
          </w:tcPr>
          <w:p>
            <w:pPr>
              <w:pStyle w:val="TableParagraph"/>
              <w:spacing w:before="65"/>
              <w:ind w:left="45" w:right="35"/>
              <w:rPr>
                <w:sz w:val="21"/>
              </w:rPr>
            </w:pPr>
            <w:r>
              <w:rPr>
                <w:sz w:val="21"/>
              </w:rPr>
              <w:t>指标</w:t>
            </w:r>
          </w:p>
        </w:tc>
        <w:tc>
          <w:tcPr>
            <w:tcW w:w="5788" w:type="dxa"/>
          </w:tcPr>
          <w:p>
            <w:pPr>
              <w:pStyle w:val="TableParagraph"/>
              <w:spacing w:before="65"/>
              <w:ind w:left="2664" w:right="2654"/>
              <w:rPr>
                <w:sz w:val="21"/>
              </w:rPr>
            </w:pPr>
            <w:r>
              <w:rPr>
                <w:sz w:val="21"/>
              </w:rPr>
              <w:t>要求</w:t>
            </w:r>
          </w:p>
        </w:tc>
      </w:tr>
      <w:tr>
        <w:trPr>
          <w:trHeight w:val="654" w:hRule="atLeast"/>
        </w:trPr>
        <w:tc>
          <w:tcPr>
            <w:tcW w:w="3280" w:type="dxa"/>
          </w:tcPr>
          <w:p>
            <w:pPr>
              <w:pStyle w:val="TableParagraph"/>
              <w:spacing w:before="165"/>
              <w:ind w:left="45" w:right="35"/>
              <w:rPr>
                <w:sz w:val="21"/>
              </w:rPr>
            </w:pPr>
            <w:r>
              <w:rPr>
                <w:sz w:val="21"/>
              </w:rPr>
              <w:t>环境法律法规标准</w:t>
            </w:r>
          </w:p>
        </w:tc>
        <w:tc>
          <w:tcPr>
            <w:tcW w:w="5788" w:type="dxa"/>
          </w:tcPr>
          <w:p>
            <w:pPr>
              <w:pStyle w:val="TableParagraph"/>
              <w:spacing w:before="2"/>
              <w:ind w:left="4" w:right="-15"/>
              <w:jc w:val="left"/>
              <w:rPr>
                <w:sz w:val="21"/>
              </w:rPr>
            </w:pPr>
            <w:r>
              <w:rPr>
                <w:spacing w:val="-7"/>
                <w:w w:val="95"/>
                <w:sz w:val="21"/>
              </w:rPr>
              <w:t>符合国家和地方有关环境法律、法规，污染物排放达到国家和地</w:t>
            </w:r>
          </w:p>
          <w:p>
            <w:pPr>
              <w:pStyle w:val="TableParagraph"/>
              <w:spacing w:before="57"/>
              <w:ind w:left="4"/>
              <w:jc w:val="left"/>
              <w:rPr>
                <w:sz w:val="21"/>
              </w:rPr>
            </w:pPr>
            <w:r>
              <w:rPr>
                <w:sz w:val="21"/>
              </w:rPr>
              <w:t>方排放标准、总量控制和排污许可证管理要求</w:t>
            </w:r>
          </w:p>
        </w:tc>
      </w:tr>
      <w:tr>
        <w:trPr>
          <w:trHeight w:val="980" w:hRule="atLeast"/>
        </w:trPr>
        <w:tc>
          <w:tcPr>
            <w:tcW w:w="3280" w:type="dxa"/>
          </w:tcPr>
          <w:p>
            <w:pPr>
              <w:pStyle w:val="TableParagraph"/>
              <w:spacing w:before="6"/>
              <w:jc w:val="left"/>
              <w:rPr>
                <w:b/>
                <w:sz w:val="25"/>
              </w:rPr>
            </w:pPr>
          </w:p>
          <w:p>
            <w:pPr>
              <w:pStyle w:val="TableParagraph"/>
              <w:ind w:left="43" w:right="35"/>
              <w:rPr>
                <w:sz w:val="21"/>
              </w:rPr>
            </w:pPr>
            <w:r>
              <w:rPr>
                <w:sz w:val="21"/>
              </w:rPr>
              <w:t>环境审核</w:t>
            </w:r>
          </w:p>
        </w:tc>
        <w:tc>
          <w:tcPr>
            <w:tcW w:w="5788" w:type="dxa"/>
          </w:tcPr>
          <w:p>
            <w:pPr>
              <w:pStyle w:val="TableParagraph"/>
              <w:ind w:left="4"/>
              <w:jc w:val="left"/>
              <w:rPr>
                <w:sz w:val="21"/>
              </w:rPr>
            </w:pPr>
            <w:r>
              <w:rPr>
                <w:sz w:val="21"/>
              </w:rPr>
              <w:t>按照煤炭行业的企业清洁生产审核指南的要求进行审核；按照</w:t>
            </w:r>
          </w:p>
          <w:p>
            <w:pPr>
              <w:pStyle w:val="TableParagraph"/>
              <w:spacing w:line="320" w:lineRule="atLeast" w:before="6"/>
              <w:ind w:left="4" w:right="14"/>
              <w:jc w:val="left"/>
              <w:rPr>
                <w:sz w:val="21"/>
              </w:rPr>
            </w:pPr>
            <w:r>
              <w:rPr>
                <w:rFonts w:ascii="Times New Roman" w:eastAsia="Times New Roman"/>
                <w:sz w:val="21"/>
              </w:rPr>
              <w:t>ISO14001 </w:t>
            </w:r>
            <w:r>
              <w:rPr>
                <w:sz w:val="21"/>
              </w:rPr>
              <w:t>建立并运行环境管理体系，环境管理手册、程序文件及作业文件齐备</w:t>
            </w:r>
          </w:p>
        </w:tc>
      </w:tr>
      <w:tr>
        <w:trPr>
          <w:trHeight w:val="453" w:hRule="atLeast"/>
        </w:trPr>
        <w:tc>
          <w:tcPr>
            <w:tcW w:w="3280" w:type="dxa"/>
          </w:tcPr>
          <w:p>
            <w:pPr>
              <w:pStyle w:val="TableParagraph"/>
              <w:spacing w:before="64"/>
              <w:ind w:left="43" w:right="35"/>
              <w:rPr>
                <w:sz w:val="21"/>
              </w:rPr>
            </w:pPr>
            <w:r>
              <w:rPr>
                <w:sz w:val="21"/>
              </w:rPr>
              <w:t>原料用量及质量</w:t>
            </w:r>
          </w:p>
        </w:tc>
        <w:tc>
          <w:tcPr>
            <w:tcW w:w="5788" w:type="dxa"/>
          </w:tcPr>
          <w:p>
            <w:pPr>
              <w:pStyle w:val="TableParagraph"/>
              <w:spacing w:before="64"/>
              <w:ind w:left="4"/>
              <w:jc w:val="left"/>
              <w:rPr>
                <w:sz w:val="21"/>
              </w:rPr>
            </w:pPr>
            <w:r>
              <w:rPr>
                <w:sz w:val="21"/>
              </w:rPr>
              <w:t>规定严格的检验、计量控制措施</w:t>
            </w:r>
          </w:p>
        </w:tc>
      </w:tr>
      <w:tr>
        <w:trPr>
          <w:trHeight w:val="653" w:hRule="atLeast"/>
        </w:trPr>
        <w:tc>
          <w:tcPr>
            <w:tcW w:w="3280" w:type="dxa"/>
          </w:tcPr>
          <w:p>
            <w:pPr>
              <w:pStyle w:val="TableParagraph"/>
              <w:ind w:left="45" w:right="27"/>
              <w:rPr>
                <w:sz w:val="21"/>
              </w:rPr>
            </w:pPr>
            <w:r>
              <w:rPr>
                <w:spacing w:val="-9"/>
                <w:w w:val="95"/>
                <w:sz w:val="21"/>
              </w:rPr>
              <w:t>除尘、矿井水处理处理、生活污水处</w:t>
            </w:r>
          </w:p>
          <w:p>
            <w:pPr>
              <w:pStyle w:val="TableParagraph"/>
              <w:spacing w:before="58"/>
              <w:ind w:left="45" w:right="35"/>
              <w:rPr>
                <w:sz w:val="21"/>
              </w:rPr>
            </w:pPr>
            <w:r>
              <w:rPr>
                <w:sz w:val="21"/>
              </w:rPr>
              <w:t>理、洒水降尘等环保设备与设施</w:t>
            </w:r>
          </w:p>
        </w:tc>
        <w:tc>
          <w:tcPr>
            <w:tcW w:w="5788" w:type="dxa"/>
          </w:tcPr>
          <w:p>
            <w:pPr>
              <w:pStyle w:val="TableParagraph"/>
              <w:spacing w:before="163"/>
              <w:ind w:left="4"/>
              <w:jc w:val="left"/>
              <w:rPr>
                <w:rFonts w:ascii="Times New Roman" w:eastAsia="Times New Roman"/>
                <w:sz w:val="21"/>
              </w:rPr>
            </w:pPr>
            <w:r>
              <w:rPr>
                <w:sz w:val="21"/>
              </w:rPr>
              <w:t>运行无故障、设备完好率达 </w:t>
            </w:r>
            <w:r>
              <w:rPr>
                <w:rFonts w:ascii="Times New Roman" w:eastAsia="Times New Roman"/>
                <w:sz w:val="21"/>
              </w:rPr>
              <w:t>100%</w:t>
            </w:r>
          </w:p>
        </w:tc>
      </w:tr>
      <w:tr>
        <w:trPr>
          <w:trHeight w:val="453" w:hRule="atLeast"/>
        </w:trPr>
        <w:tc>
          <w:tcPr>
            <w:tcW w:w="3280" w:type="dxa"/>
          </w:tcPr>
          <w:p>
            <w:pPr>
              <w:pStyle w:val="TableParagraph"/>
              <w:spacing w:before="64"/>
              <w:ind w:left="43" w:right="35"/>
              <w:rPr>
                <w:sz w:val="21"/>
              </w:rPr>
            </w:pPr>
            <w:r>
              <w:rPr>
                <w:sz w:val="21"/>
              </w:rPr>
              <w:t>岗位培训</w:t>
            </w:r>
          </w:p>
        </w:tc>
        <w:tc>
          <w:tcPr>
            <w:tcW w:w="5788" w:type="dxa"/>
          </w:tcPr>
          <w:p>
            <w:pPr>
              <w:pStyle w:val="TableParagraph"/>
              <w:spacing w:before="64"/>
              <w:ind w:left="4"/>
              <w:jc w:val="left"/>
              <w:rPr>
                <w:sz w:val="21"/>
              </w:rPr>
            </w:pPr>
            <w:r>
              <w:rPr>
                <w:sz w:val="21"/>
              </w:rPr>
              <w:t>所有岗位操作人员要进行严格培训</w:t>
            </w:r>
          </w:p>
        </w:tc>
      </w:tr>
      <w:tr>
        <w:trPr>
          <w:trHeight w:val="653" w:hRule="atLeast"/>
        </w:trPr>
        <w:tc>
          <w:tcPr>
            <w:tcW w:w="3280" w:type="dxa"/>
          </w:tcPr>
          <w:p>
            <w:pPr>
              <w:pStyle w:val="TableParagraph"/>
              <w:ind w:left="45" w:right="27"/>
              <w:rPr>
                <w:sz w:val="21"/>
              </w:rPr>
            </w:pPr>
            <w:r>
              <w:rPr>
                <w:spacing w:val="-9"/>
                <w:w w:val="95"/>
                <w:sz w:val="21"/>
              </w:rPr>
              <w:t>生产设备的使用、维护、检修管理制</w:t>
            </w:r>
          </w:p>
          <w:p>
            <w:pPr>
              <w:pStyle w:val="TableParagraph"/>
              <w:spacing w:before="58"/>
              <w:ind w:left="8"/>
              <w:rPr>
                <w:sz w:val="21"/>
              </w:rPr>
            </w:pPr>
            <w:r>
              <w:rPr>
                <w:w w:val="99"/>
                <w:sz w:val="21"/>
              </w:rPr>
              <w:t>度</w:t>
            </w:r>
          </w:p>
        </w:tc>
        <w:tc>
          <w:tcPr>
            <w:tcW w:w="5788" w:type="dxa"/>
          </w:tcPr>
          <w:p>
            <w:pPr>
              <w:pStyle w:val="TableParagraph"/>
              <w:spacing w:before="163"/>
              <w:ind w:left="4"/>
              <w:jc w:val="left"/>
              <w:rPr>
                <w:sz w:val="21"/>
              </w:rPr>
            </w:pPr>
            <w:r>
              <w:rPr>
                <w:sz w:val="21"/>
              </w:rPr>
              <w:t>有完善的管理制度，并严格执行</w:t>
            </w:r>
          </w:p>
        </w:tc>
      </w:tr>
      <w:tr>
        <w:trPr>
          <w:trHeight w:val="453" w:hRule="atLeast"/>
        </w:trPr>
        <w:tc>
          <w:tcPr>
            <w:tcW w:w="3280" w:type="dxa"/>
          </w:tcPr>
          <w:p>
            <w:pPr>
              <w:pStyle w:val="TableParagraph"/>
              <w:spacing w:before="65"/>
              <w:ind w:left="45" w:right="35"/>
              <w:rPr>
                <w:sz w:val="21"/>
              </w:rPr>
            </w:pPr>
            <w:r>
              <w:rPr>
                <w:sz w:val="21"/>
              </w:rPr>
              <w:t>生产工艺用水、电、汽、煤气管理</w:t>
            </w:r>
          </w:p>
        </w:tc>
        <w:tc>
          <w:tcPr>
            <w:tcW w:w="5788" w:type="dxa"/>
          </w:tcPr>
          <w:p>
            <w:pPr>
              <w:pStyle w:val="TableParagraph"/>
              <w:spacing w:before="65"/>
              <w:ind w:left="4"/>
              <w:jc w:val="left"/>
              <w:rPr>
                <w:sz w:val="21"/>
              </w:rPr>
            </w:pPr>
            <w:r>
              <w:rPr>
                <w:sz w:val="21"/>
              </w:rPr>
              <w:t>安装计量仪表，并制定严格定量考核制度</w:t>
            </w:r>
          </w:p>
        </w:tc>
      </w:tr>
      <w:tr>
        <w:trPr>
          <w:trHeight w:val="453" w:hRule="atLeast"/>
        </w:trPr>
        <w:tc>
          <w:tcPr>
            <w:tcW w:w="3280" w:type="dxa"/>
          </w:tcPr>
          <w:p>
            <w:pPr>
              <w:pStyle w:val="TableParagraph"/>
              <w:spacing w:before="64"/>
              <w:ind w:left="45" w:right="35"/>
              <w:rPr>
                <w:sz w:val="21"/>
              </w:rPr>
            </w:pPr>
            <w:r>
              <w:rPr>
                <w:sz w:val="21"/>
              </w:rPr>
              <w:t>事故、非正常生产状况应急</w:t>
            </w:r>
          </w:p>
        </w:tc>
        <w:tc>
          <w:tcPr>
            <w:tcW w:w="5788" w:type="dxa"/>
          </w:tcPr>
          <w:p>
            <w:pPr>
              <w:pStyle w:val="TableParagraph"/>
              <w:spacing w:before="64"/>
              <w:ind w:left="4"/>
              <w:jc w:val="left"/>
              <w:rPr>
                <w:sz w:val="21"/>
              </w:rPr>
            </w:pPr>
            <w:r>
              <w:rPr>
                <w:sz w:val="21"/>
              </w:rPr>
              <w:t>有具体的应急预案</w:t>
            </w:r>
          </w:p>
        </w:tc>
      </w:tr>
      <w:tr>
        <w:trPr>
          <w:trHeight w:val="453" w:hRule="atLeast"/>
        </w:trPr>
        <w:tc>
          <w:tcPr>
            <w:tcW w:w="3280" w:type="dxa"/>
          </w:tcPr>
          <w:p>
            <w:pPr>
              <w:pStyle w:val="TableParagraph"/>
              <w:spacing w:before="63"/>
              <w:ind w:left="45" w:right="35"/>
              <w:rPr>
                <w:sz w:val="21"/>
              </w:rPr>
            </w:pPr>
            <w:r>
              <w:rPr>
                <w:sz w:val="21"/>
              </w:rPr>
              <w:t>环境管理机构</w:t>
            </w:r>
          </w:p>
        </w:tc>
        <w:tc>
          <w:tcPr>
            <w:tcW w:w="5788" w:type="dxa"/>
          </w:tcPr>
          <w:p>
            <w:pPr>
              <w:pStyle w:val="TableParagraph"/>
              <w:spacing w:before="63"/>
              <w:ind w:left="4" w:right="-15"/>
              <w:jc w:val="left"/>
              <w:rPr>
                <w:sz w:val="21"/>
              </w:rPr>
            </w:pPr>
            <w:r>
              <w:rPr>
                <w:spacing w:val="-9"/>
                <w:w w:val="95"/>
                <w:sz w:val="21"/>
              </w:rPr>
              <w:t>有专人负责，特别应建立起有效的沉陷与生态综合整治专门机构</w:t>
            </w:r>
          </w:p>
        </w:tc>
      </w:tr>
      <w:tr>
        <w:trPr>
          <w:trHeight w:val="454" w:hRule="atLeast"/>
        </w:trPr>
        <w:tc>
          <w:tcPr>
            <w:tcW w:w="3280" w:type="dxa"/>
          </w:tcPr>
          <w:p>
            <w:pPr>
              <w:pStyle w:val="TableParagraph"/>
              <w:spacing w:before="65"/>
              <w:ind w:left="45" w:right="35"/>
              <w:rPr>
                <w:sz w:val="21"/>
              </w:rPr>
            </w:pPr>
            <w:r>
              <w:rPr>
                <w:sz w:val="21"/>
              </w:rPr>
              <w:t>环境管理制度</w:t>
            </w:r>
          </w:p>
        </w:tc>
        <w:tc>
          <w:tcPr>
            <w:tcW w:w="5788" w:type="dxa"/>
          </w:tcPr>
          <w:p>
            <w:pPr>
              <w:pStyle w:val="TableParagraph"/>
              <w:spacing w:before="65"/>
              <w:ind w:left="4"/>
              <w:jc w:val="left"/>
              <w:rPr>
                <w:sz w:val="21"/>
              </w:rPr>
            </w:pPr>
            <w:r>
              <w:rPr>
                <w:sz w:val="21"/>
              </w:rPr>
              <w:t>环境管理组织机构与管理制度健全、完善并纳入日常管理</w:t>
            </w:r>
          </w:p>
        </w:tc>
      </w:tr>
      <w:tr>
        <w:trPr>
          <w:trHeight w:val="453" w:hRule="atLeast"/>
        </w:trPr>
        <w:tc>
          <w:tcPr>
            <w:tcW w:w="3280" w:type="dxa"/>
          </w:tcPr>
          <w:p>
            <w:pPr>
              <w:pStyle w:val="TableParagraph"/>
              <w:spacing w:before="64"/>
              <w:ind w:left="45" w:right="35"/>
              <w:rPr>
                <w:sz w:val="21"/>
              </w:rPr>
            </w:pPr>
            <w:r>
              <w:rPr>
                <w:sz w:val="21"/>
              </w:rPr>
              <w:t>环境管理计划</w:t>
            </w:r>
          </w:p>
        </w:tc>
        <w:tc>
          <w:tcPr>
            <w:tcW w:w="5788" w:type="dxa"/>
          </w:tcPr>
          <w:p>
            <w:pPr>
              <w:pStyle w:val="TableParagraph"/>
              <w:spacing w:before="64"/>
              <w:ind w:left="4"/>
              <w:jc w:val="left"/>
              <w:rPr>
                <w:sz w:val="21"/>
              </w:rPr>
            </w:pPr>
            <w:r>
              <w:rPr>
                <w:sz w:val="21"/>
              </w:rPr>
              <w:t>制定近、远期环境保护计划并监督实施</w:t>
            </w:r>
          </w:p>
        </w:tc>
      </w:tr>
      <w:tr>
        <w:trPr>
          <w:trHeight w:val="454" w:hRule="atLeast"/>
        </w:trPr>
        <w:tc>
          <w:tcPr>
            <w:tcW w:w="3280" w:type="dxa"/>
          </w:tcPr>
          <w:p>
            <w:pPr>
              <w:pStyle w:val="TableParagraph"/>
              <w:spacing w:before="63"/>
              <w:ind w:left="45" w:right="35"/>
              <w:rPr>
                <w:sz w:val="21"/>
              </w:rPr>
            </w:pPr>
            <w:r>
              <w:rPr>
                <w:sz w:val="21"/>
              </w:rPr>
              <w:t>环保设施的运行管理</w:t>
            </w:r>
          </w:p>
        </w:tc>
        <w:tc>
          <w:tcPr>
            <w:tcW w:w="5788" w:type="dxa"/>
          </w:tcPr>
          <w:p>
            <w:pPr>
              <w:pStyle w:val="TableParagraph"/>
              <w:spacing w:before="63"/>
              <w:ind w:left="4"/>
              <w:jc w:val="left"/>
              <w:rPr>
                <w:sz w:val="21"/>
              </w:rPr>
            </w:pPr>
            <w:r>
              <w:rPr>
                <w:sz w:val="21"/>
              </w:rPr>
              <w:t>记录运行数据并建立环保档案</w:t>
            </w:r>
          </w:p>
        </w:tc>
      </w:tr>
      <w:tr>
        <w:trPr>
          <w:trHeight w:val="454" w:hRule="atLeast"/>
        </w:trPr>
        <w:tc>
          <w:tcPr>
            <w:tcW w:w="3280" w:type="dxa"/>
          </w:tcPr>
          <w:p>
            <w:pPr>
              <w:pStyle w:val="TableParagraph"/>
              <w:spacing w:before="64"/>
              <w:ind w:left="43" w:right="35"/>
              <w:rPr>
                <w:sz w:val="21"/>
              </w:rPr>
            </w:pPr>
            <w:r>
              <w:rPr>
                <w:sz w:val="21"/>
              </w:rPr>
              <w:t>污染源监测系统</w:t>
            </w:r>
          </w:p>
        </w:tc>
        <w:tc>
          <w:tcPr>
            <w:tcW w:w="5788" w:type="dxa"/>
          </w:tcPr>
          <w:p>
            <w:pPr>
              <w:pStyle w:val="TableParagraph"/>
              <w:spacing w:before="64"/>
              <w:ind w:left="4"/>
              <w:jc w:val="left"/>
              <w:rPr>
                <w:sz w:val="21"/>
              </w:rPr>
            </w:pPr>
            <w:r>
              <w:rPr>
                <w:sz w:val="21"/>
              </w:rPr>
              <w:t>水、气主要污染源、主要污染物均具备监测手段</w:t>
            </w:r>
          </w:p>
        </w:tc>
      </w:tr>
      <w:tr>
        <w:trPr>
          <w:trHeight w:val="453" w:hRule="atLeast"/>
        </w:trPr>
        <w:tc>
          <w:tcPr>
            <w:tcW w:w="3280" w:type="dxa"/>
          </w:tcPr>
          <w:p>
            <w:pPr>
              <w:pStyle w:val="TableParagraph"/>
              <w:spacing w:before="64"/>
              <w:ind w:left="43" w:right="35"/>
              <w:rPr>
                <w:sz w:val="21"/>
              </w:rPr>
            </w:pPr>
            <w:r>
              <w:rPr>
                <w:sz w:val="21"/>
              </w:rPr>
              <w:t>信息交流</w:t>
            </w:r>
          </w:p>
        </w:tc>
        <w:tc>
          <w:tcPr>
            <w:tcW w:w="5788" w:type="dxa"/>
          </w:tcPr>
          <w:p>
            <w:pPr>
              <w:pStyle w:val="TableParagraph"/>
              <w:spacing w:before="64"/>
              <w:ind w:left="4"/>
              <w:jc w:val="left"/>
              <w:rPr>
                <w:sz w:val="21"/>
              </w:rPr>
            </w:pPr>
            <w:r>
              <w:rPr>
                <w:sz w:val="21"/>
              </w:rPr>
              <w:t>具备计算机网络化管理系统</w:t>
            </w:r>
          </w:p>
        </w:tc>
      </w:tr>
      <w:tr>
        <w:trPr>
          <w:trHeight w:val="654" w:hRule="atLeast"/>
        </w:trPr>
        <w:tc>
          <w:tcPr>
            <w:tcW w:w="3280" w:type="dxa"/>
          </w:tcPr>
          <w:p>
            <w:pPr>
              <w:pStyle w:val="TableParagraph"/>
              <w:spacing w:before="164"/>
              <w:ind w:left="45" w:right="35"/>
              <w:rPr>
                <w:sz w:val="21"/>
              </w:rPr>
            </w:pPr>
            <w:r>
              <w:rPr>
                <w:sz w:val="21"/>
              </w:rPr>
              <w:t>原辅料供应方、协作方、服务方</w:t>
            </w:r>
          </w:p>
        </w:tc>
        <w:tc>
          <w:tcPr>
            <w:tcW w:w="5788" w:type="dxa"/>
          </w:tcPr>
          <w:p>
            <w:pPr>
              <w:pStyle w:val="TableParagraph"/>
              <w:ind w:left="4" w:right="-15"/>
              <w:jc w:val="left"/>
              <w:rPr>
                <w:sz w:val="21"/>
              </w:rPr>
            </w:pPr>
            <w:r>
              <w:rPr>
                <w:spacing w:val="-6"/>
                <w:w w:val="95"/>
                <w:sz w:val="21"/>
              </w:rPr>
              <w:t>服协及供货协议中要明确原辅料的包装、运输、装卸等过程中的</w:t>
            </w:r>
          </w:p>
          <w:p>
            <w:pPr>
              <w:pStyle w:val="TableParagraph"/>
              <w:spacing w:before="58"/>
              <w:ind w:left="4"/>
              <w:jc w:val="left"/>
              <w:rPr>
                <w:sz w:val="21"/>
              </w:rPr>
            </w:pPr>
            <w:r>
              <w:rPr>
                <w:sz w:val="21"/>
              </w:rPr>
              <w:t>安全要求及环保要求</w:t>
            </w:r>
          </w:p>
        </w:tc>
      </w:tr>
    </w:tbl>
    <w:p>
      <w:pPr>
        <w:pStyle w:val="Heading2"/>
        <w:numPr>
          <w:ilvl w:val="1"/>
          <w:numId w:val="71"/>
        </w:numPr>
        <w:tabs>
          <w:tab w:pos="816" w:val="left" w:leader="none"/>
        </w:tabs>
        <w:spacing w:line="240" w:lineRule="auto" w:before="173" w:after="0"/>
        <w:ind w:left="816" w:right="0" w:hanging="601"/>
        <w:jc w:val="left"/>
      </w:pPr>
      <w:bookmarkStart w:name="12.4清洁生产总体评价" w:id="1039"/>
      <w:bookmarkEnd w:id="1039"/>
      <w:r>
        <w:rPr>
          <w:b w:val="0"/>
        </w:rPr>
      </w:r>
      <w:bookmarkStart w:name="_bookmark65" w:id="1040"/>
      <w:bookmarkEnd w:id="1040"/>
      <w:r>
        <w:rPr>
          <w:b w:val="0"/>
        </w:rPr>
      </w:r>
      <w:bookmarkStart w:name="_bookmark65" w:id="1041"/>
      <w:bookmarkEnd w:id="1041"/>
      <w:r>
        <w:rPr/>
        <w:t>清洁生产总体评价</w:t>
      </w:r>
    </w:p>
    <w:p>
      <w:pPr>
        <w:pStyle w:val="BodyText"/>
        <w:spacing w:line="364" w:lineRule="auto" w:before="197"/>
        <w:ind w:left="215" w:right="117" w:firstLine="480"/>
      </w:pPr>
      <w:r>
        <w:rPr>
          <w:spacing w:val="-7"/>
        </w:rPr>
        <w:t>根据《清洁生产标准煤炭采选行业》</w:t>
      </w:r>
      <w:r>
        <w:rPr>
          <w:spacing w:val="-3"/>
        </w:rPr>
        <w:t>（</w:t>
      </w:r>
      <w:r>
        <w:rPr>
          <w:rFonts w:ascii="Times New Roman" w:eastAsia="Times New Roman"/>
          <w:spacing w:val="-3"/>
        </w:rPr>
        <w:t>HJ446-2008</w:t>
      </w:r>
      <w:r>
        <w:rPr>
          <w:spacing w:val="-3"/>
        </w:rPr>
        <w:t>）</w:t>
      </w:r>
      <w:r>
        <w:rPr>
          <w:spacing w:val="-5"/>
        </w:rPr>
        <w:t>要求。由上表中统计结果可知， </w:t>
      </w:r>
      <w:r>
        <w:rPr/>
        <w:t>本项目在可研中提出的生产工艺及装备、资源能源利用、产品及废物回收利用指标中， 各指标均满足清洁生产三级以上清洁生产水平，符合清洁生产要求。</w:t>
      </w:r>
    </w:p>
    <w:p>
      <w:pPr>
        <w:spacing w:after="0" w:line="364" w:lineRule="auto"/>
        <w:sectPr>
          <w:footerReference w:type="default" r:id="rId63"/>
          <w:pgSz w:w="11910" w:h="16840"/>
          <w:pgMar w:footer="1169" w:header="0" w:top="1540" w:bottom="1360" w:left="1200" w:right="1120"/>
          <w:pgNumType w:start="166"/>
        </w:sectPr>
      </w:pPr>
    </w:p>
    <w:p>
      <w:pPr>
        <w:pStyle w:val="Heading2"/>
        <w:numPr>
          <w:ilvl w:val="1"/>
          <w:numId w:val="71"/>
        </w:numPr>
        <w:tabs>
          <w:tab w:pos="816" w:val="left" w:leader="none"/>
        </w:tabs>
        <w:spacing w:line="240" w:lineRule="auto" w:before="46" w:after="0"/>
        <w:ind w:left="816" w:right="0" w:hanging="601"/>
        <w:jc w:val="left"/>
      </w:pPr>
      <w:bookmarkStart w:name="12.5清洁生产建议" w:id="1042"/>
      <w:bookmarkEnd w:id="1042"/>
      <w:r>
        <w:rPr>
          <w:b w:val="0"/>
        </w:rPr>
      </w:r>
      <w:bookmarkStart w:name="_bookmark66" w:id="1043"/>
      <w:bookmarkEnd w:id="1043"/>
      <w:r>
        <w:rPr>
          <w:b w:val="0"/>
        </w:rPr>
      </w:r>
      <w:bookmarkStart w:name="_bookmark66" w:id="1044"/>
      <w:bookmarkEnd w:id="1044"/>
      <w:r>
        <w:rPr/>
        <w:t>清洁生产建议</w:t>
      </w:r>
    </w:p>
    <w:p>
      <w:pPr>
        <w:pStyle w:val="BodyText"/>
        <w:spacing w:line="364" w:lineRule="auto" w:before="199"/>
        <w:ind w:left="215" w:right="240" w:firstLine="480"/>
        <w:jc w:val="both"/>
      </w:pPr>
      <w:r>
        <w:rPr/>
        <w:t>清洁生产是企业可持续发展的必然选择，同时，清洁生产又是一个相对的、动态的概念，推行清洁生产本身是一个不断完善的过程，建议企业要适时的提出更新目标，将清洁生产不断的、长期的进行下去，实现企业的可持续发展。</w:t>
      </w:r>
    </w:p>
    <w:p>
      <w:pPr>
        <w:pStyle w:val="ListParagraph"/>
        <w:numPr>
          <w:ilvl w:val="2"/>
          <w:numId w:val="71"/>
        </w:numPr>
        <w:tabs>
          <w:tab w:pos="1297" w:val="left" w:leader="none"/>
        </w:tabs>
        <w:spacing w:line="362" w:lineRule="auto" w:before="0" w:after="0"/>
        <w:ind w:left="215" w:right="129" w:firstLine="480"/>
        <w:jc w:val="left"/>
        <w:rPr>
          <w:sz w:val="24"/>
        </w:rPr>
      </w:pPr>
      <w:r>
        <w:rPr>
          <w:spacing w:val="-1"/>
          <w:sz w:val="24"/>
        </w:rPr>
        <w:t>建立企业清洁生产组织和审核制度，不断的对员工进行清洁生产知识的培训， </w:t>
      </w:r>
      <w:r>
        <w:rPr>
          <w:sz w:val="24"/>
        </w:rPr>
        <w:t>提高他们对清洁生产的认识和自觉推行清洁生产的意识，明确个人在清洁生产工作中的职责，对厂内进行清洁生产审核，动态地实施清洁生产方案，建立清洁生产激励机制。</w:t>
      </w:r>
    </w:p>
    <w:p>
      <w:pPr>
        <w:pStyle w:val="ListParagraph"/>
        <w:numPr>
          <w:ilvl w:val="2"/>
          <w:numId w:val="71"/>
        </w:numPr>
        <w:tabs>
          <w:tab w:pos="1297" w:val="left" w:leader="none"/>
        </w:tabs>
        <w:spacing w:line="362" w:lineRule="auto" w:before="5" w:after="0"/>
        <w:ind w:left="215" w:right="237" w:firstLine="480"/>
        <w:jc w:val="left"/>
        <w:rPr>
          <w:sz w:val="24"/>
        </w:rPr>
      </w:pPr>
      <w:r>
        <w:rPr>
          <w:spacing w:val="-11"/>
          <w:sz w:val="24"/>
        </w:rPr>
        <w:t>建立并通过 </w:t>
      </w:r>
      <w:r>
        <w:rPr>
          <w:rFonts w:ascii="Times New Roman" w:eastAsia="Times New Roman"/>
          <w:sz w:val="24"/>
        </w:rPr>
        <w:t>ISO14000 </w:t>
      </w:r>
      <w:r>
        <w:rPr>
          <w:spacing w:val="-3"/>
          <w:sz w:val="24"/>
        </w:rPr>
        <w:t>国际环境管理体系，健全程序文件，按其要求进行持续</w:t>
      </w:r>
      <w:r>
        <w:rPr>
          <w:sz w:val="24"/>
        </w:rPr>
        <w:t>的管理。</w:t>
      </w:r>
    </w:p>
    <w:p>
      <w:pPr>
        <w:pStyle w:val="ListParagraph"/>
        <w:numPr>
          <w:ilvl w:val="2"/>
          <w:numId w:val="71"/>
        </w:numPr>
        <w:tabs>
          <w:tab w:pos="1297" w:val="left" w:leader="none"/>
        </w:tabs>
        <w:spacing w:line="364" w:lineRule="auto" w:before="5" w:after="0"/>
        <w:ind w:left="215" w:right="118" w:firstLine="480"/>
        <w:jc w:val="left"/>
        <w:rPr>
          <w:sz w:val="24"/>
        </w:rPr>
      </w:pPr>
      <w:r>
        <w:rPr>
          <w:spacing w:val="-9"/>
          <w:sz w:val="24"/>
        </w:rPr>
        <w:t>应加强环保设施及相关设备的正常运行，更好地、持续地进行清洁生产；另外</w:t>
      </w:r>
      <w:r>
        <w:rPr>
          <w:spacing w:val="-4"/>
          <w:sz w:val="24"/>
        </w:rPr>
        <w:t>，重视人员的技能培训，对整个生产过程进行有效管理，根据有关环保法规和节能、节水以及污染物总量控制规定，明确定量产品的定量消耗指标，实现最低的物耗、能耗、水耗和最小污染物排放量，进一步提高企业清洁生产水平。</w:t>
      </w:r>
    </w:p>
    <w:p>
      <w:pPr>
        <w:pStyle w:val="ListParagraph"/>
        <w:numPr>
          <w:ilvl w:val="2"/>
          <w:numId w:val="71"/>
        </w:numPr>
        <w:tabs>
          <w:tab w:pos="1297" w:val="left" w:leader="none"/>
        </w:tabs>
        <w:spacing w:line="364" w:lineRule="auto" w:before="0" w:after="0"/>
        <w:ind w:left="215" w:right="238" w:firstLine="480"/>
        <w:jc w:val="left"/>
        <w:rPr>
          <w:sz w:val="24"/>
        </w:rPr>
      </w:pPr>
      <w:r>
        <w:rPr>
          <w:spacing w:val="-4"/>
          <w:sz w:val="24"/>
        </w:rPr>
        <w:t>继续在技术工艺和设备上跟踪国际先进生产，以实现清洁生产持续改进，达到节能、降耗、减污、增效的目的，缩短同国际清洁生产水平的差距。</w:t>
      </w:r>
    </w:p>
    <w:p>
      <w:pPr>
        <w:pStyle w:val="ListParagraph"/>
        <w:numPr>
          <w:ilvl w:val="2"/>
          <w:numId w:val="71"/>
        </w:numPr>
        <w:tabs>
          <w:tab w:pos="1297" w:val="left" w:leader="none"/>
        </w:tabs>
        <w:spacing w:line="306" w:lineRule="exact" w:before="0" w:after="0"/>
        <w:ind w:left="1297" w:right="0" w:hanging="601"/>
        <w:jc w:val="left"/>
        <w:rPr>
          <w:sz w:val="24"/>
        </w:rPr>
      </w:pPr>
      <w:r>
        <w:rPr>
          <w:sz w:val="24"/>
        </w:rPr>
        <w:t>建立健全环境管理制度、污染源监测系。</w:t>
      </w:r>
    </w:p>
    <w:p>
      <w:pPr>
        <w:spacing w:after="0" w:line="306" w:lineRule="exact"/>
        <w:jc w:val="left"/>
        <w:rPr>
          <w:sz w:val="24"/>
        </w:rPr>
        <w:sectPr>
          <w:pgSz w:w="11910" w:h="16840"/>
          <w:pgMar w:header="0" w:footer="1169" w:top="1540" w:bottom="1360" w:left="1200" w:right="1120"/>
        </w:sectPr>
      </w:pPr>
    </w:p>
    <w:p>
      <w:pPr>
        <w:pStyle w:val="Heading1"/>
        <w:numPr>
          <w:ilvl w:val="1"/>
          <w:numId w:val="49"/>
        </w:numPr>
        <w:tabs>
          <w:tab w:pos="3111" w:val="left" w:leader="none"/>
        </w:tabs>
        <w:spacing w:line="240" w:lineRule="auto" w:before="46" w:after="0"/>
        <w:ind w:left="3110" w:right="0" w:hanging="632"/>
        <w:jc w:val="left"/>
      </w:pPr>
      <w:bookmarkStart w:name="13. 环境管理与环境监测计划" w:id="1045"/>
      <w:bookmarkEnd w:id="1045"/>
      <w:r>
        <w:rPr>
          <w:b w:val="0"/>
        </w:rPr>
      </w:r>
      <w:bookmarkStart w:name="_bookmark67" w:id="1046"/>
      <w:bookmarkEnd w:id="1046"/>
      <w:r>
        <w:rPr>
          <w:b w:val="0"/>
        </w:rPr>
      </w:r>
      <w:bookmarkStart w:name="_bookmark67" w:id="1047"/>
      <w:bookmarkEnd w:id="1047"/>
      <w:r>
        <w:rPr/>
        <w:t>环境管理与环境监测计划</w:t>
      </w:r>
    </w:p>
    <w:p>
      <w:pPr>
        <w:pStyle w:val="Heading3"/>
        <w:numPr>
          <w:ilvl w:val="1"/>
          <w:numId w:val="72"/>
        </w:numPr>
        <w:tabs>
          <w:tab w:pos="848" w:val="left" w:leader="none"/>
        </w:tabs>
        <w:spacing w:line="240" w:lineRule="auto" w:before="240" w:after="0"/>
        <w:ind w:left="847" w:right="0" w:hanging="633"/>
        <w:jc w:val="left"/>
        <w:rPr>
          <w:rFonts w:ascii="Times New Roman" w:eastAsia="Times New Roman"/>
        </w:rPr>
      </w:pPr>
      <w:bookmarkStart w:name="13.1 建设期环境管理和环境监理" w:id="1048"/>
      <w:bookmarkEnd w:id="1048"/>
      <w:r>
        <w:rPr>
          <w:b w:val="0"/>
        </w:rPr>
      </w:r>
      <w:bookmarkStart w:name="_bookmark68" w:id="1049"/>
      <w:bookmarkEnd w:id="1049"/>
      <w:r>
        <w:rPr>
          <w:b w:val="0"/>
        </w:rPr>
      </w:r>
      <w:bookmarkStart w:name="_bookmark68" w:id="1050"/>
      <w:bookmarkEnd w:id="1050"/>
      <w:r>
        <w:rPr/>
        <w:t>建设期环境管理和环境监理</w:t>
      </w:r>
    </w:p>
    <w:p>
      <w:pPr>
        <w:pStyle w:val="BodyText"/>
        <w:spacing w:line="362" w:lineRule="auto" w:before="186"/>
        <w:ind w:left="215" w:right="89" w:firstLine="420"/>
      </w:pPr>
      <w:r>
        <w:rPr/>
        <w:t>本项目的施工期是对生态环境影响较大的时期，为确保各项环保措施的落实，最大限度地减轻施工作业对环境的影响，建议项目施工期间建立施工期 </w:t>
      </w:r>
      <w:r>
        <w:rPr>
          <w:rFonts w:ascii="Times New Roman" w:eastAsia="Times New Roman"/>
        </w:rPr>
        <w:t>HSE </w:t>
      </w:r>
      <w:r>
        <w:rPr/>
        <w:t>环境管理体系、引入环境监理、监督机制尤为重要。</w:t>
      </w:r>
    </w:p>
    <w:p>
      <w:pPr>
        <w:pStyle w:val="BodyText"/>
        <w:spacing w:line="364" w:lineRule="auto" w:before="6"/>
        <w:ind w:left="215" w:right="241" w:firstLine="420"/>
      </w:pPr>
      <w:r>
        <w:rPr/>
        <w:t>此外，施工承包方的管理水平好坏将直接关系到施工期环境管理的好坏，为此，在施工单位的选择与管理上应提出如下要求：</w:t>
      </w:r>
    </w:p>
    <w:p>
      <w:pPr>
        <w:pStyle w:val="ListParagraph"/>
        <w:numPr>
          <w:ilvl w:val="2"/>
          <w:numId w:val="72"/>
        </w:numPr>
        <w:tabs>
          <w:tab w:pos="1237" w:val="left" w:leader="none"/>
        </w:tabs>
        <w:spacing w:line="364" w:lineRule="auto" w:before="0" w:after="0"/>
        <w:ind w:left="215" w:right="238" w:firstLine="420"/>
        <w:jc w:val="both"/>
        <w:rPr>
          <w:sz w:val="24"/>
        </w:rPr>
      </w:pPr>
      <w:r>
        <w:rPr>
          <w:spacing w:val="-5"/>
          <w:sz w:val="24"/>
        </w:rPr>
        <w:t>在技术装备、人员素质等同的条件下，选择环境管理水平高、环保业绩好的承</w:t>
      </w:r>
      <w:r>
        <w:rPr>
          <w:spacing w:val="-1"/>
          <w:sz w:val="24"/>
        </w:rPr>
        <w:t>包方。施工期对环境的破坏程度与施工承包方的素质和管理水平有直接的关系，因此在工程招标过程中，对施工承包方的选择，除要考虑实力、人员素质和技术装备外，还要</w:t>
      </w:r>
      <w:r>
        <w:rPr>
          <w:spacing w:val="-16"/>
          <w:sz w:val="24"/>
        </w:rPr>
        <w:t>考虑其 </w:t>
      </w:r>
      <w:r>
        <w:rPr>
          <w:rFonts w:ascii="Times New Roman" w:eastAsia="Times New Roman"/>
          <w:sz w:val="24"/>
        </w:rPr>
        <w:t>HSE</w:t>
      </w:r>
      <w:r>
        <w:rPr>
          <w:rFonts w:ascii="Times New Roman" w:eastAsia="Times New Roman"/>
          <w:spacing w:val="-1"/>
          <w:sz w:val="24"/>
        </w:rPr>
        <w:t> </w:t>
      </w:r>
      <w:r>
        <w:rPr>
          <w:spacing w:val="-6"/>
          <w:sz w:val="24"/>
        </w:rPr>
        <w:t>的业绩，优先选择那些 </w:t>
      </w:r>
      <w:r>
        <w:rPr>
          <w:rFonts w:ascii="Times New Roman" w:eastAsia="Times New Roman"/>
          <w:sz w:val="24"/>
        </w:rPr>
        <w:t>HSE</w:t>
      </w:r>
      <w:r>
        <w:rPr>
          <w:rFonts w:ascii="Times New Roman" w:eastAsia="Times New Roman"/>
          <w:spacing w:val="-1"/>
          <w:sz w:val="24"/>
        </w:rPr>
        <w:t> </w:t>
      </w:r>
      <w:r>
        <w:rPr>
          <w:sz w:val="24"/>
        </w:rPr>
        <w:t>管理水平高、环保业绩好的队伍。</w:t>
      </w:r>
    </w:p>
    <w:p>
      <w:pPr>
        <w:pStyle w:val="ListParagraph"/>
        <w:numPr>
          <w:ilvl w:val="2"/>
          <w:numId w:val="72"/>
        </w:numPr>
        <w:tabs>
          <w:tab w:pos="1237" w:val="left" w:leader="none"/>
        </w:tabs>
        <w:spacing w:line="364" w:lineRule="auto" w:before="0" w:after="0"/>
        <w:ind w:left="215" w:right="238" w:firstLine="420"/>
        <w:jc w:val="both"/>
        <w:rPr>
          <w:sz w:val="24"/>
        </w:rPr>
      </w:pPr>
      <w:r>
        <w:rPr>
          <w:spacing w:val="-3"/>
          <w:sz w:val="24"/>
        </w:rPr>
        <w:t>在承包合同中应明确承包方的环保责任和义务，将有关环境保护条款，如环境</w:t>
      </w:r>
      <w:r>
        <w:rPr>
          <w:spacing w:val="-1"/>
          <w:sz w:val="24"/>
        </w:rPr>
        <w:t>保护目标、采取的水、气、声、生态保护及水土保持措施等，列入合同当中，并将环保</w:t>
      </w:r>
      <w:r>
        <w:rPr>
          <w:sz w:val="24"/>
        </w:rPr>
        <w:t>工作的好坏作为工程验收的标准之一。</w:t>
      </w:r>
    </w:p>
    <w:p>
      <w:pPr>
        <w:pStyle w:val="ListParagraph"/>
        <w:numPr>
          <w:ilvl w:val="2"/>
          <w:numId w:val="72"/>
        </w:numPr>
        <w:tabs>
          <w:tab w:pos="1244" w:val="left" w:leader="none"/>
        </w:tabs>
        <w:spacing w:line="364" w:lineRule="auto" w:before="0" w:after="0"/>
        <w:ind w:left="215" w:right="238" w:firstLine="420"/>
        <w:jc w:val="both"/>
        <w:rPr>
          <w:sz w:val="24"/>
        </w:rPr>
      </w:pPr>
      <w:r>
        <w:rPr>
          <w:spacing w:val="-2"/>
          <w:sz w:val="24"/>
        </w:rPr>
        <w:t>施工承包方应按公司的要求，建立相应的 </w:t>
      </w:r>
      <w:r>
        <w:rPr>
          <w:rFonts w:ascii="Times New Roman" w:eastAsia="Times New Roman"/>
          <w:sz w:val="24"/>
        </w:rPr>
        <w:t>HSE</w:t>
      </w:r>
      <w:r>
        <w:rPr>
          <w:rFonts w:ascii="Times New Roman" w:eastAsia="Times New Roman"/>
          <w:spacing w:val="21"/>
          <w:sz w:val="24"/>
        </w:rPr>
        <w:t> </w:t>
      </w:r>
      <w:r>
        <w:rPr>
          <w:sz w:val="24"/>
        </w:rPr>
        <w:t>管理机构，明确管理人员及其</w:t>
      </w:r>
      <w:r>
        <w:rPr>
          <w:spacing w:val="-1"/>
          <w:sz w:val="24"/>
        </w:rPr>
        <w:t>相应的职责等。在施工作业前，应编制详细的环境管理方案，连同施工计划一起呈报公</w:t>
      </w:r>
      <w:r>
        <w:rPr>
          <w:spacing w:val="-21"/>
          <w:sz w:val="24"/>
        </w:rPr>
        <w:t>司的 </w:t>
      </w:r>
      <w:r>
        <w:rPr>
          <w:rFonts w:ascii="Times New Roman" w:eastAsia="Times New Roman"/>
          <w:sz w:val="24"/>
        </w:rPr>
        <w:t>HSE</w:t>
      </w:r>
      <w:r>
        <w:rPr>
          <w:rFonts w:ascii="Times New Roman" w:eastAsia="Times New Roman"/>
          <w:spacing w:val="-1"/>
          <w:sz w:val="24"/>
        </w:rPr>
        <w:t> </w:t>
      </w:r>
      <w:r>
        <w:rPr>
          <w:sz w:val="24"/>
        </w:rPr>
        <w:t>部门及其他相关环保部门。环境管理方案应包括以下措施：</w:t>
      </w:r>
    </w:p>
    <w:p>
      <w:pPr>
        <w:pStyle w:val="BodyText"/>
        <w:spacing w:line="307" w:lineRule="exact"/>
        <w:ind w:left="635"/>
      </w:pPr>
      <w:r>
        <w:rPr/>
        <w:t>①减少施工扬尘、粉尘、施工机械及车辆废气排放等大气污染防治措施；</w:t>
      </w:r>
    </w:p>
    <w:p>
      <w:pPr>
        <w:pStyle w:val="BodyText"/>
        <w:spacing w:line="362" w:lineRule="auto" w:before="154"/>
        <w:ind w:left="215" w:right="238" w:firstLine="420"/>
      </w:pPr>
      <w:r>
        <w:rPr/>
        <w:t>②降低施工机械及车辆噪声、施工噪声，以及在噪声敏感区设置隔声设施等防治噪声污染的措施；</w:t>
      </w:r>
    </w:p>
    <w:p>
      <w:pPr>
        <w:pStyle w:val="BodyText"/>
        <w:spacing w:line="362" w:lineRule="auto" w:before="5"/>
        <w:ind w:left="215" w:right="238" w:firstLine="420"/>
      </w:pPr>
      <w:r>
        <w:rPr/>
        <w:t>③减少施工废水、生活污水排放，并加以妥善处理，防止污染地表水环境的措施， 在地表水源保护区施工时必须采取有针对性地保护措施；</w:t>
      </w:r>
    </w:p>
    <w:p>
      <w:pPr>
        <w:pStyle w:val="BodyText"/>
        <w:spacing w:before="5"/>
        <w:ind w:left="635"/>
      </w:pPr>
      <w:r>
        <w:rPr/>
        <w:t>④施工废渣、生活垃圾等处理处置措施；</w:t>
      </w:r>
    </w:p>
    <w:p>
      <w:pPr>
        <w:pStyle w:val="BodyText"/>
        <w:spacing w:line="362" w:lineRule="auto" w:before="160"/>
        <w:ind w:left="215" w:right="238" w:firstLine="420"/>
      </w:pPr>
      <w:r>
        <w:rPr/>
        <w:t>⑤限定施工活动范围、减少施工作业对土壤和植被的扰动和破坏、保护动植物等生态保护措施。</w:t>
      </w:r>
    </w:p>
    <w:p>
      <w:pPr>
        <w:pStyle w:val="ListParagraph"/>
        <w:numPr>
          <w:ilvl w:val="2"/>
          <w:numId w:val="72"/>
        </w:numPr>
        <w:tabs>
          <w:tab w:pos="1244" w:val="left" w:leader="none"/>
        </w:tabs>
        <w:spacing w:line="364" w:lineRule="auto" w:before="5" w:after="0"/>
        <w:ind w:left="215" w:right="238" w:firstLine="420"/>
        <w:jc w:val="both"/>
        <w:rPr>
          <w:sz w:val="24"/>
        </w:rPr>
      </w:pPr>
      <w:r>
        <w:rPr>
          <w:spacing w:val="-3"/>
          <w:sz w:val="24"/>
        </w:rPr>
        <w:t>施工单位要严格执行施工前的 </w:t>
      </w:r>
      <w:r>
        <w:rPr>
          <w:rFonts w:ascii="Times New Roman" w:eastAsia="Times New Roman"/>
          <w:sz w:val="24"/>
        </w:rPr>
        <w:t>HSE</w:t>
      </w:r>
      <w:r>
        <w:rPr>
          <w:rFonts w:ascii="Times New Roman" w:eastAsia="Times New Roman"/>
          <w:spacing w:val="21"/>
          <w:sz w:val="24"/>
        </w:rPr>
        <w:t> </w:t>
      </w:r>
      <w:r>
        <w:rPr>
          <w:sz w:val="24"/>
        </w:rPr>
        <w:t>培训考核制度，施工人员必须经过相关部</w:t>
      </w:r>
      <w:r>
        <w:rPr>
          <w:spacing w:val="-1"/>
          <w:sz w:val="24"/>
        </w:rPr>
        <w:t>门的环保知识的宣传、教育和培训考核之后，成绩合格者方能进行施工，施工时要做到</w:t>
      </w:r>
      <w:r>
        <w:rPr>
          <w:sz w:val="24"/>
        </w:rPr>
        <w:t>文明施工，环保施工。</w:t>
      </w:r>
    </w:p>
    <w:p>
      <w:pPr>
        <w:spacing w:after="0" w:line="364" w:lineRule="auto"/>
        <w:jc w:val="both"/>
        <w:rPr>
          <w:sz w:val="24"/>
        </w:rPr>
        <w:sectPr>
          <w:pgSz w:w="11910" w:h="16840"/>
          <w:pgMar w:header="0" w:footer="1169" w:top="1540" w:bottom="1360" w:left="1200" w:right="1120"/>
        </w:sectPr>
      </w:pPr>
    </w:p>
    <w:p>
      <w:pPr>
        <w:pStyle w:val="ListParagraph"/>
        <w:numPr>
          <w:ilvl w:val="2"/>
          <w:numId w:val="72"/>
        </w:numPr>
        <w:tabs>
          <w:tab w:pos="1237" w:val="left" w:leader="none"/>
        </w:tabs>
        <w:spacing w:line="364" w:lineRule="auto" w:before="66" w:after="0"/>
        <w:ind w:left="215" w:right="238" w:firstLine="420"/>
        <w:jc w:val="both"/>
        <w:rPr>
          <w:sz w:val="24"/>
        </w:rPr>
      </w:pPr>
      <w:r>
        <w:rPr>
          <w:spacing w:val="-3"/>
          <w:sz w:val="24"/>
        </w:rPr>
        <w:t>施工单位要严格执行施工期的各项环保规定，落实各项环保措施，按要求选择</w:t>
      </w:r>
      <w:r>
        <w:rPr>
          <w:spacing w:val="-1"/>
          <w:sz w:val="24"/>
        </w:rPr>
        <w:t>适宜的施工时间、尽量缩小施工范围、废渣和垃圾集中堆放、泥浆和废土等按规定进行</w:t>
      </w:r>
      <w:r>
        <w:rPr>
          <w:sz w:val="24"/>
        </w:rPr>
        <w:t>处置、施工结束后做到工完料净、按规定对土地进行恢复。</w:t>
      </w:r>
    </w:p>
    <w:p>
      <w:pPr>
        <w:pStyle w:val="ListParagraph"/>
        <w:numPr>
          <w:ilvl w:val="2"/>
          <w:numId w:val="72"/>
        </w:numPr>
        <w:tabs>
          <w:tab w:pos="1237" w:val="left" w:leader="none"/>
        </w:tabs>
        <w:spacing w:line="364" w:lineRule="auto" w:before="0" w:after="0"/>
        <w:ind w:left="215" w:right="238" w:firstLine="420"/>
        <w:jc w:val="left"/>
        <w:rPr>
          <w:sz w:val="24"/>
        </w:rPr>
      </w:pPr>
      <w:r>
        <w:rPr>
          <w:spacing w:val="-4"/>
          <w:sz w:val="24"/>
        </w:rPr>
        <w:t>为加强管理施工单位作业范围，明确施工人员作业区域，应在施工作业带两侧</w:t>
      </w:r>
      <w:r>
        <w:rPr>
          <w:sz w:val="24"/>
        </w:rPr>
        <w:t>树立明显标志，严禁跨区域施工。</w:t>
      </w:r>
    </w:p>
    <w:p>
      <w:pPr>
        <w:pStyle w:val="ListParagraph"/>
        <w:numPr>
          <w:ilvl w:val="2"/>
          <w:numId w:val="72"/>
        </w:numPr>
        <w:tabs>
          <w:tab w:pos="1237" w:val="left" w:leader="none"/>
        </w:tabs>
        <w:spacing w:line="364" w:lineRule="auto" w:before="0" w:after="0"/>
        <w:ind w:left="215" w:right="238" w:firstLine="420"/>
        <w:jc w:val="left"/>
        <w:rPr>
          <w:sz w:val="24"/>
        </w:rPr>
      </w:pPr>
      <w:r>
        <w:rPr>
          <w:spacing w:val="-3"/>
          <w:sz w:val="24"/>
        </w:rPr>
        <w:t>建设单位的环境监管人员应随时对施工现场的环保设施、作业环境，以及环保</w:t>
      </w:r>
      <w:r>
        <w:rPr>
          <w:sz w:val="24"/>
        </w:rPr>
        <w:t>措施的落实执行情况进行认真的检查，并做好记录。</w:t>
      </w:r>
    </w:p>
    <w:p>
      <w:pPr>
        <w:pStyle w:val="ListParagraph"/>
        <w:numPr>
          <w:ilvl w:val="2"/>
          <w:numId w:val="72"/>
        </w:numPr>
        <w:tabs>
          <w:tab w:pos="1237" w:val="left" w:leader="none"/>
        </w:tabs>
        <w:spacing w:line="240" w:lineRule="auto" w:before="0" w:after="0"/>
        <w:ind w:left="1237" w:right="0" w:hanging="602"/>
        <w:jc w:val="left"/>
        <w:rPr>
          <w:sz w:val="24"/>
        </w:rPr>
      </w:pPr>
      <w:r>
        <w:rPr>
          <w:sz w:val="24"/>
        </w:rPr>
        <w:t>对施工中出现的与环保有关的问题进行及时的协调和解决。</w:t>
      </w:r>
    </w:p>
    <w:p>
      <w:pPr>
        <w:pStyle w:val="ListParagraph"/>
        <w:numPr>
          <w:ilvl w:val="2"/>
          <w:numId w:val="72"/>
        </w:numPr>
        <w:tabs>
          <w:tab w:pos="1237" w:val="left" w:leader="none"/>
        </w:tabs>
        <w:spacing w:line="362" w:lineRule="auto" w:before="155" w:after="0"/>
        <w:ind w:left="215" w:right="237" w:firstLine="420"/>
        <w:jc w:val="left"/>
        <w:rPr>
          <w:sz w:val="24"/>
        </w:rPr>
      </w:pPr>
      <w:r>
        <w:rPr>
          <w:spacing w:val="-3"/>
          <w:sz w:val="24"/>
        </w:rPr>
        <w:t>施工单位应根据当地环境合理选择布设施工营地，制定施工营地管理条例，条</w:t>
      </w:r>
      <w:r>
        <w:rPr>
          <w:sz w:val="24"/>
        </w:rPr>
        <w:t>例中应包括对人员活动范围、生活垃圾及其他废物的管理。</w:t>
      </w:r>
    </w:p>
    <w:p>
      <w:pPr>
        <w:pStyle w:val="Heading3"/>
        <w:numPr>
          <w:ilvl w:val="1"/>
          <w:numId w:val="72"/>
        </w:numPr>
        <w:tabs>
          <w:tab w:pos="778" w:val="left" w:leader="none"/>
        </w:tabs>
        <w:spacing w:line="240" w:lineRule="auto" w:before="6" w:after="0"/>
        <w:ind w:left="777" w:right="0" w:hanging="563"/>
        <w:jc w:val="left"/>
        <w:rPr>
          <w:rFonts w:ascii="Times New Roman" w:eastAsia="Times New Roman"/>
        </w:rPr>
      </w:pPr>
      <w:bookmarkStart w:name="13.2环境管理机构及职责" w:id="1051"/>
      <w:bookmarkEnd w:id="1051"/>
      <w:r>
        <w:rPr>
          <w:b w:val="0"/>
        </w:rPr>
      </w:r>
      <w:bookmarkStart w:name="_bookmark69" w:id="1052"/>
      <w:bookmarkEnd w:id="1052"/>
      <w:r>
        <w:rPr>
          <w:b w:val="0"/>
        </w:rPr>
      </w:r>
      <w:bookmarkStart w:name="_bookmark69" w:id="1053"/>
      <w:bookmarkEnd w:id="1053"/>
      <w:r>
        <w:rPr/>
        <w:t>环境管理机构及职责</w:t>
      </w:r>
    </w:p>
    <w:p>
      <w:pPr>
        <w:pStyle w:val="Heading4"/>
        <w:numPr>
          <w:ilvl w:val="2"/>
          <w:numId w:val="73"/>
        </w:numPr>
        <w:tabs>
          <w:tab w:pos="876" w:val="left" w:leader="none"/>
        </w:tabs>
        <w:spacing w:line="240" w:lineRule="auto" w:before="185" w:after="0"/>
        <w:ind w:left="876" w:right="0" w:hanging="661"/>
        <w:jc w:val="left"/>
      </w:pPr>
      <w:bookmarkStart w:name="13.2.1环境管理目的" w:id="1054"/>
      <w:bookmarkEnd w:id="1054"/>
      <w:r>
        <w:rPr>
          <w:b w:val="0"/>
        </w:rPr>
      </w:r>
      <w:bookmarkStart w:name="13.2.1环境管理目的" w:id="1055"/>
      <w:bookmarkEnd w:id="1055"/>
      <w:r>
        <w:rPr/>
        <w:t>环境管理目的</w:t>
      </w:r>
    </w:p>
    <w:p>
      <w:pPr>
        <w:pStyle w:val="BodyText"/>
        <w:spacing w:line="364" w:lineRule="auto" w:before="161"/>
        <w:ind w:left="215" w:right="238" w:firstLine="420"/>
        <w:jc w:val="both"/>
      </w:pPr>
      <w:r>
        <w:rPr/>
        <w:t>通过环境管理，使工程环保措施得以落实，及时发现和改进环保措施的不足之处， 以便有效地控制环境污染。使工程建设符合国家经济建设和环境保护的有关要求，使地方环保部门具有可监督的依据。监督检查</w:t>
      </w:r>
      <w:r>
        <w:rPr>
          <w:rFonts w:ascii="Times New Roman" w:hAnsi="Times New Roman" w:eastAsia="Times New Roman"/>
        </w:rPr>
        <w:t>“</w:t>
      </w:r>
      <w:r>
        <w:rPr/>
        <w:t>三同时</w:t>
      </w:r>
      <w:r>
        <w:rPr>
          <w:rFonts w:ascii="Times New Roman" w:hAnsi="Times New Roman" w:eastAsia="Times New Roman"/>
        </w:rPr>
        <w:t>”</w:t>
      </w:r>
      <w:r>
        <w:rPr/>
        <w:t>方针的执行情况。通过环保措施的实施及环境管理，把矿山建设对周围环境带来的不利影响，减轻到最低程度。</w:t>
      </w:r>
    </w:p>
    <w:p>
      <w:pPr>
        <w:pStyle w:val="Heading4"/>
        <w:numPr>
          <w:ilvl w:val="2"/>
          <w:numId w:val="73"/>
        </w:numPr>
        <w:tabs>
          <w:tab w:pos="876" w:val="left" w:leader="none"/>
        </w:tabs>
        <w:spacing w:line="303" w:lineRule="exact" w:before="0" w:after="0"/>
        <w:ind w:left="876" w:right="0" w:hanging="661"/>
        <w:jc w:val="left"/>
      </w:pPr>
      <w:bookmarkStart w:name="13.2.2环境管理体系" w:id="1056"/>
      <w:bookmarkEnd w:id="1056"/>
      <w:r>
        <w:rPr>
          <w:b w:val="0"/>
        </w:rPr>
      </w:r>
      <w:bookmarkStart w:name="13.2.2环境管理体系" w:id="1057"/>
      <w:bookmarkEnd w:id="1057"/>
      <w:r>
        <w:rPr/>
        <w:t>环境管理体系</w:t>
      </w:r>
    </w:p>
    <w:p>
      <w:pPr>
        <w:pStyle w:val="BodyText"/>
        <w:spacing w:line="364" w:lineRule="auto" w:before="160"/>
        <w:ind w:left="215" w:right="113" w:firstLine="480"/>
      </w:pPr>
      <w:r>
        <w:rPr/>
        <w:t>企业环境管理体系作为企业管理体系中的一部分，应与之相协调统一。实行企业矿长领导下的</w:t>
      </w:r>
      <w:r>
        <w:rPr>
          <w:rFonts w:ascii="Times New Roman" w:hAnsi="Times New Roman" w:eastAsia="Times New Roman"/>
        </w:rPr>
        <w:t>“</w:t>
      </w:r>
      <w:r>
        <w:rPr>
          <w:spacing w:val="-9"/>
        </w:rPr>
        <w:t>一人主管，分工负责；职能部门，各负其责；落实基层，监督考核</w:t>
      </w:r>
      <w:r>
        <w:rPr>
          <w:rFonts w:ascii="Times New Roman" w:hAnsi="Times New Roman" w:eastAsia="Times New Roman"/>
        </w:rPr>
        <w:t>”</w:t>
      </w:r>
      <w:r>
        <w:rPr>
          <w:spacing w:val="-4"/>
        </w:rPr>
        <w:t>的原则， </w:t>
      </w:r>
      <w:r>
        <w:rPr/>
        <w:t>建立以企业领导为核心，环保人员为基础的全员责任制的环境管理体系。使环境管理贯穿于企业管理的整个过程，并落实到企业的各个层次，分解到生产的各个环节，把企业管理与环境管理紧密地结合起来，不但要建立完善的企业管理体系和各项规章制度，也要建立完善的环境管理体系和各项规章制度，使企业的环境管理工作真正落到实处。</w:t>
      </w:r>
    </w:p>
    <w:p>
      <w:pPr>
        <w:pStyle w:val="BodyText"/>
        <w:spacing w:line="364" w:lineRule="auto"/>
        <w:ind w:left="215" w:right="118" w:firstLine="480"/>
      </w:pPr>
      <w:r>
        <w:rPr/>
        <w:t>本项目建设后，应设兼职环保监督人员，配备必要的现代化管理手段；建立严格的环保岗位责任制；另外应建立计算机辅助管理系统，使之更好地利用经济、技术、行政</w:t>
      </w:r>
      <w:r>
        <w:rPr>
          <w:spacing w:val="-12"/>
        </w:rPr>
        <w:t>和教育手段，对损害环境质量的生产活动加以限制，协调好发展经济与环境保护的关系， </w:t>
      </w:r>
      <w:r>
        <w:rPr/>
        <w:t>使经济效益与环境效益相协调统一。</w:t>
      </w:r>
    </w:p>
    <w:p>
      <w:pPr>
        <w:pStyle w:val="Heading4"/>
        <w:numPr>
          <w:ilvl w:val="2"/>
          <w:numId w:val="73"/>
        </w:numPr>
        <w:tabs>
          <w:tab w:pos="936" w:val="left" w:leader="none"/>
        </w:tabs>
        <w:spacing w:line="305" w:lineRule="exact" w:before="0" w:after="0"/>
        <w:ind w:left="936" w:right="0" w:hanging="721"/>
        <w:jc w:val="left"/>
      </w:pPr>
      <w:bookmarkStart w:name="13.2.3 环保管理职责" w:id="1058"/>
      <w:bookmarkEnd w:id="1058"/>
      <w:r>
        <w:rPr>
          <w:b w:val="0"/>
        </w:rPr>
      </w:r>
      <w:bookmarkStart w:name="13.2.3 环保管理职责" w:id="1059"/>
      <w:bookmarkEnd w:id="1059"/>
      <w:r>
        <w:rPr/>
        <w:t>环保管理职责</w:t>
      </w:r>
    </w:p>
    <w:p>
      <w:pPr>
        <w:pStyle w:val="ListParagraph"/>
        <w:numPr>
          <w:ilvl w:val="3"/>
          <w:numId w:val="73"/>
        </w:numPr>
        <w:tabs>
          <w:tab w:pos="1297" w:val="left" w:leader="none"/>
        </w:tabs>
        <w:spacing w:line="240" w:lineRule="auto" w:before="157" w:after="0"/>
        <w:ind w:left="1297" w:right="0" w:hanging="601"/>
        <w:jc w:val="left"/>
        <w:rPr>
          <w:sz w:val="24"/>
        </w:rPr>
      </w:pPr>
      <w:r>
        <w:rPr>
          <w:sz w:val="24"/>
        </w:rPr>
        <w:t>贯彻执行国家及地方环境保护的有关方针、政策、法规等。</w:t>
      </w:r>
    </w:p>
    <w:p>
      <w:pPr>
        <w:spacing w:after="0" w:line="240" w:lineRule="auto"/>
        <w:jc w:val="left"/>
        <w:rPr>
          <w:sz w:val="24"/>
        </w:rPr>
        <w:sectPr>
          <w:pgSz w:w="11910" w:h="16840"/>
          <w:pgMar w:header="0" w:footer="1169" w:top="1520" w:bottom="1360" w:left="1200" w:right="1120"/>
        </w:sectPr>
      </w:pPr>
    </w:p>
    <w:p>
      <w:pPr>
        <w:pStyle w:val="ListParagraph"/>
        <w:numPr>
          <w:ilvl w:val="3"/>
          <w:numId w:val="73"/>
        </w:numPr>
        <w:tabs>
          <w:tab w:pos="1297" w:val="left" w:leader="none"/>
        </w:tabs>
        <w:spacing w:line="362" w:lineRule="auto" w:before="66" w:after="0"/>
        <w:ind w:left="215" w:right="238" w:firstLine="480"/>
        <w:jc w:val="left"/>
        <w:rPr>
          <w:sz w:val="24"/>
        </w:rPr>
      </w:pPr>
      <w:r>
        <w:rPr>
          <w:spacing w:val="-5"/>
          <w:sz w:val="24"/>
        </w:rPr>
        <w:t>结合本企业情况及排污特点，制定企业的环境管理计划和环境监测计划，并</w:t>
      </w:r>
      <w:r>
        <w:rPr>
          <w:spacing w:val="-4"/>
          <w:sz w:val="24"/>
        </w:rPr>
        <w:t>监督落实。</w:t>
      </w:r>
    </w:p>
    <w:p>
      <w:pPr>
        <w:pStyle w:val="ListParagraph"/>
        <w:numPr>
          <w:ilvl w:val="3"/>
          <w:numId w:val="73"/>
        </w:numPr>
        <w:tabs>
          <w:tab w:pos="1297" w:val="left" w:leader="none"/>
        </w:tabs>
        <w:spacing w:line="362" w:lineRule="auto" w:before="5" w:after="0"/>
        <w:ind w:left="215" w:right="238" w:firstLine="480"/>
        <w:jc w:val="left"/>
        <w:rPr>
          <w:sz w:val="24"/>
        </w:rPr>
      </w:pPr>
      <w:r>
        <w:rPr>
          <w:spacing w:val="-8"/>
          <w:sz w:val="24"/>
        </w:rPr>
        <w:t>审定，落实并督促实施污染治理方案，监督企业污染治理资金的落实和使用</w:t>
      </w:r>
      <w:r>
        <w:rPr>
          <w:spacing w:val="-4"/>
          <w:sz w:val="24"/>
        </w:rPr>
        <w:t>情况。负责全矿的环境管理、污染源监测及各项环保设施的正常运行的监督管理工作。</w:t>
      </w:r>
    </w:p>
    <w:p>
      <w:pPr>
        <w:pStyle w:val="ListParagraph"/>
        <w:numPr>
          <w:ilvl w:val="3"/>
          <w:numId w:val="73"/>
        </w:numPr>
        <w:tabs>
          <w:tab w:pos="1297" w:val="left" w:leader="none"/>
        </w:tabs>
        <w:spacing w:line="362" w:lineRule="auto" w:before="5" w:after="0"/>
        <w:ind w:left="215" w:right="238" w:firstLine="480"/>
        <w:jc w:val="left"/>
        <w:rPr>
          <w:sz w:val="24"/>
        </w:rPr>
      </w:pPr>
      <w:r>
        <w:rPr>
          <w:spacing w:val="-2"/>
          <w:sz w:val="24"/>
        </w:rPr>
        <w:t>组织有关部门制定出本企业环境管理办法和企业的污染事故的应急措施，制</w:t>
      </w:r>
      <w:r>
        <w:rPr>
          <w:spacing w:val="-4"/>
          <w:sz w:val="24"/>
        </w:rPr>
        <w:t>止或减缓对周围环境的污染。</w:t>
      </w:r>
    </w:p>
    <w:p>
      <w:pPr>
        <w:pStyle w:val="ListParagraph"/>
        <w:numPr>
          <w:ilvl w:val="3"/>
          <w:numId w:val="73"/>
        </w:numPr>
        <w:tabs>
          <w:tab w:pos="1297" w:val="left" w:leader="none"/>
        </w:tabs>
        <w:spacing w:line="364" w:lineRule="auto" w:before="5" w:after="0"/>
        <w:ind w:left="215" w:right="118" w:firstLine="480"/>
        <w:jc w:val="left"/>
        <w:rPr>
          <w:sz w:val="24"/>
        </w:rPr>
      </w:pPr>
      <w:r>
        <w:rPr>
          <w:spacing w:val="-6"/>
          <w:sz w:val="24"/>
        </w:rPr>
        <w:t>协同上级环境管理部门检查本企业的环境保护工作、污染治理设施的运行情况</w:t>
      </w:r>
      <w:r>
        <w:rPr>
          <w:spacing w:val="-4"/>
          <w:sz w:val="24"/>
        </w:rPr>
        <w:t>。定期对厂内污染情况进行分析总结，为环保设施的更新改造提供可靠依据。</w:t>
      </w:r>
    </w:p>
    <w:p>
      <w:pPr>
        <w:pStyle w:val="ListParagraph"/>
        <w:numPr>
          <w:ilvl w:val="3"/>
          <w:numId w:val="73"/>
        </w:numPr>
        <w:tabs>
          <w:tab w:pos="1297" w:val="left" w:leader="none"/>
        </w:tabs>
        <w:spacing w:line="362" w:lineRule="auto" w:before="0" w:after="0"/>
        <w:ind w:left="215" w:right="238" w:firstLine="480"/>
        <w:jc w:val="left"/>
        <w:rPr>
          <w:sz w:val="24"/>
        </w:rPr>
      </w:pPr>
      <w:r>
        <w:rPr>
          <w:spacing w:val="-7"/>
          <w:sz w:val="24"/>
        </w:rPr>
        <w:t>组织宣传教育，与本单位的有关部门一起大力普及全矿职工的环境法规及环</w:t>
      </w:r>
      <w:r>
        <w:rPr>
          <w:spacing w:val="-4"/>
          <w:sz w:val="24"/>
        </w:rPr>
        <w:t>境科学知识，提高职工的环境保护意识。</w:t>
      </w:r>
    </w:p>
    <w:p>
      <w:pPr>
        <w:pStyle w:val="ListParagraph"/>
        <w:numPr>
          <w:ilvl w:val="3"/>
          <w:numId w:val="73"/>
        </w:numPr>
        <w:tabs>
          <w:tab w:pos="1297" w:val="left" w:leader="none"/>
        </w:tabs>
        <w:spacing w:line="362" w:lineRule="auto" w:before="3" w:after="0"/>
        <w:ind w:left="215" w:right="238" w:firstLine="480"/>
        <w:jc w:val="left"/>
        <w:rPr>
          <w:sz w:val="24"/>
        </w:rPr>
      </w:pPr>
      <w:r>
        <w:rPr>
          <w:spacing w:val="-6"/>
          <w:sz w:val="24"/>
        </w:rPr>
        <w:t>宣传清洁生产思想，协同生产技术部门对现有生产设施进行改扩建，尽可能</w:t>
      </w:r>
      <w:r>
        <w:rPr>
          <w:spacing w:val="-4"/>
          <w:sz w:val="24"/>
        </w:rPr>
        <w:t>将污染控制在生产过程中。</w:t>
      </w:r>
    </w:p>
    <w:p>
      <w:pPr>
        <w:pStyle w:val="ListParagraph"/>
        <w:numPr>
          <w:ilvl w:val="3"/>
          <w:numId w:val="73"/>
        </w:numPr>
        <w:tabs>
          <w:tab w:pos="1297" w:val="left" w:leader="none"/>
        </w:tabs>
        <w:spacing w:line="364" w:lineRule="auto" w:before="5" w:after="0"/>
        <w:ind w:left="215" w:right="238" w:firstLine="480"/>
        <w:jc w:val="left"/>
        <w:rPr>
          <w:sz w:val="24"/>
        </w:rPr>
      </w:pPr>
      <w:r>
        <w:rPr>
          <w:spacing w:val="-7"/>
          <w:sz w:val="24"/>
        </w:rPr>
        <w:t>建立全矿污染源、污染物治理、排放浓度及总量等数据库。编制企业污染源</w:t>
      </w:r>
      <w:r>
        <w:rPr>
          <w:spacing w:val="-4"/>
          <w:sz w:val="24"/>
        </w:rPr>
        <w:t>监测的月报表、年报表及环境管理质量报告。</w:t>
      </w:r>
    </w:p>
    <w:p>
      <w:pPr>
        <w:pStyle w:val="ListParagraph"/>
        <w:numPr>
          <w:ilvl w:val="3"/>
          <w:numId w:val="73"/>
        </w:numPr>
        <w:tabs>
          <w:tab w:pos="1297" w:val="left" w:leader="none"/>
        </w:tabs>
        <w:spacing w:line="306" w:lineRule="exact" w:before="0" w:after="0"/>
        <w:ind w:left="1297" w:right="0" w:hanging="601"/>
        <w:jc w:val="left"/>
        <w:rPr>
          <w:sz w:val="24"/>
        </w:rPr>
      </w:pPr>
      <w:r>
        <w:rPr>
          <w:sz w:val="24"/>
        </w:rPr>
        <w:t>加强沉陷区的监测管理，发现问题，及时处理。</w:t>
      </w:r>
    </w:p>
    <w:p>
      <w:pPr>
        <w:pStyle w:val="Heading4"/>
        <w:numPr>
          <w:ilvl w:val="2"/>
          <w:numId w:val="73"/>
        </w:numPr>
        <w:tabs>
          <w:tab w:pos="936" w:val="left" w:leader="none"/>
        </w:tabs>
        <w:spacing w:line="240" w:lineRule="auto" w:before="161" w:after="0"/>
        <w:ind w:left="936" w:right="0" w:hanging="721"/>
        <w:jc w:val="left"/>
      </w:pPr>
      <w:r>
        <w:rPr/>
        <w:t>管理手段</w:t>
      </w:r>
    </w:p>
    <w:p>
      <w:pPr>
        <w:pStyle w:val="ListParagraph"/>
        <w:numPr>
          <w:ilvl w:val="0"/>
          <w:numId w:val="74"/>
        </w:numPr>
        <w:tabs>
          <w:tab w:pos="1297" w:val="left" w:leader="none"/>
        </w:tabs>
        <w:spacing w:line="240" w:lineRule="auto" w:before="158" w:after="0"/>
        <w:ind w:left="1297" w:right="0" w:hanging="601"/>
        <w:jc w:val="left"/>
        <w:rPr>
          <w:sz w:val="24"/>
        </w:rPr>
      </w:pPr>
      <w:r>
        <w:rPr>
          <w:sz w:val="24"/>
        </w:rPr>
        <w:t>行政手段</w:t>
      </w:r>
    </w:p>
    <w:p>
      <w:pPr>
        <w:pStyle w:val="BodyText"/>
        <w:spacing w:line="362" w:lineRule="auto" w:before="161"/>
        <w:ind w:left="215" w:right="240" w:firstLine="480"/>
      </w:pPr>
      <w:r>
        <w:rPr/>
        <w:t>将环境保护列入岗位责任制，以行政手段指导、督促和检查生产部门的环保工作， 促使生产单位按要求完成环保任务。</w:t>
      </w:r>
    </w:p>
    <w:p>
      <w:pPr>
        <w:pStyle w:val="ListParagraph"/>
        <w:numPr>
          <w:ilvl w:val="0"/>
          <w:numId w:val="74"/>
        </w:numPr>
        <w:tabs>
          <w:tab w:pos="1297" w:val="left" w:leader="none"/>
        </w:tabs>
        <w:spacing w:line="240" w:lineRule="auto" w:before="5" w:after="0"/>
        <w:ind w:left="1297" w:right="0" w:hanging="601"/>
        <w:jc w:val="left"/>
        <w:rPr>
          <w:sz w:val="24"/>
        </w:rPr>
      </w:pPr>
      <w:r>
        <w:rPr>
          <w:sz w:val="24"/>
        </w:rPr>
        <w:t>法律手段</w:t>
      </w:r>
    </w:p>
    <w:p>
      <w:pPr>
        <w:pStyle w:val="BodyText"/>
        <w:spacing w:line="364" w:lineRule="auto" w:before="158"/>
        <w:ind w:left="215" w:right="240" w:firstLine="480"/>
      </w:pPr>
      <w:r>
        <w:rPr/>
        <w:t>环境管理部门在处理企业日常环境污染问题时，依据环境保护法律法规对违反环境法律法规的单位和个人给予批评、警告、罚款，并对违法者追究法律责任。</w:t>
      </w:r>
    </w:p>
    <w:p>
      <w:pPr>
        <w:pStyle w:val="ListParagraph"/>
        <w:numPr>
          <w:ilvl w:val="0"/>
          <w:numId w:val="74"/>
        </w:numPr>
        <w:tabs>
          <w:tab w:pos="1297" w:val="left" w:leader="none"/>
        </w:tabs>
        <w:spacing w:line="306" w:lineRule="exact" w:before="0" w:after="0"/>
        <w:ind w:left="1297" w:right="0" w:hanging="601"/>
        <w:jc w:val="left"/>
        <w:rPr>
          <w:sz w:val="24"/>
        </w:rPr>
      </w:pPr>
      <w:r>
        <w:rPr>
          <w:sz w:val="24"/>
        </w:rPr>
        <w:t>经济手段</w:t>
      </w:r>
    </w:p>
    <w:p>
      <w:pPr>
        <w:pStyle w:val="BodyText"/>
        <w:spacing w:line="364" w:lineRule="auto" w:before="160"/>
        <w:ind w:left="215" w:right="240" w:firstLine="480"/>
      </w:pPr>
      <w:r>
        <w:rPr>
          <w:spacing w:val="-1"/>
        </w:rPr>
        <w:t>对企业内部违反规定造成严重污染的生产部门和个人处以罚款，对积极开展废物综</w:t>
      </w:r>
      <w:r>
        <w:rPr/>
        <w:t>合利用的单位和个人给予奖励。</w:t>
      </w:r>
    </w:p>
    <w:p>
      <w:pPr>
        <w:pStyle w:val="ListParagraph"/>
        <w:numPr>
          <w:ilvl w:val="0"/>
          <w:numId w:val="74"/>
        </w:numPr>
        <w:tabs>
          <w:tab w:pos="1297" w:val="left" w:leader="none"/>
        </w:tabs>
        <w:spacing w:line="306" w:lineRule="exact" w:before="0" w:after="0"/>
        <w:ind w:left="1297" w:right="0" w:hanging="601"/>
        <w:jc w:val="left"/>
        <w:rPr>
          <w:sz w:val="24"/>
        </w:rPr>
      </w:pPr>
      <w:r>
        <w:rPr>
          <w:sz w:val="24"/>
        </w:rPr>
        <w:t>技术手段</w:t>
      </w:r>
    </w:p>
    <w:p>
      <w:pPr>
        <w:pStyle w:val="BodyText"/>
        <w:spacing w:line="364" w:lineRule="auto" w:before="158"/>
        <w:ind w:left="215" w:right="240" w:firstLine="480"/>
        <w:jc w:val="both"/>
      </w:pPr>
      <w:r>
        <w:rPr/>
        <w:t>通过环境监测对企业内部污染状况进行调查，组织开展环境影响评价工作，在企业内部优先选用污染物产生量少的先进生产工艺、设备和与主体工程相配套防治污染治理设施。</w:t>
      </w:r>
    </w:p>
    <w:p>
      <w:pPr>
        <w:spacing w:after="0" w:line="364" w:lineRule="auto"/>
        <w:jc w:val="both"/>
        <w:sectPr>
          <w:footerReference w:type="default" r:id="rId64"/>
          <w:pgSz w:w="11910" w:h="16840"/>
          <w:pgMar w:footer="1089" w:header="0" w:top="1520" w:bottom="1280" w:left="1200" w:right="1120"/>
          <w:pgNumType w:start="170"/>
        </w:sectPr>
      </w:pPr>
    </w:p>
    <w:p>
      <w:pPr>
        <w:pStyle w:val="ListParagraph"/>
        <w:numPr>
          <w:ilvl w:val="0"/>
          <w:numId w:val="74"/>
        </w:numPr>
        <w:tabs>
          <w:tab w:pos="1297" w:val="left" w:leader="none"/>
        </w:tabs>
        <w:spacing w:line="240" w:lineRule="auto" w:before="66" w:after="0"/>
        <w:ind w:left="1297" w:right="0" w:hanging="601"/>
        <w:jc w:val="left"/>
        <w:rPr>
          <w:sz w:val="24"/>
        </w:rPr>
      </w:pPr>
      <w:r>
        <w:rPr>
          <w:sz w:val="24"/>
        </w:rPr>
        <w:t>教育手段</w:t>
      </w:r>
    </w:p>
    <w:p>
      <w:pPr>
        <w:pStyle w:val="BodyText"/>
        <w:spacing w:line="364" w:lineRule="auto" w:before="158"/>
        <w:ind w:left="215" w:right="240" w:firstLine="480"/>
      </w:pPr>
      <w:r>
        <w:rPr>
          <w:spacing w:val="-1"/>
        </w:rPr>
        <w:t>定期组织环保专业业务培训，开展环境教育，提高职工的环境意识，使职工自觉地</w:t>
      </w:r>
      <w:r>
        <w:rPr/>
        <w:t>为保护环境进行不懈的努力。</w:t>
      </w:r>
    </w:p>
    <w:p>
      <w:pPr>
        <w:pStyle w:val="Heading4"/>
        <w:numPr>
          <w:ilvl w:val="2"/>
          <w:numId w:val="73"/>
        </w:numPr>
        <w:tabs>
          <w:tab w:pos="936" w:val="left" w:leader="none"/>
        </w:tabs>
        <w:spacing w:line="306" w:lineRule="exact" w:before="0" w:after="0"/>
        <w:ind w:left="936" w:right="0" w:hanging="721"/>
        <w:jc w:val="left"/>
      </w:pPr>
      <w:r>
        <w:rPr>
          <w:w w:val="95"/>
        </w:rPr>
        <w:t>环境管理目标</w:t>
      </w:r>
    </w:p>
    <w:p>
      <w:pPr>
        <w:pStyle w:val="BodyText"/>
        <w:spacing w:line="364" w:lineRule="auto" w:before="160"/>
        <w:ind w:left="215" w:right="240" w:firstLine="480"/>
        <w:jc w:val="both"/>
      </w:pPr>
      <w:r>
        <w:rPr/>
        <w:t>本评价对该项目建设所带来的各种环境问题及所排污染物，分别提出了有效污染防治措施，建设单位应认真履行，落实并监督环保设施的运行情况并加强管理，定期监测各污染物排放浓度以达到预定的处理效果，具体管理目标见表 </w:t>
      </w:r>
      <w:r>
        <w:rPr>
          <w:rFonts w:ascii="Times New Roman" w:eastAsia="Times New Roman"/>
        </w:rPr>
        <w:t>13.2-1</w:t>
      </w:r>
      <w:r>
        <w:rPr/>
        <w:t>。</w:t>
      </w:r>
    </w:p>
    <w:p>
      <w:pPr>
        <w:pStyle w:val="Heading4"/>
        <w:spacing w:line="307" w:lineRule="exact"/>
        <w:ind w:left="2640"/>
        <w:jc w:val="both"/>
      </w:pPr>
      <w:r>
        <w:rPr/>
        <w:pict>
          <v:shape style="position:absolute;margin-left:75.080002pt;margin-top:15.370017pt;width:448.05pt;height:293.95pt;mso-position-horizontal-relative:page;mso-position-vertical-relative:paragraph;z-index:25182208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40"/>
                    <w:gridCol w:w="1073"/>
                    <w:gridCol w:w="1729"/>
                    <w:gridCol w:w="3751"/>
                    <w:gridCol w:w="1660"/>
                  </w:tblGrid>
                  <w:tr>
                    <w:trPr>
                      <w:trHeight w:val="409" w:hRule="atLeast"/>
                    </w:trPr>
                    <w:tc>
                      <w:tcPr>
                        <w:tcW w:w="740" w:type="dxa"/>
                      </w:tcPr>
                      <w:p>
                        <w:pPr>
                          <w:pStyle w:val="TableParagraph"/>
                          <w:ind w:left="137" w:right="137"/>
                          <w:rPr>
                            <w:sz w:val="21"/>
                          </w:rPr>
                        </w:pPr>
                        <w:r>
                          <w:rPr>
                            <w:sz w:val="21"/>
                          </w:rPr>
                          <w:t>序号</w:t>
                        </w:r>
                      </w:p>
                    </w:tc>
                    <w:tc>
                      <w:tcPr>
                        <w:tcW w:w="1073" w:type="dxa"/>
                      </w:tcPr>
                      <w:p>
                        <w:pPr>
                          <w:pStyle w:val="TableParagraph"/>
                          <w:ind w:left="305" w:right="303"/>
                          <w:rPr>
                            <w:sz w:val="21"/>
                          </w:rPr>
                        </w:pPr>
                        <w:r>
                          <w:rPr>
                            <w:sz w:val="21"/>
                          </w:rPr>
                          <w:t>种类</w:t>
                        </w:r>
                      </w:p>
                    </w:tc>
                    <w:tc>
                      <w:tcPr>
                        <w:tcW w:w="1729" w:type="dxa"/>
                      </w:tcPr>
                      <w:p>
                        <w:pPr>
                          <w:pStyle w:val="TableParagraph"/>
                          <w:ind w:left="106" w:right="105"/>
                          <w:rPr>
                            <w:sz w:val="21"/>
                          </w:rPr>
                        </w:pPr>
                        <w:r>
                          <w:rPr>
                            <w:sz w:val="21"/>
                          </w:rPr>
                          <w:t>主要污染物</w:t>
                        </w:r>
                      </w:p>
                    </w:tc>
                    <w:tc>
                      <w:tcPr>
                        <w:tcW w:w="3751" w:type="dxa"/>
                      </w:tcPr>
                      <w:p>
                        <w:pPr>
                          <w:pStyle w:val="TableParagraph"/>
                          <w:ind w:left="15" w:right="13"/>
                          <w:rPr>
                            <w:sz w:val="21"/>
                          </w:rPr>
                        </w:pPr>
                        <w:r>
                          <w:rPr>
                            <w:sz w:val="21"/>
                          </w:rPr>
                          <w:t>环保设施</w:t>
                        </w:r>
                      </w:p>
                    </w:tc>
                    <w:tc>
                      <w:tcPr>
                        <w:tcW w:w="1660" w:type="dxa"/>
                      </w:tcPr>
                      <w:p>
                        <w:pPr>
                          <w:pStyle w:val="TableParagraph"/>
                          <w:ind w:left="409"/>
                          <w:jc w:val="left"/>
                          <w:rPr>
                            <w:sz w:val="21"/>
                          </w:rPr>
                        </w:pPr>
                        <w:r>
                          <w:rPr>
                            <w:sz w:val="21"/>
                          </w:rPr>
                          <w:t>管理目标</w:t>
                        </w:r>
                      </w:p>
                    </w:tc>
                  </w:tr>
                  <w:tr>
                    <w:trPr>
                      <w:trHeight w:val="817" w:hRule="atLeast"/>
                    </w:trPr>
                    <w:tc>
                      <w:tcPr>
                        <w:tcW w:w="740" w:type="dxa"/>
                        <w:vMerge w:val="restart"/>
                      </w:tcPr>
                      <w:p>
                        <w:pPr>
                          <w:pStyle w:val="TableParagraph"/>
                          <w:jc w:val="left"/>
                          <w:rPr>
                            <w:sz w:val="22"/>
                          </w:rPr>
                        </w:pPr>
                      </w:p>
                      <w:p>
                        <w:pPr>
                          <w:pStyle w:val="TableParagraph"/>
                          <w:spacing w:before="9"/>
                          <w:jc w:val="left"/>
                          <w:rPr>
                            <w:sz w:val="21"/>
                          </w:rPr>
                        </w:pPr>
                      </w:p>
                      <w:p>
                        <w:pPr>
                          <w:pStyle w:val="TableParagraph"/>
                          <w:ind w:left="4"/>
                          <w:rPr>
                            <w:rFonts w:ascii="Times New Roman"/>
                            <w:sz w:val="21"/>
                          </w:rPr>
                        </w:pPr>
                        <w:r>
                          <w:rPr>
                            <w:rFonts w:ascii="Times New Roman"/>
                            <w:w w:val="99"/>
                            <w:sz w:val="21"/>
                          </w:rPr>
                          <w:t>1</w:t>
                        </w:r>
                      </w:p>
                    </w:tc>
                    <w:tc>
                      <w:tcPr>
                        <w:tcW w:w="1073" w:type="dxa"/>
                        <w:vMerge w:val="restart"/>
                      </w:tcPr>
                      <w:p>
                        <w:pPr>
                          <w:pStyle w:val="TableParagraph"/>
                          <w:jc w:val="left"/>
                          <w:rPr>
                            <w:sz w:val="20"/>
                          </w:rPr>
                        </w:pPr>
                      </w:p>
                      <w:p>
                        <w:pPr>
                          <w:pStyle w:val="TableParagraph"/>
                          <w:spacing w:before="8"/>
                          <w:jc w:val="left"/>
                          <w:rPr>
                            <w:sz w:val="22"/>
                          </w:rPr>
                        </w:pPr>
                      </w:p>
                      <w:p>
                        <w:pPr>
                          <w:pStyle w:val="TableParagraph"/>
                          <w:ind w:left="115"/>
                          <w:jc w:val="left"/>
                          <w:rPr>
                            <w:sz w:val="21"/>
                          </w:rPr>
                        </w:pPr>
                        <w:r>
                          <w:rPr>
                            <w:sz w:val="21"/>
                          </w:rPr>
                          <w:t>水污染物</w:t>
                        </w:r>
                      </w:p>
                    </w:tc>
                    <w:tc>
                      <w:tcPr>
                        <w:tcW w:w="1729" w:type="dxa"/>
                      </w:tcPr>
                      <w:p>
                        <w:pPr>
                          <w:pStyle w:val="TableParagraph"/>
                          <w:spacing w:before="3"/>
                          <w:jc w:val="left"/>
                          <w:rPr>
                            <w:sz w:val="21"/>
                          </w:rPr>
                        </w:pPr>
                      </w:p>
                      <w:p>
                        <w:pPr>
                          <w:pStyle w:val="TableParagraph"/>
                          <w:ind w:left="106" w:right="105"/>
                          <w:rPr>
                            <w:sz w:val="21"/>
                          </w:rPr>
                        </w:pPr>
                        <w:r>
                          <w:rPr>
                            <w:sz w:val="21"/>
                          </w:rPr>
                          <w:t>矿井涌水</w:t>
                        </w:r>
                      </w:p>
                    </w:tc>
                    <w:tc>
                      <w:tcPr>
                        <w:tcW w:w="3751" w:type="dxa"/>
                      </w:tcPr>
                      <w:p>
                        <w:pPr>
                          <w:pStyle w:val="TableParagraph"/>
                          <w:spacing w:line="268" w:lineRule="exact"/>
                          <w:ind w:left="29"/>
                          <w:jc w:val="left"/>
                          <w:rPr>
                            <w:sz w:val="21"/>
                          </w:rPr>
                        </w:pPr>
                        <w:r>
                          <w:rPr>
                            <w:spacing w:val="-12"/>
                            <w:sz w:val="21"/>
                          </w:rPr>
                          <w:t>处理能力 </w:t>
                        </w:r>
                        <w:r>
                          <w:rPr>
                            <w:rFonts w:ascii="Times New Roman" w:eastAsia="Times New Roman"/>
                            <w:sz w:val="21"/>
                          </w:rPr>
                          <w:t>720m</w:t>
                        </w:r>
                        <w:r>
                          <w:rPr>
                            <w:rFonts w:ascii="Times New Roman" w:eastAsia="Times New Roman"/>
                            <w:position w:val="7"/>
                            <w:sz w:val="13"/>
                          </w:rPr>
                          <w:t>3</w:t>
                        </w:r>
                        <w:r>
                          <w:rPr>
                            <w:rFonts w:ascii="Times New Roman" w:eastAsia="Times New Roman"/>
                            <w:sz w:val="21"/>
                          </w:rPr>
                          <w:t>/d </w:t>
                        </w:r>
                        <w:r>
                          <w:rPr>
                            <w:spacing w:val="-7"/>
                            <w:sz w:val="21"/>
                          </w:rPr>
                          <w:t>井下水处理站一座。水</w:t>
                        </w:r>
                      </w:p>
                      <w:p>
                        <w:pPr>
                          <w:pStyle w:val="TableParagraph"/>
                          <w:spacing w:line="270" w:lineRule="atLeast" w:before="3"/>
                          <w:ind w:left="1244" w:right="128" w:hanging="1215"/>
                          <w:jc w:val="left"/>
                          <w:rPr>
                            <w:sz w:val="21"/>
                          </w:rPr>
                        </w:pPr>
                        <w:r>
                          <w:rPr>
                            <w:spacing w:val="-16"/>
                            <w:w w:val="95"/>
                            <w:sz w:val="21"/>
                          </w:rPr>
                          <w:t>处理采用混合、反应、混凝、沉淀、过滤</w:t>
                        </w:r>
                        <w:r>
                          <w:rPr>
                            <w:spacing w:val="-16"/>
                            <w:sz w:val="21"/>
                          </w:rPr>
                          <w:t>消毒等工艺。</w:t>
                        </w:r>
                      </w:p>
                    </w:tc>
                    <w:tc>
                      <w:tcPr>
                        <w:tcW w:w="1660" w:type="dxa"/>
                      </w:tcPr>
                      <w:p>
                        <w:pPr>
                          <w:pStyle w:val="TableParagraph"/>
                          <w:spacing w:line="268" w:lineRule="exact"/>
                          <w:ind w:left="27"/>
                          <w:jc w:val="left"/>
                          <w:rPr>
                            <w:sz w:val="21"/>
                          </w:rPr>
                        </w:pPr>
                        <w:r>
                          <w:rPr>
                            <w:spacing w:val="-11"/>
                            <w:sz w:val="21"/>
                          </w:rPr>
                          <w:t>，处理后回用，多</w:t>
                        </w:r>
                      </w:p>
                      <w:p>
                        <w:pPr>
                          <w:pStyle w:val="TableParagraph"/>
                          <w:spacing w:line="270" w:lineRule="atLeast" w:before="3"/>
                          <w:ind w:left="200" w:right="89" w:hanging="334"/>
                          <w:jc w:val="left"/>
                          <w:rPr>
                            <w:sz w:val="21"/>
                          </w:rPr>
                        </w:pPr>
                        <w:r>
                          <w:rPr>
                            <w:sz w:val="21"/>
                          </w:rPr>
                          <w:t>、余部分排放于附近自建鱼塘。</w:t>
                        </w:r>
                      </w:p>
                    </w:tc>
                  </w:tr>
                  <w:tr>
                    <w:trPr>
                      <w:trHeight w:val="545"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134"/>
                          <w:ind w:left="106" w:right="105"/>
                          <w:rPr>
                            <w:sz w:val="21"/>
                          </w:rPr>
                        </w:pPr>
                        <w:r>
                          <w:rPr>
                            <w:sz w:val="21"/>
                          </w:rPr>
                          <w:t>生活污水</w:t>
                        </w:r>
                      </w:p>
                    </w:tc>
                    <w:tc>
                      <w:tcPr>
                        <w:tcW w:w="3751" w:type="dxa"/>
                      </w:tcPr>
                      <w:p>
                        <w:pPr>
                          <w:pStyle w:val="TableParagraph"/>
                          <w:ind w:left="20" w:right="13"/>
                          <w:rPr>
                            <w:sz w:val="21"/>
                          </w:rPr>
                        </w:pPr>
                        <w:r>
                          <w:rPr>
                            <w:spacing w:val="-10"/>
                            <w:sz w:val="21"/>
                          </w:rPr>
                          <w:t>处理能力为 </w:t>
                        </w:r>
                        <w:r>
                          <w:rPr>
                            <w:rFonts w:ascii="Times New Roman" w:eastAsia="Times New Roman"/>
                            <w:sz w:val="21"/>
                          </w:rPr>
                          <w:t>120m</w:t>
                        </w:r>
                        <w:r>
                          <w:rPr>
                            <w:rFonts w:ascii="Times New Roman" w:eastAsia="Times New Roman"/>
                            <w:position w:val="7"/>
                            <w:sz w:val="13"/>
                          </w:rPr>
                          <w:t>3</w:t>
                        </w:r>
                        <w:r>
                          <w:rPr>
                            <w:rFonts w:ascii="Times New Roman" w:eastAsia="Times New Roman"/>
                            <w:sz w:val="21"/>
                          </w:rPr>
                          <w:t>/d </w:t>
                        </w:r>
                        <w:r>
                          <w:rPr>
                            <w:spacing w:val="-8"/>
                            <w:sz w:val="21"/>
                          </w:rPr>
                          <w:t>生活污水处理站，采</w:t>
                        </w:r>
                      </w:p>
                      <w:p>
                        <w:pPr>
                          <w:pStyle w:val="TableParagraph"/>
                          <w:spacing w:line="254" w:lineRule="exact" w:before="2"/>
                          <w:ind w:left="15" w:right="13"/>
                          <w:rPr>
                            <w:sz w:val="21"/>
                          </w:rPr>
                        </w:pPr>
                        <w:r>
                          <w:rPr>
                            <w:sz w:val="21"/>
                          </w:rPr>
                          <w:t>用处理工艺为二级生物法</w:t>
                        </w:r>
                        <w:r>
                          <w:rPr>
                            <w:rFonts w:ascii="Times New Roman" w:eastAsia="Times New Roman"/>
                            <w:sz w:val="21"/>
                          </w:rPr>
                          <w:t>+</w:t>
                        </w:r>
                        <w:r>
                          <w:rPr>
                            <w:sz w:val="21"/>
                          </w:rPr>
                          <w:t>超滤。</w:t>
                        </w:r>
                      </w:p>
                    </w:tc>
                    <w:tc>
                      <w:tcPr>
                        <w:tcW w:w="1660" w:type="dxa"/>
                      </w:tcPr>
                      <w:p>
                        <w:pPr>
                          <w:pStyle w:val="TableParagraph"/>
                          <w:spacing w:before="134"/>
                          <w:ind w:right="156"/>
                          <w:jc w:val="right"/>
                          <w:rPr>
                            <w:sz w:val="21"/>
                          </w:rPr>
                        </w:pPr>
                        <w:r>
                          <w:rPr>
                            <w:w w:val="95"/>
                            <w:sz w:val="21"/>
                          </w:rPr>
                          <w:t>全部回用不外排</w:t>
                        </w:r>
                      </w:p>
                    </w:tc>
                  </w:tr>
                  <w:tr>
                    <w:trPr>
                      <w:trHeight w:val="543" w:hRule="atLeast"/>
                    </w:trPr>
                    <w:tc>
                      <w:tcPr>
                        <w:tcW w:w="740" w:type="dxa"/>
                        <w:vMerge w:val="restart"/>
                      </w:tcPr>
                      <w:p>
                        <w:pPr>
                          <w:pStyle w:val="TableParagraph"/>
                          <w:jc w:val="left"/>
                          <w:rPr>
                            <w:sz w:val="22"/>
                          </w:rPr>
                        </w:pPr>
                      </w:p>
                      <w:p>
                        <w:pPr>
                          <w:pStyle w:val="TableParagraph"/>
                          <w:spacing w:before="6"/>
                          <w:jc w:val="left"/>
                          <w:rPr>
                            <w:sz w:val="16"/>
                          </w:rPr>
                        </w:pPr>
                      </w:p>
                      <w:p>
                        <w:pPr>
                          <w:pStyle w:val="TableParagraph"/>
                          <w:spacing w:before="1"/>
                          <w:ind w:left="4"/>
                          <w:rPr>
                            <w:rFonts w:ascii="Times New Roman"/>
                            <w:sz w:val="21"/>
                          </w:rPr>
                        </w:pPr>
                        <w:r>
                          <w:rPr>
                            <w:rFonts w:ascii="Times New Roman"/>
                            <w:w w:val="99"/>
                            <w:sz w:val="21"/>
                          </w:rPr>
                          <w:t>2</w:t>
                        </w:r>
                      </w:p>
                    </w:tc>
                    <w:tc>
                      <w:tcPr>
                        <w:tcW w:w="1073" w:type="dxa"/>
                        <w:vMerge w:val="restart"/>
                      </w:tcPr>
                      <w:p>
                        <w:pPr>
                          <w:pStyle w:val="TableParagraph"/>
                          <w:spacing w:before="9"/>
                          <w:jc w:val="left"/>
                          <w:rPr>
                            <w:sz w:val="26"/>
                          </w:rPr>
                        </w:pPr>
                      </w:p>
                      <w:p>
                        <w:pPr>
                          <w:pStyle w:val="TableParagraph"/>
                          <w:spacing w:line="244" w:lineRule="auto" w:before="1"/>
                          <w:ind w:left="326" w:right="216" w:hanging="106"/>
                          <w:jc w:val="left"/>
                          <w:rPr>
                            <w:sz w:val="21"/>
                          </w:rPr>
                        </w:pPr>
                        <w:r>
                          <w:rPr>
                            <w:sz w:val="21"/>
                          </w:rPr>
                          <w:t>大气污染物</w:t>
                        </w:r>
                      </w:p>
                    </w:tc>
                    <w:tc>
                      <w:tcPr>
                        <w:tcW w:w="1729" w:type="dxa"/>
                      </w:tcPr>
                      <w:p>
                        <w:pPr>
                          <w:pStyle w:val="TableParagraph"/>
                          <w:ind w:left="108" w:right="105"/>
                          <w:rPr>
                            <w:sz w:val="21"/>
                          </w:rPr>
                        </w:pPr>
                        <w:r>
                          <w:rPr>
                            <w:sz w:val="21"/>
                          </w:rPr>
                          <w:t>锅炉及热风炉烟</w:t>
                        </w:r>
                      </w:p>
                      <w:p>
                        <w:pPr>
                          <w:pStyle w:val="TableParagraph"/>
                          <w:spacing w:line="253" w:lineRule="exact" w:before="2"/>
                          <w:ind w:left="1"/>
                          <w:rPr>
                            <w:sz w:val="21"/>
                          </w:rPr>
                        </w:pPr>
                        <w:r>
                          <w:rPr>
                            <w:w w:val="99"/>
                            <w:sz w:val="21"/>
                          </w:rPr>
                          <w:t>气</w:t>
                        </w:r>
                      </w:p>
                    </w:tc>
                    <w:tc>
                      <w:tcPr>
                        <w:tcW w:w="3751" w:type="dxa"/>
                      </w:tcPr>
                      <w:p>
                        <w:pPr>
                          <w:pStyle w:val="TableParagraph"/>
                          <w:spacing w:before="134"/>
                          <w:ind w:left="15" w:right="13"/>
                          <w:rPr>
                            <w:sz w:val="21"/>
                          </w:rPr>
                        </w:pPr>
                        <w:r>
                          <w:rPr>
                            <w:sz w:val="21"/>
                          </w:rPr>
                          <w:t>各安装布袋除尘器</w:t>
                        </w:r>
                      </w:p>
                    </w:tc>
                    <w:tc>
                      <w:tcPr>
                        <w:tcW w:w="1660" w:type="dxa"/>
                      </w:tcPr>
                      <w:p>
                        <w:pPr>
                          <w:pStyle w:val="TableParagraph"/>
                          <w:ind w:left="27"/>
                          <w:jc w:val="left"/>
                          <w:rPr>
                            <w:sz w:val="21"/>
                          </w:rPr>
                        </w:pPr>
                        <w:r>
                          <w:rPr>
                            <w:spacing w:val="-11"/>
                            <w:sz w:val="21"/>
                          </w:rPr>
                          <w:t>达标排放，烟囱高</w:t>
                        </w:r>
                      </w:p>
                      <w:p>
                        <w:pPr>
                          <w:pStyle w:val="TableParagraph"/>
                          <w:spacing w:line="253" w:lineRule="exact" w:before="2"/>
                          <w:ind w:left="94"/>
                          <w:jc w:val="left"/>
                          <w:rPr>
                            <w:sz w:val="21"/>
                          </w:rPr>
                        </w:pPr>
                        <w:r>
                          <w:rPr>
                            <w:sz w:val="21"/>
                          </w:rPr>
                          <w:t>度符合环保要求</w:t>
                        </w:r>
                      </w:p>
                    </w:tc>
                  </w:tr>
                  <w:tr>
                    <w:trPr>
                      <w:trHeight w:val="340"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34"/>
                          <w:ind w:left="108" w:right="105"/>
                          <w:rPr>
                            <w:sz w:val="21"/>
                          </w:rPr>
                        </w:pPr>
                        <w:r>
                          <w:rPr>
                            <w:sz w:val="21"/>
                          </w:rPr>
                          <w:t>无组织排放粉尘</w:t>
                        </w:r>
                      </w:p>
                    </w:tc>
                    <w:tc>
                      <w:tcPr>
                        <w:tcW w:w="3751" w:type="dxa"/>
                      </w:tcPr>
                      <w:p>
                        <w:pPr>
                          <w:pStyle w:val="TableParagraph"/>
                          <w:spacing w:before="34"/>
                          <w:ind w:left="15" w:right="13"/>
                          <w:rPr>
                            <w:sz w:val="21"/>
                          </w:rPr>
                        </w:pPr>
                        <w:r>
                          <w:rPr>
                            <w:sz w:val="21"/>
                          </w:rPr>
                          <w:t>拟采用洒水降尘措施</w:t>
                        </w:r>
                      </w:p>
                    </w:tc>
                    <w:tc>
                      <w:tcPr>
                        <w:tcW w:w="1660" w:type="dxa"/>
                      </w:tcPr>
                      <w:p>
                        <w:pPr>
                          <w:pStyle w:val="TableParagraph"/>
                          <w:spacing w:before="34"/>
                          <w:ind w:left="409"/>
                          <w:jc w:val="left"/>
                          <w:rPr>
                            <w:sz w:val="21"/>
                          </w:rPr>
                        </w:pPr>
                        <w:r>
                          <w:rPr>
                            <w:sz w:val="21"/>
                          </w:rPr>
                          <w:t>达标排放</w:t>
                        </w:r>
                      </w:p>
                    </w:tc>
                  </w:tr>
                  <w:tr>
                    <w:trPr>
                      <w:trHeight w:val="340"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34"/>
                          <w:ind w:left="106" w:right="105"/>
                          <w:rPr>
                            <w:sz w:val="21"/>
                          </w:rPr>
                        </w:pPr>
                        <w:r>
                          <w:rPr>
                            <w:sz w:val="21"/>
                          </w:rPr>
                          <w:t>食堂油烟</w:t>
                        </w:r>
                      </w:p>
                    </w:tc>
                    <w:tc>
                      <w:tcPr>
                        <w:tcW w:w="3751" w:type="dxa"/>
                      </w:tcPr>
                      <w:p>
                        <w:pPr>
                          <w:pStyle w:val="TableParagraph"/>
                          <w:spacing w:before="34"/>
                          <w:ind w:left="15" w:right="13"/>
                          <w:rPr>
                            <w:sz w:val="21"/>
                          </w:rPr>
                        </w:pPr>
                        <w:r>
                          <w:rPr>
                            <w:sz w:val="21"/>
                          </w:rPr>
                          <w:t>安装油烟净化设施</w:t>
                        </w:r>
                      </w:p>
                    </w:tc>
                    <w:tc>
                      <w:tcPr>
                        <w:tcW w:w="1660" w:type="dxa"/>
                      </w:tcPr>
                      <w:p>
                        <w:pPr>
                          <w:pStyle w:val="TableParagraph"/>
                          <w:spacing w:before="34"/>
                          <w:ind w:left="409"/>
                          <w:jc w:val="left"/>
                          <w:rPr>
                            <w:sz w:val="21"/>
                          </w:rPr>
                        </w:pPr>
                        <w:r>
                          <w:rPr>
                            <w:sz w:val="21"/>
                          </w:rPr>
                          <w:t>达标排放</w:t>
                        </w:r>
                      </w:p>
                    </w:tc>
                  </w:tr>
                  <w:tr>
                    <w:trPr>
                      <w:trHeight w:val="545" w:hRule="atLeast"/>
                    </w:trPr>
                    <w:tc>
                      <w:tcPr>
                        <w:tcW w:w="740" w:type="dxa"/>
                        <w:vMerge w:val="restart"/>
                      </w:tcPr>
                      <w:p>
                        <w:pPr>
                          <w:pStyle w:val="TableParagraph"/>
                          <w:jc w:val="left"/>
                          <w:rPr>
                            <w:sz w:val="22"/>
                          </w:rPr>
                        </w:pPr>
                      </w:p>
                      <w:p>
                        <w:pPr>
                          <w:pStyle w:val="TableParagraph"/>
                          <w:jc w:val="left"/>
                          <w:rPr>
                            <w:sz w:val="22"/>
                          </w:rPr>
                        </w:pPr>
                      </w:p>
                      <w:p>
                        <w:pPr>
                          <w:pStyle w:val="TableParagraph"/>
                          <w:spacing w:before="5"/>
                          <w:jc w:val="left"/>
                          <w:rPr>
                            <w:sz w:val="30"/>
                          </w:rPr>
                        </w:pPr>
                      </w:p>
                      <w:p>
                        <w:pPr>
                          <w:pStyle w:val="TableParagraph"/>
                          <w:spacing w:before="1"/>
                          <w:ind w:left="4"/>
                          <w:rPr>
                            <w:rFonts w:ascii="Times New Roman"/>
                            <w:sz w:val="21"/>
                          </w:rPr>
                        </w:pPr>
                        <w:r>
                          <w:rPr>
                            <w:rFonts w:ascii="Times New Roman"/>
                            <w:w w:val="99"/>
                            <w:sz w:val="21"/>
                          </w:rPr>
                          <w:t>3</w:t>
                        </w:r>
                      </w:p>
                    </w:tc>
                    <w:tc>
                      <w:tcPr>
                        <w:tcW w:w="1073"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71"/>
                          <w:ind w:left="115"/>
                          <w:jc w:val="left"/>
                          <w:rPr>
                            <w:sz w:val="21"/>
                          </w:rPr>
                        </w:pPr>
                        <w:r>
                          <w:rPr>
                            <w:sz w:val="21"/>
                          </w:rPr>
                          <w:t>固体废物</w:t>
                        </w:r>
                      </w:p>
                    </w:tc>
                    <w:tc>
                      <w:tcPr>
                        <w:tcW w:w="1729" w:type="dxa"/>
                      </w:tcPr>
                      <w:p>
                        <w:pPr>
                          <w:pStyle w:val="TableParagraph"/>
                          <w:spacing w:before="136"/>
                          <w:ind w:left="108" w:right="105"/>
                          <w:rPr>
                            <w:sz w:val="21"/>
                          </w:rPr>
                        </w:pPr>
                        <w:r>
                          <w:rPr>
                            <w:sz w:val="21"/>
                          </w:rPr>
                          <w:t>矸石</w:t>
                        </w:r>
                      </w:p>
                    </w:tc>
                    <w:tc>
                      <w:tcPr>
                        <w:tcW w:w="3751" w:type="dxa"/>
                      </w:tcPr>
                      <w:p>
                        <w:pPr>
                          <w:pStyle w:val="TableParagraph"/>
                          <w:spacing w:before="1"/>
                          <w:ind w:left="15" w:right="13"/>
                          <w:rPr>
                            <w:sz w:val="21"/>
                          </w:rPr>
                        </w:pPr>
                        <w:r>
                          <w:rPr>
                            <w:spacing w:val="-8"/>
                            <w:sz w:val="21"/>
                          </w:rPr>
                          <w:t>用于平整工业场地、公路的路基石料、或</w:t>
                        </w:r>
                      </w:p>
                      <w:p>
                        <w:pPr>
                          <w:pStyle w:val="TableParagraph"/>
                          <w:spacing w:line="252" w:lineRule="exact" w:before="3"/>
                          <w:ind w:left="15" w:right="13"/>
                          <w:rPr>
                            <w:sz w:val="21"/>
                          </w:rPr>
                        </w:pPr>
                        <w:r>
                          <w:rPr>
                            <w:sz w:val="21"/>
                          </w:rPr>
                          <w:t>用于填沟造田等。</w:t>
                        </w:r>
                      </w:p>
                    </w:tc>
                    <w:tc>
                      <w:tcPr>
                        <w:tcW w:w="1660" w:type="dxa"/>
                      </w:tcPr>
                      <w:p>
                        <w:pPr>
                          <w:pStyle w:val="TableParagraph"/>
                          <w:spacing w:before="136"/>
                          <w:ind w:right="194"/>
                          <w:jc w:val="right"/>
                          <w:rPr>
                            <w:sz w:val="21"/>
                          </w:rPr>
                        </w:pPr>
                        <w:r>
                          <w:rPr>
                            <w:w w:val="95"/>
                            <w:sz w:val="21"/>
                          </w:rPr>
                          <w:t>全部综合利用</w:t>
                        </w:r>
                      </w:p>
                    </w:tc>
                  </w:tr>
                  <w:tr>
                    <w:trPr>
                      <w:trHeight w:val="340"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32"/>
                          <w:ind w:left="108" w:right="105"/>
                          <w:rPr>
                            <w:sz w:val="21"/>
                          </w:rPr>
                        </w:pPr>
                        <w:r>
                          <w:rPr>
                            <w:sz w:val="21"/>
                          </w:rPr>
                          <w:t>灰渣</w:t>
                        </w:r>
                      </w:p>
                    </w:tc>
                    <w:tc>
                      <w:tcPr>
                        <w:tcW w:w="3751" w:type="dxa"/>
                      </w:tcPr>
                      <w:p>
                        <w:pPr>
                          <w:pStyle w:val="TableParagraph"/>
                          <w:spacing w:before="32"/>
                          <w:ind w:left="13" w:right="13"/>
                          <w:rPr>
                            <w:sz w:val="21"/>
                          </w:rPr>
                        </w:pPr>
                        <w:r>
                          <w:rPr>
                            <w:sz w:val="21"/>
                          </w:rPr>
                          <w:t>灰渣作为农肥原料外售。</w:t>
                        </w:r>
                      </w:p>
                    </w:tc>
                    <w:tc>
                      <w:tcPr>
                        <w:tcW w:w="1660" w:type="dxa"/>
                      </w:tcPr>
                      <w:p>
                        <w:pPr>
                          <w:pStyle w:val="TableParagraph"/>
                          <w:spacing w:before="32"/>
                          <w:ind w:right="194"/>
                          <w:jc w:val="right"/>
                          <w:rPr>
                            <w:sz w:val="21"/>
                          </w:rPr>
                        </w:pPr>
                        <w:r>
                          <w:rPr>
                            <w:w w:val="95"/>
                            <w:sz w:val="21"/>
                          </w:rPr>
                          <w:t>全部综合利用</w:t>
                        </w:r>
                      </w:p>
                    </w:tc>
                  </w:tr>
                  <w:tr>
                    <w:trPr>
                      <w:trHeight w:val="411"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69"/>
                          <w:ind w:left="106" w:right="105"/>
                          <w:rPr>
                            <w:sz w:val="21"/>
                          </w:rPr>
                        </w:pPr>
                        <w:r>
                          <w:rPr>
                            <w:sz w:val="21"/>
                          </w:rPr>
                          <w:t>生活垃圾</w:t>
                        </w:r>
                      </w:p>
                    </w:tc>
                    <w:tc>
                      <w:tcPr>
                        <w:tcW w:w="3751" w:type="dxa"/>
                      </w:tcPr>
                      <w:p>
                        <w:pPr>
                          <w:pStyle w:val="TableParagraph"/>
                          <w:spacing w:before="69"/>
                          <w:ind w:left="13" w:right="13"/>
                          <w:rPr>
                            <w:sz w:val="21"/>
                          </w:rPr>
                        </w:pPr>
                        <w:r>
                          <w:rPr>
                            <w:sz w:val="21"/>
                          </w:rPr>
                          <w:t>生活垃圾定期委托环卫部门处理。</w:t>
                        </w:r>
                      </w:p>
                    </w:tc>
                    <w:tc>
                      <w:tcPr>
                        <w:tcW w:w="1660" w:type="dxa"/>
                      </w:tcPr>
                      <w:p>
                        <w:pPr>
                          <w:pStyle w:val="TableParagraph"/>
                          <w:spacing w:before="69"/>
                          <w:ind w:right="221"/>
                          <w:jc w:val="right"/>
                          <w:rPr>
                            <w:sz w:val="21"/>
                          </w:rPr>
                        </w:pPr>
                        <w:r>
                          <w:rPr>
                            <w:sz w:val="21"/>
                          </w:rPr>
                          <w:t>处置率 </w:t>
                        </w:r>
                        <w:r>
                          <w:rPr>
                            <w:rFonts w:ascii="Times New Roman" w:eastAsia="Times New Roman"/>
                            <w:sz w:val="21"/>
                          </w:rPr>
                          <w:t>100</w:t>
                        </w:r>
                        <w:r>
                          <w:rPr>
                            <w:sz w:val="21"/>
                          </w:rPr>
                          <w:t>％</w:t>
                        </w:r>
                      </w:p>
                    </w:tc>
                  </w:tr>
                  <w:tr>
                    <w:trPr>
                      <w:trHeight w:val="412"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69"/>
                          <w:ind w:left="108" w:right="105"/>
                          <w:rPr>
                            <w:sz w:val="21"/>
                          </w:rPr>
                        </w:pPr>
                        <w:r>
                          <w:rPr>
                            <w:sz w:val="21"/>
                          </w:rPr>
                          <w:t>污泥</w:t>
                        </w:r>
                      </w:p>
                    </w:tc>
                    <w:tc>
                      <w:tcPr>
                        <w:tcW w:w="3751" w:type="dxa"/>
                      </w:tcPr>
                      <w:p>
                        <w:pPr>
                          <w:pStyle w:val="TableParagraph"/>
                          <w:spacing w:before="69"/>
                          <w:ind w:left="15" w:right="13"/>
                          <w:rPr>
                            <w:sz w:val="21"/>
                          </w:rPr>
                        </w:pPr>
                        <w:r>
                          <w:rPr>
                            <w:sz w:val="21"/>
                          </w:rPr>
                          <w:t>污泥定期委托环卫部门处理。</w:t>
                        </w:r>
                      </w:p>
                    </w:tc>
                    <w:tc>
                      <w:tcPr>
                        <w:tcW w:w="1660" w:type="dxa"/>
                      </w:tcPr>
                      <w:p>
                        <w:pPr>
                          <w:pStyle w:val="TableParagraph"/>
                          <w:spacing w:before="69"/>
                          <w:ind w:right="221"/>
                          <w:jc w:val="right"/>
                          <w:rPr>
                            <w:sz w:val="21"/>
                          </w:rPr>
                        </w:pPr>
                        <w:r>
                          <w:rPr>
                            <w:sz w:val="21"/>
                          </w:rPr>
                          <w:t>处置率 </w:t>
                        </w:r>
                        <w:r>
                          <w:rPr>
                            <w:rFonts w:ascii="Times New Roman" w:eastAsia="Times New Roman"/>
                            <w:sz w:val="21"/>
                          </w:rPr>
                          <w:t>100</w:t>
                        </w:r>
                        <w:r>
                          <w:rPr>
                            <w:sz w:val="21"/>
                          </w:rPr>
                          <w:t>％</w:t>
                        </w:r>
                      </w:p>
                    </w:tc>
                  </w:tr>
                  <w:tr>
                    <w:trPr>
                      <w:trHeight w:val="425" w:hRule="atLeast"/>
                    </w:trPr>
                    <w:tc>
                      <w:tcPr>
                        <w:tcW w:w="740" w:type="dxa"/>
                        <w:vMerge/>
                        <w:tcBorders>
                          <w:top w:val="nil"/>
                        </w:tcBorders>
                      </w:tcPr>
                      <w:p>
                        <w:pPr>
                          <w:rPr>
                            <w:sz w:val="2"/>
                            <w:szCs w:val="2"/>
                          </w:rPr>
                        </w:pPr>
                      </w:p>
                    </w:tc>
                    <w:tc>
                      <w:tcPr>
                        <w:tcW w:w="1073" w:type="dxa"/>
                        <w:vMerge/>
                        <w:tcBorders>
                          <w:top w:val="nil"/>
                        </w:tcBorders>
                      </w:tcPr>
                      <w:p>
                        <w:pPr>
                          <w:rPr>
                            <w:sz w:val="2"/>
                            <w:szCs w:val="2"/>
                          </w:rPr>
                        </w:pPr>
                      </w:p>
                    </w:tc>
                    <w:tc>
                      <w:tcPr>
                        <w:tcW w:w="1729" w:type="dxa"/>
                      </w:tcPr>
                      <w:p>
                        <w:pPr>
                          <w:pStyle w:val="TableParagraph"/>
                          <w:spacing w:before="75"/>
                          <w:ind w:left="108" w:right="105"/>
                          <w:rPr>
                            <w:sz w:val="21"/>
                          </w:rPr>
                        </w:pPr>
                        <w:r>
                          <w:rPr>
                            <w:sz w:val="21"/>
                          </w:rPr>
                          <w:t>废机油</w:t>
                        </w:r>
                      </w:p>
                    </w:tc>
                    <w:tc>
                      <w:tcPr>
                        <w:tcW w:w="3751" w:type="dxa"/>
                      </w:tcPr>
                      <w:p>
                        <w:pPr>
                          <w:pStyle w:val="TableParagraph"/>
                          <w:spacing w:before="75"/>
                          <w:ind w:left="15" w:right="13"/>
                          <w:rPr>
                            <w:sz w:val="21"/>
                          </w:rPr>
                        </w:pPr>
                        <w:r>
                          <w:rPr>
                            <w:sz w:val="21"/>
                          </w:rPr>
                          <w:t>定期委托有资质单位处理。</w:t>
                        </w:r>
                      </w:p>
                    </w:tc>
                    <w:tc>
                      <w:tcPr>
                        <w:tcW w:w="1660" w:type="dxa"/>
                      </w:tcPr>
                      <w:p>
                        <w:pPr>
                          <w:pStyle w:val="TableParagraph"/>
                          <w:spacing w:before="75"/>
                          <w:ind w:right="221"/>
                          <w:jc w:val="right"/>
                          <w:rPr>
                            <w:sz w:val="21"/>
                          </w:rPr>
                        </w:pPr>
                        <w:r>
                          <w:rPr>
                            <w:sz w:val="21"/>
                          </w:rPr>
                          <w:t>处置率 </w:t>
                        </w:r>
                        <w:r>
                          <w:rPr>
                            <w:rFonts w:ascii="Times New Roman" w:eastAsia="Times New Roman"/>
                            <w:sz w:val="21"/>
                          </w:rPr>
                          <w:t>100</w:t>
                        </w:r>
                        <w:r>
                          <w:rPr>
                            <w:sz w:val="21"/>
                          </w:rPr>
                          <w:t>％</w:t>
                        </w:r>
                      </w:p>
                    </w:tc>
                  </w:tr>
                  <w:tr>
                    <w:trPr>
                      <w:trHeight w:val="340" w:hRule="atLeast"/>
                    </w:trPr>
                    <w:tc>
                      <w:tcPr>
                        <w:tcW w:w="740" w:type="dxa"/>
                      </w:tcPr>
                      <w:p>
                        <w:pPr>
                          <w:pStyle w:val="TableParagraph"/>
                          <w:spacing w:before="48"/>
                          <w:ind w:left="4"/>
                          <w:rPr>
                            <w:rFonts w:ascii="Times New Roman"/>
                            <w:sz w:val="21"/>
                          </w:rPr>
                        </w:pPr>
                        <w:r>
                          <w:rPr>
                            <w:rFonts w:ascii="Times New Roman"/>
                            <w:w w:val="99"/>
                            <w:sz w:val="21"/>
                          </w:rPr>
                          <w:t>4</w:t>
                        </w:r>
                      </w:p>
                    </w:tc>
                    <w:tc>
                      <w:tcPr>
                        <w:tcW w:w="1073" w:type="dxa"/>
                      </w:tcPr>
                      <w:p>
                        <w:pPr>
                          <w:pStyle w:val="TableParagraph"/>
                          <w:spacing w:before="34"/>
                          <w:ind w:left="305" w:right="303"/>
                          <w:rPr>
                            <w:sz w:val="21"/>
                          </w:rPr>
                        </w:pPr>
                        <w:r>
                          <w:rPr>
                            <w:sz w:val="21"/>
                          </w:rPr>
                          <w:t>噪声</w:t>
                        </w:r>
                      </w:p>
                    </w:tc>
                    <w:tc>
                      <w:tcPr>
                        <w:tcW w:w="1729" w:type="dxa"/>
                      </w:tcPr>
                      <w:p>
                        <w:pPr>
                          <w:pStyle w:val="TableParagraph"/>
                          <w:spacing w:before="34"/>
                          <w:ind w:left="106" w:right="105"/>
                          <w:rPr>
                            <w:sz w:val="21"/>
                          </w:rPr>
                        </w:pPr>
                        <w:r>
                          <w:rPr>
                            <w:sz w:val="21"/>
                          </w:rPr>
                          <w:t>设备噪声</w:t>
                        </w:r>
                      </w:p>
                    </w:tc>
                    <w:tc>
                      <w:tcPr>
                        <w:tcW w:w="3751" w:type="dxa"/>
                      </w:tcPr>
                      <w:p>
                        <w:pPr>
                          <w:pStyle w:val="TableParagraph"/>
                          <w:spacing w:before="34"/>
                          <w:ind w:left="15" w:right="13"/>
                          <w:rPr>
                            <w:sz w:val="21"/>
                          </w:rPr>
                        </w:pPr>
                        <w:r>
                          <w:rPr>
                            <w:sz w:val="21"/>
                          </w:rPr>
                          <w:t>减震、消声、隔声等</w:t>
                        </w:r>
                      </w:p>
                    </w:tc>
                    <w:tc>
                      <w:tcPr>
                        <w:tcW w:w="1660" w:type="dxa"/>
                      </w:tcPr>
                      <w:p>
                        <w:pPr>
                          <w:pStyle w:val="TableParagraph"/>
                          <w:spacing w:before="34"/>
                          <w:ind w:left="409"/>
                          <w:jc w:val="left"/>
                          <w:rPr>
                            <w:sz w:val="21"/>
                          </w:rPr>
                        </w:pPr>
                        <w:r>
                          <w:rPr>
                            <w:sz w:val="21"/>
                          </w:rPr>
                          <w:t>厂界达标</w:t>
                        </w:r>
                      </w:p>
                    </w:tc>
                  </w:tr>
                  <w:tr>
                    <w:trPr>
                      <w:trHeight w:val="340" w:hRule="atLeast"/>
                    </w:trPr>
                    <w:tc>
                      <w:tcPr>
                        <w:tcW w:w="740" w:type="dxa"/>
                      </w:tcPr>
                      <w:p>
                        <w:pPr>
                          <w:pStyle w:val="TableParagraph"/>
                          <w:spacing w:before="48"/>
                          <w:ind w:left="4"/>
                          <w:rPr>
                            <w:rFonts w:ascii="Times New Roman"/>
                            <w:sz w:val="21"/>
                          </w:rPr>
                        </w:pPr>
                        <w:r>
                          <w:rPr>
                            <w:rFonts w:ascii="Times New Roman"/>
                            <w:w w:val="99"/>
                            <w:sz w:val="21"/>
                          </w:rPr>
                          <w:t>5</w:t>
                        </w:r>
                      </w:p>
                    </w:tc>
                    <w:tc>
                      <w:tcPr>
                        <w:tcW w:w="2802" w:type="dxa"/>
                        <w:gridSpan w:val="2"/>
                      </w:tcPr>
                      <w:p>
                        <w:pPr>
                          <w:pStyle w:val="TableParagraph"/>
                          <w:spacing w:before="32"/>
                          <w:ind w:left="960" w:right="957"/>
                          <w:rPr>
                            <w:sz w:val="21"/>
                          </w:rPr>
                        </w:pPr>
                        <w:r>
                          <w:rPr>
                            <w:sz w:val="21"/>
                          </w:rPr>
                          <w:t>污染事故</w:t>
                        </w:r>
                      </w:p>
                    </w:tc>
                    <w:tc>
                      <w:tcPr>
                        <w:tcW w:w="5411" w:type="dxa"/>
                        <w:gridSpan w:val="2"/>
                      </w:tcPr>
                      <w:p>
                        <w:pPr>
                          <w:pStyle w:val="TableParagraph"/>
                          <w:spacing w:before="32"/>
                          <w:ind w:left="1129"/>
                          <w:jc w:val="left"/>
                          <w:rPr>
                            <w:sz w:val="21"/>
                          </w:rPr>
                        </w:pPr>
                        <w:r>
                          <w:rPr>
                            <w:sz w:val="21"/>
                          </w:rPr>
                          <w:t>及时上报环保部门并立即进行处理</w:t>
                        </w:r>
                      </w:p>
                    </w:tc>
                  </w:tr>
                </w:tbl>
                <w:p>
                  <w:pPr>
                    <w:pStyle w:val="BodyText"/>
                  </w:pPr>
                </w:p>
              </w:txbxContent>
            </v:textbox>
            <w10:wrap type="none"/>
          </v:shape>
        </w:pict>
      </w:r>
      <w:r>
        <w:rPr/>
        <w:t>表 </w:t>
      </w:r>
      <w:r>
        <w:rPr>
          <w:rFonts w:ascii="Times New Roman" w:eastAsia="Times New Roman"/>
        </w:rPr>
        <w:t>13.2-1 </w:t>
      </w:r>
      <w:r>
        <w:rPr/>
        <w:t>环保处理设施和管理目标清单</w:t>
      </w:r>
    </w:p>
    <w:p>
      <w:pPr>
        <w:pStyle w:val="BodyText"/>
        <w:rPr>
          <w:b/>
          <w:sz w:val="26"/>
        </w:rPr>
      </w:pPr>
    </w:p>
    <w:p>
      <w:pPr>
        <w:pStyle w:val="BodyText"/>
        <w:rPr>
          <w:b/>
          <w:sz w:val="26"/>
        </w:rPr>
      </w:pPr>
    </w:p>
    <w:p>
      <w:pPr>
        <w:pStyle w:val="BodyText"/>
        <w:rPr>
          <w:b/>
          <w:sz w:val="26"/>
        </w:rPr>
      </w:pPr>
    </w:p>
    <w:p>
      <w:pPr>
        <w:pStyle w:val="BodyText"/>
        <w:spacing w:before="5"/>
        <w:rPr>
          <w:b/>
          <w:sz w:val="29"/>
        </w:rPr>
      </w:pPr>
    </w:p>
    <w:p>
      <w:pPr>
        <w:spacing w:before="1"/>
        <w:ind w:left="0" w:right="280" w:firstLine="0"/>
        <w:jc w:val="right"/>
        <w:rPr>
          <w:sz w:val="21"/>
        </w:rPr>
      </w:pPr>
      <w:r>
        <w:rPr>
          <w:w w:val="99"/>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4"/>
        <w:numPr>
          <w:ilvl w:val="2"/>
          <w:numId w:val="73"/>
        </w:numPr>
        <w:tabs>
          <w:tab w:pos="936" w:val="left" w:leader="none"/>
        </w:tabs>
        <w:spacing w:line="240" w:lineRule="auto" w:before="134" w:after="0"/>
        <w:ind w:left="936" w:right="0" w:hanging="721"/>
        <w:jc w:val="left"/>
      </w:pPr>
      <w:r>
        <w:rPr/>
        <w:t>环境监理计划</w:t>
      </w:r>
    </w:p>
    <w:p>
      <w:pPr>
        <w:pStyle w:val="BodyText"/>
        <w:spacing w:line="364" w:lineRule="auto" w:before="161"/>
        <w:ind w:left="215" w:right="238" w:firstLine="480"/>
        <w:jc w:val="both"/>
      </w:pPr>
      <w:r>
        <w:rPr>
          <w:spacing w:val="-5"/>
        </w:rPr>
        <w:t>本项目应配备环境监理工程师 </w:t>
      </w:r>
      <w:r>
        <w:rPr>
          <w:rFonts w:ascii="Times New Roman" w:hAnsi="Times New Roman" w:eastAsia="Times New Roman"/>
        </w:rPr>
        <w:t>1 </w:t>
      </w:r>
      <w:r>
        <w:rPr>
          <w:spacing w:val="-1"/>
        </w:rPr>
        <w:t>名，负责编制工程施工期的环境保护计划，监督检</w:t>
      </w:r>
      <w:r>
        <w:rPr/>
        <w:t>查环境影响报告书中所提出的各项环保防治措施的落实情况及</w:t>
      </w:r>
      <w:r>
        <w:rPr>
          <w:rFonts w:ascii="Times New Roman" w:hAnsi="Times New Roman" w:eastAsia="Times New Roman"/>
        </w:rPr>
        <w:t>“</w:t>
      </w:r>
      <w:r>
        <w:rP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rPr/>
        <w:t>意识。</w:t>
      </w:r>
    </w:p>
    <w:p>
      <w:pPr>
        <w:pStyle w:val="Heading3"/>
        <w:numPr>
          <w:ilvl w:val="1"/>
          <w:numId w:val="72"/>
        </w:numPr>
        <w:tabs>
          <w:tab w:pos="848" w:val="left" w:leader="none"/>
        </w:tabs>
        <w:spacing w:line="358" w:lineRule="exact" w:before="0" w:after="0"/>
        <w:ind w:left="847" w:right="0" w:hanging="633"/>
        <w:jc w:val="left"/>
        <w:rPr>
          <w:rFonts w:ascii="Times New Roman" w:eastAsia="Times New Roman"/>
        </w:rPr>
      </w:pPr>
      <w:bookmarkStart w:name="13.3 环境监测计划" w:id="1060"/>
      <w:bookmarkEnd w:id="1060"/>
      <w:r>
        <w:rPr>
          <w:b w:val="0"/>
        </w:rPr>
      </w:r>
      <w:bookmarkStart w:name="_bookmark70" w:id="1061"/>
      <w:bookmarkEnd w:id="1061"/>
      <w:r>
        <w:rPr>
          <w:b w:val="0"/>
        </w:rPr>
      </w:r>
      <w:bookmarkStart w:name="_bookmark70" w:id="1062"/>
      <w:bookmarkEnd w:id="1062"/>
      <w:r>
        <w:rPr/>
        <w:t>环境监测计划</w:t>
      </w:r>
    </w:p>
    <w:p>
      <w:pPr>
        <w:pStyle w:val="BodyText"/>
        <w:spacing w:line="364" w:lineRule="auto" w:before="183"/>
        <w:ind w:left="215" w:right="240" w:firstLine="480"/>
      </w:pPr>
      <w:r>
        <w:rPr/>
        <w:t>为了保证本项目各项环保设施的正常运行，并进行科学管理，由双鸭山市环境监测站定期监测各污染物的处理情况，以达到预期的处理效果。环境监测应采用国家规定的</w:t>
      </w:r>
    </w:p>
    <w:p>
      <w:pPr>
        <w:spacing w:after="0" w:line="364" w:lineRule="auto"/>
        <w:sectPr>
          <w:pgSz w:w="11910" w:h="16840"/>
          <w:pgMar w:header="0" w:footer="1089" w:top="1520" w:bottom="1360" w:left="1200" w:right="1120"/>
        </w:sectPr>
      </w:pPr>
    </w:p>
    <w:p>
      <w:pPr>
        <w:pStyle w:val="BodyText"/>
        <w:spacing w:line="362" w:lineRule="auto" w:before="46"/>
        <w:ind w:left="215" w:right="240"/>
      </w:pPr>
      <w:r>
        <w:rPr/>
        <w:t>标准监测方法，监测本项目所排的各项污染物是否符合本报告书所提的排放标准，定期向上级主管部门上报本单位的环境污染情况报表。</w:t>
      </w:r>
    </w:p>
    <w:p>
      <w:pPr>
        <w:pStyle w:val="BodyText"/>
        <w:spacing w:before="5"/>
        <w:ind w:left="696"/>
      </w:pPr>
      <w:r>
        <w:rPr/>
        <w:t>根据本企业的排污特点及《环境监测工作的实施细则》，确定服务期环境监测计划。</w:t>
      </w:r>
    </w:p>
    <w:p>
      <w:pPr>
        <w:pStyle w:val="BodyText"/>
        <w:spacing w:line="364" w:lineRule="auto" w:before="158"/>
        <w:ind w:left="696" w:right="7449" w:hanging="480"/>
      </w:pPr>
      <w:r>
        <w:rPr>
          <w:rFonts w:ascii="Times New Roman" w:eastAsia="Times New Roman"/>
        </w:rPr>
        <w:t>1</w:t>
      </w:r>
      <w:r>
        <w:rPr/>
        <w:t>、生态环境监测详见第五章。</w:t>
      </w:r>
    </w:p>
    <w:p>
      <w:pPr>
        <w:pStyle w:val="BodyText"/>
        <w:spacing w:line="306" w:lineRule="exact"/>
        <w:ind w:left="215"/>
      </w:pPr>
      <w:r>
        <w:rPr>
          <w:rFonts w:ascii="Times New Roman" w:eastAsia="Times New Roman"/>
        </w:rPr>
        <w:t>2</w:t>
      </w:r>
      <w:r>
        <w:rPr/>
        <w:t>、地下水环境监测</w:t>
      </w:r>
    </w:p>
    <w:p>
      <w:pPr>
        <w:pStyle w:val="BodyText"/>
        <w:spacing w:line="364" w:lineRule="auto" w:before="160"/>
        <w:ind w:left="215" w:right="240" w:firstLine="480"/>
      </w:pPr>
      <w:r>
        <w:rPr/>
        <w:t>监测点位：水质监测对照井、污染监视监测井、污染扩散监测井及煤矿附近分散居民区水井</w:t>
      </w:r>
    </w:p>
    <w:p>
      <w:pPr>
        <w:pStyle w:val="BodyText"/>
        <w:spacing w:line="362" w:lineRule="auto"/>
        <w:ind w:left="215" w:right="179" w:firstLine="480"/>
      </w:pPr>
      <w:r>
        <w:rPr/>
        <w:t>监测项目：水位、</w:t>
      </w:r>
      <w:r>
        <w:rPr>
          <w:rFonts w:ascii="Times New Roman" w:eastAsia="Times New Roman"/>
        </w:rPr>
        <w:t>pH</w:t>
      </w:r>
      <w:r>
        <w:rPr/>
        <w:t>、石油类、动植物油、氨氮、总铁、总锰、总汞、总镉、六价铬、总铅、总砷、总锌、氟化物、总大肠菌群等</w:t>
      </w:r>
    </w:p>
    <w:p>
      <w:pPr>
        <w:pStyle w:val="BodyText"/>
        <w:spacing w:line="362" w:lineRule="auto" w:before="4"/>
        <w:ind w:left="696" w:right="701"/>
      </w:pPr>
      <w:r>
        <w:rPr/>
        <w:t>执行标准：执行《地下水质量标准》（</w:t>
      </w:r>
      <w:r>
        <w:rPr>
          <w:rFonts w:ascii="Times New Roman" w:hAnsi="Times New Roman" w:eastAsia="Times New Roman"/>
        </w:rPr>
        <w:t>GB/T14848-2017</w:t>
      </w:r>
      <w:r>
        <w:rPr/>
        <w:t>）中的Ⅲ类水质标准。监测时间：每年进行水质 </w:t>
      </w:r>
      <w:r>
        <w:rPr>
          <w:rFonts w:ascii="Times New Roman" w:hAnsi="Times New Roman" w:eastAsia="Times New Roman"/>
        </w:rPr>
        <w:t>2 </w:t>
      </w:r>
      <w:r>
        <w:rPr/>
        <w:t>次监测</w:t>
      </w:r>
    </w:p>
    <w:p>
      <w:pPr>
        <w:pStyle w:val="BodyText"/>
        <w:spacing w:before="5"/>
        <w:ind w:left="215"/>
      </w:pPr>
      <w:r>
        <w:rPr>
          <w:rFonts w:ascii="Times New Roman" w:eastAsia="Times New Roman"/>
        </w:rPr>
        <w:t>3</w:t>
      </w:r>
      <w:r>
        <w:rPr/>
        <w:t>、大气环境监测</w:t>
      </w:r>
    </w:p>
    <w:p>
      <w:pPr>
        <w:pStyle w:val="BodyText"/>
        <w:spacing w:line="360" w:lineRule="auto" w:before="161"/>
        <w:ind w:left="696" w:right="3849"/>
        <w:rPr>
          <w:rFonts w:ascii="Times New Roman" w:eastAsia="Times New Roman"/>
        </w:rPr>
      </w:pPr>
      <w:r>
        <w:rPr/>
        <w:t>监测点位：工业场地上、下风向各设一个监测点</w:t>
      </w:r>
      <w:r>
        <w:rPr>
          <w:position w:val="2"/>
        </w:rPr>
        <w:t>监测项目：</w:t>
      </w:r>
      <w:r>
        <w:rPr>
          <w:rFonts w:ascii="Times New Roman" w:eastAsia="Times New Roman"/>
          <w:position w:val="2"/>
        </w:rPr>
        <w:t>PM</w:t>
      </w:r>
      <w:r>
        <w:rPr>
          <w:rFonts w:ascii="Times New Roman" w:eastAsia="Times New Roman"/>
          <w:position w:val="2"/>
          <w:vertAlign w:val="subscript"/>
        </w:rPr>
        <w:t>10</w:t>
      </w:r>
      <w:r>
        <w:rPr>
          <w:position w:val="2"/>
          <w:vertAlign w:val="baseline"/>
        </w:rPr>
        <w:t>、</w:t>
      </w:r>
      <w:r>
        <w:rPr>
          <w:rFonts w:ascii="Times New Roman" w:eastAsia="Times New Roman"/>
          <w:position w:val="2"/>
          <w:vertAlign w:val="baseline"/>
        </w:rPr>
        <w:t>TSP</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BodyText"/>
        <w:spacing w:line="362" w:lineRule="auto" w:before="6"/>
        <w:ind w:left="696" w:right="495"/>
      </w:pPr>
      <w:r>
        <w:rPr/>
        <w:t>执行标准：《煤炭工业污染物排放标准》（</w:t>
      </w:r>
      <w:r>
        <w:rPr>
          <w:rFonts w:ascii="Times New Roman" w:eastAsia="Times New Roman"/>
        </w:rPr>
        <w:t>GB20426-2006</w:t>
      </w:r>
      <w:r>
        <w:rPr/>
        <w:t>）</w:t>
      </w:r>
      <w:r>
        <w:rPr>
          <w:spacing w:val="-31"/>
        </w:rPr>
        <w:t>表 </w:t>
      </w:r>
      <w:r>
        <w:rPr>
          <w:rFonts w:ascii="Times New Roman" w:eastAsia="Times New Roman"/>
        </w:rPr>
        <w:t>4</w:t>
      </w:r>
      <w:r>
        <w:rPr>
          <w:spacing w:val="-20"/>
        </w:rPr>
        <w:t>、表 </w:t>
      </w:r>
      <w:r>
        <w:rPr>
          <w:rFonts w:ascii="Times New Roman" w:eastAsia="Times New Roman"/>
        </w:rPr>
        <w:t>5 </w:t>
      </w:r>
      <w:r>
        <w:rPr>
          <w:spacing w:val="-5"/>
        </w:rPr>
        <w:t>标准限值</w:t>
      </w:r>
      <w:r>
        <w:rPr>
          <w:spacing w:val="-6"/>
        </w:rPr>
        <w:t>监测时间：每年进行 </w:t>
      </w:r>
      <w:r>
        <w:rPr>
          <w:rFonts w:ascii="Times New Roman" w:eastAsia="Times New Roman"/>
        </w:rPr>
        <w:t>2 </w:t>
      </w:r>
      <w:r>
        <w:rPr/>
        <w:t>次监测</w:t>
      </w:r>
    </w:p>
    <w:p>
      <w:pPr>
        <w:pStyle w:val="BodyText"/>
        <w:spacing w:before="5"/>
        <w:ind w:left="215"/>
      </w:pPr>
      <w:r>
        <w:rPr>
          <w:rFonts w:ascii="Times New Roman" w:eastAsia="Times New Roman"/>
        </w:rPr>
        <w:t>4</w:t>
      </w:r>
      <w:r>
        <w:rPr/>
        <w:t>、土壤环境监测</w:t>
      </w:r>
    </w:p>
    <w:p>
      <w:pPr>
        <w:pStyle w:val="BodyText"/>
        <w:spacing w:before="158"/>
        <w:ind w:left="696"/>
      </w:pPr>
      <w:r>
        <w:rPr/>
        <w:t>监测点位：工业场地。</w:t>
      </w:r>
    </w:p>
    <w:p>
      <w:pPr>
        <w:pStyle w:val="BodyText"/>
        <w:spacing w:before="161"/>
        <w:ind w:left="696"/>
      </w:pPr>
      <w:r>
        <w:rPr/>
        <w:t>监测项目：</w:t>
      </w:r>
      <w:r>
        <w:rPr>
          <w:rFonts w:ascii="Times New Roman" w:eastAsia="Times New Roman"/>
        </w:rPr>
        <w:t>pH</w:t>
      </w:r>
      <w:r>
        <w:rPr/>
        <w:t>、镉、汞、砷、铜、铅、铬、锌、镍</w:t>
      </w:r>
    </w:p>
    <w:p>
      <w:pPr>
        <w:pStyle w:val="BodyText"/>
        <w:spacing w:line="364" w:lineRule="auto" w:before="158"/>
        <w:ind w:left="696" w:right="120"/>
      </w:pPr>
      <w:r>
        <w:rPr>
          <w:spacing w:val="-1"/>
        </w:rPr>
        <w:t>执行标准</w:t>
      </w:r>
      <w:r>
        <w:rPr>
          <w:spacing w:val="-18"/>
        </w:rPr>
        <w:t>：《土壤环境质量农用地土壤污染风险管控标准</w:t>
      </w:r>
      <w:r>
        <w:rPr/>
        <w:t>（试行</w:t>
      </w:r>
      <w:r>
        <w:rPr>
          <w:spacing w:val="-80"/>
        </w:rPr>
        <w:t>）</w:t>
      </w:r>
      <w:r>
        <w:rPr>
          <w:spacing w:val="-156"/>
        </w:rPr>
        <w:t>》</w:t>
      </w:r>
      <w:r>
        <w:rPr/>
        <w:t>（</w:t>
      </w:r>
      <w:r>
        <w:rPr>
          <w:rFonts w:ascii="Times New Roman" w:eastAsia="Times New Roman"/>
        </w:rPr>
        <w:t>GB/15618-2018</w:t>
      </w:r>
      <w:r>
        <w:rPr/>
        <w:t>） 监测时间：根据需要不定期监测</w:t>
      </w:r>
    </w:p>
    <w:p>
      <w:pPr>
        <w:pStyle w:val="BodyText"/>
        <w:spacing w:line="306" w:lineRule="exact"/>
        <w:ind w:left="215"/>
      </w:pPr>
      <w:r>
        <w:rPr>
          <w:rFonts w:ascii="Times New Roman" w:eastAsia="Times New Roman"/>
        </w:rPr>
        <w:t>5</w:t>
      </w:r>
      <w:r>
        <w:rPr/>
        <w:t>、大气污染源监测</w:t>
      </w:r>
    </w:p>
    <w:p>
      <w:pPr>
        <w:pStyle w:val="BodyText"/>
        <w:spacing w:before="160"/>
        <w:ind w:left="696"/>
      </w:pPr>
      <w:r>
        <w:rPr/>
        <w:t>监测点位：锅炉烟道、热风炉烟道、筛分车间排气筒</w:t>
      </w:r>
    </w:p>
    <w:p>
      <w:pPr>
        <w:pStyle w:val="BodyText"/>
        <w:spacing w:before="158"/>
        <w:ind w:left="696"/>
      </w:pPr>
      <w:r>
        <w:rPr>
          <w:position w:val="2"/>
        </w:rPr>
        <w:t>监测项目：锅炉烟道、热风炉烟道：颗粒物、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；筛分车间排气筒：颗粒</w:t>
      </w:r>
    </w:p>
    <w:p>
      <w:pPr>
        <w:pStyle w:val="BodyText"/>
        <w:spacing w:before="157"/>
        <w:ind w:left="215"/>
      </w:pPr>
      <w:r>
        <w:rPr/>
        <w:t>物</w:t>
      </w:r>
    </w:p>
    <w:p>
      <w:pPr>
        <w:pStyle w:val="BodyText"/>
        <w:spacing w:before="158"/>
        <w:ind w:left="696"/>
      </w:pPr>
      <w:r>
        <w:rPr/>
        <w:t>执行标准：锅炉：《锅炉大气污染物排放标准》（</w:t>
      </w:r>
      <w:r>
        <w:rPr>
          <w:rFonts w:ascii="Times New Roman" w:eastAsia="Times New Roman"/>
        </w:rPr>
        <w:t>GB13271-2014</w:t>
      </w:r>
      <w:r>
        <w:rPr/>
        <w:t>）标准限值要求；</w:t>
      </w:r>
    </w:p>
    <w:p>
      <w:pPr>
        <w:pStyle w:val="BodyText"/>
        <w:spacing w:before="160"/>
        <w:ind w:left="215"/>
      </w:pPr>
      <w:r>
        <w:rPr/>
        <w:t>热风炉：《工业炉窑大气污染物排放标准》（</w:t>
      </w:r>
      <w:r>
        <w:rPr>
          <w:rFonts w:ascii="Times New Roman" w:eastAsia="Times New Roman"/>
        </w:rPr>
        <w:t>GB9078-1996</w:t>
      </w:r>
      <w:r>
        <w:rPr/>
        <w:t>）中表 </w:t>
      </w:r>
      <w:r>
        <w:rPr>
          <w:rFonts w:ascii="Times New Roman" w:eastAsia="Times New Roman"/>
        </w:rPr>
        <w:t>2 </w:t>
      </w:r>
      <w:r>
        <w:rPr/>
        <w:t>及表 </w:t>
      </w:r>
      <w:r>
        <w:rPr>
          <w:rFonts w:ascii="Times New Roman" w:eastAsia="Times New Roman"/>
        </w:rPr>
        <w:t>4 </w:t>
      </w:r>
      <w:r>
        <w:rPr/>
        <w:t>要求；筛分</w:t>
      </w:r>
    </w:p>
    <w:p>
      <w:pPr>
        <w:pStyle w:val="BodyText"/>
        <w:spacing w:before="161"/>
        <w:ind w:left="215"/>
      </w:pPr>
      <w:r>
        <w:rPr/>
        <w:t>车间：《煤炭工业污染物排放标准》（</w:t>
      </w:r>
      <w:r>
        <w:rPr>
          <w:rFonts w:ascii="Times New Roman" w:eastAsia="Times New Roman"/>
        </w:rPr>
        <w:t>GB20426-2006</w:t>
      </w:r>
      <w:r>
        <w:rPr/>
        <w:t>）表 </w:t>
      </w:r>
      <w:r>
        <w:rPr>
          <w:rFonts w:ascii="Times New Roman" w:eastAsia="Times New Roman"/>
        </w:rPr>
        <w:t>4 </w:t>
      </w:r>
      <w:r>
        <w:rPr/>
        <w:t>及表 </w:t>
      </w:r>
      <w:r>
        <w:rPr>
          <w:rFonts w:ascii="Times New Roman" w:eastAsia="Times New Roman"/>
        </w:rPr>
        <w:t>5 </w:t>
      </w:r>
      <w:r>
        <w:rPr/>
        <w:t>标准限值</w:t>
      </w:r>
    </w:p>
    <w:p>
      <w:pPr>
        <w:spacing w:after="0"/>
        <w:sectPr>
          <w:pgSz w:w="11910" w:h="16840"/>
          <w:pgMar w:header="0" w:footer="1089" w:top="1540" w:bottom="1360" w:left="1200" w:right="1120"/>
        </w:sectPr>
      </w:pPr>
    </w:p>
    <w:p>
      <w:pPr>
        <w:pStyle w:val="BodyText"/>
        <w:spacing w:before="66"/>
        <w:ind w:left="696"/>
      </w:pPr>
      <w:r>
        <w:rPr/>
        <w:t>监测时间：每年进行 </w:t>
      </w:r>
      <w:r>
        <w:rPr>
          <w:rFonts w:ascii="Times New Roman" w:eastAsia="Times New Roman"/>
        </w:rPr>
        <w:t>2 </w:t>
      </w:r>
      <w:r>
        <w:rPr/>
        <w:t>次监测</w:t>
      </w:r>
    </w:p>
    <w:p>
      <w:pPr>
        <w:pStyle w:val="BodyText"/>
        <w:spacing w:before="158"/>
        <w:ind w:left="215"/>
      </w:pPr>
      <w:r>
        <w:rPr>
          <w:rFonts w:ascii="Times New Roman" w:eastAsia="Times New Roman"/>
        </w:rPr>
        <w:t>6</w:t>
      </w:r>
      <w:r>
        <w:rPr/>
        <w:t>、水污染源监测</w:t>
      </w:r>
    </w:p>
    <w:p>
      <w:pPr>
        <w:pStyle w:val="BodyText"/>
        <w:spacing w:line="362" w:lineRule="auto" w:before="160"/>
        <w:ind w:left="696" w:right="2889"/>
      </w:pPr>
      <w:r>
        <w:rPr/>
        <w:t>监测点位：污水处理站和矿井水处理站进水口、出水口。监测项目：</w:t>
      </w:r>
    </w:p>
    <w:p>
      <w:pPr>
        <w:pStyle w:val="ListParagraph"/>
        <w:numPr>
          <w:ilvl w:val="0"/>
          <w:numId w:val="75"/>
        </w:numPr>
        <w:tabs>
          <w:tab w:pos="1297" w:val="left" w:leader="none"/>
        </w:tabs>
        <w:spacing w:line="240" w:lineRule="auto" w:before="2" w:after="0"/>
        <w:ind w:left="1297" w:right="0" w:hanging="601"/>
        <w:jc w:val="left"/>
        <w:rPr>
          <w:sz w:val="24"/>
        </w:rPr>
      </w:pPr>
      <w:r>
        <w:rPr>
          <w:position w:val="2"/>
          <w:sz w:val="24"/>
        </w:rPr>
        <w:t>生活污水：</w:t>
      </w:r>
      <w:r>
        <w:rPr>
          <w:rFonts w:ascii="Times New Roman" w:eastAsia="Times New Roman"/>
          <w:position w:val="2"/>
          <w:sz w:val="24"/>
        </w:rPr>
        <w:t>COD</w:t>
      </w:r>
      <w:r>
        <w:rPr>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position w:val="2"/>
          <w:sz w:val="24"/>
          <w:vertAlign w:val="baseline"/>
        </w:rPr>
        <w:t>、氨氮、动植物油、大肠菌群、阴离子表面活性剂</w:t>
      </w:r>
    </w:p>
    <w:p>
      <w:pPr>
        <w:pStyle w:val="ListParagraph"/>
        <w:numPr>
          <w:ilvl w:val="0"/>
          <w:numId w:val="75"/>
        </w:numPr>
        <w:tabs>
          <w:tab w:pos="1297" w:val="left" w:leader="none"/>
        </w:tabs>
        <w:spacing w:line="364" w:lineRule="auto" w:before="157" w:after="0"/>
        <w:ind w:left="215" w:right="236" w:firstLine="480"/>
        <w:jc w:val="left"/>
        <w:rPr>
          <w:sz w:val="24"/>
        </w:rPr>
      </w:pPr>
      <w:r>
        <w:rPr>
          <w:sz w:val="24"/>
        </w:rPr>
        <w:t>矿井涌水：</w:t>
      </w:r>
      <w:r>
        <w:rPr>
          <w:rFonts w:ascii="Times New Roman" w:eastAsia="Times New Roman"/>
          <w:sz w:val="24"/>
        </w:rPr>
        <w:t>PH</w:t>
      </w:r>
      <w:r>
        <w:rPr>
          <w:sz w:val="24"/>
        </w:rPr>
        <w:t>、悬浮物、</w:t>
      </w:r>
      <w:r>
        <w:rPr>
          <w:rFonts w:ascii="Times New Roman" w:eastAsia="Times New Roman"/>
          <w:sz w:val="24"/>
        </w:rPr>
        <w:t>BOD</w:t>
      </w:r>
      <w:r>
        <w:rPr>
          <w:sz w:val="24"/>
        </w:rPr>
        <w:t>、</w:t>
      </w:r>
      <w:r>
        <w:rPr>
          <w:rFonts w:ascii="Times New Roman" w:eastAsia="Times New Roman"/>
          <w:sz w:val="24"/>
        </w:rPr>
        <w:t>COD</w:t>
      </w:r>
      <w:r>
        <w:rPr>
          <w:sz w:val="24"/>
        </w:rPr>
        <w:t>、石油类、挥发性酚类、氟化物、硫化物、氨氮等</w:t>
      </w:r>
    </w:p>
    <w:p>
      <w:pPr>
        <w:pStyle w:val="BodyText"/>
        <w:spacing w:line="362" w:lineRule="auto" w:before="1"/>
        <w:ind w:left="215" w:right="238" w:firstLine="480"/>
      </w:pPr>
      <w:r>
        <w:rPr/>
        <w:t>执行标准：《污水综合排放标准》（</w:t>
      </w:r>
      <w:r>
        <w:rPr>
          <w:rFonts w:ascii="Times New Roman" w:eastAsia="Times New Roman"/>
        </w:rPr>
        <w:t>GB8978-1996</w:t>
      </w:r>
      <w:r>
        <w:rPr/>
        <w:t>）二级标准和《煤炭工业污染物排放标准》（</w:t>
      </w:r>
      <w:r>
        <w:rPr>
          <w:rFonts w:ascii="Times New Roman" w:eastAsia="Times New Roman"/>
        </w:rPr>
        <w:t>GB20426-2006</w:t>
      </w:r>
      <w:r>
        <w:rPr/>
        <w:t>）表 </w:t>
      </w:r>
      <w:r>
        <w:rPr>
          <w:rFonts w:ascii="Times New Roman" w:eastAsia="Times New Roman"/>
        </w:rPr>
        <w:t>1</w:t>
      </w:r>
      <w:r>
        <w:rPr/>
        <w:t>、</w:t>
      </w:r>
      <w:r>
        <w:rPr>
          <w:rFonts w:ascii="Times New Roman" w:eastAsia="Times New Roman"/>
        </w:rPr>
        <w:t>2 </w:t>
      </w:r>
      <w:r>
        <w:rPr/>
        <w:t>标准限值</w:t>
      </w:r>
    </w:p>
    <w:p>
      <w:pPr>
        <w:pStyle w:val="BodyText"/>
        <w:spacing w:before="3"/>
        <w:ind w:left="696"/>
      </w:pPr>
      <w:r>
        <w:rPr/>
        <w:t>监测时间：生活污水根据需要不定期监测，矿井涌水每年进行 </w:t>
      </w:r>
      <w:r>
        <w:rPr>
          <w:rFonts w:ascii="Times New Roman" w:eastAsia="Times New Roman"/>
        </w:rPr>
        <w:t>2 </w:t>
      </w:r>
      <w:r>
        <w:rPr/>
        <w:t>次监测</w:t>
      </w:r>
    </w:p>
    <w:p>
      <w:pPr>
        <w:pStyle w:val="BodyText"/>
        <w:spacing w:before="160"/>
        <w:ind w:left="215"/>
      </w:pPr>
      <w:r>
        <w:rPr>
          <w:rFonts w:ascii="Times New Roman" w:eastAsia="Times New Roman"/>
        </w:rPr>
        <w:t>7</w:t>
      </w:r>
      <w:r>
        <w:rPr/>
        <w:t>、噪声源监测</w:t>
      </w:r>
    </w:p>
    <w:p>
      <w:pPr>
        <w:pStyle w:val="BodyText"/>
        <w:spacing w:before="158"/>
        <w:ind w:left="696"/>
        <w:rPr>
          <w:rFonts w:ascii="Times New Roman" w:eastAsia="Times New Roman"/>
        </w:rPr>
      </w:pPr>
      <w:r>
        <w:rPr/>
        <w:t>监测点位：工业场地四周厂界外 </w:t>
      </w:r>
      <w:r>
        <w:rPr>
          <w:rFonts w:ascii="Times New Roman" w:eastAsia="Times New Roman"/>
        </w:rPr>
        <w:t>1m</w:t>
      </w:r>
    </w:p>
    <w:p>
      <w:pPr>
        <w:pStyle w:val="BodyText"/>
        <w:spacing w:before="161"/>
        <w:ind w:left="696"/>
      </w:pPr>
      <w:r>
        <w:rPr/>
        <w:t>监测项目：噪声等效连续 </w:t>
      </w:r>
      <w:r>
        <w:rPr>
          <w:rFonts w:ascii="Times New Roman" w:eastAsia="Times New Roman"/>
        </w:rPr>
        <w:t>A </w:t>
      </w:r>
      <w:r>
        <w:rPr/>
        <w:t>声级</w:t>
      </w:r>
    </w:p>
    <w:p>
      <w:pPr>
        <w:pStyle w:val="BodyText"/>
        <w:spacing w:before="160"/>
        <w:ind w:left="696"/>
      </w:pPr>
      <w:r>
        <w:rPr/>
        <w:t>执行标准：《工业企业厂界环境噪声排放标准》（</w:t>
      </w:r>
      <w:r>
        <w:rPr>
          <w:rFonts w:ascii="Times New Roman" w:eastAsia="Times New Roman"/>
        </w:rPr>
        <w:t>GB12348-2008</w:t>
      </w:r>
      <w:r>
        <w:rPr/>
        <w:t>）的 </w:t>
      </w:r>
      <w:r>
        <w:rPr>
          <w:rFonts w:ascii="Times New Roman" w:eastAsia="Times New Roman"/>
        </w:rPr>
        <w:t>2 </w:t>
      </w:r>
      <w:r>
        <w:rPr/>
        <w:t>类标准</w:t>
      </w:r>
    </w:p>
    <w:p>
      <w:pPr>
        <w:pStyle w:val="BodyText"/>
        <w:spacing w:before="159"/>
        <w:ind w:left="696"/>
      </w:pPr>
      <w:r>
        <w:rPr/>
        <w:t>监测时间：每年进行 </w:t>
      </w:r>
      <w:r>
        <w:rPr>
          <w:rFonts w:ascii="Times New Roman" w:eastAsia="Times New Roman"/>
        </w:rPr>
        <w:t>2 </w:t>
      </w:r>
      <w:r>
        <w:rPr/>
        <w:t>次监测</w:t>
      </w:r>
    </w:p>
    <w:p>
      <w:pPr>
        <w:pStyle w:val="BodyText"/>
        <w:spacing w:line="362" w:lineRule="auto" w:before="160"/>
        <w:ind w:left="215" w:right="238" w:firstLine="480"/>
      </w:pPr>
      <w:r>
        <w:rPr/>
        <w:t>综合以上各专题监测计划，运行期环境监测内容及计划详见下表。具体监测时间、频率、点位服从当地环保部门的规定和要求。</w:t>
      </w:r>
    </w:p>
    <w:p>
      <w:pPr>
        <w:pStyle w:val="Heading4"/>
        <w:spacing w:before="5"/>
        <w:ind w:left="3540"/>
      </w:pPr>
      <w:r>
        <w:rPr/>
        <w:t>表 </w:t>
      </w:r>
      <w:r>
        <w:rPr>
          <w:rFonts w:ascii="Times New Roman" w:eastAsia="Times New Roman"/>
        </w:rPr>
        <w:t>13.4-1 </w:t>
      </w:r>
      <w:r>
        <w:rPr/>
        <w:t>环境监测计划</w:t>
      </w:r>
    </w:p>
    <w:p>
      <w:pPr>
        <w:pStyle w:val="BodyText"/>
        <w:spacing w:before="4"/>
        <w:rPr>
          <w:b/>
          <w:sz w:val="1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4"/>
        <w:gridCol w:w="673"/>
        <w:gridCol w:w="1114"/>
        <w:gridCol w:w="5827"/>
        <w:gridCol w:w="1082"/>
      </w:tblGrid>
      <w:tr>
        <w:trPr>
          <w:trHeight w:val="408" w:hRule="atLeast"/>
        </w:trPr>
        <w:tc>
          <w:tcPr>
            <w:tcW w:w="644" w:type="dxa"/>
          </w:tcPr>
          <w:p>
            <w:pPr>
              <w:pStyle w:val="TableParagraph"/>
              <w:spacing w:line="268" w:lineRule="exact"/>
              <w:ind w:left="90" w:right="84"/>
              <w:rPr>
                <w:sz w:val="21"/>
              </w:rPr>
            </w:pPr>
            <w:r>
              <w:rPr>
                <w:sz w:val="21"/>
              </w:rPr>
              <w:t>序号</w:t>
            </w:r>
          </w:p>
        </w:tc>
        <w:tc>
          <w:tcPr>
            <w:tcW w:w="1787" w:type="dxa"/>
            <w:gridSpan w:val="2"/>
          </w:tcPr>
          <w:p>
            <w:pPr>
              <w:pStyle w:val="TableParagraph"/>
              <w:spacing w:line="268" w:lineRule="exact"/>
              <w:ind w:left="473"/>
              <w:jc w:val="left"/>
              <w:rPr>
                <w:sz w:val="21"/>
              </w:rPr>
            </w:pPr>
            <w:r>
              <w:rPr>
                <w:sz w:val="21"/>
              </w:rPr>
              <w:t>监测项目</w:t>
            </w:r>
          </w:p>
        </w:tc>
        <w:tc>
          <w:tcPr>
            <w:tcW w:w="5827" w:type="dxa"/>
          </w:tcPr>
          <w:p>
            <w:pPr>
              <w:pStyle w:val="TableParagraph"/>
              <w:spacing w:line="268" w:lineRule="exact"/>
              <w:ind w:left="2262" w:right="2254"/>
              <w:rPr>
                <w:sz w:val="21"/>
              </w:rPr>
            </w:pPr>
            <w:r>
              <w:rPr>
                <w:sz w:val="21"/>
              </w:rPr>
              <w:t>主要技术要求</w:t>
            </w:r>
          </w:p>
        </w:tc>
        <w:tc>
          <w:tcPr>
            <w:tcW w:w="1082" w:type="dxa"/>
          </w:tcPr>
          <w:p>
            <w:pPr>
              <w:pStyle w:val="TableParagraph"/>
              <w:spacing w:line="268" w:lineRule="exact"/>
              <w:ind w:left="99" w:right="91"/>
              <w:rPr>
                <w:sz w:val="21"/>
              </w:rPr>
            </w:pPr>
            <w:r>
              <w:rPr>
                <w:sz w:val="21"/>
              </w:rPr>
              <w:t>监督机构</w:t>
            </w:r>
          </w:p>
        </w:tc>
      </w:tr>
      <w:tr>
        <w:trPr>
          <w:trHeight w:val="1090" w:hRule="atLeast"/>
        </w:trPr>
        <w:tc>
          <w:tcPr>
            <w:tcW w:w="644" w:type="dxa"/>
          </w:tcPr>
          <w:p>
            <w:pPr>
              <w:pStyle w:val="TableParagraph"/>
              <w:jc w:val="left"/>
              <w:rPr>
                <w:b/>
                <w:sz w:val="22"/>
              </w:rPr>
            </w:pPr>
          </w:p>
          <w:p>
            <w:pPr>
              <w:pStyle w:val="TableParagraph"/>
              <w:spacing w:before="141"/>
              <w:ind w:left="5"/>
              <w:rPr>
                <w:rFonts w:ascii="Times New Roman"/>
                <w:sz w:val="21"/>
              </w:rPr>
            </w:pPr>
            <w:r>
              <w:rPr>
                <w:rFonts w:ascii="Times New Roman"/>
                <w:w w:val="99"/>
                <w:sz w:val="21"/>
              </w:rPr>
              <w:t>1</w:t>
            </w:r>
          </w:p>
        </w:tc>
        <w:tc>
          <w:tcPr>
            <w:tcW w:w="673"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25"/>
              </w:rPr>
            </w:pPr>
          </w:p>
          <w:p>
            <w:pPr>
              <w:pStyle w:val="TableParagraph"/>
              <w:spacing w:line="242" w:lineRule="auto"/>
              <w:ind w:left="125" w:right="118"/>
              <w:jc w:val="left"/>
              <w:rPr>
                <w:sz w:val="21"/>
              </w:rPr>
            </w:pPr>
            <w:r>
              <w:rPr>
                <w:sz w:val="21"/>
              </w:rPr>
              <w:t>生态环境</w:t>
            </w:r>
          </w:p>
        </w:tc>
        <w:tc>
          <w:tcPr>
            <w:tcW w:w="1114" w:type="dxa"/>
          </w:tcPr>
          <w:p>
            <w:pPr>
              <w:pStyle w:val="TableParagraph"/>
              <w:spacing w:before="3"/>
              <w:jc w:val="left"/>
              <w:rPr>
                <w:b/>
                <w:sz w:val="21"/>
              </w:rPr>
            </w:pPr>
          </w:p>
          <w:p>
            <w:pPr>
              <w:pStyle w:val="TableParagraph"/>
              <w:spacing w:line="244" w:lineRule="auto"/>
              <w:ind w:left="347" w:right="128" w:hanging="212"/>
              <w:jc w:val="left"/>
              <w:rPr>
                <w:sz w:val="21"/>
              </w:rPr>
            </w:pPr>
            <w:r>
              <w:rPr>
                <w:sz w:val="21"/>
              </w:rPr>
              <w:t>施工现场清理</w:t>
            </w:r>
          </w:p>
        </w:tc>
        <w:tc>
          <w:tcPr>
            <w:tcW w:w="5827" w:type="dxa"/>
          </w:tcPr>
          <w:p>
            <w:pPr>
              <w:pStyle w:val="TableParagraph"/>
              <w:numPr>
                <w:ilvl w:val="0"/>
                <w:numId w:val="76"/>
              </w:numPr>
              <w:tabs>
                <w:tab w:pos="266" w:val="left" w:leader="none"/>
              </w:tabs>
              <w:spacing w:line="242" w:lineRule="auto" w:before="1" w:after="0"/>
              <w:ind w:left="106" w:right="96" w:firstLine="0"/>
              <w:jc w:val="left"/>
              <w:rPr>
                <w:sz w:val="21"/>
              </w:rPr>
            </w:pPr>
            <w:r>
              <w:rPr>
                <w:spacing w:val="-1"/>
                <w:w w:val="95"/>
                <w:sz w:val="21"/>
              </w:rPr>
              <w:t>监测项目：施工结束后，施工现场的弃土、石、渣等固废处 </w:t>
            </w:r>
            <w:r>
              <w:rPr>
                <w:spacing w:val="-1"/>
                <w:sz w:val="21"/>
              </w:rPr>
              <w:t>理和生态环境恢复情况。</w:t>
            </w:r>
          </w:p>
          <w:p>
            <w:pPr>
              <w:pStyle w:val="TableParagraph"/>
              <w:numPr>
                <w:ilvl w:val="0"/>
                <w:numId w:val="76"/>
              </w:numPr>
              <w:tabs>
                <w:tab w:pos="266" w:val="left" w:leader="none"/>
              </w:tabs>
              <w:spacing w:line="240" w:lineRule="auto" w:before="1" w:after="0"/>
              <w:ind w:left="265" w:right="0" w:hanging="160"/>
              <w:jc w:val="left"/>
              <w:rPr>
                <w:sz w:val="21"/>
              </w:rPr>
            </w:pPr>
            <w:r>
              <w:rPr>
                <w:spacing w:val="-5"/>
                <w:sz w:val="21"/>
              </w:rPr>
              <w:t>监测频率：施工结束后 </w:t>
            </w:r>
            <w:r>
              <w:rPr>
                <w:rFonts w:ascii="Times New Roman" w:eastAsia="Times New Roman"/>
                <w:sz w:val="21"/>
              </w:rPr>
              <w:t>1</w:t>
            </w:r>
            <w:r>
              <w:rPr>
                <w:rFonts w:ascii="Times New Roman" w:eastAsia="Times New Roman"/>
                <w:spacing w:val="-1"/>
                <w:sz w:val="21"/>
              </w:rPr>
              <w:t> </w:t>
            </w:r>
            <w:r>
              <w:rPr>
                <w:sz w:val="21"/>
              </w:rPr>
              <w:t>次。</w:t>
            </w:r>
          </w:p>
          <w:p>
            <w:pPr>
              <w:pStyle w:val="TableParagraph"/>
              <w:numPr>
                <w:ilvl w:val="0"/>
                <w:numId w:val="76"/>
              </w:numPr>
              <w:tabs>
                <w:tab w:pos="266" w:val="left" w:leader="none"/>
              </w:tabs>
              <w:spacing w:line="253" w:lineRule="exact" w:before="2" w:after="0"/>
              <w:ind w:left="265" w:right="0" w:hanging="160"/>
              <w:jc w:val="left"/>
              <w:rPr>
                <w:sz w:val="21"/>
              </w:rPr>
            </w:pPr>
            <w:r>
              <w:rPr>
                <w:sz w:val="21"/>
              </w:rPr>
              <w:t>监测点：各施工区。</w:t>
            </w:r>
          </w:p>
        </w:tc>
        <w:tc>
          <w:tcPr>
            <w:tcW w:w="1082" w:type="dxa"/>
          </w:tcPr>
          <w:p>
            <w:pPr>
              <w:pStyle w:val="TableParagraph"/>
              <w:spacing w:line="242" w:lineRule="auto" w:before="135"/>
              <w:ind w:left="121" w:right="110"/>
              <w:rPr>
                <w:sz w:val="21"/>
              </w:rPr>
            </w:pPr>
            <w:r>
              <w:rPr>
                <w:sz w:val="21"/>
              </w:rPr>
              <w:t>双鸭山市生态环境局</w:t>
            </w:r>
          </w:p>
        </w:tc>
      </w:tr>
      <w:tr>
        <w:trPr>
          <w:trHeight w:val="1633" w:hRule="atLeast"/>
        </w:trPr>
        <w:tc>
          <w:tcPr>
            <w:tcW w:w="644" w:type="dxa"/>
          </w:tcPr>
          <w:p>
            <w:pPr>
              <w:pStyle w:val="TableParagraph"/>
              <w:jc w:val="left"/>
              <w:rPr>
                <w:b/>
                <w:sz w:val="22"/>
              </w:rPr>
            </w:pPr>
          </w:p>
          <w:p>
            <w:pPr>
              <w:pStyle w:val="TableParagraph"/>
              <w:spacing w:before="4"/>
              <w:jc w:val="left"/>
              <w:rPr>
                <w:b/>
                <w:sz w:val="32"/>
              </w:rPr>
            </w:pPr>
          </w:p>
          <w:p>
            <w:pPr>
              <w:pStyle w:val="TableParagraph"/>
              <w:ind w:left="5"/>
              <w:rPr>
                <w:rFonts w:ascii="Times New Roman"/>
                <w:sz w:val="21"/>
              </w:rPr>
            </w:pPr>
            <w:r>
              <w:rPr>
                <w:rFonts w:ascii="Times New Roman"/>
                <w:w w:val="99"/>
                <w:sz w:val="21"/>
              </w:rPr>
              <w:t>2</w:t>
            </w:r>
          </w:p>
        </w:tc>
        <w:tc>
          <w:tcPr>
            <w:tcW w:w="673" w:type="dxa"/>
            <w:vMerge/>
            <w:tcBorders>
              <w:top w:val="nil"/>
            </w:tcBorders>
          </w:tcPr>
          <w:p>
            <w:pPr>
              <w:rPr>
                <w:sz w:val="2"/>
                <w:szCs w:val="2"/>
              </w:rPr>
            </w:pPr>
          </w:p>
        </w:tc>
        <w:tc>
          <w:tcPr>
            <w:tcW w:w="1114" w:type="dxa"/>
          </w:tcPr>
          <w:p>
            <w:pPr>
              <w:pStyle w:val="TableParagraph"/>
              <w:jc w:val="left"/>
              <w:rPr>
                <w:b/>
                <w:sz w:val="20"/>
              </w:rPr>
            </w:pPr>
          </w:p>
          <w:p>
            <w:pPr>
              <w:pStyle w:val="TableParagraph"/>
              <w:jc w:val="left"/>
              <w:rPr>
                <w:b/>
                <w:sz w:val="20"/>
              </w:rPr>
            </w:pPr>
          </w:p>
          <w:p>
            <w:pPr>
              <w:pStyle w:val="TableParagraph"/>
              <w:spacing w:before="167"/>
              <w:ind w:left="115" w:right="109"/>
              <w:rPr>
                <w:sz w:val="21"/>
              </w:rPr>
            </w:pPr>
            <w:r>
              <w:rPr>
                <w:sz w:val="21"/>
              </w:rPr>
              <w:t>土壤侵蚀</w:t>
            </w:r>
          </w:p>
        </w:tc>
        <w:tc>
          <w:tcPr>
            <w:tcW w:w="5827" w:type="dxa"/>
          </w:tcPr>
          <w:p>
            <w:pPr>
              <w:pStyle w:val="TableParagraph"/>
              <w:numPr>
                <w:ilvl w:val="0"/>
                <w:numId w:val="77"/>
              </w:numPr>
              <w:tabs>
                <w:tab w:pos="266" w:val="left" w:leader="none"/>
              </w:tabs>
              <w:spacing w:line="240" w:lineRule="auto" w:before="0" w:after="0"/>
              <w:ind w:left="265" w:right="0" w:hanging="160"/>
              <w:jc w:val="left"/>
              <w:rPr>
                <w:sz w:val="21"/>
              </w:rPr>
            </w:pPr>
            <w:r>
              <w:rPr>
                <w:sz w:val="21"/>
              </w:rPr>
              <w:t>监测项目：土壤侵蚀类型、侵蚀量。</w:t>
            </w:r>
          </w:p>
          <w:p>
            <w:pPr>
              <w:pStyle w:val="TableParagraph"/>
              <w:numPr>
                <w:ilvl w:val="0"/>
                <w:numId w:val="77"/>
              </w:numPr>
              <w:tabs>
                <w:tab w:pos="266" w:val="left" w:leader="none"/>
              </w:tabs>
              <w:spacing w:line="240" w:lineRule="auto" w:before="2" w:after="0"/>
              <w:ind w:left="265" w:right="0" w:hanging="160"/>
              <w:jc w:val="left"/>
              <w:rPr>
                <w:sz w:val="21"/>
              </w:rPr>
            </w:pPr>
            <w:r>
              <w:rPr>
                <w:spacing w:val="-7"/>
                <w:sz w:val="21"/>
              </w:rPr>
              <w:t>监测频率：每年 </w:t>
            </w:r>
            <w:r>
              <w:rPr>
                <w:rFonts w:ascii="Times New Roman" w:eastAsia="Times New Roman"/>
                <w:sz w:val="21"/>
              </w:rPr>
              <w:t>1</w:t>
            </w:r>
            <w:r>
              <w:rPr>
                <w:rFonts w:ascii="Times New Roman" w:eastAsia="Times New Roman"/>
                <w:spacing w:val="1"/>
                <w:sz w:val="21"/>
              </w:rPr>
              <w:t> </w:t>
            </w:r>
            <w:r>
              <w:rPr>
                <w:sz w:val="21"/>
              </w:rPr>
              <w:t>次。</w:t>
            </w:r>
          </w:p>
          <w:p>
            <w:pPr>
              <w:pStyle w:val="TableParagraph"/>
              <w:numPr>
                <w:ilvl w:val="0"/>
                <w:numId w:val="77"/>
              </w:numPr>
              <w:tabs>
                <w:tab w:pos="266" w:val="left" w:leader="none"/>
              </w:tabs>
              <w:spacing w:line="240" w:lineRule="auto" w:before="5" w:after="0"/>
              <w:ind w:left="265" w:right="0" w:hanging="160"/>
              <w:jc w:val="left"/>
              <w:rPr>
                <w:sz w:val="21"/>
              </w:rPr>
            </w:pPr>
            <w:r>
              <w:rPr>
                <w:spacing w:val="-6"/>
                <w:sz w:val="21"/>
              </w:rPr>
              <w:t>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w:t>
            </w:r>
            <w:r>
              <w:rPr>
                <w:sz w:val="21"/>
              </w:rPr>
              <w:t>个代表点。</w:t>
            </w:r>
          </w:p>
          <w:p>
            <w:pPr>
              <w:pStyle w:val="TableParagraph"/>
              <w:numPr>
                <w:ilvl w:val="0"/>
                <w:numId w:val="77"/>
              </w:numPr>
              <w:tabs>
                <w:tab w:pos="266" w:val="left" w:leader="none"/>
              </w:tabs>
              <w:spacing w:line="240" w:lineRule="auto" w:before="2" w:after="0"/>
              <w:ind w:left="265" w:right="0" w:hanging="160"/>
              <w:jc w:val="left"/>
              <w:rPr>
                <w:sz w:val="21"/>
              </w:rPr>
            </w:pPr>
            <w:r>
              <w:rPr>
                <w:sz w:val="21"/>
              </w:rPr>
              <w:t>监测方法：定期观察。</w:t>
            </w:r>
          </w:p>
          <w:p>
            <w:pPr>
              <w:pStyle w:val="TableParagraph"/>
              <w:numPr>
                <w:ilvl w:val="0"/>
                <w:numId w:val="77"/>
              </w:numPr>
              <w:tabs>
                <w:tab w:pos="266" w:val="left" w:leader="none"/>
              </w:tabs>
              <w:spacing w:line="270" w:lineRule="atLeast" w:before="4" w:after="0"/>
              <w:ind w:left="106" w:right="91" w:firstLine="0"/>
              <w:jc w:val="left"/>
              <w:rPr>
                <w:sz w:val="21"/>
              </w:rPr>
            </w:pPr>
            <w:r>
              <w:rPr>
                <w:w w:val="95"/>
                <w:sz w:val="21"/>
              </w:rPr>
              <w:t>技术要求：参照水土保持相关规范，采用记录、统计方法， </w:t>
            </w:r>
            <w:r>
              <w:rPr>
                <w:sz w:val="21"/>
              </w:rPr>
              <w:t>形成分析报告。</w:t>
            </w:r>
          </w:p>
        </w:tc>
        <w:tc>
          <w:tcPr>
            <w:tcW w:w="1082" w:type="dxa"/>
          </w:tcPr>
          <w:p>
            <w:pPr>
              <w:pStyle w:val="TableParagraph"/>
              <w:jc w:val="left"/>
              <w:rPr>
                <w:b/>
                <w:sz w:val="20"/>
              </w:rPr>
            </w:pPr>
          </w:p>
          <w:p>
            <w:pPr>
              <w:pStyle w:val="TableParagraph"/>
              <w:spacing w:line="242" w:lineRule="auto" w:before="152"/>
              <w:ind w:left="121" w:right="110"/>
              <w:rPr>
                <w:sz w:val="21"/>
              </w:rPr>
            </w:pPr>
            <w:r>
              <w:rPr>
                <w:sz w:val="21"/>
              </w:rPr>
              <w:t>双鸭山市生态环境局</w:t>
            </w:r>
          </w:p>
        </w:tc>
      </w:tr>
      <w:tr>
        <w:trPr>
          <w:trHeight w:val="1634" w:hRule="atLeast"/>
        </w:trPr>
        <w:tc>
          <w:tcPr>
            <w:tcW w:w="644" w:type="dxa"/>
          </w:tcPr>
          <w:p>
            <w:pPr>
              <w:pStyle w:val="TableParagraph"/>
              <w:jc w:val="left"/>
              <w:rPr>
                <w:b/>
                <w:sz w:val="22"/>
              </w:rPr>
            </w:pPr>
          </w:p>
          <w:p>
            <w:pPr>
              <w:pStyle w:val="TableParagraph"/>
              <w:spacing w:before="4"/>
              <w:jc w:val="left"/>
              <w:rPr>
                <w:b/>
                <w:sz w:val="32"/>
              </w:rPr>
            </w:pPr>
          </w:p>
          <w:p>
            <w:pPr>
              <w:pStyle w:val="TableParagraph"/>
              <w:ind w:left="5"/>
              <w:rPr>
                <w:rFonts w:ascii="Times New Roman"/>
                <w:sz w:val="21"/>
              </w:rPr>
            </w:pPr>
            <w:r>
              <w:rPr>
                <w:rFonts w:ascii="Times New Roman"/>
                <w:w w:val="99"/>
                <w:sz w:val="21"/>
              </w:rPr>
              <w:t>3</w:t>
            </w:r>
          </w:p>
        </w:tc>
        <w:tc>
          <w:tcPr>
            <w:tcW w:w="673" w:type="dxa"/>
            <w:vMerge/>
            <w:tcBorders>
              <w:top w:val="nil"/>
            </w:tcBorders>
          </w:tcPr>
          <w:p>
            <w:pPr>
              <w:rPr>
                <w:sz w:val="2"/>
                <w:szCs w:val="2"/>
              </w:rPr>
            </w:pPr>
          </w:p>
        </w:tc>
        <w:tc>
          <w:tcPr>
            <w:tcW w:w="1114" w:type="dxa"/>
          </w:tcPr>
          <w:p>
            <w:pPr>
              <w:pStyle w:val="TableParagraph"/>
              <w:jc w:val="left"/>
              <w:rPr>
                <w:b/>
                <w:sz w:val="20"/>
              </w:rPr>
            </w:pPr>
          </w:p>
          <w:p>
            <w:pPr>
              <w:pStyle w:val="TableParagraph"/>
              <w:jc w:val="left"/>
              <w:rPr>
                <w:b/>
                <w:sz w:val="20"/>
              </w:rPr>
            </w:pPr>
          </w:p>
          <w:p>
            <w:pPr>
              <w:pStyle w:val="TableParagraph"/>
              <w:spacing w:before="167"/>
              <w:ind w:left="115" w:right="107"/>
              <w:rPr>
                <w:sz w:val="21"/>
              </w:rPr>
            </w:pPr>
            <w:r>
              <w:rPr>
                <w:sz w:val="21"/>
              </w:rPr>
              <w:t>植被</w:t>
            </w:r>
          </w:p>
        </w:tc>
        <w:tc>
          <w:tcPr>
            <w:tcW w:w="5827" w:type="dxa"/>
          </w:tcPr>
          <w:p>
            <w:pPr>
              <w:pStyle w:val="TableParagraph"/>
              <w:numPr>
                <w:ilvl w:val="0"/>
                <w:numId w:val="78"/>
              </w:numPr>
              <w:tabs>
                <w:tab w:pos="266" w:val="left" w:leader="none"/>
              </w:tabs>
              <w:spacing w:line="240" w:lineRule="auto" w:before="0" w:after="0"/>
              <w:ind w:left="265" w:right="-15" w:hanging="160"/>
              <w:jc w:val="left"/>
              <w:rPr>
                <w:sz w:val="21"/>
              </w:rPr>
            </w:pPr>
            <w:r>
              <w:rPr>
                <w:spacing w:val="-10"/>
                <w:w w:val="95"/>
                <w:sz w:val="21"/>
              </w:rPr>
              <w:t>监测项目：植被类型，植物种类、草群高度、盖度、生物量。</w:t>
            </w:r>
          </w:p>
          <w:p>
            <w:pPr>
              <w:pStyle w:val="TableParagraph"/>
              <w:numPr>
                <w:ilvl w:val="0"/>
                <w:numId w:val="78"/>
              </w:numPr>
              <w:tabs>
                <w:tab w:pos="266" w:val="left" w:leader="none"/>
              </w:tabs>
              <w:spacing w:line="240" w:lineRule="auto" w:before="2" w:after="0"/>
              <w:ind w:left="265" w:right="0" w:hanging="160"/>
              <w:jc w:val="left"/>
              <w:rPr>
                <w:sz w:val="21"/>
              </w:rPr>
            </w:pPr>
            <w:r>
              <w:rPr>
                <w:spacing w:val="-7"/>
                <w:sz w:val="21"/>
              </w:rPr>
              <w:t>监测频率：每年 </w:t>
            </w:r>
            <w:r>
              <w:rPr>
                <w:rFonts w:ascii="Times New Roman" w:eastAsia="Times New Roman"/>
                <w:sz w:val="21"/>
              </w:rPr>
              <w:t>1</w:t>
            </w:r>
            <w:r>
              <w:rPr>
                <w:rFonts w:ascii="Times New Roman" w:eastAsia="Times New Roman"/>
                <w:spacing w:val="1"/>
                <w:sz w:val="21"/>
              </w:rPr>
              <w:t> </w:t>
            </w:r>
            <w:r>
              <w:rPr>
                <w:sz w:val="21"/>
              </w:rPr>
              <w:t>次。</w:t>
            </w:r>
          </w:p>
          <w:p>
            <w:pPr>
              <w:pStyle w:val="TableParagraph"/>
              <w:numPr>
                <w:ilvl w:val="0"/>
                <w:numId w:val="78"/>
              </w:numPr>
              <w:tabs>
                <w:tab w:pos="266" w:val="left" w:leader="none"/>
              </w:tabs>
              <w:spacing w:line="240" w:lineRule="auto" w:before="5" w:after="0"/>
              <w:ind w:left="265" w:right="0" w:hanging="160"/>
              <w:jc w:val="left"/>
              <w:rPr>
                <w:sz w:val="21"/>
              </w:rPr>
            </w:pPr>
            <w:r>
              <w:rPr>
                <w:spacing w:val="-6"/>
                <w:sz w:val="21"/>
              </w:rPr>
              <w:t>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w:t>
            </w:r>
            <w:r>
              <w:rPr>
                <w:sz w:val="21"/>
              </w:rPr>
              <w:t>个点。</w:t>
            </w:r>
          </w:p>
          <w:p>
            <w:pPr>
              <w:pStyle w:val="TableParagraph"/>
              <w:numPr>
                <w:ilvl w:val="0"/>
                <w:numId w:val="78"/>
              </w:numPr>
              <w:tabs>
                <w:tab w:pos="266" w:val="left" w:leader="none"/>
              </w:tabs>
              <w:spacing w:line="240" w:lineRule="auto" w:before="2" w:after="0"/>
              <w:ind w:left="265" w:right="0" w:hanging="160"/>
              <w:jc w:val="left"/>
              <w:rPr>
                <w:sz w:val="21"/>
              </w:rPr>
            </w:pPr>
            <w:r>
              <w:rPr>
                <w:sz w:val="21"/>
              </w:rPr>
              <w:t>监测方法：定期观察。</w:t>
            </w:r>
          </w:p>
          <w:p>
            <w:pPr>
              <w:pStyle w:val="TableParagraph"/>
              <w:numPr>
                <w:ilvl w:val="0"/>
                <w:numId w:val="78"/>
              </w:numPr>
              <w:tabs>
                <w:tab w:pos="266" w:val="left" w:leader="none"/>
              </w:tabs>
              <w:spacing w:line="270" w:lineRule="atLeast" w:before="4" w:after="0"/>
              <w:ind w:left="106" w:right="99" w:firstLine="0"/>
              <w:jc w:val="left"/>
              <w:rPr>
                <w:sz w:val="21"/>
              </w:rPr>
            </w:pPr>
            <w:r>
              <w:rPr>
                <w:spacing w:val="-2"/>
                <w:w w:val="95"/>
                <w:sz w:val="21"/>
              </w:rPr>
              <w:t>技术要求：遥感监测和巡查相结合，对监测项目指标变化量 </w:t>
            </w:r>
            <w:r>
              <w:rPr>
                <w:spacing w:val="-2"/>
                <w:sz w:val="21"/>
              </w:rPr>
              <w:t>进行统计，并分析原因。</w:t>
            </w:r>
          </w:p>
        </w:tc>
        <w:tc>
          <w:tcPr>
            <w:tcW w:w="1082" w:type="dxa"/>
          </w:tcPr>
          <w:p>
            <w:pPr>
              <w:pStyle w:val="TableParagraph"/>
              <w:jc w:val="left"/>
              <w:rPr>
                <w:b/>
                <w:sz w:val="20"/>
              </w:rPr>
            </w:pPr>
          </w:p>
          <w:p>
            <w:pPr>
              <w:pStyle w:val="TableParagraph"/>
              <w:spacing w:line="242" w:lineRule="auto" w:before="152"/>
              <w:ind w:left="121" w:right="110"/>
              <w:rPr>
                <w:sz w:val="21"/>
              </w:rPr>
            </w:pPr>
            <w:r>
              <w:rPr>
                <w:sz w:val="21"/>
              </w:rPr>
              <w:t>双鸭山市生态环境局</w:t>
            </w:r>
          </w:p>
        </w:tc>
      </w:tr>
      <w:tr>
        <w:trPr>
          <w:trHeight w:val="405" w:hRule="atLeast"/>
        </w:trPr>
        <w:tc>
          <w:tcPr>
            <w:tcW w:w="644" w:type="dxa"/>
          </w:tcPr>
          <w:p>
            <w:pPr>
              <w:pStyle w:val="TableParagraph"/>
              <w:spacing w:before="81"/>
              <w:ind w:left="5"/>
              <w:rPr>
                <w:rFonts w:ascii="Times New Roman"/>
                <w:sz w:val="21"/>
              </w:rPr>
            </w:pPr>
            <w:r>
              <w:rPr>
                <w:rFonts w:ascii="Times New Roman"/>
                <w:w w:val="99"/>
                <w:sz w:val="21"/>
              </w:rPr>
              <w:t>4</w:t>
            </w:r>
          </w:p>
        </w:tc>
        <w:tc>
          <w:tcPr>
            <w:tcW w:w="673" w:type="dxa"/>
            <w:vMerge/>
            <w:tcBorders>
              <w:top w:val="nil"/>
            </w:tcBorders>
          </w:tcPr>
          <w:p>
            <w:pPr>
              <w:rPr>
                <w:sz w:val="2"/>
                <w:szCs w:val="2"/>
              </w:rPr>
            </w:pPr>
          </w:p>
        </w:tc>
        <w:tc>
          <w:tcPr>
            <w:tcW w:w="1114" w:type="dxa"/>
          </w:tcPr>
          <w:p>
            <w:pPr>
              <w:pStyle w:val="TableParagraph"/>
              <w:spacing w:before="67"/>
              <w:ind w:left="115" w:right="109"/>
              <w:rPr>
                <w:sz w:val="21"/>
              </w:rPr>
            </w:pPr>
            <w:r>
              <w:rPr>
                <w:sz w:val="21"/>
              </w:rPr>
              <w:t>土壤环境</w:t>
            </w:r>
          </w:p>
        </w:tc>
        <w:tc>
          <w:tcPr>
            <w:tcW w:w="5827" w:type="dxa"/>
          </w:tcPr>
          <w:p>
            <w:pPr>
              <w:pStyle w:val="TableParagraph"/>
              <w:spacing w:before="67"/>
              <w:ind w:left="106"/>
              <w:jc w:val="left"/>
              <w:rPr>
                <w:sz w:val="21"/>
              </w:rPr>
            </w:pPr>
            <w:r>
              <w:rPr>
                <w:rFonts w:ascii="Times New Roman" w:eastAsia="Times New Roman"/>
                <w:sz w:val="21"/>
              </w:rPr>
              <w:t>1.</w:t>
            </w:r>
            <w:r>
              <w:rPr>
                <w:sz w:val="21"/>
              </w:rPr>
              <w:t>监测项目：</w:t>
            </w:r>
            <w:r>
              <w:rPr>
                <w:rFonts w:ascii="Times New Roman" w:eastAsia="Times New Roman"/>
                <w:sz w:val="21"/>
              </w:rPr>
              <w:t>pH</w:t>
            </w:r>
            <w:r>
              <w:rPr>
                <w:sz w:val="21"/>
              </w:rPr>
              <w:t>、有机质、全 </w:t>
            </w:r>
            <w:r>
              <w:rPr>
                <w:rFonts w:ascii="Times New Roman" w:eastAsia="Times New Roman"/>
                <w:sz w:val="21"/>
              </w:rPr>
              <w:t>N</w:t>
            </w:r>
            <w:r>
              <w:rPr>
                <w:sz w:val="21"/>
              </w:rPr>
              <w:t>、有效 </w:t>
            </w:r>
            <w:r>
              <w:rPr>
                <w:rFonts w:ascii="Times New Roman" w:eastAsia="Times New Roman"/>
                <w:sz w:val="21"/>
              </w:rPr>
              <w:t>P</w:t>
            </w:r>
            <w:r>
              <w:rPr>
                <w:sz w:val="21"/>
              </w:rPr>
              <w:t>、</w:t>
            </w:r>
            <w:r>
              <w:rPr>
                <w:rFonts w:ascii="Times New Roman" w:eastAsia="Times New Roman"/>
                <w:sz w:val="21"/>
              </w:rPr>
              <w:t>K</w:t>
            </w:r>
            <w:r>
              <w:rPr>
                <w:sz w:val="21"/>
              </w:rPr>
              <w:t>。</w:t>
            </w:r>
          </w:p>
        </w:tc>
        <w:tc>
          <w:tcPr>
            <w:tcW w:w="1082" w:type="dxa"/>
          </w:tcPr>
          <w:p>
            <w:pPr>
              <w:pStyle w:val="TableParagraph"/>
              <w:spacing w:before="67"/>
              <w:ind w:left="100" w:right="91"/>
              <w:rPr>
                <w:sz w:val="21"/>
              </w:rPr>
            </w:pPr>
            <w:r>
              <w:rPr>
                <w:sz w:val="21"/>
              </w:rPr>
              <w:t>双鸭山市</w:t>
            </w:r>
          </w:p>
        </w:tc>
      </w:tr>
    </w:tbl>
    <w:p>
      <w:pPr>
        <w:spacing w:after="0"/>
        <w:rPr>
          <w:sz w:val="21"/>
        </w:rPr>
        <w:sectPr>
          <w:pgSz w:w="11910" w:h="16840"/>
          <w:pgMar w:header="0" w:footer="1089" w:top="1520" w:bottom="1360" w:left="1200" w:right="112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4"/>
        <w:gridCol w:w="673"/>
        <w:gridCol w:w="1114"/>
        <w:gridCol w:w="5827"/>
        <w:gridCol w:w="1082"/>
      </w:tblGrid>
      <w:tr>
        <w:trPr>
          <w:trHeight w:val="1088" w:hRule="atLeast"/>
        </w:trPr>
        <w:tc>
          <w:tcPr>
            <w:tcW w:w="644" w:type="dxa"/>
          </w:tcPr>
          <w:p>
            <w:pPr>
              <w:pStyle w:val="TableParagraph"/>
              <w:jc w:val="left"/>
              <w:rPr>
                <w:rFonts w:ascii="Times New Roman"/>
                <w:sz w:val="20"/>
              </w:rPr>
            </w:pPr>
          </w:p>
        </w:tc>
        <w:tc>
          <w:tcPr>
            <w:tcW w:w="673" w:type="dxa"/>
            <w:vMerge w:val="restart"/>
          </w:tcPr>
          <w:p>
            <w:pPr>
              <w:pStyle w:val="TableParagraph"/>
              <w:jc w:val="left"/>
              <w:rPr>
                <w:rFonts w:ascii="Times New Roman"/>
                <w:sz w:val="20"/>
              </w:rPr>
            </w:pPr>
          </w:p>
        </w:tc>
        <w:tc>
          <w:tcPr>
            <w:tcW w:w="1114" w:type="dxa"/>
          </w:tcPr>
          <w:p>
            <w:pPr>
              <w:pStyle w:val="TableParagraph"/>
              <w:jc w:val="left"/>
              <w:rPr>
                <w:rFonts w:ascii="Times New Roman"/>
                <w:sz w:val="20"/>
              </w:rPr>
            </w:pPr>
          </w:p>
        </w:tc>
        <w:tc>
          <w:tcPr>
            <w:tcW w:w="5827" w:type="dxa"/>
          </w:tcPr>
          <w:p>
            <w:pPr>
              <w:pStyle w:val="TableParagraph"/>
              <w:numPr>
                <w:ilvl w:val="0"/>
                <w:numId w:val="79"/>
              </w:numPr>
              <w:tabs>
                <w:tab w:pos="266" w:val="left" w:leader="none"/>
              </w:tabs>
              <w:spacing w:line="240" w:lineRule="auto" w:before="0" w:after="0"/>
              <w:ind w:left="265" w:right="0" w:hanging="160"/>
              <w:jc w:val="left"/>
              <w:rPr>
                <w:sz w:val="21"/>
              </w:rPr>
            </w:pPr>
            <w:r>
              <w:rPr>
                <w:spacing w:val="-7"/>
                <w:sz w:val="21"/>
              </w:rPr>
              <w:t>监测频率：每年 </w:t>
            </w:r>
            <w:r>
              <w:rPr>
                <w:rFonts w:ascii="Times New Roman" w:eastAsia="Times New Roman"/>
                <w:sz w:val="21"/>
              </w:rPr>
              <w:t>1</w:t>
            </w:r>
            <w:r>
              <w:rPr>
                <w:rFonts w:ascii="Times New Roman" w:eastAsia="Times New Roman"/>
                <w:spacing w:val="1"/>
                <w:sz w:val="21"/>
              </w:rPr>
              <w:t> </w:t>
            </w:r>
            <w:r>
              <w:rPr>
                <w:sz w:val="21"/>
              </w:rPr>
              <w:t>次。</w:t>
            </w:r>
          </w:p>
          <w:p>
            <w:pPr>
              <w:pStyle w:val="TableParagraph"/>
              <w:numPr>
                <w:ilvl w:val="0"/>
                <w:numId w:val="79"/>
              </w:numPr>
              <w:tabs>
                <w:tab w:pos="266" w:val="left" w:leader="none"/>
              </w:tabs>
              <w:spacing w:line="240" w:lineRule="auto" w:before="3" w:after="0"/>
              <w:ind w:left="265" w:right="0" w:hanging="160"/>
              <w:jc w:val="left"/>
              <w:rPr>
                <w:sz w:val="21"/>
              </w:rPr>
            </w:pPr>
            <w:r>
              <w:rPr>
                <w:spacing w:val="-6"/>
                <w:sz w:val="21"/>
              </w:rPr>
              <w:t>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w:t>
            </w:r>
            <w:r>
              <w:rPr>
                <w:sz w:val="21"/>
              </w:rPr>
              <w:t>个点。</w:t>
            </w:r>
          </w:p>
          <w:p>
            <w:pPr>
              <w:pStyle w:val="TableParagraph"/>
              <w:numPr>
                <w:ilvl w:val="0"/>
                <w:numId w:val="79"/>
              </w:numPr>
              <w:tabs>
                <w:tab w:pos="266" w:val="left" w:leader="none"/>
              </w:tabs>
              <w:spacing w:line="240" w:lineRule="auto" w:before="4" w:after="0"/>
              <w:ind w:left="265" w:right="0" w:hanging="160"/>
              <w:jc w:val="left"/>
              <w:rPr>
                <w:sz w:val="21"/>
              </w:rPr>
            </w:pPr>
            <w:r>
              <w:rPr>
                <w:sz w:val="21"/>
              </w:rPr>
              <w:t>监测方法：定期观察。</w:t>
            </w:r>
          </w:p>
          <w:p>
            <w:pPr>
              <w:pStyle w:val="TableParagraph"/>
              <w:numPr>
                <w:ilvl w:val="0"/>
                <w:numId w:val="79"/>
              </w:numPr>
              <w:tabs>
                <w:tab w:pos="266" w:val="left" w:leader="none"/>
              </w:tabs>
              <w:spacing w:line="250" w:lineRule="exact" w:before="5" w:after="0"/>
              <w:ind w:left="265" w:right="-15" w:hanging="160"/>
              <w:jc w:val="left"/>
              <w:rPr>
                <w:sz w:val="21"/>
              </w:rPr>
            </w:pPr>
            <w:r>
              <w:rPr>
                <w:spacing w:val="-12"/>
                <w:w w:val="95"/>
                <w:sz w:val="21"/>
              </w:rPr>
              <w:t>技术要求：定期取样，实验室分析粒径组成，形成分析报告。</w:t>
            </w:r>
          </w:p>
        </w:tc>
        <w:tc>
          <w:tcPr>
            <w:tcW w:w="1082" w:type="dxa"/>
          </w:tcPr>
          <w:p>
            <w:pPr>
              <w:pStyle w:val="TableParagraph"/>
              <w:spacing w:line="242" w:lineRule="auto"/>
              <w:ind w:left="435" w:right="110" w:hanging="315"/>
              <w:jc w:val="left"/>
              <w:rPr>
                <w:sz w:val="21"/>
              </w:rPr>
            </w:pPr>
            <w:r>
              <w:rPr>
                <w:sz w:val="21"/>
              </w:rPr>
              <w:t>生态环境局</w:t>
            </w:r>
          </w:p>
        </w:tc>
      </w:tr>
      <w:tr>
        <w:trPr>
          <w:trHeight w:val="1634" w:hRule="atLeast"/>
        </w:trPr>
        <w:tc>
          <w:tcPr>
            <w:tcW w:w="644" w:type="dxa"/>
          </w:tcPr>
          <w:p>
            <w:pPr>
              <w:pStyle w:val="TableParagraph"/>
              <w:jc w:val="left"/>
              <w:rPr>
                <w:b/>
                <w:sz w:val="22"/>
              </w:rPr>
            </w:pPr>
          </w:p>
          <w:p>
            <w:pPr>
              <w:pStyle w:val="TableParagraph"/>
              <w:spacing w:before="4"/>
              <w:jc w:val="left"/>
              <w:rPr>
                <w:b/>
                <w:sz w:val="32"/>
              </w:rPr>
            </w:pPr>
          </w:p>
          <w:p>
            <w:pPr>
              <w:pStyle w:val="TableParagraph"/>
              <w:ind w:left="5"/>
              <w:rPr>
                <w:rFonts w:ascii="Times New Roman"/>
                <w:sz w:val="21"/>
              </w:rPr>
            </w:pPr>
            <w:r>
              <w:rPr>
                <w:rFonts w:ascii="Times New Roman"/>
                <w:w w:val="99"/>
                <w:sz w:val="21"/>
              </w:rPr>
              <w:t>5</w:t>
            </w:r>
          </w:p>
        </w:tc>
        <w:tc>
          <w:tcPr>
            <w:tcW w:w="673" w:type="dxa"/>
            <w:vMerge/>
            <w:tcBorders>
              <w:top w:val="nil"/>
            </w:tcBorders>
          </w:tcPr>
          <w:p>
            <w:pPr>
              <w:rPr>
                <w:sz w:val="2"/>
                <w:szCs w:val="2"/>
              </w:rPr>
            </w:pPr>
          </w:p>
        </w:tc>
        <w:tc>
          <w:tcPr>
            <w:tcW w:w="1114" w:type="dxa"/>
          </w:tcPr>
          <w:p>
            <w:pPr>
              <w:pStyle w:val="TableParagraph"/>
              <w:jc w:val="left"/>
              <w:rPr>
                <w:b/>
                <w:sz w:val="20"/>
              </w:rPr>
            </w:pPr>
          </w:p>
          <w:p>
            <w:pPr>
              <w:pStyle w:val="TableParagraph"/>
              <w:spacing w:before="7"/>
              <w:jc w:val="left"/>
              <w:rPr>
                <w:b/>
                <w:sz w:val="22"/>
              </w:rPr>
            </w:pPr>
          </w:p>
          <w:p>
            <w:pPr>
              <w:pStyle w:val="TableParagraph"/>
              <w:spacing w:line="242" w:lineRule="auto"/>
              <w:ind w:left="241" w:right="128" w:hanging="106"/>
              <w:jc w:val="left"/>
              <w:rPr>
                <w:sz w:val="21"/>
              </w:rPr>
            </w:pPr>
            <w:r>
              <w:rPr>
                <w:sz w:val="21"/>
              </w:rPr>
              <w:t>建筑物变形情况</w:t>
            </w:r>
          </w:p>
        </w:tc>
        <w:tc>
          <w:tcPr>
            <w:tcW w:w="5827" w:type="dxa"/>
          </w:tcPr>
          <w:p>
            <w:pPr>
              <w:pStyle w:val="TableParagraph"/>
              <w:numPr>
                <w:ilvl w:val="0"/>
                <w:numId w:val="80"/>
              </w:numPr>
              <w:tabs>
                <w:tab w:pos="266" w:val="left" w:leader="none"/>
              </w:tabs>
              <w:spacing w:line="240" w:lineRule="auto" w:before="1" w:after="0"/>
              <w:ind w:left="265" w:right="0" w:hanging="160"/>
              <w:jc w:val="left"/>
              <w:rPr>
                <w:sz w:val="21"/>
              </w:rPr>
            </w:pPr>
            <w:r>
              <w:rPr>
                <w:w w:val="95"/>
                <w:sz w:val="21"/>
              </w:rPr>
              <w:t>监测项目：村民房屋。</w:t>
            </w:r>
          </w:p>
          <w:p>
            <w:pPr>
              <w:pStyle w:val="TableParagraph"/>
              <w:numPr>
                <w:ilvl w:val="0"/>
                <w:numId w:val="80"/>
              </w:numPr>
              <w:tabs>
                <w:tab w:pos="266" w:val="left" w:leader="none"/>
              </w:tabs>
              <w:spacing w:line="240" w:lineRule="auto" w:before="2" w:after="0"/>
              <w:ind w:left="265" w:right="0" w:hanging="160"/>
              <w:jc w:val="left"/>
              <w:rPr>
                <w:sz w:val="21"/>
              </w:rPr>
            </w:pPr>
            <w:r>
              <w:rPr>
                <w:spacing w:val="-8"/>
                <w:sz w:val="21"/>
              </w:rPr>
              <w:t>监测频率：每年 </w:t>
            </w:r>
            <w:r>
              <w:rPr>
                <w:rFonts w:ascii="Times New Roman" w:eastAsia="Times New Roman"/>
                <w:sz w:val="21"/>
              </w:rPr>
              <w:t>1</w:t>
            </w:r>
            <w:r>
              <w:rPr>
                <w:rFonts w:ascii="Times New Roman" w:eastAsia="Times New Roman"/>
                <w:spacing w:val="-3"/>
                <w:sz w:val="21"/>
              </w:rPr>
              <w:t> </w:t>
            </w:r>
            <w:r>
              <w:rPr>
                <w:sz w:val="21"/>
              </w:rPr>
              <w:t>次。</w:t>
            </w:r>
          </w:p>
          <w:p>
            <w:pPr>
              <w:pStyle w:val="TableParagraph"/>
              <w:numPr>
                <w:ilvl w:val="0"/>
                <w:numId w:val="80"/>
              </w:numPr>
              <w:tabs>
                <w:tab w:pos="266" w:val="left" w:leader="none"/>
              </w:tabs>
              <w:spacing w:line="240" w:lineRule="auto" w:before="4" w:after="0"/>
              <w:ind w:left="265" w:right="0" w:hanging="160"/>
              <w:jc w:val="left"/>
              <w:rPr>
                <w:sz w:val="21"/>
              </w:rPr>
            </w:pPr>
            <w:r>
              <w:rPr>
                <w:sz w:val="21"/>
              </w:rPr>
              <w:t>监测点：周边村庄。</w:t>
            </w:r>
          </w:p>
          <w:p>
            <w:pPr>
              <w:pStyle w:val="TableParagraph"/>
              <w:numPr>
                <w:ilvl w:val="0"/>
                <w:numId w:val="80"/>
              </w:numPr>
              <w:tabs>
                <w:tab w:pos="266" w:val="left" w:leader="none"/>
              </w:tabs>
              <w:spacing w:line="240" w:lineRule="auto" w:before="3" w:after="0"/>
              <w:ind w:left="265" w:right="0" w:hanging="160"/>
              <w:jc w:val="left"/>
              <w:rPr>
                <w:sz w:val="21"/>
              </w:rPr>
            </w:pPr>
            <w:r>
              <w:rPr>
                <w:sz w:val="21"/>
              </w:rPr>
              <w:t>监测方法：定期观测。</w:t>
            </w:r>
          </w:p>
          <w:p>
            <w:pPr>
              <w:pStyle w:val="TableParagraph"/>
              <w:numPr>
                <w:ilvl w:val="0"/>
                <w:numId w:val="80"/>
              </w:numPr>
              <w:tabs>
                <w:tab w:pos="266" w:val="left" w:leader="none"/>
              </w:tabs>
              <w:spacing w:line="270" w:lineRule="atLeast" w:before="3" w:after="0"/>
              <w:ind w:left="106" w:right="99" w:firstLine="0"/>
              <w:jc w:val="left"/>
              <w:rPr>
                <w:sz w:val="21"/>
              </w:rPr>
            </w:pPr>
            <w:r>
              <w:rPr>
                <w:spacing w:val="-2"/>
                <w:w w:val="95"/>
                <w:sz w:val="21"/>
              </w:rPr>
              <w:t>技术要求：遥感监测和巡查相结合，对监测项目指标变化量 </w:t>
            </w:r>
            <w:r>
              <w:rPr>
                <w:spacing w:val="-2"/>
                <w:sz w:val="21"/>
              </w:rPr>
              <w:t>进行统计，并分析原因。</w:t>
            </w:r>
          </w:p>
        </w:tc>
        <w:tc>
          <w:tcPr>
            <w:tcW w:w="1082" w:type="dxa"/>
          </w:tcPr>
          <w:p>
            <w:pPr>
              <w:pStyle w:val="TableParagraph"/>
              <w:jc w:val="left"/>
              <w:rPr>
                <w:b/>
                <w:sz w:val="20"/>
              </w:rPr>
            </w:pPr>
          </w:p>
          <w:p>
            <w:pPr>
              <w:pStyle w:val="TableParagraph"/>
              <w:spacing w:line="242" w:lineRule="auto" w:before="152"/>
              <w:ind w:left="121" w:right="110"/>
              <w:rPr>
                <w:sz w:val="21"/>
              </w:rPr>
            </w:pPr>
            <w:r>
              <w:rPr>
                <w:sz w:val="21"/>
              </w:rPr>
              <w:t>双鸭山市生态环境局</w:t>
            </w:r>
          </w:p>
        </w:tc>
      </w:tr>
      <w:tr>
        <w:trPr>
          <w:trHeight w:val="1635" w:hRule="atLeast"/>
        </w:trPr>
        <w:tc>
          <w:tcPr>
            <w:tcW w:w="644" w:type="dxa"/>
          </w:tcPr>
          <w:p>
            <w:pPr>
              <w:pStyle w:val="TableParagraph"/>
              <w:jc w:val="left"/>
              <w:rPr>
                <w:b/>
                <w:sz w:val="22"/>
              </w:rPr>
            </w:pPr>
          </w:p>
          <w:p>
            <w:pPr>
              <w:pStyle w:val="TableParagraph"/>
              <w:spacing w:before="4"/>
              <w:jc w:val="left"/>
              <w:rPr>
                <w:b/>
                <w:sz w:val="32"/>
              </w:rPr>
            </w:pPr>
          </w:p>
          <w:p>
            <w:pPr>
              <w:pStyle w:val="TableParagraph"/>
              <w:ind w:left="5"/>
              <w:rPr>
                <w:rFonts w:ascii="Times New Roman"/>
                <w:sz w:val="21"/>
              </w:rPr>
            </w:pPr>
            <w:r>
              <w:rPr>
                <w:rFonts w:ascii="Times New Roman"/>
                <w:w w:val="99"/>
                <w:sz w:val="21"/>
              </w:rPr>
              <w:t>6</w:t>
            </w:r>
          </w:p>
        </w:tc>
        <w:tc>
          <w:tcPr>
            <w:tcW w:w="673"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14"/>
              </w:rPr>
            </w:pPr>
          </w:p>
          <w:p>
            <w:pPr>
              <w:pStyle w:val="TableParagraph"/>
              <w:spacing w:line="242" w:lineRule="auto"/>
              <w:ind w:left="125" w:right="118"/>
              <w:jc w:val="both"/>
              <w:rPr>
                <w:sz w:val="21"/>
              </w:rPr>
            </w:pPr>
            <w:r>
              <w:rPr>
                <w:sz w:val="21"/>
              </w:rPr>
              <w:t>地下水环境</w:t>
            </w:r>
          </w:p>
        </w:tc>
        <w:tc>
          <w:tcPr>
            <w:tcW w:w="1114" w:type="dxa"/>
          </w:tcPr>
          <w:p>
            <w:pPr>
              <w:pStyle w:val="TableParagraph"/>
              <w:jc w:val="left"/>
              <w:rPr>
                <w:b/>
                <w:sz w:val="20"/>
              </w:rPr>
            </w:pPr>
          </w:p>
          <w:p>
            <w:pPr>
              <w:pStyle w:val="TableParagraph"/>
              <w:jc w:val="left"/>
              <w:rPr>
                <w:b/>
                <w:sz w:val="20"/>
              </w:rPr>
            </w:pPr>
          </w:p>
          <w:p>
            <w:pPr>
              <w:pStyle w:val="TableParagraph"/>
              <w:spacing w:before="167"/>
              <w:ind w:left="347"/>
              <w:jc w:val="left"/>
              <w:rPr>
                <w:sz w:val="21"/>
              </w:rPr>
            </w:pPr>
            <w:r>
              <w:rPr>
                <w:sz w:val="21"/>
              </w:rPr>
              <w:t>水质</w:t>
            </w:r>
          </w:p>
        </w:tc>
        <w:tc>
          <w:tcPr>
            <w:tcW w:w="5827" w:type="dxa"/>
          </w:tcPr>
          <w:p>
            <w:pPr>
              <w:pStyle w:val="TableParagraph"/>
              <w:spacing w:line="64" w:lineRule="exact" w:before="20"/>
              <w:ind w:right="219"/>
              <w:jc w:val="right"/>
              <w:rPr>
                <w:rFonts w:ascii="Times New Roman"/>
                <w:sz w:val="13"/>
              </w:rPr>
            </w:pPr>
            <w:r>
              <w:rPr>
                <w:rFonts w:ascii="Times New Roman"/>
                <w:w w:val="105"/>
                <w:sz w:val="13"/>
              </w:rPr>
              <w:t>2-</w:t>
            </w:r>
          </w:p>
          <w:p>
            <w:pPr>
              <w:pStyle w:val="TableParagraph"/>
              <w:numPr>
                <w:ilvl w:val="0"/>
                <w:numId w:val="81"/>
              </w:numPr>
              <w:tabs>
                <w:tab w:pos="266" w:val="left" w:leader="none"/>
              </w:tabs>
              <w:spacing w:line="187" w:lineRule="exact" w:before="0" w:after="0"/>
              <w:ind w:left="265" w:right="0" w:hanging="160"/>
              <w:jc w:val="left"/>
              <w:rPr>
                <w:sz w:val="21"/>
              </w:rPr>
            </w:pPr>
            <w:r>
              <w:rPr>
                <w:position w:val="2"/>
                <w:sz w:val="21"/>
              </w:rPr>
              <w:t>监测项目：</w:t>
            </w:r>
            <w:r>
              <w:rPr>
                <w:rFonts w:ascii="Times New Roman" w:eastAsia="Times New Roman"/>
                <w:position w:val="2"/>
                <w:sz w:val="21"/>
              </w:rPr>
              <w:t>pH</w:t>
            </w:r>
            <w:r>
              <w:rPr>
                <w:position w:val="2"/>
                <w:sz w:val="21"/>
              </w:rPr>
              <w:t>、总硬度、</w:t>
            </w:r>
            <w:r>
              <w:rPr>
                <w:rFonts w:ascii="Times New Roman" w:eastAsia="Times New Roman"/>
                <w:position w:val="2"/>
                <w:sz w:val="21"/>
              </w:rPr>
              <w:t>TDS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NO</w:t>
            </w:r>
            <w:r>
              <w:rPr>
                <w:rFonts w:ascii="Times New Roman" w:eastAsia="Times New Roman"/>
                <w:position w:val="2"/>
                <w:sz w:val="21"/>
                <w:vertAlign w:val="superscript"/>
              </w:rPr>
              <w:t>3</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perscript"/>
              </w:rPr>
              <w:t>2</w:t>
            </w:r>
            <w:r>
              <w:rPr>
                <w:rFonts w:ascii="Times New Roman" w:eastAsia="Times New Roman"/>
                <w:position w:val="2"/>
                <w:sz w:val="21"/>
                <w:vertAlign w:val="baseline"/>
              </w:rPr>
              <w:t>-</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4</w:t>
            </w:r>
            <w:r>
              <w:rPr>
                <w:rFonts w:ascii="Times New Roman" w:eastAsia="Times New Roman"/>
                <w:spacing w:val="13"/>
                <w:position w:val="2"/>
                <w:sz w:val="21"/>
                <w:vertAlign w:val="baseline"/>
              </w:rPr>
              <w:t> </w:t>
            </w:r>
            <w:r>
              <w:rPr>
                <w:position w:val="2"/>
                <w:sz w:val="21"/>
                <w:vertAlign w:val="baseline"/>
              </w:rPr>
              <w:t>、</w:t>
            </w:r>
          </w:p>
          <w:p>
            <w:pPr>
              <w:pStyle w:val="TableParagraph"/>
              <w:spacing w:line="242" w:lineRule="auto"/>
              <w:ind w:left="106" w:right="89"/>
              <w:jc w:val="left"/>
              <w:rPr>
                <w:sz w:val="21"/>
              </w:rPr>
            </w:pPr>
            <w:r>
              <w:rPr>
                <w:rFonts w:ascii="Times New Roman" w:eastAsia="Times New Roman"/>
                <w:position w:val="2"/>
                <w:sz w:val="21"/>
              </w:rPr>
              <w:t>F</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Cl</w:t>
            </w:r>
            <w:r>
              <w:rPr>
                <w:rFonts w:ascii="Times New Roman" w:eastAsia="Times New Roman"/>
                <w:position w:val="2"/>
                <w:sz w:val="21"/>
                <w:vertAlign w:val="superscript"/>
              </w:rPr>
              <w:t>-</w:t>
            </w:r>
            <w:r>
              <w:rPr>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position w:val="2"/>
                <w:sz w:val="21"/>
                <w:vertAlign w:val="superscript"/>
              </w:rPr>
              <w:t>+</w:t>
            </w:r>
            <w:r>
              <w:rPr>
                <w:position w:val="2"/>
                <w:sz w:val="21"/>
                <w:vertAlign w:val="baseline"/>
              </w:rPr>
              <w:t>、挥发性酚类类、氰化物、</w:t>
            </w:r>
            <w:r>
              <w:rPr>
                <w:rFonts w:ascii="Times New Roman" w:eastAsia="Times New Roman"/>
                <w:position w:val="2"/>
                <w:sz w:val="21"/>
                <w:vertAlign w:val="baseline"/>
              </w:rPr>
              <w:t>Fe</w:t>
            </w:r>
            <w:r>
              <w:rPr>
                <w:position w:val="2"/>
                <w:sz w:val="21"/>
                <w:vertAlign w:val="baseline"/>
              </w:rPr>
              <w:t>、</w:t>
            </w:r>
            <w:r>
              <w:rPr>
                <w:rFonts w:ascii="Times New Roman" w:eastAsia="Times New Roman"/>
                <w:position w:val="2"/>
                <w:sz w:val="21"/>
                <w:vertAlign w:val="baseline"/>
              </w:rPr>
              <w:t>Mn</w:t>
            </w:r>
            <w:r>
              <w:rPr>
                <w:position w:val="2"/>
                <w:sz w:val="21"/>
                <w:vertAlign w:val="baseline"/>
              </w:rPr>
              <w:t>、</w:t>
            </w:r>
            <w:r>
              <w:rPr>
                <w:rFonts w:ascii="Times New Roman" w:eastAsia="Times New Roman"/>
                <w:position w:val="2"/>
                <w:sz w:val="21"/>
                <w:vertAlign w:val="baseline"/>
              </w:rPr>
              <w:t>Pb</w:t>
            </w:r>
            <w:r>
              <w:rPr>
                <w:position w:val="2"/>
                <w:sz w:val="21"/>
                <w:vertAlign w:val="baseline"/>
              </w:rPr>
              <w:t>、</w:t>
            </w:r>
            <w:r>
              <w:rPr>
                <w:rFonts w:ascii="Times New Roman" w:eastAsia="Times New Roman"/>
                <w:position w:val="2"/>
                <w:sz w:val="21"/>
                <w:vertAlign w:val="baseline"/>
              </w:rPr>
              <w:t>As</w:t>
            </w:r>
            <w:r>
              <w:rPr>
                <w:position w:val="2"/>
                <w:sz w:val="21"/>
                <w:vertAlign w:val="baseline"/>
              </w:rPr>
              <w:t>、</w:t>
            </w:r>
            <w:r>
              <w:rPr>
                <w:rFonts w:ascii="Times New Roman" w:eastAsia="Times New Roman"/>
                <w:sz w:val="21"/>
                <w:vertAlign w:val="baseline"/>
              </w:rPr>
              <w:t>Hg</w:t>
            </w:r>
            <w:r>
              <w:rPr>
                <w:sz w:val="21"/>
                <w:vertAlign w:val="baseline"/>
              </w:rPr>
              <w:t>、</w:t>
            </w:r>
            <w:r>
              <w:rPr>
                <w:rFonts w:ascii="Times New Roman" w:eastAsia="Times New Roman"/>
                <w:sz w:val="21"/>
                <w:vertAlign w:val="baseline"/>
              </w:rPr>
              <w:t>Cd</w:t>
            </w:r>
            <w:r>
              <w:rPr>
                <w:sz w:val="21"/>
                <w:vertAlign w:val="baseline"/>
              </w:rPr>
              <w:t>、</w:t>
            </w:r>
            <w:r>
              <w:rPr>
                <w:rFonts w:ascii="Times New Roman" w:eastAsia="Times New Roman"/>
                <w:sz w:val="21"/>
                <w:vertAlign w:val="baseline"/>
              </w:rPr>
              <w:t>Cr</w:t>
            </w:r>
            <w:r>
              <w:rPr>
                <w:rFonts w:ascii="Times New Roman" w:eastAsia="Times New Roman"/>
                <w:position w:val="7"/>
                <w:sz w:val="13"/>
                <w:vertAlign w:val="baseline"/>
              </w:rPr>
              <w:t>6+</w:t>
            </w:r>
            <w:r>
              <w:rPr>
                <w:sz w:val="21"/>
                <w:vertAlign w:val="baseline"/>
              </w:rPr>
              <w:t>、细菌总数、大肠菌群</w:t>
            </w:r>
          </w:p>
          <w:p>
            <w:pPr>
              <w:pStyle w:val="TableParagraph"/>
              <w:numPr>
                <w:ilvl w:val="0"/>
                <w:numId w:val="81"/>
              </w:numPr>
              <w:tabs>
                <w:tab w:pos="266" w:val="left" w:leader="none"/>
              </w:tabs>
              <w:spacing w:line="267" w:lineRule="exact" w:before="0" w:after="0"/>
              <w:ind w:left="265"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TableParagraph"/>
              <w:numPr>
                <w:ilvl w:val="0"/>
                <w:numId w:val="81"/>
              </w:numPr>
              <w:tabs>
                <w:tab w:pos="266" w:val="left" w:leader="none"/>
              </w:tabs>
              <w:spacing w:line="270" w:lineRule="atLeast" w:before="1" w:after="0"/>
              <w:ind w:left="106" w:right="94" w:firstLine="0"/>
              <w:jc w:val="left"/>
              <w:rPr>
                <w:sz w:val="21"/>
              </w:rPr>
            </w:pPr>
            <w:r>
              <w:rPr>
                <w:w w:val="95"/>
                <w:sz w:val="21"/>
              </w:rPr>
              <w:t>监测点位：水质监测对照井、污染监视监测井、污染扩散监 </w:t>
            </w:r>
            <w:r>
              <w:rPr>
                <w:sz w:val="21"/>
              </w:rPr>
              <w:t>测井。</w:t>
            </w:r>
          </w:p>
        </w:tc>
        <w:tc>
          <w:tcPr>
            <w:tcW w:w="1082" w:type="dxa"/>
          </w:tcPr>
          <w:p>
            <w:pPr>
              <w:pStyle w:val="TableParagraph"/>
              <w:jc w:val="left"/>
              <w:rPr>
                <w:b/>
                <w:sz w:val="20"/>
              </w:rPr>
            </w:pPr>
          </w:p>
          <w:p>
            <w:pPr>
              <w:pStyle w:val="TableParagraph"/>
              <w:spacing w:line="242" w:lineRule="auto" w:before="152"/>
              <w:ind w:left="121" w:right="110"/>
              <w:rPr>
                <w:sz w:val="21"/>
              </w:rPr>
            </w:pPr>
            <w:r>
              <w:rPr>
                <w:sz w:val="21"/>
              </w:rPr>
              <w:t>双鸭山市生态环境局</w:t>
            </w:r>
          </w:p>
        </w:tc>
      </w:tr>
      <w:tr>
        <w:trPr>
          <w:trHeight w:val="1088" w:hRule="atLeast"/>
        </w:trPr>
        <w:tc>
          <w:tcPr>
            <w:tcW w:w="644" w:type="dxa"/>
          </w:tcPr>
          <w:p>
            <w:pPr>
              <w:pStyle w:val="TableParagraph"/>
              <w:spacing w:before="11"/>
              <w:jc w:val="left"/>
              <w:rPr>
                <w:b/>
                <w:sz w:val="32"/>
              </w:rPr>
            </w:pPr>
          </w:p>
          <w:p>
            <w:pPr>
              <w:pStyle w:val="TableParagraph"/>
              <w:spacing w:before="1"/>
              <w:ind w:left="5"/>
              <w:rPr>
                <w:rFonts w:ascii="Times New Roman"/>
                <w:sz w:val="21"/>
              </w:rPr>
            </w:pPr>
            <w:r>
              <w:rPr>
                <w:rFonts w:ascii="Times New Roman"/>
                <w:w w:val="99"/>
                <w:sz w:val="21"/>
              </w:rPr>
              <w:t>7</w:t>
            </w:r>
          </w:p>
        </w:tc>
        <w:tc>
          <w:tcPr>
            <w:tcW w:w="673" w:type="dxa"/>
            <w:vMerge/>
            <w:tcBorders>
              <w:top w:val="nil"/>
            </w:tcBorders>
          </w:tcPr>
          <w:p>
            <w:pPr>
              <w:rPr>
                <w:sz w:val="2"/>
                <w:szCs w:val="2"/>
              </w:rPr>
            </w:pPr>
          </w:p>
        </w:tc>
        <w:tc>
          <w:tcPr>
            <w:tcW w:w="1114" w:type="dxa"/>
          </w:tcPr>
          <w:p>
            <w:pPr>
              <w:pStyle w:val="TableParagraph"/>
              <w:jc w:val="left"/>
              <w:rPr>
                <w:b/>
                <w:sz w:val="20"/>
              </w:rPr>
            </w:pPr>
          </w:p>
          <w:p>
            <w:pPr>
              <w:pStyle w:val="TableParagraph"/>
              <w:spacing w:before="151"/>
              <w:ind w:left="347"/>
              <w:jc w:val="left"/>
              <w:rPr>
                <w:sz w:val="21"/>
              </w:rPr>
            </w:pPr>
            <w:r>
              <w:rPr>
                <w:sz w:val="21"/>
              </w:rPr>
              <w:t>水位</w:t>
            </w:r>
          </w:p>
        </w:tc>
        <w:tc>
          <w:tcPr>
            <w:tcW w:w="5827" w:type="dxa"/>
          </w:tcPr>
          <w:p>
            <w:pPr>
              <w:pStyle w:val="TableParagraph"/>
              <w:numPr>
                <w:ilvl w:val="0"/>
                <w:numId w:val="82"/>
              </w:numPr>
              <w:tabs>
                <w:tab w:pos="266" w:val="left" w:leader="none"/>
              </w:tabs>
              <w:spacing w:line="240" w:lineRule="auto" w:before="0" w:after="0"/>
              <w:ind w:left="265" w:right="0" w:hanging="160"/>
              <w:jc w:val="left"/>
              <w:rPr>
                <w:sz w:val="21"/>
              </w:rPr>
            </w:pPr>
            <w:r>
              <w:rPr>
                <w:sz w:val="21"/>
              </w:rPr>
              <w:t>监测项目：水位标高</w:t>
            </w:r>
          </w:p>
          <w:p>
            <w:pPr>
              <w:pStyle w:val="TableParagraph"/>
              <w:numPr>
                <w:ilvl w:val="0"/>
                <w:numId w:val="82"/>
              </w:numPr>
              <w:tabs>
                <w:tab w:pos="266" w:val="left" w:leader="none"/>
              </w:tabs>
              <w:spacing w:line="240" w:lineRule="auto" w:before="2" w:after="0"/>
              <w:ind w:left="265"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TableParagraph"/>
              <w:numPr>
                <w:ilvl w:val="0"/>
                <w:numId w:val="82"/>
              </w:numPr>
              <w:tabs>
                <w:tab w:pos="266" w:val="left" w:leader="none"/>
              </w:tabs>
              <w:spacing w:line="270" w:lineRule="atLeast" w:before="3" w:after="0"/>
              <w:ind w:left="106" w:right="94" w:firstLine="0"/>
              <w:jc w:val="left"/>
              <w:rPr>
                <w:sz w:val="21"/>
              </w:rPr>
            </w:pPr>
            <w:r>
              <w:rPr>
                <w:w w:val="95"/>
                <w:sz w:val="21"/>
              </w:rPr>
              <w:t>监测点位：丰水期、平水期、枯水期各一次，并采取月报的 </w:t>
            </w:r>
            <w:r>
              <w:rPr>
                <w:sz w:val="21"/>
              </w:rPr>
              <w:t>形式。</w:t>
            </w:r>
          </w:p>
        </w:tc>
        <w:tc>
          <w:tcPr>
            <w:tcW w:w="1082" w:type="dxa"/>
          </w:tcPr>
          <w:p>
            <w:pPr>
              <w:pStyle w:val="TableParagraph"/>
              <w:spacing w:line="242" w:lineRule="auto" w:before="134"/>
              <w:ind w:left="121" w:right="110"/>
              <w:rPr>
                <w:sz w:val="21"/>
              </w:rPr>
            </w:pPr>
            <w:r>
              <w:rPr>
                <w:sz w:val="21"/>
              </w:rPr>
              <w:t>双鸭山市生态环境局</w:t>
            </w:r>
          </w:p>
        </w:tc>
      </w:tr>
      <w:tr>
        <w:trPr>
          <w:trHeight w:val="817" w:hRule="atLeast"/>
        </w:trPr>
        <w:tc>
          <w:tcPr>
            <w:tcW w:w="644" w:type="dxa"/>
          </w:tcPr>
          <w:p>
            <w:pPr>
              <w:pStyle w:val="TableParagraph"/>
              <w:spacing w:before="3"/>
              <w:jc w:val="left"/>
              <w:rPr>
                <w:b/>
                <w:sz w:val="22"/>
              </w:rPr>
            </w:pPr>
          </w:p>
          <w:p>
            <w:pPr>
              <w:pStyle w:val="TableParagraph"/>
              <w:ind w:left="5"/>
              <w:rPr>
                <w:rFonts w:ascii="Times New Roman"/>
                <w:sz w:val="21"/>
              </w:rPr>
            </w:pPr>
            <w:r>
              <w:rPr>
                <w:rFonts w:ascii="Times New Roman"/>
                <w:w w:val="99"/>
                <w:sz w:val="21"/>
              </w:rPr>
              <w:t>8</w:t>
            </w:r>
          </w:p>
        </w:tc>
        <w:tc>
          <w:tcPr>
            <w:tcW w:w="1787" w:type="dxa"/>
            <w:gridSpan w:val="2"/>
          </w:tcPr>
          <w:p>
            <w:pPr>
              <w:pStyle w:val="TableParagraph"/>
              <w:spacing w:before="2"/>
              <w:jc w:val="left"/>
              <w:rPr>
                <w:b/>
                <w:sz w:val="21"/>
              </w:rPr>
            </w:pPr>
          </w:p>
          <w:p>
            <w:pPr>
              <w:pStyle w:val="TableParagraph"/>
              <w:ind w:left="473"/>
              <w:jc w:val="left"/>
              <w:rPr>
                <w:sz w:val="21"/>
              </w:rPr>
            </w:pPr>
            <w:r>
              <w:rPr>
                <w:sz w:val="21"/>
              </w:rPr>
              <w:t>大气环境</w:t>
            </w:r>
          </w:p>
        </w:tc>
        <w:tc>
          <w:tcPr>
            <w:tcW w:w="5827" w:type="dxa"/>
          </w:tcPr>
          <w:p>
            <w:pPr>
              <w:pStyle w:val="TableParagraph"/>
              <w:numPr>
                <w:ilvl w:val="0"/>
                <w:numId w:val="83"/>
              </w:numPr>
              <w:tabs>
                <w:tab w:pos="266" w:val="left" w:leader="none"/>
              </w:tabs>
              <w:spacing w:line="272" w:lineRule="exact" w:before="0" w:after="0"/>
              <w:ind w:left="265" w:right="0" w:hanging="160"/>
              <w:jc w:val="left"/>
              <w:rPr>
                <w:sz w:val="21"/>
              </w:rPr>
            </w:pPr>
            <w:r>
              <w:rPr>
                <w:position w:val="2"/>
                <w:sz w:val="21"/>
              </w:rPr>
              <w:t>监测项目：</w:t>
            </w:r>
            <w:r>
              <w:rPr>
                <w:rFonts w:ascii="Times New Roman" w:eastAsia="Times New Roman"/>
                <w:position w:val="2"/>
                <w:sz w:val="21"/>
              </w:rPr>
              <w:t>PM</w:t>
            </w:r>
            <w:r>
              <w:rPr>
                <w:rFonts w:ascii="Times New Roman" w:eastAsia="Times New Roman"/>
                <w:position w:val="2"/>
                <w:sz w:val="21"/>
                <w:vertAlign w:val="subscript"/>
              </w:rPr>
              <w:t>10</w:t>
            </w:r>
            <w:r>
              <w:rPr>
                <w:position w:val="2"/>
                <w:sz w:val="21"/>
                <w:vertAlign w:val="baseline"/>
              </w:rPr>
              <w:t>、</w:t>
            </w:r>
            <w:r>
              <w:rPr>
                <w:rFonts w:ascii="Times New Roman" w:eastAsia="Times New Roman"/>
                <w:position w:val="2"/>
                <w:sz w:val="21"/>
                <w:vertAlign w:val="baseline"/>
              </w:rPr>
              <w:t>TSP</w:t>
            </w:r>
            <w:r>
              <w:rPr>
                <w:position w:val="2"/>
                <w:sz w:val="21"/>
                <w:vertAlign w:val="baseline"/>
              </w:rPr>
              <w:t>、</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TableParagraph"/>
              <w:numPr>
                <w:ilvl w:val="0"/>
                <w:numId w:val="83"/>
              </w:numPr>
              <w:tabs>
                <w:tab w:pos="266" w:val="left" w:leader="none"/>
              </w:tabs>
              <w:spacing w:line="269" w:lineRule="exact" w:before="0" w:after="0"/>
              <w:ind w:left="265" w:right="0" w:hanging="160"/>
              <w:jc w:val="left"/>
              <w:rPr>
                <w:sz w:val="21"/>
              </w:rPr>
            </w:pPr>
            <w:r>
              <w:rPr>
                <w:spacing w:val="-7"/>
                <w:sz w:val="21"/>
              </w:rPr>
              <w:t>监测频率：每年 </w:t>
            </w:r>
            <w:r>
              <w:rPr>
                <w:rFonts w:ascii="Times New Roman" w:eastAsia="Times New Roman"/>
                <w:sz w:val="21"/>
              </w:rPr>
              <w:t>2</w:t>
            </w:r>
            <w:r>
              <w:rPr>
                <w:rFonts w:ascii="Times New Roman" w:eastAsia="Times New Roman"/>
                <w:spacing w:val="1"/>
                <w:sz w:val="21"/>
              </w:rPr>
              <w:t> </w:t>
            </w:r>
            <w:r>
              <w:rPr>
                <w:sz w:val="21"/>
              </w:rPr>
              <w:t>次。</w:t>
            </w:r>
          </w:p>
          <w:p>
            <w:pPr>
              <w:pStyle w:val="TableParagraph"/>
              <w:numPr>
                <w:ilvl w:val="0"/>
                <w:numId w:val="83"/>
              </w:numPr>
              <w:tabs>
                <w:tab w:pos="266" w:val="left" w:leader="none"/>
              </w:tabs>
              <w:spacing w:line="252" w:lineRule="exact" w:before="4" w:after="0"/>
              <w:ind w:left="265" w:right="0" w:hanging="160"/>
              <w:jc w:val="left"/>
              <w:rPr>
                <w:sz w:val="21"/>
              </w:rPr>
            </w:pPr>
            <w:r>
              <w:rPr>
                <w:sz w:val="21"/>
              </w:rPr>
              <w:t>监测点位：工业场地上、下风向各设一个监测点。</w:t>
            </w:r>
          </w:p>
        </w:tc>
        <w:tc>
          <w:tcPr>
            <w:tcW w:w="1082" w:type="dxa"/>
          </w:tcPr>
          <w:p>
            <w:pPr>
              <w:pStyle w:val="TableParagraph"/>
              <w:spacing w:line="242" w:lineRule="auto"/>
              <w:ind w:left="121" w:right="110"/>
              <w:rPr>
                <w:sz w:val="21"/>
              </w:rPr>
            </w:pPr>
            <w:r>
              <w:rPr>
                <w:sz w:val="21"/>
              </w:rPr>
              <w:t>双鸭山市生态环境</w:t>
            </w:r>
          </w:p>
          <w:p>
            <w:pPr>
              <w:pStyle w:val="TableParagraph"/>
              <w:spacing w:line="252" w:lineRule="exact" w:before="1"/>
              <w:ind w:left="8"/>
              <w:rPr>
                <w:sz w:val="21"/>
              </w:rPr>
            </w:pPr>
            <w:r>
              <w:rPr>
                <w:w w:val="99"/>
                <w:sz w:val="21"/>
              </w:rPr>
              <w:t>局</w:t>
            </w:r>
          </w:p>
        </w:tc>
      </w:tr>
      <w:tr>
        <w:trPr>
          <w:trHeight w:val="816" w:hRule="atLeast"/>
        </w:trPr>
        <w:tc>
          <w:tcPr>
            <w:tcW w:w="644" w:type="dxa"/>
          </w:tcPr>
          <w:p>
            <w:pPr>
              <w:pStyle w:val="TableParagraph"/>
              <w:spacing w:before="4"/>
              <w:jc w:val="left"/>
              <w:rPr>
                <w:b/>
                <w:sz w:val="22"/>
              </w:rPr>
            </w:pPr>
          </w:p>
          <w:p>
            <w:pPr>
              <w:pStyle w:val="TableParagraph"/>
              <w:ind w:left="5"/>
              <w:rPr>
                <w:rFonts w:ascii="Times New Roman"/>
                <w:sz w:val="21"/>
              </w:rPr>
            </w:pPr>
            <w:r>
              <w:rPr>
                <w:rFonts w:ascii="Times New Roman"/>
                <w:w w:val="99"/>
                <w:sz w:val="21"/>
              </w:rPr>
              <w:t>9</w:t>
            </w:r>
          </w:p>
        </w:tc>
        <w:tc>
          <w:tcPr>
            <w:tcW w:w="1787" w:type="dxa"/>
            <w:gridSpan w:val="2"/>
          </w:tcPr>
          <w:p>
            <w:pPr>
              <w:pStyle w:val="TableParagraph"/>
              <w:spacing w:before="3"/>
              <w:jc w:val="left"/>
              <w:rPr>
                <w:b/>
                <w:sz w:val="21"/>
              </w:rPr>
            </w:pPr>
          </w:p>
          <w:p>
            <w:pPr>
              <w:pStyle w:val="TableParagraph"/>
              <w:ind w:left="473"/>
              <w:jc w:val="left"/>
              <w:rPr>
                <w:sz w:val="21"/>
              </w:rPr>
            </w:pPr>
            <w:r>
              <w:rPr>
                <w:sz w:val="21"/>
              </w:rPr>
              <w:t>土壤环境</w:t>
            </w:r>
          </w:p>
        </w:tc>
        <w:tc>
          <w:tcPr>
            <w:tcW w:w="5827" w:type="dxa"/>
          </w:tcPr>
          <w:p>
            <w:pPr>
              <w:pStyle w:val="TableParagraph"/>
              <w:numPr>
                <w:ilvl w:val="0"/>
                <w:numId w:val="84"/>
              </w:numPr>
              <w:tabs>
                <w:tab w:pos="266" w:val="left" w:leader="none"/>
              </w:tabs>
              <w:spacing w:line="240" w:lineRule="auto" w:before="1" w:after="0"/>
              <w:ind w:left="265" w:right="0" w:hanging="160"/>
              <w:jc w:val="left"/>
              <w:rPr>
                <w:sz w:val="21"/>
              </w:rPr>
            </w:pPr>
            <w:r>
              <w:rPr>
                <w:sz w:val="21"/>
              </w:rPr>
              <w:t>监测项目：</w:t>
            </w:r>
            <w:r>
              <w:rPr>
                <w:rFonts w:ascii="Times New Roman" w:eastAsia="Times New Roman"/>
                <w:sz w:val="21"/>
              </w:rPr>
              <w:t>pH</w:t>
            </w:r>
            <w:r>
              <w:rPr>
                <w:sz w:val="21"/>
              </w:rPr>
              <w:t>、镉、汞、砷、铜、铅、铬、锌、镍。</w:t>
            </w:r>
          </w:p>
          <w:p>
            <w:pPr>
              <w:pStyle w:val="TableParagraph"/>
              <w:numPr>
                <w:ilvl w:val="0"/>
                <w:numId w:val="84"/>
              </w:numPr>
              <w:tabs>
                <w:tab w:pos="266" w:val="left" w:leader="none"/>
              </w:tabs>
              <w:spacing w:line="240" w:lineRule="auto" w:before="2" w:after="0"/>
              <w:ind w:left="265" w:right="0" w:hanging="160"/>
              <w:jc w:val="left"/>
              <w:rPr>
                <w:sz w:val="21"/>
              </w:rPr>
            </w:pPr>
            <w:r>
              <w:rPr>
                <w:sz w:val="21"/>
              </w:rPr>
              <w:t>监测频率：根据需要不定期监测。</w:t>
            </w:r>
          </w:p>
          <w:p>
            <w:pPr>
              <w:pStyle w:val="TableParagraph"/>
              <w:numPr>
                <w:ilvl w:val="0"/>
                <w:numId w:val="84"/>
              </w:numPr>
              <w:tabs>
                <w:tab w:pos="266" w:val="left" w:leader="none"/>
              </w:tabs>
              <w:spacing w:line="253" w:lineRule="exact" w:before="2" w:after="0"/>
              <w:ind w:left="265" w:right="0" w:hanging="160"/>
              <w:jc w:val="left"/>
              <w:rPr>
                <w:sz w:val="21"/>
              </w:rPr>
            </w:pPr>
            <w:r>
              <w:rPr>
                <w:sz w:val="21"/>
              </w:rPr>
              <w:t>监测点位：工业场地</w:t>
            </w:r>
          </w:p>
        </w:tc>
        <w:tc>
          <w:tcPr>
            <w:tcW w:w="1082" w:type="dxa"/>
          </w:tcPr>
          <w:p>
            <w:pPr>
              <w:pStyle w:val="TableParagraph"/>
              <w:spacing w:line="242" w:lineRule="auto" w:before="1"/>
              <w:ind w:left="121" w:right="110"/>
              <w:rPr>
                <w:sz w:val="21"/>
              </w:rPr>
            </w:pPr>
            <w:r>
              <w:rPr>
                <w:sz w:val="21"/>
              </w:rPr>
              <w:t>双鸭山市生态环境</w:t>
            </w:r>
          </w:p>
          <w:p>
            <w:pPr>
              <w:pStyle w:val="TableParagraph"/>
              <w:spacing w:line="252" w:lineRule="exact"/>
              <w:ind w:left="8"/>
              <w:rPr>
                <w:sz w:val="21"/>
              </w:rPr>
            </w:pPr>
            <w:r>
              <w:rPr>
                <w:w w:val="99"/>
                <w:sz w:val="21"/>
              </w:rPr>
              <w:t>局</w:t>
            </w:r>
          </w:p>
        </w:tc>
      </w:tr>
      <w:tr>
        <w:trPr>
          <w:trHeight w:val="1362" w:hRule="atLeast"/>
        </w:trPr>
        <w:tc>
          <w:tcPr>
            <w:tcW w:w="644" w:type="dxa"/>
          </w:tcPr>
          <w:p>
            <w:pPr>
              <w:pStyle w:val="TableParagraph"/>
              <w:jc w:val="left"/>
              <w:rPr>
                <w:b/>
                <w:sz w:val="22"/>
              </w:rPr>
            </w:pPr>
          </w:p>
          <w:p>
            <w:pPr>
              <w:pStyle w:val="TableParagraph"/>
              <w:spacing w:before="7"/>
              <w:jc w:val="left"/>
              <w:rPr>
                <w:b/>
                <w:sz w:val="21"/>
              </w:rPr>
            </w:pPr>
          </w:p>
          <w:p>
            <w:pPr>
              <w:pStyle w:val="TableParagraph"/>
              <w:ind w:left="90" w:right="80"/>
              <w:rPr>
                <w:rFonts w:ascii="Times New Roman"/>
                <w:sz w:val="21"/>
              </w:rPr>
            </w:pPr>
            <w:r>
              <w:rPr>
                <w:rFonts w:ascii="Times New Roman"/>
                <w:sz w:val="21"/>
              </w:rPr>
              <w:t>10</w:t>
            </w:r>
          </w:p>
        </w:tc>
        <w:tc>
          <w:tcPr>
            <w:tcW w:w="1787" w:type="dxa"/>
            <w:gridSpan w:val="2"/>
          </w:tcPr>
          <w:p>
            <w:pPr>
              <w:pStyle w:val="TableParagraph"/>
              <w:jc w:val="left"/>
              <w:rPr>
                <w:b/>
                <w:sz w:val="20"/>
              </w:rPr>
            </w:pPr>
          </w:p>
          <w:p>
            <w:pPr>
              <w:pStyle w:val="TableParagraph"/>
              <w:spacing w:before="6"/>
              <w:jc w:val="left"/>
              <w:rPr>
                <w:b/>
                <w:sz w:val="22"/>
              </w:rPr>
            </w:pPr>
          </w:p>
          <w:p>
            <w:pPr>
              <w:pStyle w:val="TableParagraph"/>
              <w:ind w:left="367"/>
              <w:jc w:val="left"/>
              <w:rPr>
                <w:sz w:val="21"/>
              </w:rPr>
            </w:pPr>
            <w:r>
              <w:rPr>
                <w:sz w:val="21"/>
              </w:rPr>
              <w:t>大气污染源</w:t>
            </w:r>
          </w:p>
        </w:tc>
        <w:tc>
          <w:tcPr>
            <w:tcW w:w="5827" w:type="dxa"/>
          </w:tcPr>
          <w:p>
            <w:pPr>
              <w:pStyle w:val="TableParagraph"/>
              <w:numPr>
                <w:ilvl w:val="0"/>
                <w:numId w:val="85"/>
              </w:numPr>
              <w:tabs>
                <w:tab w:pos="266" w:val="left" w:leader="none"/>
              </w:tabs>
              <w:spacing w:line="242" w:lineRule="auto" w:before="0" w:after="0"/>
              <w:ind w:left="106" w:right="989" w:firstLine="0"/>
              <w:jc w:val="left"/>
              <w:rPr>
                <w:sz w:val="21"/>
              </w:rPr>
            </w:pPr>
            <w:r>
              <w:rPr>
                <w:w w:val="95"/>
                <w:sz w:val="21"/>
              </w:rPr>
              <w:t>监测项目：锅炉及热风炉：颗粒物、</w:t>
            </w:r>
            <w:r>
              <w:rPr>
                <w:rFonts w:ascii="Times New Roman" w:eastAsia="Times New Roman"/>
                <w:w w:val="95"/>
                <w:sz w:val="21"/>
              </w:rPr>
              <w:t>SO2</w:t>
            </w:r>
            <w:r>
              <w:rPr>
                <w:w w:val="95"/>
                <w:sz w:val="21"/>
              </w:rPr>
              <w:t>、</w:t>
            </w:r>
            <w:r>
              <w:rPr>
                <w:rFonts w:ascii="Times New Roman" w:eastAsia="Times New Roman"/>
                <w:w w:val="95"/>
                <w:sz w:val="21"/>
              </w:rPr>
              <w:t>NOx</w:t>
            </w:r>
            <w:r>
              <w:rPr>
                <w:w w:val="95"/>
                <w:sz w:val="21"/>
              </w:rPr>
              <w:t>； </w:t>
            </w:r>
            <w:r>
              <w:rPr>
                <w:sz w:val="21"/>
              </w:rPr>
              <w:t>筛分车间：颗粒物</w:t>
            </w:r>
          </w:p>
          <w:p>
            <w:pPr>
              <w:pStyle w:val="TableParagraph"/>
              <w:numPr>
                <w:ilvl w:val="0"/>
                <w:numId w:val="85"/>
              </w:numPr>
              <w:tabs>
                <w:tab w:pos="266" w:val="left" w:leader="none"/>
              </w:tabs>
              <w:spacing w:line="240" w:lineRule="auto" w:before="1" w:after="0"/>
              <w:ind w:left="265" w:right="0" w:hanging="160"/>
              <w:jc w:val="left"/>
              <w:rPr>
                <w:sz w:val="21"/>
              </w:rPr>
            </w:pPr>
            <w:r>
              <w:rPr>
                <w:spacing w:val="-7"/>
                <w:sz w:val="21"/>
              </w:rPr>
              <w:t>监测频率：每年 </w:t>
            </w:r>
            <w:r>
              <w:rPr>
                <w:rFonts w:ascii="Times New Roman" w:eastAsia="Times New Roman"/>
                <w:sz w:val="21"/>
              </w:rPr>
              <w:t>2</w:t>
            </w:r>
            <w:r>
              <w:rPr>
                <w:rFonts w:ascii="Times New Roman" w:eastAsia="Times New Roman"/>
                <w:spacing w:val="1"/>
                <w:sz w:val="21"/>
              </w:rPr>
              <w:t> </w:t>
            </w:r>
            <w:r>
              <w:rPr>
                <w:sz w:val="21"/>
              </w:rPr>
              <w:t>次。</w:t>
            </w:r>
          </w:p>
          <w:p>
            <w:pPr>
              <w:pStyle w:val="TableParagraph"/>
              <w:numPr>
                <w:ilvl w:val="0"/>
                <w:numId w:val="85"/>
              </w:numPr>
              <w:tabs>
                <w:tab w:pos="266" w:val="left" w:leader="none"/>
              </w:tabs>
              <w:spacing w:line="270" w:lineRule="atLeast" w:before="3" w:after="0"/>
              <w:ind w:left="106" w:right="94" w:firstLine="0"/>
              <w:jc w:val="left"/>
              <w:rPr>
                <w:sz w:val="21"/>
              </w:rPr>
            </w:pPr>
            <w:r>
              <w:rPr>
                <w:spacing w:val="-2"/>
                <w:w w:val="95"/>
                <w:sz w:val="21"/>
              </w:rPr>
              <w:t>监测点位：锅炉及热风炉除尘器前后各设一个监测点；筛分 </w:t>
            </w:r>
            <w:r>
              <w:rPr>
                <w:spacing w:val="-2"/>
                <w:sz w:val="21"/>
              </w:rPr>
              <w:t>车间除尘器后</w:t>
            </w:r>
          </w:p>
        </w:tc>
        <w:tc>
          <w:tcPr>
            <w:tcW w:w="1082" w:type="dxa"/>
          </w:tcPr>
          <w:p>
            <w:pPr>
              <w:pStyle w:val="TableParagraph"/>
              <w:spacing w:before="1"/>
              <w:jc w:val="left"/>
              <w:rPr>
                <w:b/>
                <w:sz w:val="21"/>
              </w:rPr>
            </w:pPr>
          </w:p>
          <w:p>
            <w:pPr>
              <w:pStyle w:val="TableParagraph"/>
              <w:spacing w:line="242" w:lineRule="auto" w:before="1"/>
              <w:ind w:left="121" w:right="110"/>
              <w:rPr>
                <w:sz w:val="21"/>
              </w:rPr>
            </w:pPr>
            <w:r>
              <w:rPr>
                <w:sz w:val="21"/>
              </w:rPr>
              <w:t>双鸭山市生态环境局</w:t>
            </w:r>
          </w:p>
        </w:tc>
      </w:tr>
      <w:tr>
        <w:trPr>
          <w:trHeight w:val="1089" w:hRule="atLeast"/>
        </w:trPr>
        <w:tc>
          <w:tcPr>
            <w:tcW w:w="644" w:type="dxa"/>
          </w:tcPr>
          <w:p>
            <w:pPr>
              <w:pStyle w:val="TableParagraph"/>
              <w:spacing w:before="12"/>
              <w:jc w:val="left"/>
              <w:rPr>
                <w:b/>
                <w:sz w:val="32"/>
              </w:rPr>
            </w:pPr>
          </w:p>
          <w:p>
            <w:pPr>
              <w:pStyle w:val="TableParagraph"/>
              <w:ind w:left="90" w:right="80"/>
              <w:rPr>
                <w:rFonts w:ascii="Times New Roman"/>
                <w:sz w:val="21"/>
              </w:rPr>
            </w:pPr>
            <w:r>
              <w:rPr>
                <w:rFonts w:ascii="Times New Roman"/>
                <w:sz w:val="21"/>
              </w:rPr>
              <w:t>11</w:t>
            </w:r>
          </w:p>
        </w:tc>
        <w:tc>
          <w:tcPr>
            <w:tcW w:w="1787" w:type="dxa"/>
            <w:gridSpan w:val="2"/>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3"/>
              <w:jc w:val="left"/>
              <w:rPr>
                <w:b/>
                <w:sz w:val="16"/>
              </w:rPr>
            </w:pPr>
          </w:p>
          <w:p>
            <w:pPr>
              <w:pStyle w:val="TableParagraph"/>
              <w:ind w:left="473"/>
              <w:jc w:val="left"/>
              <w:rPr>
                <w:sz w:val="21"/>
              </w:rPr>
            </w:pPr>
            <w:r>
              <w:rPr>
                <w:sz w:val="21"/>
              </w:rPr>
              <w:t>水污染源</w:t>
            </w:r>
          </w:p>
        </w:tc>
        <w:tc>
          <w:tcPr>
            <w:tcW w:w="5827" w:type="dxa"/>
          </w:tcPr>
          <w:p>
            <w:pPr>
              <w:pStyle w:val="TableParagraph"/>
              <w:numPr>
                <w:ilvl w:val="0"/>
                <w:numId w:val="86"/>
              </w:numPr>
              <w:tabs>
                <w:tab w:pos="268" w:val="left" w:leader="none"/>
              </w:tabs>
              <w:spacing w:line="240" w:lineRule="auto" w:before="0" w:after="0"/>
              <w:ind w:left="106" w:right="94" w:firstLine="0"/>
              <w:jc w:val="left"/>
              <w:rPr>
                <w:sz w:val="21"/>
              </w:rPr>
            </w:pPr>
            <w:r>
              <w:rPr>
                <w:spacing w:val="3"/>
                <w:w w:val="95"/>
                <w:position w:val="2"/>
                <w:sz w:val="21"/>
              </w:rPr>
              <w:t>监测项目：</w:t>
            </w:r>
            <w:r>
              <w:rPr>
                <w:rFonts w:ascii="Times New Roman" w:eastAsia="Times New Roman"/>
                <w:w w:val="95"/>
                <w:position w:val="2"/>
                <w:sz w:val="21"/>
              </w:rPr>
              <w:t>COD</w:t>
            </w:r>
            <w:r>
              <w:rPr>
                <w:spacing w:val="7"/>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3"/>
                <w:w w:val="95"/>
                <w:position w:val="2"/>
                <w:sz w:val="21"/>
                <w:vertAlign w:val="baseline"/>
              </w:rPr>
              <w:t>、氨氮、动植物油、大肠菌群、阴 </w:t>
            </w:r>
            <w:r>
              <w:rPr>
                <w:spacing w:val="3"/>
                <w:sz w:val="21"/>
                <w:vertAlign w:val="baseline"/>
              </w:rPr>
              <w:t>离子表面活性剂。</w:t>
            </w:r>
          </w:p>
          <w:p>
            <w:pPr>
              <w:pStyle w:val="TableParagraph"/>
              <w:numPr>
                <w:ilvl w:val="0"/>
                <w:numId w:val="86"/>
              </w:numPr>
              <w:tabs>
                <w:tab w:pos="266" w:val="left" w:leader="none"/>
              </w:tabs>
              <w:spacing w:line="240" w:lineRule="auto" w:before="0" w:after="0"/>
              <w:ind w:left="265" w:right="0" w:hanging="160"/>
              <w:jc w:val="left"/>
              <w:rPr>
                <w:sz w:val="21"/>
              </w:rPr>
            </w:pPr>
            <w:r>
              <w:rPr>
                <w:sz w:val="21"/>
              </w:rPr>
              <w:t>监测频率：根据需要不定期监测。</w:t>
            </w:r>
          </w:p>
          <w:p>
            <w:pPr>
              <w:pStyle w:val="TableParagraph"/>
              <w:numPr>
                <w:ilvl w:val="0"/>
                <w:numId w:val="86"/>
              </w:numPr>
              <w:tabs>
                <w:tab w:pos="266" w:val="left" w:leader="none"/>
              </w:tabs>
              <w:spacing w:line="252" w:lineRule="exact" w:before="3" w:after="0"/>
              <w:ind w:left="265" w:right="0" w:hanging="160"/>
              <w:jc w:val="left"/>
              <w:rPr>
                <w:sz w:val="21"/>
              </w:rPr>
            </w:pPr>
            <w:r>
              <w:rPr>
                <w:sz w:val="21"/>
              </w:rPr>
              <w:t>监测点位：污水处理站进水口、出水口。</w:t>
            </w:r>
          </w:p>
        </w:tc>
        <w:tc>
          <w:tcPr>
            <w:tcW w:w="1082" w:type="dxa"/>
          </w:tcPr>
          <w:p>
            <w:pPr>
              <w:pStyle w:val="TableParagraph"/>
              <w:spacing w:line="242" w:lineRule="auto" w:before="135"/>
              <w:ind w:left="121" w:right="110"/>
              <w:rPr>
                <w:sz w:val="21"/>
              </w:rPr>
            </w:pPr>
            <w:r>
              <w:rPr>
                <w:sz w:val="21"/>
              </w:rPr>
              <w:t>双鸭山市生态环境局</w:t>
            </w:r>
          </w:p>
        </w:tc>
      </w:tr>
      <w:tr>
        <w:trPr>
          <w:trHeight w:val="1127" w:hRule="atLeast"/>
        </w:trPr>
        <w:tc>
          <w:tcPr>
            <w:tcW w:w="644" w:type="dxa"/>
          </w:tcPr>
          <w:p>
            <w:pPr>
              <w:pStyle w:val="TableParagraph"/>
              <w:jc w:val="left"/>
              <w:rPr>
                <w:b/>
                <w:sz w:val="22"/>
              </w:rPr>
            </w:pPr>
          </w:p>
          <w:p>
            <w:pPr>
              <w:pStyle w:val="TableParagraph"/>
              <w:spacing w:before="160"/>
              <w:ind w:left="90" w:right="80"/>
              <w:rPr>
                <w:rFonts w:ascii="Times New Roman"/>
                <w:sz w:val="21"/>
              </w:rPr>
            </w:pPr>
            <w:r>
              <w:rPr>
                <w:rFonts w:ascii="Times New Roman"/>
                <w:sz w:val="21"/>
              </w:rPr>
              <w:t>12</w:t>
            </w:r>
          </w:p>
        </w:tc>
        <w:tc>
          <w:tcPr>
            <w:tcW w:w="1787" w:type="dxa"/>
            <w:gridSpan w:val="2"/>
            <w:vMerge/>
            <w:tcBorders>
              <w:top w:val="nil"/>
            </w:tcBorders>
          </w:tcPr>
          <w:p>
            <w:pPr>
              <w:rPr>
                <w:sz w:val="2"/>
                <w:szCs w:val="2"/>
              </w:rPr>
            </w:pPr>
          </w:p>
        </w:tc>
        <w:tc>
          <w:tcPr>
            <w:tcW w:w="5827" w:type="dxa"/>
          </w:tcPr>
          <w:p>
            <w:pPr>
              <w:pStyle w:val="TableParagraph"/>
              <w:numPr>
                <w:ilvl w:val="0"/>
                <w:numId w:val="87"/>
              </w:numPr>
              <w:tabs>
                <w:tab w:pos="268" w:val="left" w:leader="none"/>
              </w:tabs>
              <w:spacing w:line="240" w:lineRule="auto" w:before="0" w:after="0"/>
              <w:ind w:left="106" w:right="94" w:firstLine="0"/>
              <w:jc w:val="left"/>
              <w:rPr>
                <w:sz w:val="21"/>
              </w:rPr>
            </w:pPr>
            <w:r>
              <w:rPr>
                <w:position w:val="2"/>
                <w:sz w:val="21"/>
              </w:rPr>
              <w:t>监测项目：</w:t>
            </w:r>
            <w:r>
              <w:rPr>
                <w:rFonts w:ascii="Times New Roman" w:eastAsia="Times New Roman"/>
                <w:position w:val="2"/>
                <w:sz w:val="21"/>
              </w:rPr>
              <w:t>PH</w:t>
            </w:r>
            <w:r>
              <w:rPr>
                <w:position w:val="2"/>
                <w:sz w:val="21"/>
              </w:rPr>
              <w:t>、悬浮物、</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、石油类、挥发性酚</w:t>
            </w:r>
            <w:r>
              <w:rPr>
                <w:sz w:val="21"/>
                <w:vertAlign w:val="baseline"/>
              </w:rPr>
              <w:t>类、氟化物、硫化物、氨氮等。</w:t>
            </w:r>
          </w:p>
          <w:p>
            <w:pPr>
              <w:pStyle w:val="TableParagraph"/>
              <w:numPr>
                <w:ilvl w:val="0"/>
                <w:numId w:val="87"/>
              </w:numPr>
              <w:tabs>
                <w:tab w:pos="266" w:val="left" w:leader="none"/>
              </w:tabs>
              <w:spacing w:line="240" w:lineRule="auto" w:before="2" w:after="0"/>
              <w:ind w:left="265" w:right="0" w:hanging="160"/>
              <w:jc w:val="left"/>
              <w:rPr>
                <w:sz w:val="21"/>
              </w:rPr>
            </w:pPr>
            <w:r>
              <w:rPr>
                <w:sz w:val="21"/>
              </w:rPr>
              <w:t>监测频率：</w:t>
            </w:r>
            <w:r>
              <w:rPr>
                <w:spacing w:val="-13"/>
                <w:sz w:val="24"/>
              </w:rPr>
              <w:t>每年进行 </w:t>
            </w:r>
            <w:r>
              <w:rPr>
                <w:rFonts w:ascii="Times New Roman" w:eastAsia="Times New Roman"/>
                <w:sz w:val="24"/>
              </w:rPr>
              <w:t>2 </w:t>
            </w:r>
            <w:r>
              <w:rPr>
                <w:sz w:val="24"/>
              </w:rPr>
              <w:t>次监测</w:t>
            </w:r>
            <w:r>
              <w:rPr>
                <w:sz w:val="21"/>
              </w:rPr>
              <w:t>。</w:t>
            </w:r>
          </w:p>
          <w:p>
            <w:pPr>
              <w:pStyle w:val="TableParagraph"/>
              <w:numPr>
                <w:ilvl w:val="0"/>
                <w:numId w:val="87"/>
              </w:numPr>
              <w:tabs>
                <w:tab w:pos="266" w:val="left" w:leader="none"/>
              </w:tabs>
              <w:spacing w:line="253" w:lineRule="exact" w:before="1" w:after="0"/>
              <w:ind w:left="265" w:right="0" w:hanging="160"/>
              <w:jc w:val="left"/>
              <w:rPr>
                <w:sz w:val="21"/>
              </w:rPr>
            </w:pPr>
            <w:r>
              <w:rPr>
                <w:sz w:val="21"/>
              </w:rPr>
              <w:t>监测点位：矿井水处理站进水口、出水口。</w:t>
            </w:r>
          </w:p>
        </w:tc>
        <w:tc>
          <w:tcPr>
            <w:tcW w:w="1082" w:type="dxa"/>
          </w:tcPr>
          <w:p>
            <w:pPr>
              <w:pStyle w:val="TableParagraph"/>
              <w:spacing w:line="242" w:lineRule="auto" w:before="157"/>
              <w:ind w:left="121" w:right="110"/>
              <w:rPr>
                <w:sz w:val="21"/>
              </w:rPr>
            </w:pPr>
            <w:r>
              <w:rPr>
                <w:sz w:val="21"/>
              </w:rPr>
              <w:t>双鸭山市生态环境局</w:t>
            </w:r>
          </w:p>
        </w:tc>
      </w:tr>
      <w:tr>
        <w:trPr>
          <w:trHeight w:val="855" w:hRule="atLeast"/>
        </w:trPr>
        <w:tc>
          <w:tcPr>
            <w:tcW w:w="644" w:type="dxa"/>
          </w:tcPr>
          <w:p>
            <w:pPr>
              <w:pStyle w:val="TableParagraph"/>
              <w:spacing w:before="12"/>
              <w:jc w:val="left"/>
              <w:rPr>
                <w:b/>
                <w:sz w:val="23"/>
              </w:rPr>
            </w:pPr>
          </w:p>
          <w:p>
            <w:pPr>
              <w:pStyle w:val="TableParagraph"/>
              <w:ind w:left="90" w:right="80"/>
              <w:rPr>
                <w:rFonts w:ascii="Times New Roman"/>
                <w:sz w:val="21"/>
              </w:rPr>
            </w:pPr>
            <w:r>
              <w:rPr>
                <w:rFonts w:ascii="Times New Roman"/>
                <w:sz w:val="21"/>
              </w:rPr>
              <w:t>13</w:t>
            </w:r>
          </w:p>
        </w:tc>
        <w:tc>
          <w:tcPr>
            <w:tcW w:w="1787" w:type="dxa"/>
            <w:gridSpan w:val="2"/>
          </w:tcPr>
          <w:p>
            <w:pPr>
              <w:pStyle w:val="TableParagraph"/>
              <w:spacing w:before="11"/>
              <w:jc w:val="left"/>
              <w:rPr>
                <w:b/>
                <w:sz w:val="22"/>
              </w:rPr>
            </w:pPr>
          </w:p>
          <w:p>
            <w:pPr>
              <w:pStyle w:val="TableParagraph"/>
              <w:ind w:left="660" w:right="656"/>
              <w:rPr>
                <w:sz w:val="21"/>
              </w:rPr>
            </w:pPr>
            <w:r>
              <w:rPr>
                <w:sz w:val="21"/>
              </w:rPr>
              <w:t>噪声</w:t>
            </w:r>
          </w:p>
        </w:tc>
        <w:tc>
          <w:tcPr>
            <w:tcW w:w="5827" w:type="dxa"/>
          </w:tcPr>
          <w:p>
            <w:pPr>
              <w:pStyle w:val="TableParagraph"/>
              <w:numPr>
                <w:ilvl w:val="0"/>
                <w:numId w:val="88"/>
              </w:numPr>
              <w:tabs>
                <w:tab w:pos="266" w:val="left" w:leader="none"/>
              </w:tabs>
              <w:spacing w:line="240" w:lineRule="auto" w:before="0" w:after="0"/>
              <w:ind w:left="265" w:right="0" w:hanging="160"/>
              <w:jc w:val="left"/>
              <w:rPr>
                <w:sz w:val="21"/>
              </w:rPr>
            </w:pPr>
            <w:r>
              <w:rPr>
                <w:spacing w:val="-5"/>
                <w:sz w:val="21"/>
              </w:rPr>
              <w:t>监测项目：噪声等效连续 </w:t>
            </w:r>
            <w:r>
              <w:rPr>
                <w:rFonts w:ascii="Times New Roman" w:eastAsia="Times New Roman"/>
                <w:sz w:val="21"/>
              </w:rPr>
              <w:t>A </w:t>
            </w:r>
            <w:r>
              <w:rPr>
                <w:sz w:val="21"/>
              </w:rPr>
              <w:t>声级。</w:t>
            </w:r>
          </w:p>
          <w:p>
            <w:pPr>
              <w:pStyle w:val="TableParagraph"/>
              <w:numPr>
                <w:ilvl w:val="0"/>
                <w:numId w:val="88"/>
              </w:numPr>
              <w:tabs>
                <w:tab w:pos="266" w:val="left" w:leader="none"/>
              </w:tabs>
              <w:spacing w:line="240" w:lineRule="auto" w:before="6" w:after="0"/>
              <w:ind w:left="265" w:right="0" w:hanging="160"/>
              <w:jc w:val="left"/>
              <w:rPr>
                <w:sz w:val="24"/>
              </w:rPr>
            </w:pPr>
            <w:r>
              <w:rPr>
                <w:sz w:val="21"/>
              </w:rPr>
              <w:t>监测频率：</w:t>
            </w:r>
            <w:r>
              <w:rPr>
                <w:spacing w:val="-13"/>
                <w:sz w:val="24"/>
              </w:rPr>
              <w:t>每年进行 </w:t>
            </w:r>
            <w:r>
              <w:rPr>
                <w:rFonts w:ascii="Times New Roman" w:eastAsia="Times New Roman"/>
                <w:sz w:val="24"/>
              </w:rPr>
              <w:t>2 </w:t>
            </w:r>
            <w:r>
              <w:rPr>
                <w:sz w:val="24"/>
              </w:rPr>
              <w:t>次监测</w:t>
            </w:r>
          </w:p>
          <w:p>
            <w:pPr>
              <w:pStyle w:val="TableParagraph"/>
              <w:numPr>
                <w:ilvl w:val="0"/>
                <w:numId w:val="88"/>
              </w:numPr>
              <w:tabs>
                <w:tab w:pos="266" w:val="left" w:leader="none"/>
              </w:tabs>
              <w:spacing w:line="252" w:lineRule="exact" w:before="1" w:after="0"/>
              <w:ind w:left="265" w:right="0" w:hanging="160"/>
              <w:jc w:val="left"/>
              <w:rPr>
                <w:sz w:val="21"/>
              </w:rPr>
            </w:pPr>
            <w:r>
              <w:rPr>
                <w:spacing w:val="-4"/>
                <w:sz w:val="21"/>
              </w:rPr>
              <w:t>监测点位：工业场地四周厂界外 </w:t>
            </w:r>
            <w:r>
              <w:rPr>
                <w:rFonts w:ascii="Times New Roman" w:eastAsia="Times New Roman"/>
                <w:sz w:val="21"/>
              </w:rPr>
              <w:t>1m</w:t>
            </w:r>
            <w:r>
              <w:rPr>
                <w:sz w:val="21"/>
              </w:rPr>
              <w:t>。</w:t>
            </w:r>
          </w:p>
        </w:tc>
        <w:tc>
          <w:tcPr>
            <w:tcW w:w="1082" w:type="dxa"/>
          </w:tcPr>
          <w:p>
            <w:pPr>
              <w:pStyle w:val="TableParagraph"/>
              <w:spacing w:line="242" w:lineRule="auto" w:before="19"/>
              <w:ind w:left="121" w:right="110"/>
              <w:rPr>
                <w:sz w:val="21"/>
              </w:rPr>
            </w:pPr>
            <w:r>
              <w:rPr>
                <w:sz w:val="21"/>
              </w:rPr>
              <w:t>双鸭山市生态环境局</w:t>
            </w:r>
          </w:p>
        </w:tc>
      </w:tr>
      <w:tr>
        <w:trPr>
          <w:trHeight w:val="817" w:hRule="atLeast"/>
        </w:trPr>
        <w:tc>
          <w:tcPr>
            <w:tcW w:w="644" w:type="dxa"/>
          </w:tcPr>
          <w:p>
            <w:pPr>
              <w:pStyle w:val="TableParagraph"/>
              <w:spacing w:before="4"/>
              <w:jc w:val="left"/>
              <w:rPr>
                <w:b/>
                <w:sz w:val="22"/>
              </w:rPr>
            </w:pPr>
          </w:p>
          <w:p>
            <w:pPr>
              <w:pStyle w:val="TableParagraph"/>
              <w:ind w:left="90" w:right="80"/>
              <w:rPr>
                <w:rFonts w:ascii="Times New Roman"/>
                <w:sz w:val="21"/>
              </w:rPr>
            </w:pPr>
            <w:r>
              <w:rPr>
                <w:rFonts w:ascii="Times New Roman"/>
                <w:sz w:val="21"/>
              </w:rPr>
              <w:t>14</w:t>
            </w:r>
          </w:p>
        </w:tc>
        <w:tc>
          <w:tcPr>
            <w:tcW w:w="1787" w:type="dxa"/>
            <w:gridSpan w:val="2"/>
          </w:tcPr>
          <w:p>
            <w:pPr>
              <w:pStyle w:val="TableParagraph"/>
              <w:spacing w:before="2"/>
              <w:jc w:val="left"/>
              <w:rPr>
                <w:b/>
                <w:sz w:val="21"/>
              </w:rPr>
            </w:pPr>
          </w:p>
          <w:p>
            <w:pPr>
              <w:pStyle w:val="TableParagraph"/>
              <w:spacing w:before="1"/>
              <w:ind w:left="473"/>
              <w:jc w:val="left"/>
              <w:rPr>
                <w:sz w:val="21"/>
              </w:rPr>
            </w:pPr>
            <w:r>
              <w:rPr>
                <w:sz w:val="21"/>
              </w:rPr>
              <w:t>固体废物</w:t>
            </w:r>
          </w:p>
        </w:tc>
        <w:tc>
          <w:tcPr>
            <w:tcW w:w="5827" w:type="dxa"/>
          </w:tcPr>
          <w:p>
            <w:pPr>
              <w:pStyle w:val="TableParagraph"/>
              <w:numPr>
                <w:ilvl w:val="0"/>
                <w:numId w:val="89"/>
              </w:numPr>
              <w:tabs>
                <w:tab w:pos="266" w:val="left" w:leader="none"/>
              </w:tabs>
              <w:spacing w:line="240" w:lineRule="auto" w:before="0" w:after="0"/>
              <w:ind w:left="265" w:right="0" w:hanging="160"/>
              <w:jc w:val="left"/>
              <w:rPr>
                <w:sz w:val="21"/>
              </w:rPr>
            </w:pPr>
            <w:r>
              <w:rPr>
                <w:sz w:val="21"/>
              </w:rPr>
              <w:t>监测项目：固体废弃物排放量及处置方式。</w:t>
            </w:r>
          </w:p>
          <w:p>
            <w:pPr>
              <w:pStyle w:val="TableParagraph"/>
              <w:numPr>
                <w:ilvl w:val="0"/>
                <w:numId w:val="89"/>
              </w:numPr>
              <w:tabs>
                <w:tab w:pos="266" w:val="left" w:leader="none"/>
              </w:tabs>
              <w:spacing w:line="240" w:lineRule="auto" w:before="3" w:after="0"/>
              <w:ind w:left="265" w:right="0" w:hanging="160"/>
              <w:jc w:val="left"/>
              <w:rPr>
                <w:sz w:val="21"/>
              </w:rPr>
            </w:pPr>
            <w:r>
              <w:rPr>
                <w:sz w:val="21"/>
              </w:rPr>
              <w:t>监测频率：不定期。</w:t>
            </w:r>
          </w:p>
          <w:p>
            <w:pPr>
              <w:pStyle w:val="TableParagraph"/>
              <w:numPr>
                <w:ilvl w:val="0"/>
                <w:numId w:val="89"/>
              </w:numPr>
              <w:tabs>
                <w:tab w:pos="266" w:val="left" w:leader="none"/>
              </w:tabs>
              <w:spacing w:line="251" w:lineRule="exact" w:before="4" w:after="0"/>
              <w:ind w:left="265" w:right="0" w:hanging="160"/>
              <w:jc w:val="left"/>
              <w:rPr>
                <w:sz w:val="21"/>
              </w:rPr>
            </w:pPr>
            <w:r>
              <w:rPr>
                <w:sz w:val="21"/>
              </w:rPr>
              <w:t>监测点位：厂区所有环保设施。</w:t>
            </w:r>
          </w:p>
        </w:tc>
        <w:tc>
          <w:tcPr>
            <w:tcW w:w="1082" w:type="dxa"/>
          </w:tcPr>
          <w:p>
            <w:pPr>
              <w:pStyle w:val="TableParagraph"/>
              <w:spacing w:line="242" w:lineRule="auto"/>
              <w:ind w:left="121" w:right="110"/>
              <w:rPr>
                <w:sz w:val="21"/>
              </w:rPr>
            </w:pPr>
            <w:r>
              <w:rPr>
                <w:sz w:val="21"/>
              </w:rPr>
              <w:t>双鸭山市生态环境</w:t>
            </w:r>
          </w:p>
          <w:p>
            <w:pPr>
              <w:pStyle w:val="TableParagraph"/>
              <w:spacing w:line="251" w:lineRule="exact" w:before="2"/>
              <w:ind w:left="8"/>
              <w:rPr>
                <w:sz w:val="21"/>
              </w:rPr>
            </w:pPr>
            <w:r>
              <w:rPr>
                <w:w w:val="99"/>
                <w:sz w:val="21"/>
              </w:rPr>
              <w:t>局</w:t>
            </w:r>
          </w:p>
        </w:tc>
      </w:tr>
      <w:tr>
        <w:trPr>
          <w:trHeight w:val="815" w:hRule="atLeast"/>
        </w:trPr>
        <w:tc>
          <w:tcPr>
            <w:tcW w:w="644" w:type="dxa"/>
          </w:tcPr>
          <w:p>
            <w:pPr>
              <w:pStyle w:val="TableParagraph"/>
              <w:spacing w:before="5"/>
              <w:jc w:val="left"/>
              <w:rPr>
                <w:b/>
                <w:sz w:val="22"/>
              </w:rPr>
            </w:pPr>
          </w:p>
          <w:p>
            <w:pPr>
              <w:pStyle w:val="TableParagraph"/>
              <w:ind w:left="90" w:right="80"/>
              <w:rPr>
                <w:rFonts w:ascii="Times New Roman"/>
                <w:sz w:val="21"/>
              </w:rPr>
            </w:pPr>
            <w:r>
              <w:rPr>
                <w:rFonts w:ascii="Times New Roman"/>
                <w:sz w:val="21"/>
              </w:rPr>
              <w:t>15</w:t>
            </w:r>
          </w:p>
        </w:tc>
        <w:tc>
          <w:tcPr>
            <w:tcW w:w="1787" w:type="dxa"/>
            <w:gridSpan w:val="2"/>
          </w:tcPr>
          <w:p>
            <w:pPr>
              <w:pStyle w:val="TableParagraph"/>
              <w:spacing w:before="3"/>
              <w:jc w:val="left"/>
              <w:rPr>
                <w:b/>
                <w:sz w:val="21"/>
              </w:rPr>
            </w:pPr>
          </w:p>
          <w:p>
            <w:pPr>
              <w:pStyle w:val="TableParagraph"/>
              <w:spacing w:before="1"/>
              <w:ind w:left="473"/>
              <w:jc w:val="left"/>
              <w:rPr>
                <w:sz w:val="21"/>
              </w:rPr>
            </w:pPr>
            <w:r>
              <w:rPr>
                <w:sz w:val="21"/>
              </w:rPr>
              <w:t>环保设施</w:t>
            </w:r>
          </w:p>
        </w:tc>
        <w:tc>
          <w:tcPr>
            <w:tcW w:w="5827" w:type="dxa"/>
          </w:tcPr>
          <w:p>
            <w:pPr>
              <w:pStyle w:val="TableParagraph"/>
              <w:numPr>
                <w:ilvl w:val="0"/>
                <w:numId w:val="90"/>
              </w:numPr>
              <w:tabs>
                <w:tab w:pos="266" w:val="left" w:leader="none"/>
              </w:tabs>
              <w:spacing w:line="240" w:lineRule="auto" w:before="136" w:after="0"/>
              <w:ind w:left="265" w:right="0" w:hanging="160"/>
              <w:jc w:val="left"/>
              <w:rPr>
                <w:sz w:val="21"/>
              </w:rPr>
            </w:pPr>
            <w:r>
              <w:rPr>
                <w:sz w:val="21"/>
              </w:rPr>
              <w:t>监测项目：环保设施运行情况，绿化系数。</w:t>
            </w:r>
          </w:p>
          <w:p>
            <w:pPr>
              <w:pStyle w:val="TableParagraph"/>
              <w:numPr>
                <w:ilvl w:val="0"/>
                <w:numId w:val="90"/>
              </w:numPr>
              <w:tabs>
                <w:tab w:pos="266" w:val="left" w:leader="none"/>
              </w:tabs>
              <w:spacing w:line="240" w:lineRule="auto" w:before="4" w:after="0"/>
              <w:ind w:left="265" w:right="0" w:hanging="160"/>
              <w:jc w:val="left"/>
              <w:rPr>
                <w:sz w:val="21"/>
              </w:rPr>
            </w:pPr>
            <w:r>
              <w:rPr>
                <w:sz w:val="21"/>
              </w:rPr>
              <w:t>监测频率：不定期。</w:t>
            </w:r>
          </w:p>
        </w:tc>
        <w:tc>
          <w:tcPr>
            <w:tcW w:w="1082" w:type="dxa"/>
          </w:tcPr>
          <w:p>
            <w:pPr>
              <w:pStyle w:val="TableParagraph"/>
              <w:spacing w:line="242" w:lineRule="auto" w:before="1"/>
              <w:ind w:left="121" w:right="110"/>
              <w:rPr>
                <w:sz w:val="21"/>
              </w:rPr>
            </w:pPr>
            <w:r>
              <w:rPr>
                <w:sz w:val="21"/>
              </w:rPr>
              <w:t>双鸭山市生态环境</w:t>
            </w:r>
          </w:p>
          <w:p>
            <w:pPr>
              <w:pStyle w:val="TableParagraph"/>
              <w:spacing w:line="250" w:lineRule="exact"/>
              <w:ind w:left="8"/>
              <w:rPr>
                <w:sz w:val="21"/>
              </w:rPr>
            </w:pPr>
            <w:r>
              <w:rPr>
                <w:w w:val="99"/>
                <w:sz w:val="21"/>
              </w:rPr>
              <w:t>局</w:t>
            </w:r>
          </w:p>
        </w:tc>
      </w:tr>
    </w:tbl>
    <w:p>
      <w:pPr>
        <w:spacing w:after="0" w:line="250" w:lineRule="exact"/>
        <w:rPr>
          <w:sz w:val="21"/>
        </w:rPr>
        <w:sectPr>
          <w:pgSz w:w="11910" w:h="16840"/>
          <w:pgMar w:header="0" w:footer="1089" w:top="1580" w:bottom="1280" w:left="1200" w:right="112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4"/>
        <w:gridCol w:w="1787"/>
        <w:gridCol w:w="5827"/>
        <w:gridCol w:w="1082"/>
      </w:tblGrid>
      <w:tr>
        <w:trPr>
          <w:trHeight w:val="816" w:hRule="atLeast"/>
        </w:trPr>
        <w:tc>
          <w:tcPr>
            <w:tcW w:w="644" w:type="dxa"/>
          </w:tcPr>
          <w:p>
            <w:pPr>
              <w:pStyle w:val="TableParagraph"/>
              <w:spacing w:before="4"/>
              <w:jc w:val="left"/>
              <w:rPr>
                <w:b/>
                <w:sz w:val="22"/>
              </w:rPr>
            </w:pPr>
          </w:p>
          <w:p>
            <w:pPr>
              <w:pStyle w:val="TableParagraph"/>
              <w:ind w:left="217"/>
              <w:jc w:val="left"/>
              <w:rPr>
                <w:rFonts w:ascii="Times New Roman"/>
                <w:sz w:val="21"/>
              </w:rPr>
            </w:pPr>
            <w:r>
              <w:rPr>
                <w:rFonts w:ascii="Times New Roman"/>
                <w:sz w:val="21"/>
              </w:rPr>
              <w:t>16</w:t>
            </w:r>
          </w:p>
        </w:tc>
        <w:tc>
          <w:tcPr>
            <w:tcW w:w="1787" w:type="dxa"/>
          </w:tcPr>
          <w:p>
            <w:pPr>
              <w:pStyle w:val="TableParagraph"/>
              <w:spacing w:before="2"/>
              <w:jc w:val="left"/>
              <w:rPr>
                <w:b/>
                <w:sz w:val="21"/>
              </w:rPr>
            </w:pPr>
          </w:p>
          <w:p>
            <w:pPr>
              <w:pStyle w:val="TableParagraph"/>
              <w:spacing w:before="1"/>
              <w:ind w:left="473"/>
              <w:jc w:val="left"/>
              <w:rPr>
                <w:sz w:val="21"/>
              </w:rPr>
            </w:pPr>
            <w:r>
              <w:rPr>
                <w:sz w:val="21"/>
              </w:rPr>
              <w:t>事故监测</w:t>
            </w:r>
          </w:p>
        </w:tc>
        <w:tc>
          <w:tcPr>
            <w:tcW w:w="5827" w:type="dxa"/>
          </w:tcPr>
          <w:p>
            <w:pPr>
              <w:pStyle w:val="TableParagraph"/>
              <w:numPr>
                <w:ilvl w:val="0"/>
                <w:numId w:val="91"/>
              </w:numPr>
              <w:tabs>
                <w:tab w:pos="266" w:val="left" w:leader="none"/>
              </w:tabs>
              <w:spacing w:line="240" w:lineRule="auto" w:before="0" w:after="0"/>
              <w:ind w:left="265" w:right="-15" w:hanging="160"/>
              <w:jc w:val="left"/>
              <w:rPr>
                <w:sz w:val="21"/>
              </w:rPr>
            </w:pPr>
            <w:r>
              <w:rPr>
                <w:spacing w:val="-11"/>
                <w:w w:val="95"/>
                <w:sz w:val="21"/>
              </w:rPr>
              <w:t>监测项目：事故发生的类型、原因、污染程度及采取的措施。</w:t>
            </w:r>
          </w:p>
          <w:p>
            <w:pPr>
              <w:pStyle w:val="TableParagraph"/>
              <w:numPr>
                <w:ilvl w:val="0"/>
                <w:numId w:val="91"/>
              </w:numPr>
              <w:tabs>
                <w:tab w:pos="266" w:val="left" w:leader="none"/>
              </w:tabs>
              <w:spacing w:line="240" w:lineRule="auto" w:before="3" w:after="0"/>
              <w:ind w:left="265" w:right="0" w:hanging="160"/>
              <w:jc w:val="left"/>
              <w:rPr>
                <w:sz w:val="21"/>
              </w:rPr>
            </w:pPr>
            <w:r>
              <w:rPr>
                <w:sz w:val="21"/>
              </w:rPr>
              <w:t>监测频率：不定期。</w:t>
            </w:r>
          </w:p>
          <w:p>
            <w:pPr>
              <w:pStyle w:val="TableParagraph"/>
              <w:numPr>
                <w:ilvl w:val="0"/>
                <w:numId w:val="91"/>
              </w:numPr>
              <w:tabs>
                <w:tab w:pos="266" w:val="left" w:leader="none"/>
              </w:tabs>
              <w:spacing w:line="251" w:lineRule="exact" w:before="4" w:after="0"/>
              <w:ind w:left="265" w:right="0" w:hanging="160"/>
              <w:jc w:val="left"/>
              <w:rPr>
                <w:sz w:val="21"/>
              </w:rPr>
            </w:pPr>
            <w:r>
              <w:rPr>
                <w:sz w:val="21"/>
              </w:rPr>
              <w:t>监测点位：污水处理设施、矸石临时堆放场地等。</w:t>
            </w:r>
          </w:p>
        </w:tc>
        <w:tc>
          <w:tcPr>
            <w:tcW w:w="1082" w:type="dxa"/>
          </w:tcPr>
          <w:p>
            <w:pPr>
              <w:pStyle w:val="TableParagraph"/>
              <w:spacing w:line="242" w:lineRule="auto"/>
              <w:ind w:left="121" w:right="110"/>
              <w:rPr>
                <w:sz w:val="21"/>
              </w:rPr>
            </w:pPr>
            <w:r>
              <w:rPr>
                <w:sz w:val="21"/>
              </w:rPr>
              <w:t>双鸭山市生态环境</w:t>
            </w:r>
          </w:p>
          <w:p>
            <w:pPr>
              <w:pStyle w:val="TableParagraph"/>
              <w:spacing w:line="251" w:lineRule="exact" w:before="2"/>
              <w:ind w:left="8"/>
              <w:rPr>
                <w:sz w:val="21"/>
              </w:rPr>
            </w:pPr>
            <w:r>
              <w:rPr>
                <w:w w:val="99"/>
                <w:sz w:val="21"/>
              </w:rPr>
              <w:t>局</w:t>
            </w:r>
          </w:p>
        </w:tc>
      </w:tr>
    </w:tbl>
    <w:p>
      <w:pPr>
        <w:pStyle w:val="BodyText"/>
        <w:spacing w:line="364" w:lineRule="auto" w:before="7"/>
        <w:ind w:left="215" w:right="238" w:firstLine="480"/>
        <w:jc w:val="both"/>
      </w:pPr>
      <w:r>
        <w:rPr>
          <w:spacing w:val="-5"/>
        </w:rPr>
        <w:t>本项目应配备环境监理工程师 </w:t>
      </w:r>
      <w:r>
        <w:rPr>
          <w:rFonts w:ascii="Times New Roman" w:hAnsi="Times New Roman" w:eastAsia="Times New Roman"/>
        </w:rPr>
        <w:t>1 </w:t>
      </w:r>
      <w:r>
        <w:rPr>
          <w:spacing w:val="-1"/>
        </w:rPr>
        <w:t>名，负责编制工程施工期的环境保护计划，监督检</w:t>
      </w:r>
      <w:r>
        <w:rPr/>
        <w:t>查环境影响报告书中所提出的各项环保防治措施的落实情况及</w:t>
      </w:r>
      <w:r>
        <w:rPr>
          <w:rFonts w:ascii="Times New Roman" w:hAnsi="Times New Roman" w:eastAsia="Times New Roman"/>
        </w:rPr>
        <w:t>“</w:t>
      </w:r>
      <w:r>
        <w:rPr/>
        <w:t>三同时</w:t>
      </w:r>
      <w:r>
        <w:rPr>
          <w:rFonts w:ascii="Times New Roman" w:hAnsi="Times New Roman" w:eastAsia="Times New Roman"/>
        </w:rPr>
        <w:t>”</w:t>
      </w:r>
      <w:r>
        <w:rPr>
          <w:spacing w:val="-2"/>
        </w:rPr>
        <w:t>的执行情况，监</w:t>
      </w:r>
      <w:r>
        <w:rPr>
          <w:spacing w:val="-1"/>
        </w:rPr>
        <w:t>督检查环境监测计划的编制、实施情况及存在的问题，制定和实施事故应急计划。认真贯彻执行国家和省内各项环境保护法规，普及环境保护知识，增加工作人员的环境保护</w:t>
      </w:r>
      <w:r>
        <w:rPr/>
        <w:t>意识。</w:t>
      </w:r>
    </w:p>
    <w:p>
      <w:pPr>
        <w:pStyle w:val="Heading2"/>
        <w:numPr>
          <w:ilvl w:val="1"/>
          <w:numId w:val="72"/>
        </w:numPr>
        <w:tabs>
          <w:tab w:pos="816" w:val="left" w:leader="none"/>
        </w:tabs>
        <w:spacing w:line="383" w:lineRule="exact" w:before="0" w:after="0"/>
        <w:ind w:left="816" w:right="0" w:hanging="601"/>
        <w:jc w:val="left"/>
        <w:rPr>
          <w:rFonts w:ascii="Times New Roman" w:eastAsia="Times New Roman"/>
        </w:rPr>
      </w:pPr>
      <w:bookmarkStart w:name="13.4污染物排放清单" w:id="1063"/>
      <w:bookmarkEnd w:id="1063"/>
      <w:r>
        <w:rPr>
          <w:b w:val="0"/>
        </w:rPr>
      </w:r>
      <w:bookmarkStart w:name="_bookmark71" w:id="1064"/>
      <w:bookmarkEnd w:id="1064"/>
      <w:r>
        <w:rPr>
          <w:b w:val="0"/>
        </w:rPr>
      </w:r>
      <w:bookmarkStart w:name="_bookmark71" w:id="1065"/>
      <w:bookmarkEnd w:id="1065"/>
      <w:r>
        <w:rPr/>
        <w:t>污染物排放清单</w:t>
      </w:r>
    </w:p>
    <w:p>
      <w:pPr>
        <w:pStyle w:val="BodyText"/>
        <w:spacing w:before="196"/>
        <w:ind w:left="696"/>
      </w:pPr>
      <w:r>
        <w:rPr/>
        <w:t>本项目污染物排放清单见表 </w:t>
      </w:r>
      <w:r>
        <w:rPr>
          <w:rFonts w:ascii="Times New Roman" w:eastAsia="Times New Roman"/>
        </w:rPr>
        <w:t>13.4-1</w:t>
      </w:r>
      <w:r>
        <w:rPr/>
        <w:t>。</w:t>
      </w:r>
    </w:p>
    <w:p>
      <w:pPr>
        <w:spacing w:after="0"/>
        <w:sectPr>
          <w:pgSz w:w="11910" w:h="16840"/>
          <w:pgMar w:header="0" w:footer="1089" w:top="1580" w:bottom="1280" w:left="1200" w:right="1120"/>
        </w:sectPr>
      </w:pPr>
    </w:p>
    <w:p>
      <w:pPr>
        <w:pStyle w:val="BodyText"/>
        <w:rPr>
          <w:sz w:val="20"/>
        </w:rPr>
      </w:pPr>
    </w:p>
    <w:p>
      <w:pPr>
        <w:pStyle w:val="BodyText"/>
        <w:rPr>
          <w:sz w:val="20"/>
        </w:rPr>
      </w:pPr>
    </w:p>
    <w:p>
      <w:pPr>
        <w:pStyle w:val="BodyText"/>
        <w:spacing w:before="1"/>
        <w:rPr>
          <w:sz w:val="14"/>
        </w:rPr>
      </w:pPr>
    </w:p>
    <w:p>
      <w:pPr>
        <w:pStyle w:val="Heading4"/>
        <w:tabs>
          <w:tab w:pos="5959" w:val="left" w:leader="none"/>
        </w:tabs>
        <w:spacing w:before="74"/>
        <w:ind w:left="4800"/>
      </w:pPr>
      <w:r>
        <w:rPr/>
        <w:t>表</w:t>
      </w:r>
      <w:r>
        <w:rPr>
          <w:spacing w:val="-62"/>
        </w:rPr>
        <w:t> </w:t>
      </w:r>
      <w:r>
        <w:rPr>
          <w:rFonts w:ascii="Times New Roman" w:eastAsia="Times New Roman"/>
        </w:rPr>
        <w:t>13.4-2</w:t>
        <w:tab/>
      </w:r>
      <w:r>
        <w:rPr/>
        <w:t>本项目污染物排放清单一览表</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941"/>
        <w:gridCol w:w="619"/>
        <w:gridCol w:w="3788"/>
        <w:gridCol w:w="1759"/>
        <w:gridCol w:w="870"/>
        <w:gridCol w:w="948"/>
        <w:gridCol w:w="1360"/>
        <w:gridCol w:w="1629"/>
      </w:tblGrid>
      <w:tr>
        <w:trPr>
          <w:trHeight w:val="545" w:hRule="atLeast"/>
        </w:trPr>
        <w:tc>
          <w:tcPr>
            <w:tcW w:w="595" w:type="dxa"/>
          </w:tcPr>
          <w:p>
            <w:pPr>
              <w:pStyle w:val="TableParagraph"/>
              <w:spacing w:before="1"/>
              <w:ind w:left="86"/>
              <w:jc w:val="left"/>
              <w:rPr>
                <w:sz w:val="21"/>
              </w:rPr>
            </w:pPr>
            <w:r>
              <w:rPr>
                <w:spacing w:val="-1"/>
                <w:w w:val="95"/>
                <w:sz w:val="21"/>
              </w:rPr>
              <w:t>环境</w:t>
            </w:r>
          </w:p>
          <w:p>
            <w:pPr>
              <w:pStyle w:val="TableParagraph"/>
              <w:spacing w:line="252" w:lineRule="exact" w:before="2"/>
              <w:ind w:left="86"/>
              <w:jc w:val="left"/>
              <w:rPr>
                <w:sz w:val="21"/>
              </w:rPr>
            </w:pPr>
            <w:r>
              <w:rPr>
                <w:spacing w:val="-1"/>
                <w:w w:val="95"/>
                <w:sz w:val="21"/>
              </w:rPr>
              <w:t>要素</w:t>
            </w:r>
          </w:p>
        </w:tc>
        <w:tc>
          <w:tcPr>
            <w:tcW w:w="1560" w:type="dxa"/>
            <w:gridSpan w:val="2"/>
          </w:tcPr>
          <w:p>
            <w:pPr>
              <w:pStyle w:val="TableParagraph"/>
              <w:spacing w:before="136"/>
              <w:ind w:left="360"/>
              <w:jc w:val="left"/>
              <w:rPr>
                <w:sz w:val="21"/>
              </w:rPr>
            </w:pPr>
            <w:r>
              <w:rPr>
                <w:sz w:val="21"/>
              </w:rPr>
              <w:t>管理项目</w:t>
            </w:r>
          </w:p>
        </w:tc>
        <w:tc>
          <w:tcPr>
            <w:tcW w:w="3788" w:type="dxa"/>
          </w:tcPr>
          <w:p>
            <w:pPr>
              <w:pStyle w:val="TableParagraph"/>
              <w:spacing w:before="136"/>
              <w:ind w:left="11" w:right="7"/>
              <w:rPr>
                <w:sz w:val="21"/>
              </w:rPr>
            </w:pPr>
            <w:r>
              <w:rPr>
                <w:sz w:val="21"/>
              </w:rPr>
              <w:t>污染防治措施</w:t>
            </w:r>
          </w:p>
        </w:tc>
        <w:tc>
          <w:tcPr>
            <w:tcW w:w="1759" w:type="dxa"/>
          </w:tcPr>
          <w:p>
            <w:pPr>
              <w:pStyle w:val="TableParagraph"/>
              <w:spacing w:before="1"/>
              <w:ind w:left="6"/>
              <w:rPr>
                <w:sz w:val="21"/>
              </w:rPr>
            </w:pPr>
            <w:r>
              <w:rPr>
                <w:sz w:val="21"/>
              </w:rPr>
              <w:t>排污口</w:t>
            </w:r>
          </w:p>
          <w:p>
            <w:pPr>
              <w:pStyle w:val="TableParagraph"/>
              <w:spacing w:line="252" w:lineRule="exact" w:before="2"/>
              <w:ind w:left="6"/>
              <w:rPr>
                <w:sz w:val="21"/>
              </w:rPr>
            </w:pPr>
            <w:r>
              <w:rPr>
                <w:sz w:val="21"/>
              </w:rPr>
              <w:t>信息</w:t>
            </w:r>
          </w:p>
        </w:tc>
        <w:tc>
          <w:tcPr>
            <w:tcW w:w="870" w:type="dxa"/>
          </w:tcPr>
          <w:p>
            <w:pPr>
              <w:pStyle w:val="TableParagraph"/>
              <w:spacing w:before="16"/>
              <w:ind w:left="19" w:right="11"/>
              <w:rPr>
                <w:sz w:val="21"/>
              </w:rPr>
            </w:pPr>
            <w:r>
              <w:rPr>
                <w:sz w:val="21"/>
              </w:rPr>
              <w:t>产生量</w:t>
            </w:r>
          </w:p>
          <w:p>
            <w:pPr>
              <w:pStyle w:val="TableParagraph"/>
              <w:spacing w:line="238" w:lineRule="exact" w:before="1"/>
              <w:ind w:left="20" w:right="11"/>
              <w:rPr>
                <w:rFonts w:ascii="Times New Roman"/>
                <w:sz w:val="21"/>
              </w:rPr>
            </w:pPr>
            <w:r>
              <w:rPr>
                <w:rFonts w:ascii="Times New Roman"/>
                <w:sz w:val="21"/>
              </w:rPr>
              <w:t>t/a</w:t>
            </w:r>
          </w:p>
        </w:tc>
        <w:tc>
          <w:tcPr>
            <w:tcW w:w="948" w:type="dxa"/>
          </w:tcPr>
          <w:p>
            <w:pPr>
              <w:pStyle w:val="TableParagraph"/>
              <w:spacing w:before="136"/>
              <w:ind w:left="9" w:right="4"/>
              <w:rPr>
                <w:rFonts w:ascii="Times New Roman" w:eastAsia="Times New Roman"/>
                <w:sz w:val="21"/>
              </w:rPr>
            </w:pPr>
            <w:r>
              <w:rPr>
                <w:spacing w:val="-15"/>
                <w:sz w:val="21"/>
              </w:rPr>
              <w:t>排放量 </w:t>
            </w:r>
            <w:r>
              <w:rPr>
                <w:rFonts w:ascii="Times New Roman" w:eastAsia="Times New Roman"/>
                <w:sz w:val="21"/>
              </w:rPr>
              <w:t>t/a</w:t>
            </w:r>
          </w:p>
        </w:tc>
        <w:tc>
          <w:tcPr>
            <w:tcW w:w="1360" w:type="dxa"/>
          </w:tcPr>
          <w:p>
            <w:pPr>
              <w:pStyle w:val="TableParagraph"/>
              <w:spacing w:before="16"/>
              <w:ind w:left="136" w:right="129"/>
              <w:rPr>
                <w:sz w:val="21"/>
              </w:rPr>
            </w:pPr>
            <w:r>
              <w:rPr>
                <w:sz w:val="21"/>
              </w:rPr>
              <w:t>排放浓度</w:t>
            </w:r>
          </w:p>
          <w:p>
            <w:pPr>
              <w:pStyle w:val="TableParagraph"/>
              <w:spacing w:line="238" w:lineRule="exact" w:before="1"/>
              <w:ind w:left="136" w:right="125"/>
              <w:rPr>
                <w:rFonts w:ascii="Times New Roman"/>
                <w:sz w:val="13"/>
              </w:rPr>
            </w:pPr>
            <w:r>
              <w:rPr>
                <w:rFonts w:ascii="Times New Roman"/>
                <w:sz w:val="21"/>
              </w:rPr>
              <w:t>mg/m</w:t>
            </w:r>
            <w:r>
              <w:rPr>
                <w:rFonts w:ascii="Times New Roman"/>
                <w:position w:val="7"/>
                <w:sz w:val="13"/>
              </w:rPr>
              <w:t>3</w:t>
            </w:r>
          </w:p>
        </w:tc>
        <w:tc>
          <w:tcPr>
            <w:tcW w:w="1629" w:type="dxa"/>
          </w:tcPr>
          <w:p>
            <w:pPr>
              <w:pStyle w:val="TableParagraph"/>
              <w:spacing w:before="136"/>
              <w:ind w:left="8"/>
              <w:rPr>
                <w:rFonts w:ascii="Times New Roman" w:eastAsia="Times New Roman"/>
                <w:sz w:val="21"/>
              </w:rPr>
            </w:pPr>
            <w:r>
              <w:rPr>
                <w:sz w:val="21"/>
              </w:rPr>
              <w:t>总量控制指标 </w:t>
            </w:r>
            <w:r>
              <w:rPr>
                <w:rFonts w:ascii="Times New Roman" w:eastAsia="Times New Roman"/>
                <w:sz w:val="21"/>
              </w:rPr>
              <w:t>t/a</w:t>
            </w:r>
          </w:p>
        </w:tc>
      </w:tr>
      <w:tr>
        <w:trPr>
          <w:trHeight w:val="495" w:hRule="atLeast"/>
        </w:trPr>
        <w:tc>
          <w:tcPr>
            <w:tcW w:w="59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6"/>
              <w:jc w:val="left"/>
              <w:rPr>
                <w:b/>
                <w:sz w:val="14"/>
              </w:rPr>
            </w:pPr>
          </w:p>
          <w:p>
            <w:pPr>
              <w:pStyle w:val="TableParagraph"/>
              <w:spacing w:line="244" w:lineRule="auto"/>
              <w:ind w:left="86" w:right="78"/>
              <w:jc w:val="left"/>
              <w:rPr>
                <w:sz w:val="21"/>
              </w:rPr>
            </w:pPr>
            <w:r>
              <w:rPr>
                <w:sz w:val="21"/>
              </w:rPr>
              <w:t>环境空气</w:t>
            </w:r>
          </w:p>
        </w:tc>
        <w:tc>
          <w:tcPr>
            <w:tcW w:w="941" w:type="dxa"/>
            <w:vMerge w:val="restart"/>
          </w:tcPr>
          <w:p>
            <w:pPr>
              <w:pStyle w:val="TableParagraph"/>
              <w:jc w:val="left"/>
              <w:rPr>
                <w:b/>
                <w:sz w:val="20"/>
              </w:rPr>
            </w:pPr>
          </w:p>
          <w:p>
            <w:pPr>
              <w:pStyle w:val="TableParagraph"/>
              <w:jc w:val="left"/>
              <w:rPr>
                <w:b/>
                <w:sz w:val="16"/>
              </w:rPr>
            </w:pPr>
          </w:p>
          <w:p>
            <w:pPr>
              <w:pStyle w:val="TableParagraph"/>
              <w:ind w:left="153"/>
              <w:jc w:val="left"/>
              <w:rPr>
                <w:sz w:val="21"/>
              </w:rPr>
            </w:pPr>
            <w:r>
              <w:rPr>
                <w:sz w:val="21"/>
              </w:rPr>
              <w:t>锅炉房</w:t>
            </w:r>
          </w:p>
        </w:tc>
        <w:tc>
          <w:tcPr>
            <w:tcW w:w="619" w:type="dxa"/>
          </w:tcPr>
          <w:p>
            <w:pPr>
              <w:pStyle w:val="TableParagraph"/>
              <w:spacing w:before="111"/>
              <w:ind w:left="28"/>
              <w:jc w:val="left"/>
              <w:rPr>
                <w:sz w:val="21"/>
              </w:rPr>
            </w:pPr>
            <w:r>
              <w:rPr>
                <w:sz w:val="21"/>
              </w:rPr>
              <w:t>烟尘</w:t>
            </w:r>
          </w:p>
        </w:tc>
        <w:tc>
          <w:tcPr>
            <w:tcW w:w="3788" w:type="dxa"/>
            <w:vMerge w:val="restart"/>
          </w:tcPr>
          <w:p>
            <w:pPr>
              <w:pStyle w:val="TableParagraph"/>
              <w:jc w:val="left"/>
              <w:rPr>
                <w:b/>
                <w:sz w:val="20"/>
              </w:rPr>
            </w:pPr>
          </w:p>
          <w:p>
            <w:pPr>
              <w:pStyle w:val="TableParagraph"/>
              <w:jc w:val="left"/>
              <w:rPr>
                <w:b/>
                <w:sz w:val="16"/>
              </w:rPr>
            </w:pPr>
          </w:p>
          <w:p>
            <w:pPr>
              <w:pStyle w:val="TableParagraph"/>
              <w:ind w:left="14" w:right="7"/>
              <w:rPr>
                <w:sz w:val="21"/>
              </w:rPr>
            </w:pPr>
            <w:r>
              <w:rPr>
                <w:sz w:val="21"/>
              </w:rPr>
              <w:t>布袋除尘器</w:t>
            </w:r>
          </w:p>
        </w:tc>
        <w:tc>
          <w:tcPr>
            <w:tcW w:w="1759" w:type="dxa"/>
            <w:vMerge w:val="restart"/>
          </w:tcPr>
          <w:p>
            <w:pPr>
              <w:pStyle w:val="TableParagraph"/>
              <w:spacing w:before="4"/>
              <w:jc w:val="left"/>
              <w:rPr>
                <w:b/>
                <w:sz w:val="25"/>
              </w:rPr>
            </w:pPr>
          </w:p>
          <w:p>
            <w:pPr>
              <w:pStyle w:val="TableParagraph"/>
              <w:spacing w:line="242" w:lineRule="auto"/>
              <w:ind w:left="325" w:right="26" w:hanging="288"/>
              <w:jc w:val="left"/>
              <w:rPr>
                <w:rFonts w:ascii="Times New Roman" w:eastAsia="Times New Roman"/>
                <w:sz w:val="21"/>
              </w:rPr>
            </w:pPr>
            <w:r>
              <w:rPr>
                <w:spacing w:val="-15"/>
                <w:sz w:val="21"/>
              </w:rPr>
              <w:t>烟囱高 </w:t>
            </w:r>
            <w:r>
              <w:rPr>
                <w:rFonts w:ascii="Times New Roman" w:eastAsia="Times New Roman"/>
                <w:sz w:val="21"/>
              </w:rPr>
              <w:t>35m</w:t>
            </w:r>
            <w:r>
              <w:rPr>
                <w:spacing w:val="-5"/>
                <w:sz w:val="21"/>
              </w:rPr>
              <w:t>，出口</w:t>
            </w:r>
            <w:r>
              <w:rPr>
                <w:spacing w:val="-14"/>
                <w:sz w:val="21"/>
              </w:rPr>
              <w:t>直径为 </w:t>
            </w:r>
            <w:r>
              <w:rPr>
                <w:rFonts w:ascii="Times New Roman" w:eastAsia="Times New Roman"/>
                <w:sz w:val="21"/>
              </w:rPr>
              <w:t>0.8m</w:t>
            </w:r>
          </w:p>
        </w:tc>
        <w:tc>
          <w:tcPr>
            <w:tcW w:w="870" w:type="dxa"/>
          </w:tcPr>
          <w:p>
            <w:pPr>
              <w:pStyle w:val="TableParagraph"/>
              <w:spacing w:before="101"/>
              <w:ind w:left="17" w:right="11"/>
              <w:rPr>
                <w:rFonts w:ascii="Times New Roman"/>
                <w:sz w:val="21"/>
              </w:rPr>
            </w:pPr>
            <w:r>
              <w:rPr>
                <w:rFonts w:ascii="Times New Roman"/>
                <w:sz w:val="21"/>
              </w:rPr>
              <w:t>176</w:t>
            </w:r>
          </w:p>
        </w:tc>
        <w:tc>
          <w:tcPr>
            <w:tcW w:w="948" w:type="dxa"/>
          </w:tcPr>
          <w:p>
            <w:pPr>
              <w:pStyle w:val="TableParagraph"/>
              <w:spacing w:before="101"/>
              <w:ind w:left="14" w:right="4"/>
              <w:rPr>
                <w:rFonts w:ascii="Times New Roman"/>
                <w:sz w:val="21"/>
              </w:rPr>
            </w:pPr>
            <w:r>
              <w:rPr>
                <w:rFonts w:ascii="Times New Roman"/>
                <w:sz w:val="21"/>
              </w:rPr>
              <w:t>0.176</w:t>
            </w:r>
          </w:p>
        </w:tc>
        <w:tc>
          <w:tcPr>
            <w:tcW w:w="1360" w:type="dxa"/>
          </w:tcPr>
          <w:p>
            <w:pPr>
              <w:pStyle w:val="TableParagraph"/>
              <w:spacing w:before="101"/>
              <w:ind w:left="136" w:right="125"/>
              <w:rPr>
                <w:rFonts w:ascii="Times New Roman"/>
                <w:sz w:val="21"/>
              </w:rPr>
            </w:pPr>
            <w:r>
              <w:rPr>
                <w:rFonts w:ascii="Times New Roman"/>
                <w:sz w:val="21"/>
              </w:rPr>
              <w:t>14.25</w:t>
            </w:r>
          </w:p>
        </w:tc>
        <w:tc>
          <w:tcPr>
            <w:tcW w:w="1629" w:type="dxa"/>
          </w:tcPr>
          <w:p>
            <w:pPr>
              <w:pStyle w:val="TableParagraph"/>
              <w:spacing w:before="101"/>
              <w:ind w:left="10"/>
              <w:rPr>
                <w:rFonts w:ascii="Times New Roman"/>
                <w:sz w:val="21"/>
              </w:rPr>
            </w:pPr>
            <w:r>
              <w:rPr>
                <w:rFonts w:ascii="Times New Roman"/>
                <w:sz w:val="21"/>
              </w:rPr>
              <w:t>0.176</w:t>
            </w:r>
          </w:p>
        </w:tc>
      </w:tr>
      <w:tr>
        <w:trPr>
          <w:trHeight w:val="340" w:hRule="atLeast"/>
        </w:trPr>
        <w:tc>
          <w:tcPr>
            <w:tcW w:w="595" w:type="dxa"/>
            <w:vMerge/>
            <w:tcBorders>
              <w:top w:val="nil"/>
            </w:tcBorders>
          </w:tcPr>
          <w:p>
            <w:pPr>
              <w:rPr>
                <w:sz w:val="2"/>
                <w:szCs w:val="2"/>
              </w:rPr>
            </w:pPr>
          </w:p>
        </w:tc>
        <w:tc>
          <w:tcPr>
            <w:tcW w:w="941" w:type="dxa"/>
            <w:vMerge/>
            <w:tcBorders>
              <w:top w:val="nil"/>
            </w:tcBorders>
          </w:tcPr>
          <w:p>
            <w:pPr>
              <w:rPr>
                <w:sz w:val="2"/>
                <w:szCs w:val="2"/>
              </w:rPr>
            </w:pPr>
          </w:p>
        </w:tc>
        <w:tc>
          <w:tcPr>
            <w:tcW w:w="619" w:type="dxa"/>
          </w:tcPr>
          <w:p>
            <w:pPr>
              <w:pStyle w:val="TableParagraph"/>
              <w:spacing w:before="44"/>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tcBorders>
              <w:top w:val="nil"/>
            </w:tcBorders>
          </w:tcPr>
          <w:p>
            <w:pPr>
              <w:rPr>
                <w:sz w:val="2"/>
                <w:szCs w:val="2"/>
              </w:rPr>
            </w:pPr>
          </w:p>
        </w:tc>
        <w:tc>
          <w:tcPr>
            <w:tcW w:w="1759" w:type="dxa"/>
            <w:vMerge/>
            <w:tcBorders>
              <w:top w:val="nil"/>
            </w:tcBorders>
          </w:tcPr>
          <w:p>
            <w:pPr>
              <w:rPr>
                <w:sz w:val="2"/>
                <w:szCs w:val="2"/>
              </w:rPr>
            </w:pPr>
          </w:p>
        </w:tc>
        <w:tc>
          <w:tcPr>
            <w:tcW w:w="870" w:type="dxa"/>
          </w:tcPr>
          <w:p>
            <w:pPr>
              <w:pStyle w:val="TableParagraph"/>
              <w:spacing w:before="23"/>
              <w:ind w:left="20" w:right="9"/>
              <w:rPr>
                <w:rFonts w:ascii="Times New Roman"/>
                <w:sz w:val="21"/>
              </w:rPr>
            </w:pPr>
            <w:r>
              <w:rPr>
                <w:rFonts w:ascii="Times New Roman"/>
                <w:sz w:val="21"/>
              </w:rPr>
              <w:t>0.282</w:t>
            </w:r>
          </w:p>
        </w:tc>
        <w:tc>
          <w:tcPr>
            <w:tcW w:w="948" w:type="dxa"/>
          </w:tcPr>
          <w:p>
            <w:pPr>
              <w:pStyle w:val="TableParagraph"/>
              <w:spacing w:before="23"/>
              <w:ind w:left="14" w:right="4"/>
              <w:rPr>
                <w:rFonts w:ascii="Times New Roman"/>
                <w:sz w:val="21"/>
              </w:rPr>
            </w:pPr>
            <w:r>
              <w:rPr>
                <w:rFonts w:ascii="Times New Roman"/>
                <w:sz w:val="21"/>
              </w:rPr>
              <w:t>0.282</w:t>
            </w:r>
          </w:p>
        </w:tc>
        <w:tc>
          <w:tcPr>
            <w:tcW w:w="1360" w:type="dxa"/>
          </w:tcPr>
          <w:p>
            <w:pPr>
              <w:pStyle w:val="TableParagraph"/>
              <w:spacing w:before="23"/>
              <w:ind w:left="136" w:right="125"/>
              <w:rPr>
                <w:rFonts w:ascii="Times New Roman"/>
                <w:sz w:val="21"/>
              </w:rPr>
            </w:pPr>
            <w:r>
              <w:rPr>
                <w:rFonts w:ascii="Times New Roman"/>
                <w:sz w:val="21"/>
              </w:rPr>
              <w:t>22.84</w:t>
            </w:r>
          </w:p>
        </w:tc>
        <w:tc>
          <w:tcPr>
            <w:tcW w:w="1629" w:type="dxa"/>
          </w:tcPr>
          <w:p>
            <w:pPr>
              <w:pStyle w:val="TableParagraph"/>
              <w:spacing w:before="23"/>
              <w:ind w:left="10"/>
              <w:rPr>
                <w:rFonts w:ascii="Times New Roman"/>
                <w:sz w:val="21"/>
              </w:rPr>
            </w:pPr>
            <w:r>
              <w:rPr>
                <w:rFonts w:ascii="Times New Roman"/>
                <w:sz w:val="21"/>
              </w:rPr>
              <w:t>0.282</w:t>
            </w:r>
          </w:p>
        </w:tc>
      </w:tr>
      <w:tr>
        <w:trPr>
          <w:trHeight w:val="340" w:hRule="atLeast"/>
        </w:trPr>
        <w:tc>
          <w:tcPr>
            <w:tcW w:w="595" w:type="dxa"/>
            <w:vMerge/>
            <w:tcBorders>
              <w:top w:val="nil"/>
            </w:tcBorders>
          </w:tcPr>
          <w:p>
            <w:pPr>
              <w:rPr>
                <w:sz w:val="2"/>
                <w:szCs w:val="2"/>
              </w:rPr>
            </w:pPr>
          </w:p>
        </w:tc>
        <w:tc>
          <w:tcPr>
            <w:tcW w:w="941" w:type="dxa"/>
            <w:vMerge/>
            <w:tcBorders>
              <w:top w:val="nil"/>
            </w:tcBorders>
          </w:tcPr>
          <w:p>
            <w:pPr>
              <w:rPr>
                <w:sz w:val="2"/>
                <w:szCs w:val="2"/>
              </w:rPr>
            </w:pPr>
          </w:p>
        </w:tc>
        <w:tc>
          <w:tcPr>
            <w:tcW w:w="619" w:type="dxa"/>
          </w:tcPr>
          <w:p>
            <w:pPr>
              <w:pStyle w:val="TableParagraph"/>
              <w:spacing w:before="48"/>
              <w:ind w:left="28"/>
              <w:jc w:val="left"/>
              <w:rPr>
                <w:rFonts w:ascii="Times New Roman"/>
                <w:sz w:val="21"/>
              </w:rPr>
            </w:pPr>
            <w:r>
              <w:rPr>
                <w:rFonts w:ascii="Times New Roman"/>
                <w:sz w:val="21"/>
              </w:rPr>
              <w:t>NOx</w:t>
            </w:r>
          </w:p>
        </w:tc>
        <w:tc>
          <w:tcPr>
            <w:tcW w:w="3788" w:type="dxa"/>
            <w:vMerge/>
            <w:tcBorders>
              <w:top w:val="nil"/>
            </w:tcBorders>
          </w:tcPr>
          <w:p>
            <w:pPr>
              <w:rPr>
                <w:sz w:val="2"/>
                <w:szCs w:val="2"/>
              </w:rPr>
            </w:pPr>
          </w:p>
        </w:tc>
        <w:tc>
          <w:tcPr>
            <w:tcW w:w="1759" w:type="dxa"/>
            <w:vMerge/>
            <w:tcBorders>
              <w:top w:val="nil"/>
            </w:tcBorders>
          </w:tcPr>
          <w:p>
            <w:pPr>
              <w:rPr>
                <w:sz w:val="2"/>
                <w:szCs w:val="2"/>
              </w:rPr>
            </w:pPr>
          </w:p>
        </w:tc>
        <w:tc>
          <w:tcPr>
            <w:tcW w:w="870" w:type="dxa"/>
          </w:tcPr>
          <w:p>
            <w:pPr>
              <w:pStyle w:val="TableParagraph"/>
              <w:spacing w:before="24"/>
              <w:ind w:left="20" w:right="9"/>
              <w:rPr>
                <w:rFonts w:ascii="Times New Roman"/>
                <w:sz w:val="21"/>
              </w:rPr>
            </w:pPr>
            <w:r>
              <w:rPr>
                <w:rFonts w:ascii="Times New Roman"/>
                <w:sz w:val="21"/>
              </w:rPr>
              <w:t>2.47</w:t>
            </w:r>
          </w:p>
        </w:tc>
        <w:tc>
          <w:tcPr>
            <w:tcW w:w="948" w:type="dxa"/>
          </w:tcPr>
          <w:p>
            <w:pPr>
              <w:pStyle w:val="TableParagraph"/>
              <w:spacing w:before="24"/>
              <w:ind w:left="9" w:right="1"/>
              <w:rPr>
                <w:rFonts w:ascii="Times New Roman"/>
                <w:sz w:val="21"/>
              </w:rPr>
            </w:pPr>
            <w:r>
              <w:rPr>
                <w:rFonts w:ascii="Times New Roman"/>
                <w:sz w:val="21"/>
              </w:rPr>
              <w:t>2.47</w:t>
            </w:r>
          </w:p>
        </w:tc>
        <w:tc>
          <w:tcPr>
            <w:tcW w:w="1360" w:type="dxa"/>
          </w:tcPr>
          <w:p>
            <w:pPr>
              <w:pStyle w:val="TableParagraph"/>
              <w:spacing w:before="24"/>
              <w:ind w:left="136" w:right="128"/>
              <w:rPr>
                <w:rFonts w:ascii="Times New Roman"/>
                <w:sz w:val="21"/>
              </w:rPr>
            </w:pPr>
            <w:r>
              <w:rPr>
                <w:rFonts w:ascii="Times New Roman"/>
                <w:sz w:val="21"/>
              </w:rPr>
              <w:t>200</w:t>
            </w:r>
          </w:p>
        </w:tc>
        <w:tc>
          <w:tcPr>
            <w:tcW w:w="1629" w:type="dxa"/>
          </w:tcPr>
          <w:p>
            <w:pPr>
              <w:pStyle w:val="TableParagraph"/>
              <w:spacing w:before="24"/>
              <w:ind w:left="10"/>
              <w:rPr>
                <w:rFonts w:ascii="Times New Roman"/>
                <w:sz w:val="21"/>
              </w:rPr>
            </w:pPr>
            <w:r>
              <w:rPr>
                <w:rFonts w:ascii="Times New Roman"/>
                <w:sz w:val="21"/>
              </w:rPr>
              <w:t>2.47</w:t>
            </w:r>
          </w:p>
        </w:tc>
      </w:tr>
      <w:tr>
        <w:trPr>
          <w:trHeight w:val="340" w:hRule="atLeast"/>
        </w:trPr>
        <w:tc>
          <w:tcPr>
            <w:tcW w:w="595" w:type="dxa"/>
            <w:vMerge/>
            <w:tcBorders>
              <w:top w:val="nil"/>
            </w:tcBorders>
          </w:tcPr>
          <w:p>
            <w:pPr>
              <w:rPr>
                <w:sz w:val="2"/>
                <w:szCs w:val="2"/>
              </w:rPr>
            </w:pPr>
          </w:p>
        </w:tc>
        <w:tc>
          <w:tcPr>
            <w:tcW w:w="941" w:type="dxa"/>
            <w:vMerge w:val="restart"/>
          </w:tcPr>
          <w:p>
            <w:pPr>
              <w:pStyle w:val="TableParagraph"/>
              <w:spacing w:before="10"/>
              <w:jc w:val="left"/>
              <w:rPr>
                <w:b/>
                <w:sz w:val="29"/>
              </w:rPr>
            </w:pPr>
          </w:p>
          <w:p>
            <w:pPr>
              <w:pStyle w:val="TableParagraph"/>
              <w:spacing w:before="1"/>
              <w:ind w:left="50"/>
              <w:jc w:val="left"/>
              <w:rPr>
                <w:sz w:val="21"/>
              </w:rPr>
            </w:pPr>
            <w:r>
              <w:rPr>
                <w:sz w:val="21"/>
              </w:rPr>
              <w:t>热风炉房</w:t>
            </w:r>
          </w:p>
        </w:tc>
        <w:tc>
          <w:tcPr>
            <w:tcW w:w="619" w:type="dxa"/>
          </w:tcPr>
          <w:p>
            <w:pPr>
              <w:pStyle w:val="TableParagraph"/>
              <w:spacing w:before="32"/>
              <w:ind w:left="28"/>
              <w:jc w:val="left"/>
              <w:rPr>
                <w:sz w:val="21"/>
              </w:rPr>
            </w:pPr>
            <w:r>
              <w:rPr>
                <w:sz w:val="21"/>
              </w:rPr>
              <w:t>烟尘</w:t>
            </w:r>
          </w:p>
        </w:tc>
        <w:tc>
          <w:tcPr>
            <w:tcW w:w="3788" w:type="dxa"/>
            <w:vMerge w:val="restart"/>
          </w:tcPr>
          <w:p>
            <w:pPr>
              <w:pStyle w:val="TableParagraph"/>
              <w:spacing w:before="10"/>
              <w:jc w:val="left"/>
              <w:rPr>
                <w:b/>
                <w:sz w:val="29"/>
              </w:rPr>
            </w:pPr>
          </w:p>
          <w:p>
            <w:pPr>
              <w:pStyle w:val="TableParagraph"/>
              <w:spacing w:before="1"/>
              <w:ind w:left="14" w:right="7"/>
              <w:rPr>
                <w:sz w:val="21"/>
              </w:rPr>
            </w:pPr>
            <w:r>
              <w:rPr>
                <w:sz w:val="21"/>
              </w:rPr>
              <w:t>布袋除尘器</w:t>
            </w:r>
          </w:p>
        </w:tc>
        <w:tc>
          <w:tcPr>
            <w:tcW w:w="1759" w:type="dxa"/>
            <w:vMerge w:val="restart"/>
          </w:tcPr>
          <w:p>
            <w:pPr>
              <w:pStyle w:val="TableParagraph"/>
              <w:spacing w:before="4"/>
              <w:jc w:val="left"/>
              <w:rPr>
                <w:b/>
                <w:sz w:val="19"/>
              </w:rPr>
            </w:pPr>
          </w:p>
          <w:p>
            <w:pPr>
              <w:pStyle w:val="TableParagraph"/>
              <w:spacing w:line="242" w:lineRule="auto"/>
              <w:ind w:left="325" w:right="26" w:hanging="288"/>
              <w:jc w:val="left"/>
              <w:rPr>
                <w:rFonts w:ascii="Times New Roman" w:eastAsia="Times New Roman"/>
                <w:sz w:val="21"/>
              </w:rPr>
            </w:pPr>
            <w:r>
              <w:rPr>
                <w:spacing w:val="-15"/>
                <w:sz w:val="21"/>
              </w:rPr>
              <w:t>烟囱高 </w:t>
            </w:r>
            <w:r>
              <w:rPr>
                <w:rFonts w:ascii="Times New Roman" w:eastAsia="Times New Roman"/>
                <w:sz w:val="21"/>
              </w:rPr>
              <w:t>35m</w:t>
            </w:r>
            <w:r>
              <w:rPr>
                <w:spacing w:val="-5"/>
                <w:sz w:val="21"/>
              </w:rPr>
              <w:t>，出口</w:t>
            </w:r>
            <w:r>
              <w:rPr>
                <w:spacing w:val="-14"/>
                <w:sz w:val="21"/>
              </w:rPr>
              <w:t>直径为 </w:t>
            </w:r>
            <w:r>
              <w:rPr>
                <w:rFonts w:ascii="Times New Roman" w:eastAsia="Times New Roman"/>
                <w:sz w:val="21"/>
              </w:rPr>
              <w:t>0.8m</w:t>
            </w:r>
          </w:p>
        </w:tc>
        <w:tc>
          <w:tcPr>
            <w:tcW w:w="870" w:type="dxa"/>
          </w:tcPr>
          <w:p>
            <w:pPr>
              <w:pStyle w:val="TableParagraph"/>
              <w:spacing w:before="24"/>
              <w:ind w:left="20" w:right="11"/>
              <w:rPr>
                <w:rFonts w:ascii="Times New Roman"/>
                <w:sz w:val="21"/>
              </w:rPr>
            </w:pPr>
            <w:r>
              <w:rPr>
                <w:rFonts w:ascii="Times New Roman"/>
                <w:sz w:val="21"/>
              </w:rPr>
              <w:t>117</w:t>
            </w:r>
          </w:p>
        </w:tc>
        <w:tc>
          <w:tcPr>
            <w:tcW w:w="948" w:type="dxa"/>
          </w:tcPr>
          <w:p>
            <w:pPr>
              <w:pStyle w:val="TableParagraph"/>
              <w:spacing w:before="24"/>
              <w:ind w:left="14" w:right="4"/>
              <w:rPr>
                <w:rFonts w:ascii="Times New Roman"/>
                <w:sz w:val="21"/>
              </w:rPr>
            </w:pPr>
            <w:r>
              <w:rPr>
                <w:rFonts w:ascii="Times New Roman"/>
                <w:sz w:val="21"/>
              </w:rPr>
              <w:t>0.117</w:t>
            </w:r>
          </w:p>
        </w:tc>
        <w:tc>
          <w:tcPr>
            <w:tcW w:w="1360" w:type="dxa"/>
          </w:tcPr>
          <w:p>
            <w:pPr>
              <w:pStyle w:val="TableParagraph"/>
              <w:spacing w:before="24"/>
              <w:ind w:left="136" w:right="125"/>
              <w:rPr>
                <w:rFonts w:ascii="Times New Roman"/>
                <w:sz w:val="21"/>
              </w:rPr>
            </w:pPr>
            <w:r>
              <w:rPr>
                <w:rFonts w:ascii="Times New Roman"/>
                <w:sz w:val="21"/>
              </w:rPr>
              <w:t>14.25</w:t>
            </w:r>
          </w:p>
        </w:tc>
        <w:tc>
          <w:tcPr>
            <w:tcW w:w="1629" w:type="dxa"/>
          </w:tcPr>
          <w:p>
            <w:pPr>
              <w:pStyle w:val="TableParagraph"/>
              <w:spacing w:before="24"/>
              <w:ind w:left="10"/>
              <w:rPr>
                <w:rFonts w:ascii="Times New Roman"/>
                <w:sz w:val="21"/>
              </w:rPr>
            </w:pPr>
            <w:r>
              <w:rPr>
                <w:rFonts w:ascii="Times New Roman"/>
                <w:sz w:val="21"/>
              </w:rPr>
              <w:t>0.117</w:t>
            </w:r>
          </w:p>
        </w:tc>
      </w:tr>
      <w:tr>
        <w:trPr>
          <w:trHeight w:val="340" w:hRule="atLeast"/>
        </w:trPr>
        <w:tc>
          <w:tcPr>
            <w:tcW w:w="595" w:type="dxa"/>
            <w:vMerge/>
            <w:tcBorders>
              <w:top w:val="nil"/>
            </w:tcBorders>
          </w:tcPr>
          <w:p>
            <w:pPr>
              <w:rPr>
                <w:sz w:val="2"/>
                <w:szCs w:val="2"/>
              </w:rPr>
            </w:pPr>
          </w:p>
        </w:tc>
        <w:tc>
          <w:tcPr>
            <w:tcW w:w="941" w:type="dxa"/>
            <w:vMerge/>
            <w:tcBorders>
              <w:top w:val="nil"/>
            </w:tcBorders>
          </w:tcPr>
          <w:p>
            <w:pPr>
              <w:rPr>
                <w:sz w:val="2"/>
                <w:szCs w:val="2"/>
              </w:rPr>
            </w:pPr>
          </w:p>
        </w:tc>
        <w:tc>
          <w:tcPr>
            <w:tcW w:w="619" w:type="dxa"/>
          </w:tcPr>
          <w:p>
            <w:pPr>
              <w:pStyle w:val="TableParagraph"/>
              <w:spacing w:before="45"/>
              <w:ind w:left="28"/>
              <w:jc w:val="left"/>
              <w:rPr>
                <w:rFonts w:ascii="Times New Roman"/>
                <w:sz w:val="21"/>
              </w:rPr>
            </w:pPr>
            <w:r>
              <w:rPr>
                <w:rFonts w:ascii="Times New Roman"/>
                <w:position w:val="2"/>
                <w:sz w:val="21"/>
              </w:rPr>
              <w:t>SO</w:t>
            </w:r>
            <w:r>
              <w:rPr>
                <w:rFonts w:ascii="Times New Roman"/>
                <w:position w:val="2"/>
                <w:sz w:val="21"/>
                <w:vertAlign w:val="subscript"/>
              </w:rPr>
              <w:t>2</w:t>
            </w:r>
          </w:p>
        </w:tc>
        <w:tc>
          <w:tcPr>
            <w:tcW w:w="3788" w:type="dxa"/>
            <w:vMerge/>
            <w:tcBorders>
              <w:top w:val="nil"/>
            </w:tcBorders>
          </w:tcPr>
          <w:p>
            <w:pPr>
              <w:rPr>
                <w:sz w:val="2"/>
                <w:szCs w:val="2"/>
              </w:rPr>
            </w:pPr>
          </w:p>
        </w:tc>
        <w:tc>
          <w:tcPr>
            <w:tcW w:w="1759" w:type="dxa"/>
            <w:vMerge/>
            <w:tcBorders>
              <w:top w:val="nil"/>
            </w:tcBorders>
          </w:tcPr>
          <w:p>
            <w:pPr>
              <w:rPr>
                <w:sz w:val="2"/>
                <w:szCs w:val="2"/>
              </w:rPr>
            </w:pPr>
          </w:p>
        </w:tc>
        <w:tc>
          <w:tcPr>
            <w:tcW w:w="870" w:type="dxa"/>
          </w:tcPr>
          <w:p>
            <w:pPr>
              <w:pStyle w:val="TableParagraph"/>
              <w:spacing w:before="24"/>
              <w:ind w:left="20" w:right="9"/>
              <w:rPr>
                <w:rFonts w:ascii="Times New Roman"/>
                <w:sz w:val="21"/>
              </w:rPr>
            </w:pPr>
            <w:r>
              <w:rPr>
                <w:rFonts w:ascii="Times New Roman"/>
                <w:sz w:val="21"/>
              </w:rPr>
              <w:t>0.187</w:t>
            </w:r>
          </w:p>
        </w:tc>
        <w:tc>
          <w:tcPr>
            <w:tcW w:w="948" w:type="dxa"/>
          </w:tcPr>
          <w:p>
            <w:pPr>
              <w:pStyle w:val="TableParagraph"/>
              <w:spacing w:before="24"/>
              <w:ind w:left="14" w:right="4"/>
              <w:rPr>
                <w:rFonts w:ascii="Times New Roman"/>
                <w:sz w:val="21"/>
              </w:rPr>
            </w:pPr>
            <w:r>
              <w:rPr>
                <w:rFonts w:ascii="Times New Roman"/>
                <w:sz w:val="21"/>
              </w:rPr>
              <w:t>0.187</w:t>
            </w:r>
          </w:p>
        </w:tc>
        <w:tc>
          <w:tcPr>
            <w:tcW w:w="1360" w:type="dxa"/>
          </w:tcPr>
          <w:p>
            <w:pPr>
              <w:pStyle w:val="TableParagraph"/>
              <w:spacing w:before="24"/>
              <w:ind w:left="136" w:right="125"/>
              <w:rPr>
                <w:rFonts w:ascii="Times New Roman"/>
                <w:sz w:val="21"/>
              </w:rPr>
            </w:pPr>
            <w:r>
              <w:rPr>
                <w:rFonts w:ascii="Times New Roman"/>
                <w:sz w:val="21"/>
              </w:rPr>
              <w:t>22.85</w:t>
            </w:r>
          </w:p>
        </w:tc>
        <w:tc>
          <w:tcPr>
            <w:tcW w:w="1629" w:type="dxa"/>
          </w:tcPr>
          <w:p>
            <w:pPr>
              <w:pStyle w:val="TableParagraph"/>
              <w:spacing w:before="24"/>
              <w:ind w:left="10"/>
              <w:rPr>
                <w:rFonts w:ascii="Times New Roman"/>
                <w:sz w:val="21"/>
              </w:rPr>
            </w:pPr>
            <w:r>
              <w:rPr>
                <w:rFonts w:ascii="Times New Roman"/>
                <w:sz w:val="21"/>
              </w:rPr>
              <w:t>0.187</w:t>
            </w:r>
          </w:p>
        </w:tc>
      </w:tr>
      <w:tr>
        <w:trPr>
          <w:trHeight w:val="340" w:hRule="atLeast"/>
        </w:trPr>
        <w:tc>
          <w:tcPr>
            <w:tcW w:w="595" w:type="dxa"/>
            <w:vMerge/>
            <w:tcBorders>
              <w:top w:val="nil"/>
            </w:tcBorders>
          </w:tcPr>
          <w:p>
            <w:pPr>
              <w:rPr>
                <w:sz w:val="2"/>
                <w:szCs w:val="2"/>
              </w:rPr>
            </w:pPr>
          </w:p>
        </w:tc>
        <w:tc>
          <w:tcPr>
            <w:tcW w:w="941" w:type="dxa"/>
            <w:vMerge/>
            <w:tcBorders>
              <w:top w:val="nil"/>
            </w:tcBorders>
          </w:tcPr>
          <w:p>
            <w:pPr>
              <w:rPr>
                <w:sz w:val="2"/>
                <w:szCs w:val="2"/>
              </w:rPr>
            </w:pPr>
          </w:p>
        </w:tc>
        <w:tc>
          <w:tcPr>
            <w:tcW w:w="619" w:type="dxa"/>
          </w:tcPr>
          <w:p>
            <w:pPr>
              <w:pStyle w:val="TableParagraph"/>
              <w:spacing w:before="49"/>
              <w:ind w:left="28"/>
              <w:jc w:val="left"/>
              <w:rPr>
                <w:rFonts w:ascii="Times New Roman"/>
                <w:sz w:val="21"/>
              </w:rPr>
            </w:pPr>
            <w:r>
              <w:rPr>
                <w:rFonts w:ascii="Times New Roman"/>
                <w:sz w:val="21"/>
              </w:rPr>
              <w:t>NOx</w:t>
            </w:r>
          </w:p>
        </w:tc>
        <w:tc>
          <w:tcPr>
            <w:tcW w:w="3788" w:type="dxa"/>
            <w:vMerge/>
            <w:tcBorders>
              <w:top w:val="nil"/>
            </w:tcBorders>
          </w:tcPr>
          <w:p>
            <w:pPr>
              <w:rPr>
                <w:sz w:val="2"/>
                <w:szCs w:val="2"/>
              </w:rPr>
            </w:pPr>
          </w:p>
        </w:tc>
        <w:tc>
          <w:tcPr>
            <w:tcW w:w="1759" w:type="dxa"/>
            <w:vMerge/>
            <w:tcBorders>
              <w:top w:val="nil"/>
            </w:tcBorders>
          </w:tcPr>
          <w:p>
            <w:pPr>
              <w:rPr>
                <w:sz w:val="2"/>
                <w:szCs w:val="2"/>
              </w:rPr>
            </w:pPr>
          </w:p>
        </w:tc>
        <w:tc>
          <w:tcPr>
            <w:tcW w:w="870" w:type="dxa"/>
          </w:tcPr>
          <w:p>
            <w:pPr>
              <w:pStyle w:val="TableParagraph"/>
              <w:spacing w:before="25"/>
              <w:ind w:left="20" w:right="9"/>
              <w:rPr>
                <w:rFonts w:ascii="Times New Roman"/>
                <w:sz w:val="21"/>
              </w:rPr>
            </w:pPr>
            <w:r>
              <w:rPr>
                <w:rFonts w:ascii="Times New Roman"/>
                <w:sz w:val="21"/>
              </w:rPr>
              <w:t>1.62</w:t>
            </w:r>
          </w:p>
        </w:tc>
        <w:tc>
          <w:tcPr>
            <w:tcW w:w="948" w:type="dxa"/>
          </w:tcPr>
          <w:p>
            <w:pPr>
              <w:pStyle w:val="TableParagraph"/>
              <w:spacing w:before="25"/>
              <w:ind w:left="9" w:right="1"/>
              <w:rPr>
                <w:rFonts w:ascii="Times New Roman"/>
                <w:sz w:val="21"/>
              </w:rPr>
            </w:pPr>
            <w:r>
              <w:rPr>
                <w:rFonts w:ascii="Times New Roman"/>
                <w:sz w:val="21"/>
              </w:rPr>
              <w:t>1.62</w:t>
            </w:r>
          </w:p>
        </w:tc>
        <w:tc>
          <w:tcPr>
            <w:tcW w:w="1360" w:type="dxa"/>
          </w:tcPr>
          <w:p>
            <w:pPr>
              <w:pStyle w:val="TableParagraph"/>
              <w:spacing w:before="25"/>
              <w:ind w:left="136" w:right="128"/>
              <w:rPr>
                <w:rFonts w:ascii="Times New Roman"/>
                <w:sz w:val="21"/>
              </w:rPr>
            </w:pPr>
            <w:r>
              <w:rPr>
                <w:rFonts w:ascii="Times New Roman"/>
                <w:sz w:val="21"/>
              </w:rPr>
              <w:t>200</w:t>
            </w:r>
          </w:p>
        </w:tc>
        <w:tc>
          <w:tcPr>
            <w:tcW w:w="1629" w:type="dxa"/>
          </w:tcPr>
          <w:p>
            <w:pPr>
              <w:pStyle w:val="TableParagraph"/>
              <w:spacing w:before="25"/>
              <w:ind w:left="10"/>
              <w:rPr>
                <w:rFonts w:ascii="Times New Roman"/>
                <w:sz w:val="21"/>
              </w:rPr>
            </w:pPr>
            <w:r>
              <w:rPr>
                <w:rFonts w:ascii="Times New Roman"/>
                <w:sz w:val="21"/>
              </w:rPr>
              <w:t>1.62</w:t>
            </w:r>
          </w:p>
        </w:tc>
      </w:tr>
      <w:tr>
        <w:trPr>
          <w:trHeight w:val="544" w:hRule="atLeast"/>
        </w:trPr>
        <w:tc>
          <w:tcPr>
            <w:tcW w:w="595" w:type="dxa"/>
            <w:vMerge/>
            <w:tcBorders>
              <w:top w:val="nil"/>
            </w:tcBorders>
          </w:tcPr>
          <w:p>
            <w:pPr>
              <w:rPr>
                <w:sz w:val="2"/>
                <w:szCs w:val="2"/>
              </w:rPr>
            </w:pPr>
          </w:p>
        </w:tc>
        <w:tc>
          <w:tcPr>
            <w:tcW w:w="941" w:type="dxa"/>
          </w:tcPr>
          <w:p>
            <w:pPr>
              <w:pStyle w:val="TableParagraph"/>
              <w:spacing w:before="134"/>
              <w:ind w:left="27" w:right="22"/>
              <w:rPr>
                <w:sz w:val="21"/>
              </w:rPr>
            </w:pPr>
            <w:r>
              <w:rPr>
                <w:sz w:val="21"/>
              </w:rPr>
              <w:t>食堂</w:t>
            </w:r>
          </w:p>
        </w:tc>
        <w:tc>
          <w:tcPr>
            <w:tcW w:w="619" w:type="dxa"/>
          </w:tcPr>
          <w:p>
            <w:pPr>
              <w:pStyle w:val="TableParagraph"/>
              <w:spacing w:line="269" w:lineRule="exact"/>
              <w:ind w:left="98"/>
              <w:jc w:val="left"/>
              <w:rPr>
                <w:sz w:val="21"/>
              </w:rPr>
            </w:pPr>
            <w:r>
              <w:rPr>
                <w:spacing w:val="-1"/>
                <w:w w:val="95"/>
                <w:sz w:val="21"/>
              </w:rPr>
              <w:t>油烟</w:t>
            </w:r>
          </w:p>
          <w:p>
            <w:pPr>
              <w:pStyle w:val="TableParagraph"/>
              <w:spacing w:line="252" w:lineRule="exact" w:before="4"/>
              <w:ind w:left="98"/>
              <w:jc w:val="left"/>
              <w:rPr>
                <w:sz w:val="21"/>
              </w:rPr>
            </w:pPr>
            <w:r>
              <w:rPr>
                <w:spacing w:val="-1"/>
                <w:w w:val="95"/>
                <w:sz w:val="21"/>
              </w:rPr>
              <w:t>废气</w:t>
            </w:r>
          </w:p>
        </w:tc>
        <w:tc>
          <w:tcPr>
            <w:tcW w:w="3788" w:type="dxa"/>
          </w:tcPr>
          <w:p>
            <w:pPr>
              <w:pStyle w:val="TableParagraph"/>
              <w:spacing w:line="269" w:lineRule="exact"/>
              <w:ind w:left="16" w:right="7"/>
              <w:rPr>
                <w:sz w:val="21"/>
              </w:rPr>
            </w:pPr>
            <w:r>
              <w:rPr>
                <w:spacing w:val="-8"/>
                <w:sz w:val="21"/>
              </w:rPr>
              <w:t>安装效率不低于 </w:t>
            </w:r>
            <w:r>
              <w:rPr>
                <w:rFonts w:ascii="Times New Roman" w:eastAsia="Times New Roman"/>
                <w:sz w:val="21"/>
              </w:rPr>
              <w:t>75%</w:t>
            </w:r>
            <w:r>
              <w:rPr>
                <w:spacing w:val="-8"/>
                <w:sz w:val="21"/>
              </w:rPr>
              <w:t>的油烟净化装置，油</w:t>
            </w:r>
          </w:p>
          <w:p>
            <w:pPr>
              <w:pStyle w:val="TableParagraph"/>
              <w:spacing w:line="252" w:lineRule="exact" w:before="4"/>
              <w:ind w:left="14" w:right="7"/>
              <w:rPr>
                <w:sz w:val="21"/>
              </w:rPr>
            </w:pPr>
            <w:r>
              <w:rPr>
                <w:sz w:val="21"/>
              </w:rPr>
              <w:t>烟经专用烟道引至屋顶排放</w:t>
            </w:r>
          </w:p>
        </w:tc>
        <w:tc>
          <w:tcPr>
            <w:tcW w:w="1759" w:type="dxa"/>
          </w:tcPr>
          <w:p>
            <w:pPr>
              <w:pStyle w:val="TableParagraph"/>
              <w:spacing w:line="269" w:lineRule="exact"/>
              <w:ind w:left="6"/>
              <w:rPr>
                <w:sz w:val="21"/>
              </w:rPr>
            </w:pPr>
            <w:r>
              <w:rPr>
                <w:sz w:val="21"/>
              </w:rPr>
              <w:t>屋顶排</w:t>
            </w:r>
          </w:p>
          <w:p>
            <w:pPr>
              <w:pStyle w:val="TableParagraph"/>
              <w:spacing w:line="252" w:lineRule="exact" w:before="4"/>
              <w:ind w:left="6"/>
              <w:rPr>
                <w:sz w:val="21"/>
              </w:rPr>
            </w:pPr>
            <w:r>
              <w:rPr>
                <w:sz w:val="21"/>
              </w:rPr>
              <w:t>气筒</w:t>
            </w:r>
          </w:p>
        </w:tc>
        <w:tc>
          <w:tcPr>
            <w:tcW w:w="870" w:type="dxa"/>
          </w:tcPr>
          <w:p>
            <w:pPr>
              <w:pStyle w:val="TableParagraph"/>
              <w:spacing w:before="150"/>
              <w:ind w:left="20" w:right="9"/>
              <w:rPr>
                <w:rFonts w:ascii="Times New Roman"/>
                <w:sz w:val="21"/>
              </w:rPr>
            </w:pPr>
            <w:r>
              <w:rPr>
                <w:rFonts w:ascii="Times New Roman"/>
                <w:sz w:val="21"/>
              </w:rPr>
              <w:t>0.102</w:t>
            </w:r>
          </w:p>
        </w:tc>
        <w:tc>
          <w:tcPr>
            <w:tcW w:w="948" w:type="dxa"/>
          </w:tcPr>
          <w:p>
            <w:pPr>
              <w:pStyle w:val="TableParagraph"/>
              <w:spacing w:before="150"/>
              <w:ind w:left="14" w:right="4"/>
              <w:rPr>
                <w:rFonts w:ascii="Times New Roman"/>
                <w:sz w:val="21"/>
              </w:rPr>
            </w:pPr>
            <w:r>
              <w:rPr>
                <w:rFonts w:ascii="Times New Roman"/>
                <w:sz w:val="21"/>
              </w:rPr>
              <w:t>0.026</w:t>
            </w:r>
          </w:p>
        </w:tc>
        <w:tc>
          <w:tcPr>
            <w:tcW w:w="1360" w:type="dxa"/>
          </w:tcPr>
          <w:p>
            <w:pPr>
              <w:pStyle w:val="TableParagraph"/>
              <w:spacing w:before="150"/>
              <w:ind w:left="136" w:right="128"/>
              <w:rPr>
                <w:rFonts w:ascii="Times New Roman"/>
                <w:sz w:val="21"/>
              </w:rPr>
            </w:pPr>
            <w:r>
              <w:rPr>
                <w:rFonts w:ascii="Times New Roman"/>
                <w:sz w:val="21"/>
              </w:rPr>
              <w:t>1.94</w:t>
            </w:r>
          </w:p>
        </w:tc>
        <w:tc>
          <w:tcPr>
            <w:tcW w:w="1629" w:type="dxa"/>
          </w:tcPr>
          <w:p>
            <w:pPr>
              <w:pStyle w:val="TableParagraph"/>
              <w:spacing w:before="150"/>
              <w:ind w:left="7"/>
              <w:rPr>
                <w:rFonts w:ascii="Times New Roman"/>
                <w:sz w:val="21"/>
              </w:rPr>
            </w:pPr>
            <w:r>
              <w:rPr>
                <w:rFonts w:ascii="Times New Roman"/>
                <w:w w:val="99"/>
                <w:sz w:val="21"/>
              </w:rPr>
              <w:t>/</w:t>
            </w:r>
          </w:p>
        </w:tc>
      </w:tr>
      <w:tr>
        <w:trPr>
          <w:trHeight w:val="544" w:hRule="atLeast"/>
        </w:trPr>
        <w:tc>
          <w:tcPr>
            <w:tcW w:w="595" w:type="dxa"/>
            <w:vMerge/>
            <w:tcBorders>
              <w:top w:val="nil"/>
            </w:tcBorders>
          </w:tcPr>
          <w:p>
            <w:pPr>
              <w:rPr>
                <w:sz w:val="2"/>
                <w:szCs w:val="2"/>
              </w:rPr>
            </w:pPr>
          </w:p>
        </w:tc>
        <w:tc>
          <w:tcPr>
            <w:tcW w:w="941" w:type="dxa"/>
          </w:tcPr>
          <w:p>
            <w:pPr>
              <w:pStyle w:val="TableParagraph"/>
              <w:spacing w:line="268" w:lineRule="exact"/>
              <w:ind w:left="29" w:right="22"/>
              <w:rPr>
                <w:sz w:val="21"/>
              </w:rPr>
            </w:pPr>
            <w:r>
              <w:rPr>
                <w:sz w:val="21"/>
              </w:rPr>
              <w:t>原煤转载</w:t>
            </w:r>
          </w:p>
          <w:p>
            <w:pPr>
              <w:pStyle w:val="TableParagraph"/>
              <w:spacing w:line="251" w:lineRule="exact" w:before="4"/>
              <w:ind w:left="27" w:right="22"/>
              <w:rPr>
                <w:sz w:val="21"/>
              </w:rPr>
            </w:pPr>
            <w:r>
              <w:rPr>
                <w:sz w:val="21"/>
              </w:rPr>
              <w:t>储运</w:t>
            </w:r>
          </w:p>
        </w:tc>
        <w:tc>
          <w:tcPr>
            <w:tcW w:w="619" w:type="dxa"/>
          </w:tcPr>
          <w:p>
            <w:pPr>
              <w:pStyle w:val="TableParagraph"/>
              <w:spacing w:line="268" w:lineRule="exact"/>
              <w:ind w:left="77" w:right="72"/>
              <w:rPr>
                <w:sz w:val="21"/>
              </w:rPr>
            </w:pPr>
            <w:r>
              <w:rPr>
                <w:sz w:val="21"/>
              </w:rPr>
              <w:t>颗粒</w:t>
            </w:r>
          </w:p>
          <w:p>
            <w:pPr>
              <w:pStyle w:val="TableParagraph"/>
              <w:spacing w:line="251" w:lineRule="exact" w:before="4"/>
              <w:ind w:left="7"/>
              <w:rPr>
                <w:sz w:val="21"/>
              </w:rPr>
            </w:pPr>
            <w:r>
              <w:rPr>
                <w:w w:val="99"/>
                <w:sz w:val="21"/>
              </w:rPr>
              <w:t>物</w:t>
            </w:r>
          </w:p>
        </w:tc>
        <w:tc>
          <w:tcPr>
            <w:tcW w:w="3788" w:type="dxa"/>
          </w:tcPr>
          <w:p>
            <w:pPr>
              <w:pStyle w:val="TableParagraph"/>
              <w:spacing w:line="268" w:lineRule="exact"/>
              <w:ind w:left="11" w:right="7"/>
              <w:rPr>
                <w:sz w:val="21"/>
              </w:rPr>
            </w:pPr>
            <w:r>
              <w:rPr>
                <w:spacing w:val="-5"/>
                <w:sz w:val="21"/>
              </w:rPr>
              <w:t>转载点设置喷雾洒水装置；煤炭场内输送</w:t>
            </w:r>
          </w:p>
          <w:p>
            <w:pPr>
              <w:pStyle w:val="TableParagraph"/>
              <w:spacing w:line="251" w:lineRule="exact" w:before="4"/>
              <w:ind w:left="11" w:right="7"/>
              <w:rPr>
                <w:sz w:val="21"/>
              </w:rPr>
            </w:pPr>
            <w:r>
              <w:rPr>
                <w:sz w:val="21"/>
              </w:rPr>
              <w:t>采用全封闭式输送栈桥</w:t>
            </w:r>
          </w:p>
        </w:tc>
        <w:tc>
          <w:tcPr>
            <w:tcW w:w="6566" w:type="dxa"/>
            <w:gridSpan w:val="5"/>
          </w:tcPr>
          <w:p>
            <w:pPr>
              <w:pStyle w:val="TableParagraph"/>
              <w:spacing w:before="135"/>
              <w:ind w:left="2736" w:right="2730"/>
              <w:rPr>
                <w:sz w:val="21"/>
              </w:rPr>
            </w:pPr>
            <w:r>
              <w:rPr>
                <w:sz w:val="21"/>
              </w:rPr>
              <w:t>无组织扬尘</w:t>
            </w:r>
          </w:p>
        </w:tc>
      </w:tr>
      <w:tr>
        <w:trPr>
          <w:trHeight w:val="545" w:hRule="atLeast"/>
        </w:trPr>
        <w:tc>
          <w:tcPr>
            <w:tcW w:w="595" w:type="dxa"/>
            <w:vMerge/>
            <w:tcBorders>
              <w:top w:val="nil"/>
            </w:tcBorders>
          </w:tcPr>
          <w:p>
            <w:pPr>
              <w:rPr>
                <w:sz w:val="2"/>
                <w:szCs w:val="2"/>
              </w:rPr>
            </w:pPr>
          </w:p>
        </w:tc>
        <w:tc>
          <w:tcPr>
            <w:tcW w:w="941" w:type="dxa"/>
          </w:tcPr>
          <w:p>
            <w:pPr>
              <w:pStyle w:val="TableParagraph"/>
              <w:spacing w:before="136"/>
              <w:ind w:left="27" w:right="22"/>
              <w:rPr>
                <w:sz w:val="21"/>
              </w:rPr>
            </w:pPr>
            <w:r>
              <w:rPr>
                <w:sz w:val="21"/>
              </w:rPr>
              <w:t>储煤仓</w:t>
            </w:r>
          </w:p>
        </w:tc>
        <w:tc>
          <w:tcPr>
            <w:tcW w:w="619" w:type="dxa"/>
          </w:tcPr>
          <w:p>
            <w:pPr>
              <w:pStyle w:val="TableParagraph"/>
              <w:spacing w:before="1"/>
              <w:ind w:left="77" w:right="72"/>
              <w:rPr>
                <w:sz w:val="21"/>
              </w:rPr>
            </w:pPr>
            <w:r>
              <w:rPr>
                <w:sz w:val="21"/>
              </w:rPr>
              <w:t>颗粒</w:t>
            </w:r>
          </w:p>
          <w:p>
            <w:pPr>
              <w:pStyle w:val="TableParagraph"/>
              <w:spacing w:line="252" w:lineRule="exact" w:before="3"/>
              <w:ind w:left="7"/>
              <w:rPr>
                <w:sz w:val="21"/>
              </w:rPr>
            </w:pPr>
            <w:r>
              <w:rPr>
                <w:w w:val="99"/>
                <w:sz w:val="21"/>
              </w:rPr>
              <w:t>物</w:t>
            </w:r>
          </w:p>
        </w:tc>
        <w:tc>
          <w:tcPr>
            <w:tcW w:w="3788" w:type="dxa"/>
          </w:tcPr>
          <w:p>
            <w:pPr>
              <w:pStyle w:val="TableParagraph"/>
              <w:spacing w:before="136"/>
              <w:ind w:left="11" w:right="7"/>
              <w:rPr>
                <w:sz w:val="21"/>
              </w:rPr>
            </w:pPr>
            <w:r>
              <w:rPr>
                <w:sz w:val="21"/>
              </w:rPr>
              <w:t>采用全封闭式</w:t>
            </w:r>
          </w:p>
        </w:tc>
        <w:tc>
          <w:tcPr>
            <w:tcW w:w="6566" w:type="dxa"/>
            <w:gridSpan w:val="5"/>
          </w:tcPr>
          <w:p>
            <w:pPr>
              <w:pStyle w:val="TableParagraph"/>
              <w:spacing w:before="136"/>
              <w:ind w:left="2736" w:right="2730"/>
              <w:rPr>
                <w:sz w:val="21"/>
              </w:rPr>
            </w:pPr>
            <w:r>
              <w:rPr>
                <w:sz w:val="21"/>
              </w:rPr>
              <w:t>无组织扬尘</w:t>
            </w:r>
          </w:p>
        </w:tc>
      </w:tr>
      <w:tr>
        <w:trPr>
          <w:trHeight w:val="545" w:hRule="atLeast"/>
        </w:trPr>
        <w:tc>
          <w:tcPr>
            <w:tcW w:w="595" w:type="dxa"/>
            <w:vMerge/>
            <w:tcBorders>
              <w:top w:val="nil"/>
            </w:tcBorders>
          </w:tcPr>
          <w:p>
            <w:pPr>
              <w:rPr>
                <w:sz w:val="2"/>
                <w:szCs w:val="2"/>
              </w:rPr>
            </w:pPr>
          </w:p>
        </w:tc>
        <w:tc>
          <w:tcPr>
            <w:tcW w:w="941" w:type="dxa"/>
          </w:tcPr>
          <w:p>
            <w:pPr>
              <w:pStyle w:val="TableParagraph"/>
              <w:spacing w:before="1"/>
              <w:ind w:left="50"/>
              <w:jc w:val="left"/>
              <w:rPr>
                <w:sz w:val="21"/>
              </w:rPr>
            </w:pPr>
            <w:r>
              <w:rPr>
                <w:w w:val="95"/>
                <w:sz w:val="21"/>
              </w:rPr>
              <w:t>矸石临时</w:t>
            </w:r>
          </w:p>
          <w:p>
            <w:pPr>
              <w:pStyle w:val="TableParagraph"/>
              <w:spacing w:line="253" w:lineRule="exact" w:before="2"/>
              <w:ind w:left="50"/>
              <w:jc w:val="left"/>
              <w:rPr>
                <w:sz w:val="21"/>
              </w:rPr>
            </w:pPr>
            <w:r>
              <w:rPr>
                <w:w w:val="95"/>
                <w:sz w:val="21"/>
              </w:rPr>
              <w:t>堆放场地</w:t>
            </w:r>
          </w:p>
        </w:tc>
        <w:tc>
          <w:tcPr>
            <w:tcW w:w="619" w:type="dxa"/>
          </w:tcPr>
          <w:p>
            <w:pPr>
              <w:pStyle w:val="TableParagraph"/>
              <w:spacing w:before="1"/>
              <w:ind w:left="77" w:right="72"/>
              <w:rPr>
                <w:sz w:val="21"/>
              </w:rPr>
            </w:pPr>
            <w:r>
              <w:rPr>
                <w:sz w:val="21"/>
              </w:rPr>
              <w:t>颗粒</w:t>
            </w:r>
          </w:p>
          <w:p>
            <w:pPr>
              <w:pStyle w:val="TableParagraph"/>
              <w:spacing w:line="253" w:lineRule="exact" w:before="2"/>
              <w:ind w:left="7"/>
              <w:rPr>
                <w:sz w:val="21"/>
              </w:rPr>
            </w:pPr>
            <w:r>
              <w:rPr>
                <w:w w:val="99"/>
                <w:sz w:val="21"/>
              </w:rPr>
              <w:t>物</w:t>
            </w:r>
          </w:p>
        </w:tc>
        <w:tc>
          <w:tcPr>
            <w:tcW w:w="3788" w:type="dxa"/>
          </w:tcPr>
          <w:p>
            <w:pPr>
              <w:pStyle w:val="TableParagraph"/>
              <w:spacing w:before="135"/>
              <w:ind w:left="14" w:right="7"/>
              <w:rPr>
                <w:sz w:val="21"/>
              </w:rPr>
            </w:pPr>
            <w:r>
              <w:rPr>
                <w:sz w:val="21"/>
              </w:rPr>
              <w:t>安装洒水降尘设施</w:t>
            </w:r>
          </w:p>
        </w:tc>
        <w:tc>
          <w:tcPr>
            <w:tcW w:w="1759" w:type="dxa"/>
          </w:tcPr>
          <w:p>
            <w:pPr>
              <w:pStyle w:val="TableParagraph"/>
              <w:spacing w:before="152"/>
              <w:ind w:left="7"/>
              <w:rPr>
                <w:rFonts w:ascii="Times New Roman"/>
                <w:sz w:val="21"/>
              </w:rPr>
            </w:pPr>
            <w:r>
              <w:rPr>
                <w:rFonts w:ascii="Times New Roman"/>
                <w:w w:val="99"/>
                <w:sz w:val="21"/>
              </w:rPr>
              <w:t>/</w:t>
            </w:r>
          </w:p>
        </w:tc>
        <w:tc>
          <w:tcPr>
            <w:tcW w:w="870" w:type="dxa"/>
          </w:tcPr>
          <w:p>
            <w:pPr>
              <w:pStyle w:val="TableParagraph"/>
              <w:spacing w:before="152"/>
              <w:ind w:left="20" w:right="11"/>
              <w:rPr>
                <w:rFonts w:ascii="Times New Roman"/>
                <w:sz w:val="21"/>
              </w:rPr>
            </w:pPr>
            <w:r>
              <w:rPr>
                <w:rFonts w:ascii="Times New Roman"/>
                <w:sz w:val="21"/>
              </w:rPr>
              <w:t>0.09</w:t>
            </w:r>
          </w:p>
        </w:tc>
        <w:tc>
          <w:tcPr>
            <w:tcW w:w="948" w:type="dxa"/>
          </w:tcPr>
          <w:p>
            <w:pPr>
              <w:pStyle w:val="TableParagraph"/>
              <w:spacing w:before="152"/>
              <w:ind w:left="14" w:right="4"/>
              <w:rPr>
                <w:rFonts w:ascii="Times New Roman"/>
                <w:sz w:val="21"/>
              </w:rPr>
            </w:pPr>
            <w:r>
              <w:rPr>
                <w:rFonts w:ascii="Times New Roman"/>
                <w:sz w:val="21"/>
              </w:rPr>
              <w:t>0.023</w:t>
            </w:r>
          </w:p>
        </w:tc>
        <w:tc>
          <w:tcPr>
            <w:tcW w:w="1360" w:type="dxa"/>
          </w:tcPr>
          <w:p>
            <w:pPr>
              <w:pStyle w:val="TableParagraph"/>
              <w:spacing w:before="152"/>
              <w:ind w:left="10"/>
              <w:rPr>
                <w:rFonts w:ascii="Times New Roman"/>
                <w:sz w:val="21"/>
              </w:rPr>
            </w:pPr>
            <w:r>
              <w:rPr>
                <w:rFonts w:ascii="Times New Roman"/>
                <w:w w:val="99"/>
                <w:sz w:val="21"/>
              </w:rPr>
              <w:t>/</w:t>
            </w:r>
          </w:p>
        </w:tc>
        <w:tc>
          <w:tcPr>
            <w:tcW w:w="1629" w:type="dxa"/>
          </w:tcPr>
          <w:p>
            <w:pPr>
              <w:pStyle w:val="TableParagraph"/>
              <w:spacing w:before="152"/>
              <w:ind w:left="10"/>
              <w:rPr>
                <w:rFonts w:ascii="Times New Roman"/>
                <w:sz w:val="21"/>
              </w:rPr>
            </w:pPr>
            <w:r>
              <w:rPr>
                <w:rFonts w:ascii="Times New Roman"/>
                <w:sz w:val="21"/>
              </w:rPr>
              <w:t>0.023</w:t>
            </w:r>
          </w:p>
        </w:tc>
      </w:tr>
      <w:tr>
        <w:trPr>
          <w:trHeight w:val="543" w:hRule="atLeast"/>
        </w:trPr>
        <w:tc>
          <w:tcPr>
            <w:tcW w:w="595" w:type="dxa"/>
            <w:vMerge/>
            <w:tcBorders>
              <w:top w:val="nil"/>
            </w:tcBorders>
          </w:tcPr>
          <w:p>
            <w:pPr>
              <w:rPr>
                <w:sz w:val="2"/>
                <w:szCs w:val="2"/>
              </w:rPr>
            </w:pPr>
          </w:p>
        </w:tc>
        <w:tc>
          <w:tcPr>
            <w:tcW w:w="941" w:type="dxa"/>
          </w:tcPr>
          <w:p>
            <w:pPr>
              <w:pStyle w:val="TableParagraph"/>
              <w:spacing w:before="135"/>
              <w:ind w:left="29" w:right="22"/>
              <w:rPr>
                <w:sz w:val="21"/>
              </w:rPr>
            </w:pPr>
            <w:r>
              <w:rPr>
                <w:sz w:val="21"/>
              </w:rPr>
              <w:t>筛分车间</w:t>
            </w:r>
          </w:p>
        </w:tc>
        <w:tc>
          <w:tcPr>
            <w:tcW w:w="619" w:type="dxa"/>
          </w:tcPr>
          <w:p>
            <w:pPr>
              <w:pStyle w:val="TableParagraph"/>
              <w:ind w:left="77" w:right="72"/>
              <w:rPr>
                <w:sz w:val="21"/>
              </w:rPr>
            </w:pPr>
            <w:r>
              <w:rPr>
                <w:sz w:val="21"/>
              </w:rPr>
              <w:t>颗粒</w:t>
            </w:r>
          </w:p>
          <w:p>
            <w:pPr>
              <w:pStyle w:val="TableParagraph"/>
              <w:spacing w:line="252" w:lineRule="exact" w:before="2"/>
              <w:ind w:left="7"/>
              <w:rPr>
                <w:sz w:val="21"/>
              </w:rPr>
            </w:pPr>
            <w:r>
              <w:rPr>
                <w:w w:val="99"/>
                <w:sz w:val="21"/>
              </w:rPr>
              <w:t>物</w:t>
            </w:r>
          </w:p>
        </w:tc>
        <w:tc>
          <w:tcPr>
            <w:tcW w:w="3788" w:type="dxa"/>
          </w:tcPr>
          <w:p>
            <w:pPr>
              <w:pStyle w:val="TableParagraph"/>
              <w:spacing w:before="135"/>
              <w:ind w:left="14" w:right="7"/>
              <w:rPr>
                <w:sz w:val="21"/>
              </w:rPr>
            </w:pPr>
            <w:r>
              <w:rPr>
                <w:sz w:val="21"/>
              </w:rPr>
              <w:t>布袋除尘器</w:t>
            </w:r>
          </w:p>
        </w:tc>
        <w:tc>
          <w:tcPr>
            <w:tcW w:w="1759" w:type="dxa"/>
          </w:tcPr>
          <w:p>
            <w:pPr>
              <w:pStyle w:val="TableParagraph"/>
              <w:ind w:left="9"/>
              <w:rPr>
                <w:sz w:val="21"/>
              </w:rPr>
            </w:pPr>
            <w:r>
              <w:rPr>
                <w:sz w:val="21"/>
              </w:rPr>
              <w:t>烟囱高 </w:t>
            </w:r>
            <w:r>
              <w:rPr>
                <w:rFonts w:ascii="Times New Roman" w:eastAsia="Times New Roman"/>
                <w:sz w:val="21"/>
              </w:rPr>
              <w:t>15m</w:t>
            </w:r>
            <w:r>
              <w:rPr>
                <w:sz w:val="21"/>
              </w:rPr>
              <w:t>，出口</w:t>
            </w:r>
          </w:p>
          <w:p>
            <w:pPr>
              <w:pStyle w:val="TableParagraph"/>
              <w:spacing w:line="250" w:lineRule="exact" w:before="5"/>
              <w:ind w:left="10"/>
              <w:rPr>
                <w:rFonts w:ascii="Times New Roman" w:eastAsia="Times New Roman"/>
                <w:sz w:val="21"/>
              </w:rPr>
            </w:pPr>
            <w:r>
              <w:rPr>
                <w:sz w:val="21"/>
              </w:rPr>
              <w:t>直径为 </w:t>
            </w:r>
            <w:r>
              <w:rPr>
                <w:rFonts w:ascii="Times New Roman" w:eastAsia="Times New Roman"/>
                <w:sz w:val="21"/>
              </w:rPr>
              <w:t>0.3m</w:t>
            </w:r>
          </w:p>
        </w:tc>
        <w:tc>
          <w:tcPr>
            <w:tcW w:w="870" w:type="dxa"/>
          </w:tcPr>
          <w:p>
            <w:pPr>
              <w:pStyle w:val="TableParagraph"/>
              <w:spacing w:before="149"/>
              <w:ind w:left="6"/>
              <w:rPr>
                <w:rFonts w:ascii="Times New Roman"/>
                <w:sz w:val="21"/>
              </w:rPr>
            </w:pPr>
            <w:r>
              <w:rPr>
                <w:rFonts w:ascii="Times New Roman"/>
                <w:w w:val="99"/>
                <w:sz w:val="21"/>
              </w:rPr>
              <w:t>6</w:t>
            </w:r>
          </w:p>
        </w:tc>
        <w:tc>
          <w:tcPr>
            <w:tcW w:w="948" w:type="dxa"/>
          </w:tcPr>
          <w:p>
            <w:pPr>
              <w:pStyle w:val="TableParagraph"/>
              <w:spacing w:before="149"/>
              <w:ind w:left="9" w:right="1"/>
              <w:rPr>
                <w:rFonts w:ascii="Times New Roman"/>
                <w:sz w:val="21"/>
              </w:rPr>
            </w:pPr>
            <w:r>
              <w:rPr>
                <w:rFonts w:ascii="Times New Roman"/>
                <w:sz w:val="21"/>
              </w:rPr>
              <w:t>0.06</w:t>
            </w:r>
          </w:p>
        </w:tc>
        <w:tc>
          <w:tcPr>
            <w:tcW w:w="1360" w:type="dxa"/>
          </w:tcPr>
          <w:p>
            <w:pPr>
              <w:pStyle w:val="TableParagraph"/>
              <w:spacing w:before="149"/>
              <w:ind w:left="136" w:right="128"/>
              <w:rPr>
                <w:rFonts w:ascii="Times New Roman"/>
                <w:sz w:val="21"/>
              </w:rPr>
            </w:pPr>
            <w:r>
              <w:rPr>
                <w:rFonts w:ascii="Times New Roman"/>
                <w:sz w:val="21"/>
              </w:rPr>
              <w:t>40</w:t>
            </w:r>
          </w:p>
        </w:tc>
        <w:tc>
          <w:tcPr>
            <w:tcW w:w="1629" w:type="dxa"/>
          </w:tcPr>
          <w:p>
            <w:pPr>
              <w:pStyle w:val="TableParagraph"/>
              <w:spacing w:before="149"/>
              <w:ind w:left="10"/>
              <w:rPr>
                <w:rFonts w:ascii="Times New Roman"/>
                <w:sz w:val="21"/>
              </w:rPr>
            </w:pPr>
            <w:r>
              <w:rPr>
                <w:rFonts w:ascii="Times New Roman"/>
                <w:sz w:val="21"/>
              </w:rPr>
              <w:t>0.06</w:t>
            </w:r>
          </w:p>
        </w:tc>
      </w:tr>
      <w:tr>
        <w:trPr>
          <w:trHeight w:val="816" w:hRule="atLeast"/>
        </w:trPr>
        <w:tc>
          <w:tcPr>
            <w:tcW w:w="595" w:type="dxa"/>
          </w:tcPr>
          <w:p>
            <w:pPr>
              <w:pStyle w:val="TableParagraph"/>
              <w:spacing w:line="242" w:lineRule="auto" w:before="1"/>
              <w:ind w:left="86" w:right="78"/>
              <w:rPr>
                <w:sz w:val="21"/>
              </w:rPr>
            </w:pPr>
            <w:r>
              <w:rPr>
                <w:sz w:val="21"/>
              </w:rPr>
              <w:t>地表水环</w:t>
            </w:r>
          </w:p>
          <w:p>
            <w:pPr>
              <w:pStyle w:val="TableParagraph"/>
              <w:spacing w:line="251" w:lineRule="exact" w:before="1"/>
              <w:ind w:left="7"/>
              <w:rPr>
                <w:sz w:val="21"/>
              </w:rPr>
            </w:pPr>
            <w:r>
              <w:rPr>
                <w:w w:val="99"/>
                <w:sz w:val="21"/>
              </w:rPr>
              <w:t>境</w:t>
            </w:r>
          </w:p>
        </w:tc>
        <w:tc>
          <w:tcPr>
            <w:tcW w:w="1560" w:type="dxa"/>
            <w:gridSpan w:val="2"/>
          </w:tcPr>
          <w:p>
            <w:pPr>
              <w:pStyle w:val="TableParagraph"/>
              <w:spacing w:line="242" w:lineRule="auto" w:before="138"/>
              <w:ind w:left="674" w:right="35" w:hanging="629"/>
              <w:jc w:val="left"/>
              <w:rPr>
                <w:sz w:val="21"/>
              </w:rPr>
            </w:pPr>
            <w:r>
              <w:rPr>
                <w:sz w:val="21"/>
              </w:rPr>
              <w:t>矿井水、生活污水</w:t>
            </w:r>
          </w:p>
        </w:tc>
        <w:tc>
          <w:tcPr>
            <w:tcW w:w="3788" w:type="dxa"/>
          </w:tcPr>
          <w:p>
            <w:pPr>
              <w:pStyle w:val="TableParagraph"/>
              <w:spacing w:line="242" w:lineRule="auto" w:before="1"/>
              <w:ind w:left="26" w:right="19" w:firstLine="2"/>
              <w:rPr>
                <w:sz w:val="21"/>
              </w:rPr>
            </w:pPr>
            <w:r>
              <w:rPr>
                <w:sz w:val="21"/>
              </w:rPr>
              <w:t>矿井水经场内自建矿井水污水处理站处</w:t>
            </w:r>
            <w:r>
              <w:rPr>
                <w:w w:val="95"/>
                <w:sz w:val="21"/>
              </w:rPr>
              <w:t>理，生活污水经场内自建生活污水处理站</w:t>
            </w:r>
          </w:p>
          <w:p>
            <w:pPr>
              <w:pStyle w:val="TableParagraph"/>
              <w:spacing w:line="251" w:lineRule="exact" w:before="1"/>
              <w:ind w:left="16" w:right="7"/>
              <w:rPr>
                <w:sz w:val="21"/>
              </w:rPr>
            </w:pPr>
            <w:r>
              <w:rPr>
                <w:sz w:val="21"/>
              </w:rPr>
              <w:t>处理。</w:t>
            </w:r>
          </w:p>
        </w:tc>
        <w:tc>
          <w:tcPr>
            <w:tcW w:w="1759" w:type="dxa"/>
          </w:tcPr>
          <w:p>
            <w:pPr>
              <w:pStyle w:val="TableParagraph"/>
              <w:spacing w:before="4"/>
              <w:jc w:val="left"/>
              <w:rPr>
                <w:b/>
                <w:sz w:val="22"/>
              </w:rPr>
            </w:pPr>
          </w:p>
          <w:p>
            <w:pPr>
              <w:pStyle w:val="TableParagraph"/>
              <w:ind w:left="7"/>
              <w:rPr>
                <w:rFonts w:ascii="Times New Roman"/>
                <w:sz w:val="21"/>
              </w:rPr>
            </w:pPr>
            <w:r>
              <w:rPr>
                <w:rFonts w:ascii="Times New Roman"/>
                <w:w w:val="99"/>
                <w:sz w:val="21"/>
              </w:rPr>
              <w:t>/</w:t>
            </w:r>
          </w:p>
        </w:tc>
        <w:tc>
          <w:tcPr>
            <w:tcW w:w="870" w:type="dxa"/>
          </w:tcPr>
          <w:p>
            <w:pPr>
              <w:pStyle w:val="TableParagraph"/>
              <w:spacing w:before="4"/>
              <w:jc w:val="left"/>
              <w:rPr>
                <w:b/>
                <w:sz w:val="22"/>
              </w:rPr>
            </w:pPr>
          </w:p>
          <w:p>
            <w:pPr>
              <w:pStyle w:val="TableParagraph"/>
              <w:ind w:left="20" w:right="11"/>
              <w:rPr>
                <w:rFonts w:ascii="Times New Roman"/>
                <w:sz w:val="21"/>
              </w:rPr>
            </w:pPr>
            <w:r>
              <w:rPr>
                <w:rFonts w:ascii="Times New Roman"/>
                <w:sz w:val="21"/>
              </w:rPr>
              <w:t>196640.4</w:t>
            </w:r>
          </w:p>
        </w:tc>
        <w:tc>
          <w:tcPr>
            <w:tcW w:w="948" w:type="dxa"/>
          </w:tcPr>
          <w:p>
            <w:pPr>
              <w:pStyle w:val="TableParagraph"/>
              <w:spacing w:before="8"/>
              <w:jc w:val="left"/>
              <w:rPr>
                <w:b/>
                <w:sz w:val="17"/>
              </w:rPr>
            </w:pPr>
          </w:p>
          <w:p>
            <w:pPr>
              <w:pStyle w:val="TableParagraph"/>
              <w:ind w:left="8"/>
              <w:rPr>
                <w:rFonts w:ascii="Times New Roman"/>
                <w:sz w:val="21"/>
              </w:rPr>
            </w:pPr>
            <w:r>
              <w:rPr>
                <w:rFonts w:ascii="Times New Roman"/>
                <w:w w:val="99"/>
                <w:sz w:val="21"/>
              </w:rPr>
              <w:t>0</w:t>
            </w:r>
          </w:p>
        </w:tc>
        <w:tc>
          <w:tcPr>
            <w:tcW w:w="1360" w:type="dxa"/>
          </w:tcPr>
          <w:p>
            <w:pPr>
              <w:pStyle w:val="TableParagraph"/>
              <w:spacing w:before="4"/>
              <w:jc w:val="left"/>
              <w:rPr>
                <w:b/>
                <w:sz w:val="22"/>
              </w:rPr>
            </w:pPr>
          </w:p>
          <w:p>
            <w:pPr>
              <w:pStyle w:val="TableParagraph"/>
              <w:ind w:left="136" w:right="128"/>
              <w:rPr>
                <w:rFonts w:ascii="Times New Roman"/>
                <w:sz w:val="21"/>
              </w:rPr>
            </w:pPr>
            <w:r>
              <w:rPr>
                <w:rFonts w:ascii="Times New Roman"/>
                <w:sz w:val="21"/>
              </w:rPr>
              <w:t>15</w:t>
            </w:r>
          </w:p>
        </w:tc>
        <w:tc>
          <w:tcPr>
            <w:tcW w:w="1629" w:type="dxa"/>
          </w:tcPr>
          <w:p>
            <w:pPr>
              <w:pStyle w:val="TableParagraph"/>
              <w:spacing w:before="8"/>
              <w:jc w:val="left"/>
              <w:rPr>
                <w:b/>
                <w:sz w:val="17"/>
              </w:rPr>
            </w:pPr>
          </w:p>
          <w:p>
            <w:pPr>
              <w:pStyle w:val="TableParagraph"/>
              <w:ind w:left="10"/>
              <w:rPr>
                <w:rFonts w:ascii="Times New Roman"/>
                <w:sz w:val="21"/>
              </w:rPr>
            </w:pPr>
            <w:r>
              <w:rPr>
                <w:rFonts w:ascii="Times New Roman"/>
                <w:w w:val="99"/>
                <w:sz w:val="21"/>
              </w:rPr>
              <w:t>0</w:t>
            </w:r>
          </w:p>
        </w:tc>
      </w:tr>
      <w:tr>
        <w:trPr>
          <w:trHeight w:val="545" w:hRule="atLeast"/>
        </w:trPr>
        <w:tc>
          <w:tcPr>
            <w:tcW w:w="595" w:type="dxa"/>
          </w:tcPr>
          <w:p>
            <w:pPr>
              <w:pStyle w:val="TableParagraph"/>
              <w:spacing w:line="270" w:lineRule="atLeast" w:before="1"/>
              <w:ind w:left="191" w:right="78" w:hanging="106"/>
              <w:jc w:val="left"/>
              <w:rPr>
                <w:sz w:val="21"/>
              </w:rPr>
            </w:pPr>
            <w:r>
              <w:rPr>
                <w:sz w:val="21"/>
              </w:rPr>
              <w:t>声环境</w:t>
            </w:r>
          </w:p>
        </w:tc>
        <w:tc>
          <w:tcPr>
            <w:tcW w:w="1560" w:type="dxa"/>
            <w:gridSpan w:val="2"/>
          </w:tcPr>
          <w:p>
            <w:pPr>
              <w:pStyle w:val="TableParagraph"/>
              <w:spacing w:before="136"/>
              <w:ind w:left="360"/>
              <w:jc w:val="left"/>
              <w:rPr>
                <w:sz w:val="21"/>
              </w:rPr>
            </w:pPr>
            <w:r>
              <w:rPr>
                <w:sz w:val="21"/>
              </w:rPr>
              <w:t>厂界噪声</w:t>
            </w:r>
          </w:p>
        </w:tc>
        <w:tc>
          <w:tcPr>
            <w:tcW w:w="3788" w:type="dxa"/>
          </w:tcPr>
          <w:p>
            <w:pPr>
              <w:pStyle w:val="TableParagraph"/>
              <w:spacing w:before="136"/>
              <w:ind w:left="14" w:right="7"/>
              <w:rPr>
                <w:sz w:val="21"/>
              </w:rPr>
            </w:pPr>
            <w:r>
              <w:rPr>
                <w:sz w:val="21"/>
              </w:rPr>
              <w:t>隔声、减振</w:t>
            </w:r>
          </w:p>
        </w:tc>
        <w:tc>
          <w:tcPr>
            <w:tcW w:w="1759" w:type="dxa"/>
          </w:tcPr>
          <w:p>
            <w:pPr>
              <w:pStyle w:val="TableParagraph"/>
              <w:spacing w:before="136"/>
              <w:ind w:left="6"/>
              <w:rPr>
                <w:sz w:val="21"/>
              </w:rPr>
            </w:pPr>
            <w:r>
              <w:rPr>
                <w:sz w:val="21"/>
              </w:rPr>
              <w:t>厂界</w:t>
            </w:r>
          </w:p>
        </w:tc>
        <w:tc>
          <w:tcPr>
            <w:tcW w:w="870" w:type="dxa"/>
          </w:tcPr>
          <w:p>
            <w:pPr>
              <w:pStyle w:val="TableParagraph"/>
              <w:spacing w:line="241" w:lineRule="exact" w:before="16"/>
              <w:ind w:left="28"/>
              <w:jc w:val="left"/>
              <w:rPr>
                <w:rFonts w:ascii="Times New Roman"/>
                <w:sz w:val="21"/>
              </w:rPr>
            </w:pPr>
            <w:r>
              <w:rPr>
                <w:rFonts w:ascii="Times New Roman"/>
                <w:sz w:val="21"/>
              </w:rPr>
              <w:t>90~95dB</w:t>
            </w:r>
          </w:p>
          <w:p>
            <w:pPr>
              <w:pStyle w:val="TableParagraph"/>
              <w:spacing w:line="268" w:lineRule="exact"/>
              <w:ind w:left="28"/>
              <w:jc w:val="left"/>
              <w:rPr>
                <w:sz w:val="21"/>
              </w:rPr>
            </w:pPr>
            <w:r>
              <w:rPr>
                <w:sz w:val="21"/>
              </w:rPr>
              <w:t>（</w:t>
            </w:r>
            <w:r>
              <w:rPr>
                <w:rFonts w:ascii="Times New Roman" w:eastAsia="Times New Roman"/>
                <w:sz w:val="21"/>
              </w:rPr>
              <w:t>A</w:t>
            </w:r>
            <w:r>
              <w:rPr>
                <w:sz w:val="21"/>
              </w:rPr>
              <w:t>）</w:t>
            </w:r>
          </w:p>
        </w:tc>
        <w:tc>
          <w:tcPr>
            <w:tcW w:w="948" w:type="dxa"/>
          </w:tcPr>
          <w:p>
            <w:pPr>
              <w:pStyle w:val="TableParagraph"/>
              <w:spacing w:line="241" w:lineRule="exact" w:before="16"/>
              <w:ind w:left="84"/>
              <w:jc w:val="left"/>
              <w:rPr>
                <w:rFonts w:ascii="Times New Roman"/>
                <w:sz w:val="21"/>
              </w:rPr>
            </w:pPr>
            <w:r>
              <w:rPr>
                <w:rFonts w:ascii="Times New Roman"/>
                <w:sz w:val="21"/>
              </w:rPr>
              <w:t>50~60dB</w:t>
            </w:r>
          </w:p>
          <w:p>
            <w:pPr>
              <w:pStyle w:val="TableParagraph"/>
              <w:spacing w:line="268" w:lineRule="exact"/>
              <w:ind w:left="187"/>
              <w:jc w:val="left"/>
              <w:rPr>
                <w:sz w:val="21"/>
              </w:rPr>
            </w:pPr>
            <w:r>
              <w:rPr>
                <w:sz w:val="21"/>
              </w:rPr>
              <w:t>（</w:t>
            </w:r>
            <w:r>
              <w:rPr>
                <w:rFonts w:ascii="Times New Roman" w:eastAsia="Times New Roman"/>
                <w:sz w:val="21"/>
              </w:rPr>
              <w:t>A</w:t>
            </w:r>
            <w:r>
              <w:rPr>
                <w:sz w:val="21"/>
              </w:rPr>
              <w:t>）</w:t>
            </w:r>
          </w:p>
        </w:tc>
        <w:tc>
          <w:tcPr>
            <w:tcW w:w="1360" w:type="dxa"/>
          </w:tcPr>
          <w:p>
            <w:pPr>
              <w:pStyle w:val="TableParagraph"/>
              <w:spacing w:before="150"/>
              <w:ind w:left="10"/>
              <w:rPr>
                <w:rFonts w:ascii="Times New Roman"/>
                <w:sz w:val="21"/>
              </w:rPr>
            </w:pPr>
            <w:r>
              <w:rPr>
                <w:rFonts w:ascii="Times New Roman"/>
                <w:w w:val="99"/>
                <w:sz w:val="21"/>
              </w:rPr>
              <w:t>/</w:t>
            </w:r>
          </w:p>
        </w:tc>
        <w:tc>
          <w:tcPr>
            <w:tcW w:w="1629" w:type="dxa"/>
          </w:tcPr>
          <w:p>
            <w:pPr>
              <w:pStyle w:val="TableParagraph"/>
              <w:spacing w:before="150"/>
              <w:ind w:left="7"/>
              <w:rPr>
                <w:rFonts w:ascii="Times New Roman"/>
                <w:sz w:val="21"/>
              </w:rPr>
            </w:pPr>
            <w:r>
              <w:rPr>
                <w:rFonts w:ascii="Times New Roman"/>
                <w:w w:val="99"/>
                <w:sz w:val="21"/>
              </w:rPr>
              <w:t>/</w:t>
            </w:r>
          </w:p>
        </w:tc>
      </w:tr>
      <w:tr>
        <w:trPr>
          <w:trHeight w:val="340" w:hRule="atLeast"/>
        </w:trPr>
        <w:tc>
          <w:tcPr>
            <w:tcW w:w="595" w:type="dxa"/>
            <w:vMerge w:val="restart"/>
          </w:tcPr>
          <w:p>
            <w:pPr>
              <w:pStyle w:val="TableParagraph"/>
              <w:spacing w:line="242" w:lineRule="auto" w:before="73"/>
              <w:ind w:left="86" w:right="78"/>
              <w:jc w:val="left"/>
              <w:rPr>
                <w:sz w:val="21"/>
              </w:rPr>
            </w:pPr>
            <w:r>
              <w:rPr>
                <w:sz w:val="21"/>
              </w:rPr>
              <w:t>固体废物</w:t>
            </w:r>
          </w:p>
        </w:tc>
        <w:tc>
          <w:tcPr>
            <w:tcW w:w="1560" w:type="dxa"/>
            <w:gridSpan w:val="2"/>
          </w:tcPr>
          <w:p>
            <w:pPr>
              <w:pStyle w:val="TableParagraph"/>
              <w:spacing w:before="35"/>
              <w:ind w:left="360"/>
              <w:jc w:val="left"/>
              <w:rPr>
                <w:sz w:val="21"/>
              </w:rPr>
            </w:pPr>
            <w:r>
              <w:rPr>
                <w:sz w:val="21"/>
              </w:rPr>
              <w:t>锅炉灰渣</w:t>
            </w:r>
          </w:p>
        </w:tc>
        <w:tc>
          <w:tcPr>
            <w:tcW w:w="3788" w:type="dxa"/>
          </w:tcPr>
          <w:p>
            <w:pPr>
              <w:pStyle w:val="TableParagraph"/>
              <w:spacing w:before="35"/>
              <w:ind w:left="14" w:right="7"/>
              <w:rPr>
                <w:sz w:val="21"/>
              </w:rPr>
            </w:pPr>
            <w:r>
              <w:rPr>
                <w:sz w:val="21"/>
              </w:rPr>
              <w:t>作为农肥原料外售</w:t>
            </w:r>
          </w:p>
        </w:tc>
        <w:tc>
          <w:tcPr>
            <w:tcW w:w="1759" w:type="dxa"/>
          </w:tcPr>
          <w:p>
            <w:pPr>
              <w:pStyle w:val="TableParagraph"/>
              <w:spacing w:before="49"/>
              <w:ind w:left="7"/>
              <w:rPr>
                <w:rFonts w:ascii="Times New Roman"/>
                <w:sz w:val="21"/>
              </w:rPr>
            </w:pPr>
            <w:r>
              <w:rPr>
                <w:rFonts w:ascii="Times New Roman"/>
                <w:w w:val="99"/>
                <w:sz w:val="21"/>
              </w:rPr>
              <w:t>/</w:t>
            </w:r>
          </w:p>
        </w:tc>
        <w:tc>
          <w:tcPr>
            <w:tcW w:w="870" w:type="dxa"/>
          </w:tcPr>
          <w:p>
            <w:pPr>
              <w:pStyle w:val="TableParagraph"/>
              <w:spacing w:before="49"/>
              <w:ind w:left="17" w:right="11"/>
              <w:rPr>
                <w:rFonts w:ascii="Times New Roman"/>
                <w:sz w:val="21"/>
              </w:rPr>
            </w:pPr>
            <w:r>
              <w:rPr>
                <w:rFonts w:ascii="Times New Roman"/>
                <w:sz w:val="21"/>
              </w:rPr>
              <w:t>553</w:t>
            </w:r>
          </w:p>
        </w:tc>
        <w:tc>
          <w:tcPr>
            <w:tcW w:w="948" w:type="dxa"/>
          </w:tcPr>
          <w:p>
            <w:pPr>
              <w:pStyle w:val="TableParagraph"/>
              <w:spacing w:before="49"/>
              <w:ind w:left="8"/>
              <w:rPr>
                <w:rFonts w:ascii="Times New Roman"/>
                <w:sz w:val="21"/>
              </w:rPr>
            </w:pPr>
            <w:r>
              <w:rPr>
                <w:rFonts w:ascii="Times New Roman"/>
                <w:w w:val="99"/>
                <w:sz w:val="21"/>
              </w:rPr>
              <w:t>0</w:t>
            </w:r>
          </w:p>
        </w:tc>
        <w:tc>
          <w:tcPr>
            <w:tcW w:w="1360" w:type="dxa"/>
          </w:tcPr>
          <w:p>
            <w:pPr>
              <w:pStyle w:val="TableParagraph"/>
              <w:spacing w:before="49"/>
              <w:ind w:left="10"/>
              <w:rPr>
                <w:rFonts w:ascii="Times New Roman"/>
                <w:sz w:val="21"/>
              </w:rPr>
            </w:pPr>
            <w:r>
              <w:rPr>
                <w:rFonts w:ascii="Times New Roman"/>
                <w:w w:val="99"/>
                <w:sz w:val="21"/>
              </w:rPr>
              <w:t>/</w:t>
            </w:r>
          </w:p>
        </w:tc>
        <w:tc>
          <w:tcPr>
            <w:tcW w:w="1629" w:type="dxa"/>
          </w:tcPr>
          <w:p>
            <w:pPr>
              <w:pStyle w:val="TableParagraph"/>
              <w:spacing w:before="49"/>
              <w:ind w:left="7"/>
              <w:rPr>
                <w:rFonts w:ascii="Times New Roman"/>
                <w:sz w:val="21"/>
              </w:rPr>
            </w:pPr>
            <w:r>
              <w:rPr>
                <w:rFonts w:ascii="Times New Roman"/>
                <w:w w:val="99"/>
                <w:sz w:val="21"/>
              </w:rPr>
              <w:t>/</w:t>
            </w:r>
          </w:p>
        </w:tc>
      </w:tr>
      <w:tr>
        <w:trPr>
          <w:trHeight w:val="338" w:hRule="atLeast"/>
        </w:trPr>
        <w:tc>
          <w:tcPr>
            <w:tcW w:w="595" w:type="dxa"/>
            <w:vMerge/>
            <w:tcBorders>
              <w:top w:val="nil"/>
            </w:tcBorders>
          </w:tcPr>
          <w:p>
            <w:pPr>
              <w:rPr>
                <w:sz w:val="2"/>
                <w:szCs w:val="2"/>
              </w:rPr>
            </w:pPr>
          </w:p>
        </w:tc>
        <w:tc>
          <w:tcPr>
            <w:tcW w:w="1560" w:type="dxa"/>
            <w:gridSpan w:val="2"/>
          </w:tcPr>
          <w:p>
            <w:pPr>
              <w:pStyle w:val="TableParagraph"/>
              <w:spacing w:before="33"/>
              <w:ind w:left="360"/>
              <w:jc w:val="left"/>
              <w:rPr>
                <w:sz w:val="21"/>
              </w:rPr>
            </w:pPr>
            <w:r>
              <w:rPr>
                <w:sz w:val="21"/>
              </w:rPr>
              <w:t>生活垃圾</w:t>
            </w:r>
          </w:p>
        </w:tc>
        <w:tc>
          <w:tcPr>
            <w:tcW w:w="3788" w:type="dxa"/>
          </w:tcPr>
          <w:p>
            <w:pPr>
              <w:pStyle w:val="TableParagraph"/>
              <w:spacing w:before="33"/>
              <w:ind w:left="11" w:right="7"/>
              <w:rPr>
                <w:sz w:val="21"/>
              </w:rPr>
            </w:pPr>
            <w:r>
              <w:rPr>
                <w:sz w:val="21"/>
              </w:rPr>
              <w:t>生活垃圾定期委托环卫部门处理</w:t>
            </w:r>
          </w:p>
        </w:tc>
        <w:tc>
          <w:tcPr>
            <w:tcW w:w="1759" w:type="dxa"/>
          </w:tcPr>
          <w:p>
            <w:pPr>
              <w:pStyle w:val="TableParagraph"/>
              <w:spacing w:before="49"/>
              <w:ind w:left="7"/>
              <w:rPr>
                <w:rFonts w:ascii="Times New Roman"/>
                <w:sz w:val="21"/>
              </w:rPr>
            </w:pPr>
            <w:r>
              <w:rPr>
                <w:rFonts w:ascii="Times New Roman"/>
                <w:w w:val="99"/>
                <w:sz w:val="21"/>
              </w:rPr>
              <w:t>/</w:t>
            </w:r>
          </w:p>
        </w:tc>
        <w:tc>
          <w:tcPr>
            <w:tcW w:w="870" w:type="dxa"/>
          </w:tcPr>
          <w:p>
            <w:pPr>
              <w:pStyle w:val="TableParagraph"/>
              <w:spacing w:before="49"/>
              <w:ind w:left="20" w:right="9"/>
              <w:rPr>
                <w:rFonts w:ascii="Times New Roman"/>
                <w:sz w:val="21"/>
              </w:rPr>
            </w:pPr>
            <w:r>
              <w:rPr>
                <w:rFonts w:ascii="Times New Roman"/>
                <w:sz w:val="21"/>
              </w:rPr>
              <w:t>59.9</w:t>
            </w:r>
          </w:p>
        </w:tc>
        <w:tc>
          <w:tcPr>
            <w:tcW w:w="948" w:type="dxa"/>
          </w:tcPr>
          <w:p>
            <w:pPr>
              <w:pStyle w:val="TableParagraph"/>
              <w:spacing w:before="49"/>
              <w:ind w:left="8"/>
              <w:rPr>
                <w:rFonts w:ascii="Times New Roman"/>
                <w:sz w:val="21"/>
              </w:rPr>
            </w:pPr>
            <w:r>
              <w:rPr>
                <w:rFonts w:ascii="Times New Roman"/>
                <w:w w:val="99"/>
                <w:sz w:val="21"/>
              </w:rPr>
              <w:t>0</w:t>
            </w:r>
          </w:p>
        </w:tc>
        <w:tc>
          <w:tcPr>
            <w:tcW w:w="1360" w:type="dxa"/>
          </w:tcPr>
          <w:p>
            <w:pPr>
              <w:pStyle w:val="TableParagraph"/>
              <w:spacing w:before="49"/>
              <w:ind w:left="10"/>
              <w:rPr>
                <w:rFonts w:ascii="Times New Roman"/>
                <w:sz w:val="21"/>
              </w:rPr>
            </w:pPr>
            <w:r>
              <w:rPr>
                <w:rFonts w:ascii="Times New Roman"/>
                <w:w w:val="99"/>
                <w:sz w:val="21"/>
              </w:rPr>
              <w:t>/</w:t>
            </w:r>
          </w:p>
        </w:tc>
        <w:tc>
          <w:tcPr>
            <w:tcW w:w="1629" w:type="dxa"/>
          </w:tcPr>
          <w:p>
            <w:pPr>
              <w:pStyle w:val="TableParagraph"/>
              <w:spacing w:before="49"/>
              <w:ind w:left="7"/>
              <w:rPr>
                <w:rFonts w:ascii="Times New Roman"/>
                <w:sz w:val="21"/>
              </w:rPr>
            </w:pPr>
            <w:r>
              <w:rPr>
                <w:rFonts w:ascii="Times New Roman"/>
                <w:w w:val="99"/>
                <w:sz w:val="21"/>
              </w:rPr>
              <w:t>/</w:t>
            </w:r>
          </w:p>
        </w:tc>
      </w:tr>
    </w:tbl>
    <w:p>
      <w:pPr>
        <w:spacing w:after="0"/>
        <w:rPr>
          <w:rFonts w:ascii="Times New Roman"/>
          <w:sz w:val="21"/>
        </w:rPr>
        <w:sectPr>
          <w:footerReference w:type="default" r:id="rId65"/>
          <w:pgSz w:w="16840" w:h="11910" w:orient="landscape"/>
          <w:pgMar w:footer="1089" w:header="0" w:top="1100" w:bottom="1280" w:left="1720" w:right="2360"/>
          <w:pgNumType w:start="176"/>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560"/>
        <w:gridCol w:w="3788"/>
        <w:gridCol w:w="1759"/>
        <w:gridCol w:w="870"/>
        <w:gridCol w:w="948"/>
        <w:gridCol w:w="1360"/>
        <w:gridCol w:w="1629"/>
      </w:tblGrid>
      <w:tr>
        <w:trPr>
          <w:trHeight w:val="816" w:hRule="atLeast"/>
        </w:trPr>
        <w:tc>
          <w:tcPr>
            <w:tcW w:w="595" w:type="dxa"/>
            <w:vMerge w:val="restart"/>
          </w:tcPr>
          <w:p>
            <w:pPr>
              <w:pStyle w:val="TableParagraph"/>
              <w:jc w:val="left"/>
              <w:rPr>
                <w:rFonts w:ascii="Times New Roman"/>
                <w:sz w:val="20"/>
              </w:rPr>
            </w:pPr>
          </w:p>
        </w:tc>
        <w:tc>
          <w:tcPr>
            <w:tcW w:w="1560" w:type="dxa"/>
          </w:tcPr>
          <w:p>
            <w:pPr>
              <w:pStyle w:val="TableParagraph"/>
              <w:spacing w:before="9"/>
              <w:jc w:val="left"/>
              <w:rPr>
                <w:rFonts w:ascii="Times New Roman"/>
                <w:sz w:val="23"/>
              </w:rPr>
            </w:pPr>
          </w:p>
          <w:p>
            <w:pPr>
              <w:pStyle w:val="TableParagraph"/>
              <w:ind w:left="20" w:right="15"/>
              <w:rPr>
                <w:sz w:val="21"/>
              </w:rPr>
            </w:pPr>
            <w:r>
              <w:rPr>
                <w:sz w:val="21"/>
              </w:rPr>
              <w:t>矸石</w:t>
            </w:r>
          </w:p>
        </w:tc>
        <w:tc>
          <w:tcPr>
            <w:tcW w:w="3788" w:type="dxa"/>
          </w:tcPr>
          <w:p>
            <w:pPr>
              <w:pStyle w:val="TableParagraph"/>
              <w:ind w:left="26" w:firstLine="2"/>
              <w:jc w:val="left"/>
              <w:rPr>
                <w:sz w:val="21"/>
              </w:rPr>
            </w:pPr>
            <w:r>
              <w:rPr>
                <w:spacing w:val="-1"/>
                <w:w w:val="99"/>
                <w:sz w:val="21"/>
              </w:rPr>
              <w:t>本项目矸石产量为</w:t>
            </w:r>
            <w:r>
              <w:rPr>
                <w:spacing w:val="-50"/>
                <w:sz w:val="21"/>
              </w:rPr>
              <w:t> </w:t>
            </w:r>
            <w:r>
              <w:rPr>
                <w:rFonts w:ascii="Times New Roman" w:eastAsia="Times New Roman"/>
                <w:w w:val="99"/>
                <w:sz w:val="21"/>
              </w:rPr>
              <w:t>3</w:t>
            </w:r>
            <w:r>
              <w:rPr>
                <w:rFonts w:ascii="Times New Roman" w:eastAsia="Times New Roman"/>
                <w:spacing w:val="-1"/>
                <w:sz w:val="21"/>
              </w:rPr>
              <w:t> </w:t>
            </w:r>
            <w:r>
              <w:rPr>
                <w:w w:val="99"/>
                <w:sz w:val="21"/>
              </w:rPr>
              <w:t>万</w:t>
            </w:r>
            <w:r>
              <w:rPr>
                <w:spacing w:val="-50"/>
                <w:sz w:val="21"/>
              </w:rPr>
              <w:t> </w:t>
            </w:r>
            <w:r>
              <w:rPr>
                <w:rFonts w:ascii="Times New Roman" w:eastAsia="Times New Roman"/>
                <w:spacing w:val="-1"/>
                <w:w w:val="99"/>
                <w:sz w:val="21"/>
              </w:rPr>
              <w:t>t/</w:t>
            </w:r>
            <w:r>
              <w:rPr>
                <w:rFonts w:ascii="Times New Roman" w:eastAsia="Times New Roman"/>
                <w:w w:val="99"/>
                <w:sz w:val="21"/>
              </w:rPr>
              <w:t>a</w:t>
            </w:r>
            <w:r>
              <w:rPr>
                <w:spacing w:val="-15"/>
                <w:w w:val="99"/>
                <w:sz w:val="21"/>
              </w:rPr>
              <w:t>，用于平整工业</w:t>
            </w:r>
          </w:p>
          <w:p>
            <w:pPr>
              <w:pStyle w:val="TableParagraph"/>
              <w:spacing w:line="270" w:lineRule="atLeast" w:before="4"/>
              <w:ind w:left="1682" w:right="17" w:hanging="1656"/>
              <w:jc w:val="left"/>
              <w:rPr>
                <w:sz w:val="21"/>
              </w:rPr>
            </w:pPr>
            <w:r>
              <w:rPr>
                <w:spacing w:val="-7"/>
                <w:w w:val="95"/>
                <w:sz w:val="21"/>
              </w:rPr>
              <w:t>场地、公路的路基石料、或用于填沟造田</w:t>
            </w:r>
            <w:r>
              <w:rPr>
                <w:spacing w:val="-7"/>
                <w:sz w:val="21"/>
              </w:rPr>
              <w:t>等。</w:t>
            </w:r>
          </w:p>
        </w:tc>
        <w:tc>
          <w:tcPr>
            <w:tcW w:w="1759" w:type="dxa"/>
          </w:tcPr>
          <w:p>
            <w:pPr>
              <w:pStyle w:val="TableParagraph"/>
              <w:jc w:val="left"/>
              <w:rPr>
                <w:rFonts w:ascii="Times New Roman"/>
                <w:sz w:val="25"/>
              </w:rPr>
            </w:pPr>
          </w:p>
          <w:p>
            <w:pPr>
              <w:pStyle w:val="TableParagraph"/>
              <w:ind w:right="839"/>
              <w:jc w:val="right"/>
              <w:rPr>
                <w:rFonts w:ascii="Times New Roman"/>
                <w:sz w:val="21"/>
              </w:rPr>
            </w:pPr>
            <w:r>
              <w:rPr>
                <w:rFonts w:ascii="Times New Roman"/>
                <w:w w:val="99"/>
                <w:sz w:val="21"/>
              </w:rPr>
              <w:t>/</w:t>
            </w:r>
          </w:p>
        </w:tc>
        <w:tc>
          <w:tcPr>
            <w:tcW w:w="870" w:type="dxa"/>
          </w:tcPr>
          <w:p>
            <w:pPr>
              <w:pStyle w:val="TableParagraph"/>
              <w:jc w:val="left"/>
              <w:rPr>
                <w:rFonts w:ascii="Times New Roman"/>
                <w:sz w:val="25"/>
              </w:rPr>
            </w:pPr>
          </w:p>
          <w:p>
            <w:pPr>
              <w:pStyle w:val="TableParagraph"/>
              <w:ind w:left="20" w:right="11"/>
              <w:rPr>
                <w:rFonts w:ascii="Times New Roman"/>
                <w:sz w:val="21"/>
              </w:rPr>
            </w:pPr>
            <w:r>
              <w:rPr>
                <w:rFonts w:ascii="Times New Roman"/>
                <w:sz w:val="21"/>
              </w:rPr>
              <w:t>30000</w:t>
            </w:r>
          </w:p>
        </w:tc>
        <w:tc>
          <w:tcPr>
            <w:tcW w:w="948" w:type="dxa"/>
          </w:tcPr>
          <w:p>
            <w:pPr>
              <w:pStyle w:val="TableParagraph"/>
              <w:jc w:val="left"/>
              <w:rPr>
                <w:rFonts w:ascii="Times New Roman"/>
                <w:sz w:val="25"/>
              </w:rPr>
            </w:pPr>
          </w:p>
          <w:p>
            <w:pPr>
              <w:pStyle w:val="TableParagraph"/>
              <w:ind w:left="8"/>
              <w:rPr>
                <w:rFonts w:ascii="Times New Roman"/>
                <w:sz w:val="21"/>
              </w:rPr>
            </w:pPr>
            <w:r>
              <w:rPr>
                <w:rFonts w:ascii="Times New Roman"/>
                <w:w w:val="99"/>
                <w:sz w:val="21"/>
              </w:rPr>
              <w:t>0</w:t>
            </w:r>
          </w:p>
        </w:tc>
        <w:tc>
          <w:tcPr>
            <w:tcW w:w="1360" w:type="dxa"/>
          </w:tcPr>
          <w:p>
            <w:pPr>
              <w:pStyle w:val="TableParagraph"/>
              <w:jc w:val="left"/>
              <w:rPr>
                <w:rFonts w:ascii="Times New Roman"/>
                <w:sz w:val="25"/>
              </w:rPr>
            </w:pPr>
          </w:p>
          <w:p>
            <w:pPr>
              <w:pStyle w:val="TableParagraph"/>
              <w:ind w:left="10"/>
              <w:rPr>
                <w:rFonts w:ascii="Times New Roman"/>
                <w:sz w:val="21"/>
              </w:rPr>
            </w:pPr>
            <w:r>
              <w:rPr>
                <w:rFonts w:ascii="Times New Roman"/>
                <w:w w:val="99"/>
                <w:sz w:val="21"/>
              </w:rPr>
              <w:t>/</w:t>
            </w:r>
          </w:p>
        </w:tc>
        <w:tc>
          <w:tcPr>
            <w:tcW w:w="1629" w:type="dxa"/>
          </w:tcPr>
          <w:p>
            <w:pPr>
              <w:pStyle w:val="TableParagraph"/>
              <w:jc w:val="left"/>
              <w:rPr>
                <w:rFonts w:ascii="Times New Roman"/>
                <w:sz w:val="25"/>
              </w:rPr>
            </w:pPr>
          </w:p>
          <w:p>
            <w:pPr>
              <w:pStyle w:val="TableParagraph"/>
              <w:ind w:right="774"/>
              <w:jc w:val="right"/>
              <w:rPr>
                <w:rFonts w:ascii="Times New Roman"/>
                <w:sz w:val="21"/>
              </w:rPr>
            </w:pPr>
            <w:r>
              <w:rPr>
                <w:rFonts w:ascii="Times New Roman"/>
                <w:w w:val="99"/>
                <w:sz w:val="21"/>
              </w:rPr>
              <w:t>/</w:t>
            </w:r>
          </w:p>
        </w:tc>
      </w:tr>
      <w:tr>
        <w:trPr>
          <w:trHeight w:val="340" w:hRule="atLeast"/>
        </w:trPr>
        <w:tc>
          <w:tcPr>
            <w:tcW w:w="595" w:type="dxa"/>
            <w:vMerge/>
            <w:tcBorders>
              <w:top w:val="nil"/>
            </w:tcBorders>
          </w:tcPr>
          <w:p>
            <w:pPr>
              <w:rPr>
                <w:sz w:val="2"/>
                <w:szCs w:val="2"/>
              </w:rPr>
            </w:pPr>
          </w:p>
        </w:tc>
        <w:tc>
          <w:tcPr>
            <w:tcW w:w="1560" w:type="dxa"/>
          </w:tcPr>
          <w:p>
            <w:pPr>
              <w:pStyle w:val="TableParagraph"/>
              <w:spacing w:before="35"/>
              <w:ind w:left="25" w:right="15"/>
              <w:rPr>
                <w:sz w:val="21"/>
              </w:rPr>
            </w:pPr>
            <w:r>
              <w:rPr>
                <w:sz w:val="21"/>
              </w:rPr>
              <w:t>污水处理站污泥</w:t>
            </w:r>
          </w:p>
        </w:tc>
        <w:tc>
          <w:tcPr>
            <w:tcW w:w="3788" w:type="dxa"/>
          </w:tcPr>
          <w:p>
            <w:pPr>
              <w:pStyle w:val="TableParagraph"/>
              <w:spacing w:before="35"/>
              <w:ind w:left="842"/>
              <w:jc w:val="left"/>
              <w:rPr>
                <w:sz w:val="21"/>
              </w:rPr>
            </w:pPr>
            <w:r>
              <w:rPr>
                <w:sz w:val="21"/>
              </w:rPr>
              <w:t>委托环卫部门统一清运</w:t>
            </w:r>
          </w:p>
        </w:tc>
        <w:tc>
          <w:tcPr>
            <w:tcW w:w="1759" w:type="dxa"/>
          </w:tcPr>
          <w:p>
            <w:pPr>
              <w:pStyle w:val="TableParagraph"/>
              <w:spacing w:before="49"/>
              <w:ind w:right="839"/>
              <w:jc w:val="right"/>
              <w:rPr>
                <w:rFonts w:ascii="Times New Roman"/>
                <w:sz w:val="21"/>
              </w:rPr>
            </w:pPr>
            <w:r>
              <w:rPr>
                <w:rFonts w:ascii="Times New Roman"/>
                <w:w w:val="99"/>
                <w:sz w:val="21"/>
              </w:rPr>
              <w:t>/</w:t>
            </w:r>
          </w:p>
        </w:tc>
        <w:tc>
          <w:tcPr>
            <w:tcW w:w="870" w:type="dxa"/>
          </w:tcPr>
          <w:p>
            <w:pPr>
              <w:pStyle w:val="TableParagraph"/>
              <w:spacing w:before="49"/>
              <w:ind w:left="17" w:right="11"/>
              <w:rPr>
                <w:rFonts w:ascii="Times New Roman"/>
                <w:sz w:val="21"/>
              </w:rPr>
            </w:pPr>
            <w:r>
              <w:rPr>
                <w:rFonts w:ascii="Times New Roman"/>
                <w:sz w:val="21"/>
              </w:rPr>
              <w:t>500</w:t>
            </w:r>
          </w:p>
        </w:tc>
        <w:tc>
          <w:tcPr>
            <w:tcW w:w="948" w:type="dxa"/>
          </w:tcPr>
          <w:p>
            <w:pPr>
              <w:pStyle w:val="TableParagraph"/>
              <w:spacing w:before="49"/>
              <w:ind w:left="8"/>
              <w:rPr>
                <w:rFonts w:ascii="Times New Roman"/>
                <w:sz w:val="21"/>
              </w:rPr>
            </w:pPr>
            <w:r>
              <w:rPr>
                <w:rFonts w:ascii="Times New Roman"/>
                <w:w w:val="99"/>
                <w:sz w:val="21"/>
              </w:rPr>
              <w:t>0</w:t>
            </w:r>
          </w:p>
        </w:tc>
        <w:tc>
          <w:tcPr>
            <w:tcW w:w="1360" w:type="dxa"/>
          </w:tcPr>
          <w:p>
            <w:pPr>
              <w:pStyle w:val="TableParagraph"/>
              <w:spacing w:before="49"/>
              <w:ind w:left="10"/>
              <w:rPr>
                <w:rFonts w:ascii="Times New Roman"/>
                <w:sz w:val="21"/>
              </w:rPr>
            </w:pPr>
            <w:r>
              <w:rPr>
                <w:rFonts w:ascii="Times New Roman"/>
                <w:w w:val="99"/>
                <w:sz w:val="21"/>
              </w:rPr>
              <w:t>/</w:t>
            </w:r>
          </w:p>
        </w:tc>
        <w:tc>
          <w:tcPr>
            <w:tcW w:w="1629" w:type="dxa"/>
          </w:tcPr>
          <w:p>
            <w:pPr>
              <w:pStyle w:val="TableParagraph"/>
              <w:spacing w:before="49"/>
              <w:ind w:right="774"/>
              <w:jc w:val="right"/>
              <w:rPr>
                <w:rFonts w:ascii="Times New Roman"/>
                <w:sz w:val="21"/>
              </w:rPr>
            </w:pPr>
            <w:r>
              <w:rPr>
                <w:rFonts w:ascii="Times New Roman"/>
                <w:w w:val="99"/>
                <w:sz w:val="21"/>
              </w:rPr>
              <w:t>/</w:t>
            </w:r>
          </w:p>
        </w:tc>
      </w:tr>
      <w:tr>
        <w:trPr>
          <w:trHeight w:val="545" w:hRule="atLeast"/>
        </w:trPr>
        <w:tc>
          <w:tcPr>
            <w:tcW w:w="595" w:type="dxa"/>
            <w:vMerge/>
            <w:tcBorders>
              <w:top w:val="nil"/>
            </w:tcBorders>
          </w:tcPr>
          <w:p>
            <w:pPr>
              <w:rPr>
                <w:sz w:val="2"/>
                <w:szCs w:val="2"/>
              </w:rPr>
            </w:pPr>
          </w:p>
        </w:tc>
        <w:tc>
          <w:tcPr>
            <w:tcW w:w="1560" w:type="dxa"/>
          </w:tcPr>
          <w:p>
            <w:pPr>
              <w:pStyle w:val="TableParagraph"/>
              <w:spacing w:before="136"/>
              <w:ind w:left="25" w:right="15"/>
              <w:rPr>
                <w:sz w:val="21"/>
              </w:rPr>
            </w:pPr>
            <w:r>
              <w:rPr>
                <w:sz w:val="21"/>
              </w:rPr>
              <w:t>废机油</w:t>
            </w:r>
          </w:p>
        </w:tc>
        <w:tc>
          <w:tcPr>
            <w:tcW w:w="3788" w:type="dxa"/>
          </w:tcPr>
          <w:p>
            <w:pPr>
              <w:pStyle w:val="TableParagraph"/>
              <w:spacing w:line="270" w:lineRule="atLeast" w:before="1"/>
              <w:ind w:left="1579" w:right="31" w:hanging="1541"/>
              <w:jc w:val="left"/>
              <w:rPr>
                <w:sz w:val="21"/>
              </w:rPr>
            </w:pPr>
            <w:r>
              <w:rPr>
                <w:w w:val="95"/>
                <w:sz w:val="21"/>
              </w:rPr>
              <w:t>属于危险废物（</w:t>
            </w:r>
            <w:r>
              <w:rPr>
                <w:rFonts w:ascii="Times New Roman" w:eastAsia="Times New Roman"/>
                <w:w w:val="95"/>
                <w:sz w:val="21"/>
              </w:rPr>
              <w:t>HW08</w:t>
            </w:r>
            <w:r>
              <w:rPr>
                <w:w w:val="95"/>
                <w:sz w:val="21"/>
              </w:rPr>
              <w:t>），委托有资质单</w:t>
            </w:r>
            <w:r>
              <w:rPr>
                <w:sz w:val="21"/>
              </w:rPr>
              <w:t>位处置</w:t>
            </w:r>
          </w:p>
        </w:tc>
        <w:tc>
          <w:tcPr>
            <w:tcW w:w="1759" w:type="dxa"/>
          </w:tcPr>
          <w:p>
            <w:pPr>
              <w:pStyle w:val="TableParagraph"/>
              <w:spacing w:before="150"/>
              <w:ind w:right="839"/>
              <w:jc w:val="right"/>
              <w:rPr>
                <w:rFonts w:ascii="Times New Roman"/>
                <w:sz w:val="21"/>
              </w:rPr>
            </w:pPr>
            <w:r>
              <w:rPr>
                <w:rFonts w:ascii="Times New Roman"/>
                <w:w w:val="99"/>
                <w:sz w:val="21"/>
              </w:rPr>
              <w:t>/</w:t>
            </w:r>
          </w:p>
        </w:tc>
        <w:tc>
          <w:tcPr>
            <w:tcW w:w="870" w:type="dxa"/>
          </w:tcPr>
          <w:p>
            <w:pPr>
              <w:pStyle w:val="TableParagraph"/>
              <w:spacing w:before="150"/>
              <w:ind w:left="20" w:right="11"/>
              <w:rPr>
                <w:rFonts w:ascii="Times New Roman"/>
                <w:sz w:val="21"/>
              </w:rPr>
            </w:pPr>
            <w:r>
              <w:rPr>
                <w:rFonts w:ascii="Times New Roman"/>
                <w:sz w:val="21"/>
              </w:rPr>
              <w:t>0.2</w:t>
            </w:r>
          </w:p>
        </w:tc>
        <w:tc>
          <w:tcPr>
            <w:tcW w:w="948" w:type="dxa"/>
          </w:tcPr>
          <w:p>
            <w:pPr>
              <w:pStyle w:val="TableParagraph"/>
              <w:spacing w:before="150"/>
              <w:ind w:left="8"/>
              <w:rPr>
                <w:rFonts w:ascii="Times New Roman"/>
                <w:sz w:val="21"/>
              </w:rPr>
            </w:pPr>
            <w:r>
              <w:rPr>
                <w:rFonts w:ascii="Times New Roman"/>
                <w:w w:val="99"/>
                <w:sz w:val="21"/>
              </w:rPr>
              <w:t>0</w:t>
            </w:r>
          </w:p>
        </w:tc>
        <w:tc>
          <w:tcPr>
            <w:tcW w:w="1360" w:type="dxa"/>
          </w:tcPr>
          <w:p>
            <w:pPr>
              <w:pStyle w:val="TableParagraph"/>
              <w:spacing w:before="150"/>
              <w:ind w:left="10"/>
              <w:rPr>
                <w:rFonts w:ascii="Times New Roman"/>
                <w:sz w:val="21"/>
              </w:rPr>
            </w:pPr>
            <w:r>
              <w:rPr>
                <w:rFonts w:ascii="Times New Roman"/>
                <w:w w:val="99"/>
                <w:sz w:val="21"/>
              </w:rPr>
              <w:t>/</w:t>
            </w:r>
          </w:p>
        </w:tc>
        <w:tc>
          <w:tcPr>
            <w:tcW w:w="1629" w:type="dxa"/>
          </w:tcPr>
          <w:p>
            <w:pPr>
              <w:pStyle w:val="TableParagraph"/>
              <w:spacing w:before="150"/>
              <w:ind w:right="774"/>
              <w:jc w:val="right"/>
              <w:rPr>
                <w:rFonts w:ascii="Times New Roman"/>
                <w:sz w:val="21"/>
              </w:rPr>
            </w:pPr>
            <w:r>
              <w:rPr>
                <w:rFonts w:ascii="Times New Roman"/>
                <w:w w:val="99"/>
                <w:sz w:val="21"/>
              </w:rPr>
              <w:t>/</w:t>
            </w:r>
          </w:p>
        </w:tc>
      </w:tr>
    </w:tbl>
    <w:p>
      <w:pPr>
        <w:spacing w:after="0"/>
        <w:jc w:val="right"/>
        <w:rPr>
          <w:rFonts w:ascii="Times New Roman"/>
          <w:sz w:val="21"/>
        </w:rPr>
        <w:sectPr>
          <w:pgSz w:w="16840" w:h="11910" w:orient="landscape"/>
          <w:pgMar w:header="0" w:footer="1089" w:top="1100" w:bottom="1280" w:left="1720" w:right="2360"/>
        </w:sectPr>
      </w:pPr>
    </w:p>
    <w:p>
      <w:pPr>
        <w:pStyle w:val="Heading2"/>
        <w:numPr>
          <w:ilvl w:val="1"/>
          <w:numId w:val="72"/>
        </w:numPr>
        <w:tabs>
          <w:tab w:pos="821" w:val="left" w:leader="none"/>
        </w:tabs>
        <w:spacing w:line="240" w:lineRule="auto" w:before="44" w:after="0"/>
        <w:ind w:left="820" w:right="0" w:hanging="601"/>
        <w:jc w:val="left"/>
        <w:rPr>
          <w:rFonts w:ascii="Times New Roman" w:eastAsia="Times New Roman"/>
        </w:rPr>
      </w:pPr>
      <w:bookmarkStart w:name="13.5排污口规划化管理" w:id="1066"/>
      <w:bookmarkEnd w:id="1066"/>
      <w:r>
        <w:rPr>
          <w:b w:val="0"/>
        </w:rPr>
      </w:r>
      <w:bookmarkStart w:name="_bookmark72" w:id="1067"/>
      <w:bookmarkEnd w:id="1067"/>
      <w:r>
        <w:rPr>
          <w:b w:val="0"/>
        </w:rPr>
      </w:r>
      <w:bookmarkStart w:name="_bookmark72" w:id="1068"/>
      <w:bookmarkEnd w:id="1068"/>
      <w:r>
        <w:rPr/>
        <w:t>排污口规划化管理</w:t>
      </w:r>
    </w:p>
    <w:p>
      <w:pPr>
        <w:pStyle w:val="BodyText"/>
        <w:spacing w:line="364" w:lineRule="auto" w:before="196"/>
        <w:ind w:left="220" w:right="337" w:firstLine="480"/>
        <w:jc w:val="both"/>
      </w:pPr>
      <w:r>
        <w:rPr/>
        <w:t>根据国家环境保护总局环发〔</w:t>
      </w:r>
      <w:r>
        <w:rPr>
          <w:rFonts w:ascii="Times New Roman" w:hAnsi="Times New Roman" w:eastAsia="Times New Roman"/>
        </w:rPr>
        <w:t>1999</w:t>
      </w:r>
      <w:r>
        <w:rPr/>
        <w:t>〕</w:t>
      </w:r>
      <w:r>
        <w:rPr>
          <w:rFonts w:ascii="Times New Roman" w:hAnsi="Times New Roman" w:eastAsia="Times New Roman"/>
        </w:rPr>
        <w:t>24 </w:t>
      </w:r>
      <w:r>
        <w:rPr/>
        <w:t>号文件的规定，一切新建、扩建、改建的排污单位必须在建设污染治理设施的同时建设规范化排污口，作为落实环境保护</w:t>
      </w:r>
      <w:r>
        <w:rPr>
          <w:rFonts w:ascii="Times New Roman" w:hAnsi="Times New Roman" w:eastAsia="Times New Roman"/>
        </w:rPr>
        <w:t>“</w:t>
      </w:r>
      <w:r>
        <w:rPr/>
        <w:t>三同时</w:t>
      </w:r>
      <w:r>
        <w:rPr>
          <w:rFonts w:ascii="Times New Roman" w:hAnsi="Times New Roman" w:eastAsia="Times New Roman"/>
        </w:rPr>
        <w:t>” </w:t>
      </w:r>
      <w:r>
        <w:rPr/>
        <w:t>制度的必要组成和项目验收内容之一。</w:t>
      </w:r>
    </w:p>
    <w:p>
      <w:pPr>
        <w:pStyle w:val="ListParagraph"/>
        <w:numPr>
          <w:ilvl w:val="2"/>
          <w:numId w:val="92"/>
        </w:numPr>
        <w:tabs>
          <w:tab w:pos="1061" w:val="left" w:leader="none"/>
        </w:tabs>
        <w:spacing w:line="240" w:lineRule="auto" w:before="0" w:after="0"/>
        <w:ind w:left="1060" w:right="0" w:hanging="841"/>
        <w:jc w:val="left"/>
        <w:rPr>
          <w:rFonts w:ascii="Times New Roman" w:eastAsia="Times New Roman"/>
          <w:b/>
          <w:sz w:val="28"/>
        </w:rPr>
      </w:pPr>
      <w:bookmarkStart w:name="13.5.1 排污口规范化管理的基本原则" w:id="1069"/>
      <w:bookmarkEnd w:id="1069"/>
      <w:r>
        <w:rPr/>
      </w:r>
      <w:bookmarkStart w:name="13.5.1 排污口规范化管理的基本原则" w:id="1070"/>
      <w:bookmarkEnd w:id="1070"/>
      <w:r>
        <w:rPr>
          <w:b/>
          <w:sz w:val="28"/>
        </w:rPr>
        <w:t>排污口规范化管理的基本原则</w:t>
      </w:r>
    </w:p>
    <w:p>
      <w:pPr>
        <w:pStyle w:val="ListParagraph"/>
        <w:numPr>
          <w:ilvl w:val="3"/>
          <w:numId w:val="92"/>
        </w:numPr>
        <w:tabs>
          <w:tab w:pos="1302" w:val="left" w:leader="none"/>
        </w:tabs>
        <w:spacing w:line="240" w:lineRule="auto" w:before="185" w:after="0"/>
        <w:ind w:left="1301" w:right="0" w:hanging="602"/>
        <w:jc w:val="left"/>
        <w:rPr>
          <w:sz w:val="24"/>
        </w:rPr>
      </w:pPr>
      <w:r>
        <w:rPr>
          <w:sz w:val="24"/>
        </w:rPr>
        <w:t>向环境排放污染物的排污口必须规范化。</w:t>
      </w:r>
    </w:p>
    <w:p>
      <w:pPr>
        <w:pStyle w:val="ListParagraph"/>
        <w:numPr>
          <w:ilvl w:val="3"/>
          <w:numId w:val="92"/>
        </w:numPr>
        <w:tabs>
          <w:tab w:pos="1308" w:val="left" w:leader="none"/>
        </w:tabs>
        <w:spacing w:line="364" w:lineRule="auto" w:before="155" w:after="0"/>
        <w:ind w:left="220" w:right="337" w:firstLine="480"/>
        <w:jc w:val="left"/>
        <w:rPr>
          <w:sz w:val="24"/>
        </w:rPr>
      </w:pPr>
      <w:r>
        <w:rPr>
          <w:position w:val="2"/>
          <w:sz w:val="24"/>
        </w:rPr>
        <w:t>列入总量控制指标的污染物中废水</w:t>
      </w:r>
      <w:r>
        <w:rPr>
          <w:rFonts w:ascii="Times New Roman" w:eastAsia="Times New Roman"/>
          <w:position w:val="2"/>
          <w:sz w:val="24"/>
        </w:rPr>
        <w:t>COD</w:t>
      </w:r>
      <w:r>
        <w:rPr>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 </w:t>
      </w:r>
      <w:r>
        <w:rPr>
          <w:sz w:val="24"/>
          <w:vertAlign w:val="baseline"/>
        </w:rPr>
        <w:t>为管理重点。</w:t>
      </w:r>
    </w:p>
    <w:p>
      <w:pPr>
        <w:pStyle w:val="ListParagraph"/>
        <w:numPr>
          <w:ilvl w:val="3"/>
          <w:numId w:val="92"/>
        </w:numPr>
        <w:tabs>
          <w:tab w:pos="1302" w:val="left" w:leader="none"/>
        </w:tabs>
        <w:spacing w:line="305" w:lineRule="exact" w:before="0" w:after="0"/>
        <w:ind w:left="1301" w:right="0" w:hanging="602"/>
        <w:jc w:val="left"/>
        <w:rPr>
          <w:sz w:val="24"/>
        </w:rPr>
      </w:pPr>
      <w:r>
        <w:rPr>
          <w:sz w:val="24"/>
        </w:rPr>
        <w:t>排污口应便于采样与计量监测，便于日常现场监督检查。</w:t>
      </w:r>
    </w:p>
    <w:p>
      <w:pPr>
        <w:pStyle w:val="Heading3"/>
        <w:numPr>
          <w:ilvl w:val="2"/>
          <w:numId w:val="92"/>
        </w:numPr>
        <w:tabs>
          <w:tab w:pos="1061" w:val="left" w:leader="none"/>
        </w:tabs>
        <w:spacing w:line="240" w:lineRule="auto" w:before="162" w:after="0"/>
        <w:ind w:left="1060" w:right="0" w:hanging="841"/>
        <w:jc w:val="left"/>
        <w:rPr>
          <w:rFonts w:ascii="Times New Roman" w:eastAsia="Times New Roman"/>
        </w:rPr>
      </w:pPr>
      <w:bookmarkStart w:name="13.5.2 排污口的技术要求" w:id="1071"/>
      <w:bookmarkEnd w:id="1071"/>
      <w:r>
        <w:rPr>
          <w:b w:val="0"/>
        </w:rPr>
      </w:r>
      <w:bookmarkStart w:name="13.5.2 排污口的技术要求" w:id="1072"/>
      <w:bookmarkEnd w:id="1072"/>
      <w:r>
        <w:rPr/>
        <w:t>排污口的技术要求</w:t>
      </w:r>
    </w:p>
    <w:p>
      <w:pPr>
        <w:pStyle w:val="ListParagraph"/>
        <w:numPr>
          <w:ilvl w:val="0"/>
          <w:numId w:val="93"/>
        </w:numPr>
        <w:tabs>
          <w:tab w:pos="1302" w:val="left" w:leader="none"/>
        </w:tabs>
        <w:spacing w:line="240" w:lineRule="auto" w:before="185" w:after="0"/>
        <w:ind w:left="1301" w:right="0" w:hanging="602"/>
        <w:jc w:val="left"/>
        <w:rPr>
          <w:sz w:val="24"/>
        </w:rPr>
      </w:pPr>
      <w:r>
        <w:rPr>
          <w:spacing w:val="-3"/>
          <w:sz w:val="24"/>
        </w:rPr>
        <w:t>排污口的位置必须合理确定，按环监〔</w:t>
      </w:r>
      <w:r>
        <w:rPr>
          <w:rFonts w:ascii="Times New Roman" w:eastAsia="Times New Roman"/>
          <w:sz w:val="24"/>
        </w:rPr>
        <w:t>1996</w:t>
      </w:r>
      <w:r>
        <w:rPr>
          <w:spacing w:val="-15"/>
          <w:sz w:val="24"/>
        </w:rPr>
        <w:t>〕</w:t>
      </w:r>
      <w:r>
        <w:rPr>
          <w:rFonts w:ascii="Times New Roman" w:eastAsia="Times New Roman"/>
          <w:sz w:val="24"/>
        </w:rPr>
        <w:t>470</w:t>
      </w:r>
      <w:r>
        <w:rPr>
          <w:sz w:val="24"/>
        </w:rPr>
        <w:t>号文件要求进行规范化管理。</w:t>
      </w:r>
    </w:p>
    <w:p>
      <w:pPr>
        <w:pStyle w:val="ListParagraph"/>
        <w:numPr>
          <w:ilvl w:val="0"/>
          <w:numId w:val="93"/>
        </w:numPr>
        <w:tabs>
          <w:tab w:pos="1302" w:val="left" w:leader="none"/>
        </w:tabs>
        <w:spacing w:line="364" w:lineRule="auto" w:before="158" w:after="0"/>
        <w:ind w:left="220" w:right="338" w:firstLine="480"/>
        <w:jc w:val="left"/>
        <w:rPr>
          <w:sz w:val="24"/>
        </w:rPr>
      </w:pPr>
      <w:r>
        <w:rPr>
          <w:spacing w:val="-5"/>
          <w:sz w:val="24"/>
        </w:rPr>
        <w:t>排放污染物的采样点设置应按《污染源监测技术规范》要求，设置在矿井水及</w:t>
      </w:r>
      <w:r>
        <w:rPr>
          <w:sz w:val="24"/>
        </w:rPr>
        <w:t>生活污水排放口、厂房排气筒等处。</w:t>
      </w:r>
    </w:p>
    <w:p>
      <w:pPr>
        <w:pStyle w:val="Heading3"/>
        <w:numPr>
          <w:ilvl w:val="2"/>
          <w:numId w:val="92"/>
        </w:numPr>
        <w:tabs>
          <w:tab w:pos="1061" w:val="left" w:leader="none"/>
        </w:tabs>
        <w:spacing w:line="358" w:lineRule="exact" w:before="0" w:after="0"/>
        <w:ind w:left="1060" w:right="0" w:hanging="841"/>
        <w:jc w:val="left"/>
        <w:rPr>
          <w:rFonts w:ascii="Times New Roman" w:eastAsia="Times New Roman"/>
        </w:rPr>
      </w:pPr>
      <w:bookmarkStart w:name="13.5.3 排污口立标管理" w:id="1073"/>
      <w:bookmarkEnd w:id="1073"/>
      <w:r>
        <w:rPr>
          <w:b w:val="0"/>
        </w:rPr>
      </w:r>
      <w:bookmarkStart w:name="13.5.3 排污口立标管理" w:id="1074"/>
      <w:bookmarkEnd w:id="1074"/>
      <w:r>
        <w:rPr/>
        <w:t>排污口立标管理</w:t>
      </w:r>
    </w:p>
    <w:p>
      <w:pPr>
        <w:pStyle w:val="ListParagraph"/>
        <w:numPr>
          <w:ilvl w:val="0"/>
          <w:numId w:val="94"/>
        </w:numPr>
        <w:tabs>
          <w:tab w:pos="1302" w:val="left" w:leader="none"/>
        </w:tabs>
        <w:spacing w:line="240" w:lineRule="auto" w:before="185" w:after="0"/>
        <w:ind w:left="1301" w:right="0" w:hanging="602"/>
        <w:jc w:val="left"/>
        <w:rPr>
          <w:rFonts w:ascii="Times New Roman" w:eastAsia="Times New Roman"/>
          <w:sz w:val="24"/>
        </w:rPr>
      </w:pPr>
      <w:r>
        <w:rPr>
          <w:sz w:val="24"/>
        </w:rPr>
        <w:t>企业污染物排放口的标志，应按国家《环境保护图形标志 排放口》（</w:t>
      </w:r>
      <w:r>
        <w:rPr>
          <w:rFonts w:ascii="Times New Roman" w:eastAsia="Times New Roman"/>
          <w:sz w:val="24"/>
        </w:rPr>
        <w:t>15562.1</w:t>
      </w:r>
    </w:p>
    <w:p>
      <w:pPr>
        <w:pStyle w:val="BodyText"/>
        <w:spacing w:line="364" w:lineRule="auto" w:before="161"/>
        <w:ind w:left="220" w:right="223"/>
      </w:pPr>
      <w:r>
        <w:rPr/>
        <w:t>－</w:t>
      </w:r>
      <w:r>
        <w:rPr>
          <w:rFonts w:ascii="Times New Roman" w:eastAsia="Times New Roman"/>
        </w:rPr>
        <w:t>1995</w:t>
      </w:r>
      <w:r>
        <w:rPr/>
        <w:t>）及《环境保护图形标志 固体废物贮存（处置）场》（</w:t>
      </w:r>
      <w:r>
        <w:rPr>
          <w:rFonts w:ascii="Times New Roman" w:eastAsia="Times New Roman"/>
        </w:rPr>
        <w:t>15562.2</w:t>
      </w:r>
      <w:r>
        <w:rPr/>
        <w:t>－</w:t>
      </w:r>
      <w:r>
        <w:rPr>
          <w:rFonts w:ascii="Times New Roman" w:eastAsia="Times New Roman"/>
        </w:rPr>
        <w:t>1995</w:t>
      </w:r>
      <w:r>
        <w:rPr/>
        <w:t>）的规定， 设置国家环保总局统一制作的环境保护图形标志牌。示例见表</w:t>
      </w:r>
      <w:r>
        <w:rPr>
          <w:rFonts w:ascii="Times New Roman" w:eastAsia="Times New Roman"/>
        </w:rPr>
        <w:t>13.5-1</w:t>
      </w:r>
      <w:r>
        <w:rPr/>
        <w:t>。</w:t>
      </w:r>
    </w:p>
    <w:p>
      <w:pPr>
        <w:pStyle w:val="ListParagraph"/>
        <w:numPr>
          <w:ilvl w:val="0"/>
          <w:numId w:val="94"/>
        </w:numPr>
        <w:tabs>
          <w:tab w:pos="1302" w:val="left" w:leader="none"/>
        </w:tabs>
        <w:spacing w:line="362" w:lineRule="auto" w:before="0" w:after="3"/>
        <w:ind w:left="220" w:right="338" w:firstLine="480"/>
        <w:jc w:val="left"/>
        <w:rPr>
          <w:sz w:val="24"/>
        </w:rPr>
      </w:pPr>
      <w:r>
        <w:rPr>
          <w:spacing w:val="-1"/>
          <w:sz w:val="24"/>
        </w:rPr>
        <w:t>污染物排放口的环保图形标志牌应设置在靠近采样点的醒目处，标志牌设置</w:t>
      </w:r>
      <w:r>
        <w:rPr>
          <w:spacing w:val="-4"/>
          <w:sz w:val="24"/>
        </w:rPr>
        <w:t>高度为其上缘距地面</w:t>
      </w:r>
      <w:r>
        <w:rPr>
          <w:rFonts w:ascii="Times New Roman" w:eastAsia="Times New Roman"/>
          <w:sz w:val="24"/>
        </w:rPr>
        <w:t>2m</w:t>
      </w:r>
      <w:r>
        <w:rPr>
          <w:sz w:val="24"/>
        </w:rPr>
        <w:t>。</w:t>
      </w:r>
    </w:p>
    <w:p>
      <w:pPr>
        <w:pStyle w:val="BodyText"/>
        <w:ind w:left="612"/>
        <w:rPr>
          <w:sz w:val="20"/>
        </w:rPr>
      </w:pPr>
      <w:r>
        <w:rPr>
          <w:sz w:val="20"/>
        </w:rPr>
        <w:drawing>
          <wp:inline distT="0" distB="0" distL="0" distR="0">
            <wp:extent cx="5348833" cy="2679001"/>
            <wp:effectExtent l="0" t="0" r="0" b="0"/>
            <wp:docPr id="61" name="image34.jpeg"/>
            <wp:cNvGraphicFramePr>
              <a:graphicFrameLocks noChangeAspect="1"/>
            </wp:cNvGraphicFramePr>
            <a:graphic>
              <a:graphicData uri="http://schemas.openxmlformats.org/drawingml/2006/picture">
                <pic:pic>
                  <pic:nvPicPr>
                    <pic:cNvPr id="62" name="image34.jpeg"/>
                    <pic:cNvPicPr/>
                  </pic:nvPicPr>
                  <pic:blipFill>
                    <a:blip r:embed="rId67" cstate="print"/>
                    <a:stretch>
                      <a:fillRect/>
                    </a:stretch>
                  </pic:blipFill>
                  <pic:spPr>
                    <a:xfrm>
                      <a:off x="0" y="0"/>
                      <a:ext cx="5348833" cy="2679001"/>
                    </a:xfrm>
                    <a:prstGeom prst="rect">
                      <a:avLst/>
                    </a:prstGeom>
                  </pic:spPr>
                </pic:pic>
              </a:graphicData>
            </a:graphic>
          </wp:inline>
        </w:drawing>
      </w:r>
      <w:r>
        <w:rPr>
          <w:sz w:val="20"/>
        </w:rPr>
      </w:r>
    </w:p>
    <w:p>
      <w:pPr>
        <w:spacing w:before="228"/>
        <w:ind w:left="0" w:right="140" w:firstLine="0"/>
        <w:jc w:val="center"/>
        <w:rPr>
          <w:b/>
          <w:sz w:val="21"/>
        </w:rPr>
      </w:pPr>
      <w:r>
        <w:rPr>
          <w:b/>
          <w:spacing w:val="-18"/>
          <w:sz w:val="21"/>
        </w:rPr>
        <w:t>图 </w:t>
      </w:r>
      <w:r>
        <w:rPr>
          <w:rFonts w:ascii="Times New Roman" w:eastAsia="Times New Roman"/>
          <w:b/>
          <w:spacing w:val="11"/>
          <w:sz w:val="21"/>
        </w:rPr>
        <w:t>13.5-1</w:t>
      </w:r>
      <w:r>
        <w:rPr>
          <w:rFonts w:ascii="Times New Roman" w:eastAsia="Times New Roman"/>
          <w:b/>
          <w:spacing w:val="72"/>
          <w:sz w:val="21"/>
        </w:rPr>
        <w:t> </w:t>
      </w:r>
      <w:r>
        <w:rPr>
          <w:b/>
          <w:spacing w:val="22"/>
          <w:sz w:val="21"/>
        </w:rPr>
        <w:t>排污口图形标志示例</w:t>
      </w:r>
    </w:p>
    <w:p>
      <w:pPr>
        <w:spacing w:after="0"/>
        <w:jc w:val="center"/>
        <w:rPr>
          <w:sz w:val="21"/>
        </w:rPr>
        <w:sectPr>
          <w:footerReference w:type="default" r:id="rId66"/>
          <w:pgSz w:w="11910" w:h="16840"/>
          <w:pgMar w:footer="1027" w:header="0" w:top="1360" w:bottom="1220" w:left="1140" w:right="1020"/>
          <w:pgNumType w:start="178"/>
        </w:sectPr>
      </w:pPr>
    </w:p>
    <w:p>
      <w:pPr>
        <w:pStyle w:val="Heading4"/>
        <w:numPr>
          <w:ilvl w:val="2"/>
          <w:numId w:val="92"/>
        </w:numPr>
        <w:tabs>
          <w:tab w:pos="941" w:val="left" w:leader="none"/>
        </w:tabs>
        <w:spacing w:line="240" w:lineRule="auto" w:before="61" w:after="0"/>
        <w:ind w:left="940" w:right="0" w:hanging="721"/>
        <w:jc w:val="left"/>
        <w:rPr>
          <w:rFonts w:ascii="Times New Roman" w:eastAsia="Times New Roman"/>
        </w:rPr>
      </w:pPr>
      <w:bookmarkStart w:name="13.5.4 排污口建档管理" w:id="1075"/>
      <w:bookmarkEnd w:id="1075"/>
      <w:r>
        <w:rPr>
          <w:b w:val="0"/>
        </w:rPr>
      </w:r>
      <w:bookmarkStart w:name="13.5.4 排污口建档管理" w:id="1076"/>
      <w:bookmarkEnd w:id="1076"/>
      <w:r>
        <w:rPr/>
        <w:t>排污口建档管理</w:t>
      </w:r>
    </w:p>
    <w:p>
      <w:pPr>
        <w:pStyle w:val="ListParagraph"/>
        <w:numPr>
          <w:ilvl w:val="0"/>
          <w:numId w:val="95"/>
        </w:numPr>
        <w:tabs>
          <w:tab w:pos="1302" w:val="left" w:leader="none"/>
        </w:tabs>
        <w:spacing w:line="364" w:lineRule="auto" w:before="158" w:after="0"/>
        <w:ind w:left="220" w:right="163" w:firstLine="480"/>
        <w:jc w:val="left"/>
        <w:rPr>
          <w:sz w:val="24"/>
        </w:rPr>
      </w:pPr>
      <w:r>
        <w:rPr>
          <w:spacing w:val="-5"/>
          <w:sz w:val="24"/>
        </w:rPr>
        <w:t>要求使用国家环保局统一印刷的《中华人民共和国规范化排污口标志登记证》</w:t>
      </w:r>
      <w:r>
        <w:rPr>
          <w:spacing w:val="-4"/>
          <w:sz w:val="24"/>
        </w:rPr>
        <w:t>，并按要求填写有关内容。</w:t>
      </w:r>
    </w:p>
    <w:p>
      <w:pPr>
        <w:pStyle w:val="ListParagraph"/>
        <w:numPr>
          <w:ilvl w:val="0"/>
          <w:numId w:val="95"/>
        </w:numPr>
        <w:tabs>
          <w:tab w:pos="1302" w:val="left" w:leader="none"/>
        </w:tabs>
        <w:spacing w:line="362" w:lineRule="auto" w:before="1" w:after="0"/>
        <w:ind w:left="220" w:right="337" w:firstLine="480"/>
        <w:jc w:val="left"/>
        <w:rPr>
          <w:sz w:val="24"/>
        </w:rPr>
      </w:pPr>
      <w:r>
        <w:rPr>
          <w:spacing w:val="-5"/>
          <w:sz w:val="24"/>
        </w:rPr>
        <w:t>根据排污口管理档案内容要求，项目建成后，应将主要污染物种类、数量、浓</w:t>
      </w:r>
      <w:r>
        <w:rPr>
          <w:sz w:val="24"/>
        </w:rPr>
        <w:t>度、排放去向、达标情况及设施运行情况记录于档案。</w:t>
      </w:r>
    </w:p>
    <w:p>
      <w:pPr>
        <w:pStyle w:val="Heading3"/>
        <w:numPr>
          <w:ilvl w:val="1"/>
          <w:numId w:val="72"/>
        </w:numPr>
        <w:tabs>
          <w:tab w:pos="780" w:val="left" w:leader="none"/>
        </w:tabs>
        <w:spacing w:line="240" w:lineRule="auto" w:before="6" w:after="0"/>
        <w:ind w:left="780" w:right="0" w:hanging="560"/>
        <w:jc w:val="left"/>
        <w:rPr>
          <w:rFonts w:ascii="Times New Roman" w:eastAsia="Times New Roman"/>
        </w:rPr>
      </w:pPr>
      <w:bookmarkStart w:name="13.6环境保护竣工验收" w:id="1077"/>
      <w:bookmarkEnd w:id="1077"/>
      <w:r>
        <w:rPr>
          <w:b w:val="0"/>
        </w:rPr>
      </w:r>
      <w:bookmarkStart w:name="_bookmark73" w:id="1078"/>
      <w:bookmarkEnd w:id="1078"/>
      <w:r>
        <w:rPr>
          <w:b w:val="0"/>
        </w:rPr>
      </w:r>
      <w:bookmarkStart w:name="_bookmark73" w:id="1079"/>
      <w:bookmarkEnd w:id="1079"/>
      <w:r>
        <w:rPr/>
        <w:t>环境保护竣工验收</w:t>
      </w:r>
    </w:p>
    <w:p>
      <w:pPr>
        <w:pStyle w:val="BodyText"/>
        <w:spacing w:line="362" w:lineRule="auto" w:before="185"/>
        <w:ind w:left="220" w:right="338" w:firstLine="540"/>
      </w:pPr>
      <w:r>
        <w:rPr/>
        <w:t>本工程竣工后，应进行环保设施竣工验收，并应与主体工程同步进行，环保设施竣工验收主要内容表 </w:t>
      </w:r>
      <w:r>
        <w:rPr>
          <w:rFonts w:ascii="Times New Roman" w:eastAsia="Times New Roman"/>
        </w:rPr>
        <w:t>13.6-1</w:t>
      </w:r>
      <w:r>
        <w:rPr/>
        <w:t>。</w:t>
      </w:r>
    </w:p>
    <w:p>
      <w:pPr>
        <w:pStyle w:val="Heading4"/>
        <w:tabs>
          <w:tab w:pos="4072" w:val="left" w:leader="none"/>
        </w:tabs>
        <w:spacing w:before="5" w:after="2"/>
        <w:ind w:left="2913"/>
      </w:pPr>
      <w:r>
        <w:rPr/>
        <w:t>表</w:t>
      </w:r>
      <w:r>
        <w:rPr>
          <w:spacing w:val="-62"/>
        </w:rPr>
        <w:t> </w:t>
      </w:r>
      <w:r>
        <w:rPr>
          <w:rFonts w:ascii="Times New Roman" w:eastAsia="Times New Roman"/>
        </w:rPr>
        <w:t>13.6-1</w:t>
        <w:tab/>
      </w:r>
      <w:r>
        <w:rPr/>
        <w:t>环保设施竣工验收汇总表</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2340"/>
        <w:gridCol w:w="3060"/>
        <w:gridCol w:w="2992"/>
      </w:tblGrid>
      <w:tr>
        <w:trPr>
          <w:trHeight w:val="401" w:hRule="atLeast"/>
        </w:trPr>
        <w:tc>
          <w:tcPr>
            <w:tcW w:w="1008" w:type="dxa"/>
          </w:tcPr>
          <w:p>
            <w:pPr>
              <w:pStyle w:val="TableParagraph"/>
              <w:spacing w:before="64"/>
              <w:ind w:left="273" w:right="264"/>
              <w:rPr>
                <w:sz w:val="21"/>
              </w:rPr>
            </w:pPr>
            <w:r>
              <w:rPr>
                <w:sz w:val="21"/>
              </w:rPr>
              <w:t>序号</w:t>
            </w:r>
          </w:p>
        </w:tc>
        <w:tc>
          <w:tcPr>
            <w:tcW w:w="2340" w:type="dxa"/>
          </w:tcPr>
          <w:p>
            <w:pPr>
              <w:pStyle w:val="TableParagraph"/>
              <w:spacing w:before="64"/>
              <w:ind w:left="53" w:right="149"/>
              <w:rPr>
                <w:sz w:val="21"/>
              </w:rPr>
            </w:pPr>
            <w:r>
              <w:rPr>
                <w:sz w:val="21"/>
              </w:rPr>
              <w:t>项目</w:t>
            </w:r>
          </w:p>
        </w:tc>
        <w:tc>
          <w:tcPr>
            <w:tcW w:w="3060" w:type="dxa"/>
          </w:tcPr>
          <w:p>
            <w:pPr>
              <w:pStyle w:val="TableParagraph"/>
              <w:spacing w:before="64"/>
              <w:ind w:left="91" w:right="190"/>
              <w:rPr>
                <w:sz w:val="21"/>
              </w:rPr>
            </w:pPr>
            <w:r>
              <w:rPr>
                <w:sz w:val="21"/>
              </w:rPr>
              <w:t>验收内容</w:t>
            </w:r>
          </w:p>
        </w:tc>
        <w:tc>
          <w:tcPr>
            <w:tcW w:w="2992" w:type="dxa"/>
          </w:tcPr>
          <w:p>
            <w:pPr>
              <w:pStyle w:val="TableParagraph"/>
              <w:spacing w:before="64"/>
              <w:ind w:left="3" w:right="101"/>
              <w:rPr>
                <w:sz w:val="21"/>
              </w:rPr>
            </w:pPr>
            <w:r>
              <w:rPr>
                <w:sz w:val="21"/>
              </w:rPr>
              <w:t>实施效果及控制目标</w:t>
            </w:r>
          </w:p>
        </w:tc>
      </w:tr>
      <w:tr>
        <w:trPr>
          <w:trHeight w:val="402" w:hRule="atLeast"/>
        </w:trPr>
        <w:tc>
          <w:tcPr>
            <w:tcW w:w="1008" w:type="dxa"/>
          </w:tcPr>
          <w:p>
            <w:pPr>
              <w:pStyle w:val="TableParagraph"/>
              <w:spacing w:before="65"/>
              <w:ind w:left="6"/>
              <w:rPr>
                <w:sz w:val="21"/>
              </w:rPr>
            </w:pPr>
            <w:r>
              <w:rPr>
                <w:w w:val="99"/>
                <w:sz w:val="21"/>
              </w:rPr>
              <w:t>一</w:t>
            </w:r>
          </w:p>
        </w:tc>
        <w:tc>
          <w:tcPr>
            <w:tcW w:w="2340" w:type="dxa"/>
          </w:tcPr>
          <w:p>
            <w:pPr>
              <w:pStyle w:val="TableParagraph"/>
              <w:spacing w:before="65"/>
              <w:ind w:left="53" w:right="149"/>
              <w:rPr>
                <w:sz w:val="21"/>
              </w:rPr>
            </w:pPr>
            <w:r>
              <w:rPr>
                <w:sz w:val="21"/>
              </w:rPr>
              <w:t>水污染防治措施</w:t>
            </w:r>
          </w:p>
        </w:tc>
        <w:tc>
          <w:tcPr>
            <w:tcW w:w="3060" w:type="dxa"/>
          </w:tcPr>
          <w:p>
            <w:pPr>
              <w:pStyle w:val="TableParagraph"/>
              <w:jc w:val="left"/>
              <w:rPr>
                <w:rFonts w:ascii="Times New Roman"/>
                <w:sz w:val="20"/>
              </w:rPr>
            </w:pPr>
          </w:p>
        </w:tc>
        <w:tc>
          <w:tcPr>
            <w:tcW w:w="2992" w:type="dxa"/>
          </w:tcPr>
          <w:p>
            <w:pPr>
              <w:pStyle w:val="TableParagraph"/>
              <w:jc w:val="left"/>
              <w:rPr>
                <w:rFonts w:ascii="Times New Roman"/>
                <w:sz w:val="20"/>
              </w:rPr>
            </w:pPr>
          </w:p>
        </w:tc>
      </w:tr>
      <w:tr>
        <w:trPr>
          <w:trHeight w:val="1088" w:hRule="atLeast"/>
        </w:trPr>
        <w:tc>
          <w:tcPr>
            <w:tcW w:w="1008" w:type="dxa"/>
          </w:tcPr>
          <w:p>
            <w:pPr>
              <w:pStyle w:val="TableParagraph"/>
              <w:spacing w:before="12"/>
              <w:jc w:val="left"/>
              <w:rPr>
                <w:b/>
                <w:sz w:val="32"/>
              </w:rPr>
            </w:pPr>
          </w:p>
          <w:p>
            <w:pPr>
              <w:pStyle w:val="TableParagraph"/>
              <w:ind w:left="8"/>
              <w:rPr>
                <w:rFonts w:ascii="Times New Roman"/>
                <w:sz w:val="21"/>
              </w:rPr>
            </w:pPr>
            <w:r>
              <w:rPr>
                <w:rFonts w:ascii="Times New Roman"/>
                <w:w w:val="99"/>
                <w:sz w:val="21"/>
              </w:rPr>
              <w:t>1</w:t>
            </w:r>
          </w:p>
        </w:tc>
        <w:tc>
          <w:tcPr>
            <w:tcW w:w="2340" w:type="dxa"/>
          </w:tcPr>
          <w:p>
            <w:pPr>
              <w:pStyle w:val="TableParagraph"/>
              <w:jc w:val="left"/>
              <w:rPr>
                <w:b/>
                <w:sz w:val="20"/>
              </w:rPr>
            </w:pPr>
          </w:p>
          <w:p>
            <w:pPr>
              <w:pStyle w:val="TableParagraph"/>
              <w:spacing w:before="152"/>
              <w:ind w:left="53" w:right="149"/>
              <w:rPr>
                <w:sz w:val="21"/>
              </w:rPr>
            </w:pPr>
            <w:r>
              <w:rPr>
                <w:sz w:val="21"/>
              </w:rPr>
              <w:t>生活污水处理</w:t>
            </w:r>
          </w:p>
        </w:tc>
        <w:tc>
          <w:tcPr>
            <w:tcW w:w="3060" w:type="dxa"/>
          </w:tcPr>
          <w:p>
            <w:pPr>
              <w:pStyle w:val="TableParagraph"/>
              <w:spacing w:before="2"/>
              <w:jc w:val="left"/>
              <w:rPr>
                <w:b/>
                <w:sz w:val="21"/>
              </w:rPr>
            </w:pPr>
          </w:p>
          <w:p>
            <w:pPr>
              <w:pStyle w:val="TableParagraph"/>
              <w:spacing w:line="244" w:lineRule="auto" w:before="1"/>
              <w:ind w:left="525" w:right="-15" w:hanging="418"/>
              <w:jc w:val="left"/>
              <w:rPr>
                <w:sz w:val="21"/>
              </w:rPr>
            </w:pPr>
            <w:r>
              <w:rPr>
                <w:spacing w:val="6"/>
                <w:w w:val="99"/>
                <w:sz w:val="21"/>
              </w:rPr>
              <w:t>处理能力为</w:t>
            </w:r>
            <w:r>
              <w:rPr>
                <w:rFonts w:ascii="Times New Roman" w:eastAsia="Times New Roman"/>
                <w:spacing w:val="1"/>
                <w:w w:val="99"/>
                <w:sz w:val="21"/>
              </w:rPr>
              <w:t>12</w:t>
            </w:r>
            <w:r>
              <w:rPr>
                <w:rFonts w:ascii="Times New Roman" w:eastAsia="Times New Roman"/>
                <w:spacing w:val="-2"/>
                <w:w w:val="99"/>
                <w:sz w:val="21"/>
              </w:rPr>
              <w:t>0</w:t>
            </w:r>
            <w:r>
              <w:rPr>
                <w:rFonts w:ascii="Times New Roman" w:eastAsia="Times New Roman"/>
                <w:w w:val="99"/>
                <w:sz w:val="21"/>
              </w:rPr>
              <w:t>m</w:t>
            </w:r>
            <w:r>
              <w:rPr>
                <w:rFonts w:ascii="Times New Roman" w:eastAsia="Times New Roman"/>
                <w:spacing w:val="-2"/>
                <w:w w:val="105"/>
                <w:position w:val="7"/>
                <w:sz w:val="13"/>
              </w:rPr>
              <w:t>3</w:t>
            </w:r>
            <w:r>
              <w:rPr>
                <w:rFonts w:ascii="Times New Roman" w:eastAsia="Times New Roman"/>
                <w:spacing w:val="-1"/>
                <w:w w:val="99"/>
                <w:sz w:val="21"/>
              </w:rPr>
              <w:t>/</w:t>
            </w:r>
            <w:r>
              <w:rPr>
                <w:rFonts w:ascii="Times New Roman" w:eastAsia="Times New Roman"/>
                <w:spacing w:val="3"/>
                <w:w w:val="99"/>
                <w:sz w:val="21"/>
              </w:rPr>
              <w:t>d</w:t>
            </w:r>
            <w:r>
              <w:rPr>
                <w:spacing w:val="-19"/>
                <w:w w:val="99"/>
                <w:sz w:val="21"/>
              </w:rPr>
              <w:t>，处理工艺：</w:t>
            </w:r>
            <w:r>
              <w:rPr>
                <w:spacing w:val="-19"/>
                <w:sz w:val="21"/>
              </w:rPr>
              <w:t>为二级生物法</w:t>
            </w:r>
            <w:r>
              <w:rPr>
                <w:rFonts w:ascii="Times New Roman" w:eastAsia="Times New Roman"/>
                <w:spacing w:val="-19"/>
                <w:sz w:val="21"/>
              </w:rPr>
              <w:t>+</w:t>
            </w:r>
            <w:r>
              <w:rPr>
                <w:spacing w:val="-19"/>
                <w:sz w:val="21"/>
              </w:rPr>
              <w:t>超滤。</w:t>
            </w:r>
          </w:p>
        </w:tc>
        <w:tc>
          <w:tcPr>
            <w:tcW w:w="2992" w:type="dxa"/>
          </w:tcPr>
          <w:p>
            <w:pPr>
              <w:pStyle w:val="TableParagraph"/>
              <w:spacing w:line="242" w:lineRule="auto"/>
              <w:ind w:left="865" w:right="121" w:hanging="843"/>
              <w:jc w:val="left"/>
              <w:rPr>
                <w:sz w:val="21"/>
              </w:rPr>
            </w:pPr>
            <w:r>
              <w:rPr>
                <w:sz w:val="21"/>
              </w:rPr>
              <w:t>满足《城市污水再生利用 城市杂用水水质》</w:t>
            </w:r>
          </w:p>
          <w:p>
            <w:pPr>
              <w:pStyle w:val="TableParagraph"/>
              <w:spacing w:before="2"/>
              <w:ind w:left="107" w:right="-15"/>
              <w:jc w:val="left"/>
              <w:rPr>
                <w:sz w:val="21"/>
              </w:rPr>
            </w:pPr>
            <w:r>
              <w:rPr>
                <w:spacing w:val="-5"/>
                <w:sz w:val="21"/>
              </w:rPr>
              <w:t>（</w:t>
            </w:r>
            <w:r>
              <w:rPr>
                <w:rFonts w:ascii="Times New Roman" w:eastAsia="Times New Roman"/>
                <w:spacing w:val="-5"/>
                <w:sz w:val="21"/>
              </w:rPr>
              <w:t>GB/T18920-2002</w:t>
            </w:r>
            <w:r>
              <w:rPr>
                <w:spacing w:val="-5"/>
                <w:sz w:val="21"/>
              </w:rPr>
              <w:t>）</w:t>
            </w:r>
            <w:r>
              <w:rPr>
                <w:sz w:val="21"/>
              </w:rPr>
              <w:t>道路清扫、</w:t>
            </w:r>
          </w:p>
          <w:p>
            <w:pPr>
              <w:pStyle w:val="TableParagraph"/>
              <w:spacing w:line="250" w:lineRule="exact" w:before="4"/>
              <w:ind w:left="760"/>
              <w:jc w:val="left"/>
              <w:rPr>
                <w:sz w:val="21"/>
              </w:rPr>
            </w:pPr>
            <w:r>
              <w:rPr>
                <w:sz w:val="21"/>
              </w:rPr>
              <w:t>消防用水标准。</w:t>
            </w:r>
          </w:p>
        </w:tc>
      </w:tr>
      <w:tr>
        <w:trPr>
          <w:trHeight w:val="816" w:hRule="atLeast"/>
        </w:trPr>
        <w:tc>
          <w:tcPr>
            <w:tcW w:w="1008" w:type="dxa"/>
          </w:tcPr>
          <w:p>
            <w:pPr>
              <w:pStyle w:val="TableParagraph"/>
              <w:spacing w:before="4"/>
              <w:jc w:val="left"/>
              <w:rPr>
                <w:b/>
                <w:sz w:val="22"/>
              </w:rPr>
            </w:pPr>
          </w:p>
          <w:p>
            <w:pPr>
              <w:pStyle w:val="TableParagraph"/>
              <w:ind w:left="8"/>
              <w:rPr>
                <w:rFonts w:ascii="Times New Roman"/>
                <w:sz w:val="21"/>
              </w:rPr>
            </w:pPr>
            <w:r>
              <w:rPr>
                <w:rFonts w:ascii="Times New Roman"/>
                <w:w w:val="99"/>
                <w:sz w:val="21"/>
              </w:rPr>
              <w:t>2</w:t>
            </w:r>
          </w:p>
        </w:tc>
        <w:tc>
          <w:tcPr>
            <w:tcW w:w="2340" w:type="dxa"/>
          </w:tcPr>
          <w:p>
            <w:pPr>
              <w:pStyle w:val="TableParagraph"/>
              <w:spacing w:before="3"/>
              <w:jc w:val="left"/>
              <w:rPr>
                <w:b/>
                <w:sz w:val="21"/>
              </w:rPr>
            </w:pPr>
          </w:p>
          <w:p>
            <w:pPr>
              <w:pStyle w:val="TableParagraph"/>
              <w:ind w:left="53" w:right="152"/>
              <w:rPr>
                <w:sz w:val="21"/>
              </w:rPr>
            </w:pPr>
            <w:r>
              <w:rPr>
                <w:sz w:val="21"/>
              </w:rPr>
              <w:t>矿井水处理</w:t>
            </w:r>
          </w:p>
        </w:tc>
        <w:tc>
          <w:tcPr>
            <w:tcW w:w="3060" w:type="dxa"/>
          </w:tcPr>
          <w:p>
            <w:pPr>
              <w:pStyle w:val="TableParagraph"/>
              <w:spacing w:line="242" w:lineRule="auto" w:before="1"/>
              <w:ind w:left="107" w:right="-15" w:hanging="89"/>
              <w:rPr>
                <w:sz w:val="21"/>
              </w:rPr>
            </w:pPr>
            <w:r>
              <w:rPr>
                <w:spacing w:val="-11"/>
                <w:sz w:val="21"/>
              </w:rPr>
              <w:t>处理能力 </w:t>
            </w:r>
            <w:r>
              <w:rPr>
                <w:rFonts w:ascii="Times New Roman" w:eastAsia="Times New Roman"/>
                <w:sz w:val="21"/>
              </w:rPr>
              <w:t>720m</w:t>
            </w:r>
            <w:r>
              <w:rPr>
                <w:rFonts w:ascii="Times New Roman" w:eastAsia="Times New Roman"/>
                <w:position w:val="7"/>
                <w:sz w:val="13"/>
              </w:rPr>
              <w:t>3</w:t>
            </w:r>
            <w:r>
              <w:rPr>
                <w:rFonts w:ascii="Times New Roman" w:eastAsia="Times New Roman"/>
                <w:sz w:val="21"/>
              </w:rPr>
              <w:t>/d</w:t>
            </w:r>
            <w:r>
              <w:rPr>
                <w:sz w:val="21"/>
              </w:rPr>
              <w:t>，处理工艺： </w:t>
            </w:r>
            <w:r>
              <w:rPr>
                <w:spacing w:val="-16"/>
                <w:w w:val="95"/>
                <w:sz w:val="21"/>
              </w:rPr>
              <w:t>混合、反应、混凝、沉淀、过滤、</w:t>
            </w:r>
          </w:p>
          <w:p>
            <w:pPr>
              <w:pStyle w:val="TableParagraph"/>
              <w:spacing w:line="251" w:lineRule="exact" w:before="1"/>
              <w:ind w:left="91" w:right="85"/>
              <w:rPr>
                <w:sz w:val="21"/>
              </w:rPr>
            </w:pPr>
            <w:r>
              <w:rPr>
                <w:sz w:val="21"/>
              </w:rPr>
              <w:t>消毒。</w:t>
            </w:r>
          </w:p>
        </w:tc>
        <w:tc>
          <w:tcPr>
            <w:tcW w:w="2992" w:type="dxa"/>
          </w:tcPr>
          <w:p>
            <w:pPr>
              <w:pStyle w:val="TableParagraph"/>
              <w:spacing w:line="242" w:lineRule="auto" w:before="1"/>
              <w:ind w:left="76" w:right="96" w:hanging="78"/>
              <w:rPr>
                <w:rFonts w:ascii="Times New Roman" w:eastAsia="Times New Roman"/>
                <w:sz w:val="21"/>
              </w:rPr>
            </w:pPr>
            <w:r>
              <w:rPr>
                <w:sz w:val="21"/>
              </w:rPr>
              <w:t>满足《煤炭工业污染物排放标</w:t>
            </w:r>
            <w:r>
              <w:rPr>
                <w:spacing w:val="-13"/>
                <w:sz w:val="21"/>
              </w:rPr>
              <w:t>准》</w:t>
            </w:r>
            <w:r>
              <w:rPr>
                <w:sz w:val="21"/>
              </w:rPr>
              <w:t>（</w:t>
            </w:r>
            <w:r>
              <w:rPr>
                <w:rFonts w:ascii="Times New Roman" w:eastAsia="Times New Roman"/>
                <w:sz w:val="21"/>
              </w:rPr>
              <w:t>GB20426-2006</w:t>
            </w:r>
            <w:r>
              <w:rPr>
                <w:sz w:val="21"/>
              </w:rPr>
              <w:t>）</w:t>
            </w:r>
            <w:r>
              <w:rPr>
                <w:spacing w:val="-34"/>
                <w:sz w:val="21"/>
              </w:rPr>
              <w:t>表 </w:t>
            </w:r>
            <w:r>
              <w:rPr>
                <w:rFonts w:ascii="Times New Roman" w:eastAsia="Times New Roman"/>
                <w:sz w:val="21"/>
              </w:rPr>
              <w:t>1</w:t>
            </w:r>
            <w:r>
              <w:rPr>
                <w:spacing w:val="-15"/>
                <w:sz w:val="21"/>
              </w:rPr>
              <w:t>、</w:t>
            </w:r>
            <w:r>
              <w:rPr>
                <w:rFonts w:ascii="Times New Roman" w:eastAsia="Times New Roman"/>
                <w:sz w:val="21"/>
              </w:rPr>
              <w:t>2</w:t>
            </w:r>
          </w:p>
          <w:p>
            <w:pPr>
              <w:pStyle w:val="TableParagraph"/>
              <w:spacing w:line="251" w:lineRule="exact" w:before="1"/>
              <w:ind w:left="13" w:right="8"/>
              <w:rPr>
                <w:sz w:val="21"/>
              </w:rPr>
            </w:pPr>
            <w:r>
              <w:rPr>
                <w:sz w:val="21"/>
              </w:rPr>
              <w:t>标准限值</w:t>
            </w:r>
          </w:p>
        </w:tc>
      </w:tr>
      <w:tr>
        <w:trPr>
          <w:trHeight w:val="400" w:hRule="atLeast"/>
        </w:trPr>
        <w:tc>
          <w:tcPr>
            <w:tcW w:w="1008" w:type="dxa"/>
          </w:tcPr>
          <w:p>
            <w:pPr>
              <w:pStyle w:val="TableParagraph"/>
              <w:spacing w:before="64"/>
              <w:ind w:left="6"/>
              <w:rPr>
                <w:sz w:val="21"/>
              </w:rPr>
            </w:pPr>
            <w:r>
              <w:rPr>
                <w:w w:val="99"/>
                <w:sz w:val="21"/>
              </w:rPr>
              <w:t>二</w:t>
            </w:r>
          </w:p>
        </w:tc>
        <w:tc>
          <w:tcPr>
            <w:tcW w:w="2340" w:type="dxa"/>
          </w:tcPr>
          <w:p>
            <w:pPr>
              <w:pStyle w:val="TableParagraph"/>
              <w:spacing w:before="64"/>
              <w:ind w:left="53" w:right="152"/>
              <w:rPr>
                <w:sz w:val="21"/>
              </w:rPr>
            </w:pPr>
            <w:r>
              <w:rPr>
                <w:sz w:val="21"/>
              </w:rPr>
              <w:t>大气污染防治措施</w:t>
            </w:r>
          </w:p>
        </w:tc>
        <w:tc>
          <w:tcPr>
            <w:tcW w:w="3060" w:type="dxa"/>
          </w:tcPr>
          <w:p>
            <w:pPr>
              <w:pStyle w:val="TableParagraph"/>
              <w:jc w:val="left"/>
              <w:rPr>
                <w:rFonts w:ascii="Times New Roman"/>
                <w:sz w:val="20"/>
              </w:rPr>
            </w:pPr>
          </w:p>
        </w:tc>
        <w:tc>
          <w:tcPr>
            <w:tcW w:w="2992" w:type="dxa"/>
          </w:tcPr>
          <w:p>
            <w:pPr>
              <w:pStyle w:val="TableParagraph"/>
              <w:jc w:val="left"/>
              <w:rPr>
                <w:rFonts w:ascii="Times New Roman"/>
                <w:sz w:val="20"/>
              </w:rPr>
            </w:pPr>
          </w:p>
        </w:tc>
      </w:tr>
      <w:tr>
        <w:trPr>
          <w:trHeight w:val="2503" w:hRule="atLeast"/>
        </w:trPr>
        <w:tc>
          <w:tcPr>
            <w:tcW w:w="1008"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2"/>
              <w:jc w:val="left"/>
              <w:rPr>
                <w:b/>
                <w:sz w:val="22"/>
              </w:rPr>
            </w:pPr>
          </w:p>
          <w:p>
            <w:pPr>
              <w:pStyle w:val="TableParagraph"/>
              <w:ind w:left="8"/>
              <w:rPr>
                <w:rFonts w:ascii="Times New Roman"/>
                <w:sz w:val="21"/>
              </w:rPr>
            </w:pPr>
            <w:r>
              <w:rPr>
                <w:rFonts w:ascii="Times New Roman"/>
                <w:w w:val="99"/>
                <w:sz w:val="21"/>
              </w:rPr>
              <w:t>1</w:t>
            </w:r>
          </w:p>
        </w:tc>
        <w:tc>
          <w:tcPr>
            <w:tcW w:w="234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7"/>
              </w:rPr>
            </w:pPr>
          </w:p>
          <w:p>
            <w:pPr>
              <w:pStyle w:val="TableParagraph"/>
              <w:ind w:left="53" w:right="149"/>
              <w:rPr>
                <w:sz w:val="21"/>
              </w:rPr>
            </w:pPr>
            <w:r>
              <w:rPr>
                <w:sz w:val="21"/>
              </w:rPr>
              <w:t>锅炉及热风炉</w:t>
            </w:r>
          </w:p>
        </w:tc>
        <w:tc>
          <w:tcPr>
            <w:tcW w:w="306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6"/>
              </w:rPr>
            </w:pPr>
          </w:p>
          <w:p>
            <w:pPr>
              <w:pStyle w:val="TableParagraph"/>
              <w:spacing w:line="242" w:lineRule="auto"/>
              <w:ind w:left="1425" w:right="103" w:hanging="1419"/>
              <w:jc w:val="left"/>
              <w:rPr>
                <w:sz w:val="21"/>
              </w:rPr>
            </w:pPr>
            <w:r>
              <w:rPr>
                <w:sz w:val="21"/>
              </w:rPr>
              <w:t>锅炉燃用生物质锅炉及布袋除尘器</w:t>
            </w:r>
          </w:p>
        </w:tc>
        <w:tc>
          <w:tcPr>
            <w:tcW w:w="2992" w:type="dxa"/>
          </w:tcPr>
          <w:p>
            <w:pPr>
              <w:pStyle w:val="TableParagraph"/>
              <w:spacing w:line="242" w:lineRule="auto"/>
              <w:ind w:left="-1" w:right="97" w:hanging="1"/>
              <w:rPr>
                <w:sz w:val="21"/>
              </w:rPr>
            </w:pPr>
            <w:r>
              <w:rPr>
                <w:spacing w:val="-8"/>
                <w:w w:val="95"/>
                <w:sz w:val="21"/>
              </w:rPr>
              <w:t>锅炉满足《锅炉大气污染物排放</w:t>
            </w:r>
            <w:r>
              <w:rPr>
                <w:spacing w:val="-8"/>
                <w:sz w:val="21"/>
              </w:rPr>
              <w:t>标准》（</w:t>
            </w:r>
            <w:r>
              <w:rPr>
                <w:rFonts w:ascii="Times New Roman" w:hAnsi="Times New Roman" w:eastAsia="Times New Roman"/>
                <w:spacing w:val="-8"/>
                <w:sz w:val="21"/>
              </w:rPr>
              <w:t>GB13271-2014</w:t>
            </w:r>
            <w:r>
              <w:rPr>
                <w:spacing w:val="-8"/>
                <w:sz w:val="21"/>
              </w:rPr>
              <w:t>）标准</w:t>
            </w:r>
            <w:r>
              <w:rPr>
                <w:spacing w:val="-14"/>
                <w:sz w:val="21"/>
              </w:rPr>
              <w:t>限值要求，烟尘 </w:t>
            </w:r>
            <w:r>
              <w:rPr>
                <w:rFonts w:ascii="Times New Roman" w:hAnsi="Times New Roman" w:eastAsia="Times New Roman"/>
                <w:sz w:val="21"/>
              </w:rPr>
              <w:t>50mg/m</w:t>
            </w:r>
            <w:r>
              <w:rPr>
                <w:rFonts w:ascii="Times New Roman" w:hAnsi="Times New Roman" w:eastAsia="Times New Roman"/>
                <w:position w:val="7"/>
                <w:sz w:val="13"/>
              </w:rPr>
              <w:t>3</w:t>
            </w:r>
            <w:r>
              <w:rPr>
                <w:sz w:val="21"/>
              </w:rPr>
              <w:t>， </w:t>
            </w:r>
            <w:r>
              <w:rPr>
                <w:rFonts w:ascii="Times New Roman" w:hAnsi="Times New Roman" w:eastAsia="Times New Roman"/>
                <w:position w:val="2"/>
                <w:sz w:val="21"/>
              </w:rPr>
              <w:t>SO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≤300 mg/m</w:t>
            </w:r>
            <w:r>
              <w:rPr>
                <w:rFonts w:ascii="Times New Roman" w:hAnsi="Times New Roman" w:eastAsia="Times New Roman"/>
                <w:position w:val="2"/>
                <w:sz w:val="21"/>
                <w:vertAlign w:val="superscript"/>
              </w:rPr>
              <w:t>3</w:t>
            </w:r>
            <w:r>
              <w:rPr>
                <w:position w:val="2"/>
                <w:sz w:val="21"/>
                <w:vertAlign w:val="baseline"/>
              </w:rPr>
              <w:t>，</w:t>
            </w:r>
            <w:r>
              <w:rPr>
                <w:rFonts w:ascii="Times New Roman" w:hAnsi="Times New Roman" w:eastAsia="Times New Roman"/>
                <w:position w:val="2"/>
                <w:sz w:val="21"/>
                <w:vertAlign w:val="baseline"/>
              </w:rPr>
              <w:t>NO</w:t>
            </w:r>
            <w:r>
              <w:rPr>
                <w:rFonts w:ascii="Times New Roman" w:hAnsi="Times New Roman" w:eastAsia="Times New Roman"/>
                <w:position w:val="2"/>
                <w:sz w:val="21"/>
                <w:vertAlign w:val="subscript"/>
              </w:rPr>
              <w:t>2</w:t>
            </w:r>
            <w:r>
              <w:rPr>
                <w:rFonts w:ascii="Times New Roman" w:hAnsi="Times New Roman" w:eastAsia="Times New Roman"/>
                <w:position w:val="2"/>
                <w:sz w:val="21"/>
                <w:vertAlign w:val="baseline"/>
              </w:rPr>
              <w:t>≤300 </w:t>
            </w:r>
            <w:r>
              <w:rPr>
                <w:rFonts w:ascii="Times New Roman" w:hAnsi="Times New Roman" w:eastAsia="Times New Roman"/>
                <w:spacing w:val="-8"/>
                <w:sz w:val="21"/>
                <w:vertAlign w:val="baseline"/>
              </w:rPr>
              <w:t>mg/m</w:t>
            </w:r>
            <w:r>
              <w:rPr>
                <w:rFonts w:ascii="Times New Roman" w:hAnsi="Times New Roman" w:eastAsia="Times New Roman"/>
                <w:spacing w:val="-8"/>
                <w:position w:val="7"/>
                <w:sz w:val="13"/>
                <w:vertAlign w:val="baseline"/>
              </w:rPr>
              <w:t>3</w:t>
            </w:r>
            <w:r>
              <w:rPr>
                <w:spacing w:val="-8"/>
                <w:sz w:val="21"/>
                <w:vertAlign w:val="baseline"/>
              </w:rPr>
              <w:t>；热风炉满足《工业炉窑大气污染物排放标准》</w:t>
            </w:r>
          </w:p>
          <w:p>
            <w:pPr>
              <w:pStyle w:val="TableParagraph"/>
              <w:spacing w:line="267" w:lineRule="exact"/>
              <w:ind w:left="13"/>
              <w:rPr>
                <w:rFonts w:ascii="Times New Roman" w:eastAsia="Times New Roman"/>
                <w:sz w:val="21"/>
              </w:rPr>
            </w:pPr>
            <w:r>
              <w:rPr>
                <w:sz w:val="21"/>
              </w:rPr>
              <w:t>（</w:t>
            </w:r>
            <w:r>
              <w:rPr>
                <w:rFonts w:ascii="Times New Roman" w:eastAsia="Times New Roman"/>
                <w:sz w:val="21"/>
              </w:rPr>
              <w:t>GB9078-1996</w:t>
            </w:r>
            <w:r>
              <w:rPr>
                <w:sz w:val="21"/>
              </w:rPr>
              <w:t>）中表 </w:t>
            </w:r>
            <w:r>
              <w:rPr>
                <w:rFonts w:ascii="Times New Roman" w:eastAsia="Times New Roman"/>
                <w:sz w:val="21"/>
              </w:rPr>
              <w:t>2 </w:t>
            </w:r>
            <w:r>
              <w:rPr>
                <w:sz w:val="21"/>
              </w:rPr>
              <w:t>及表 </w:t>
            </w:r>
            <w:r>
              <w:rPr>
                <w:rFonts w:ascii="Times New Roman" w:eastAsia="Times New Roman"/>
                <w:sz w:val="21"/>
              </w:rPr>
              <w:t>4</w:t>
            </w:r>
          </w:p>
          <w:p>
            <w:pPr>
              <w:pStyle w:val="TableParagraph"/>
              <w:spacing w:line="307" w:lineRule="exact" w:before="5"/>
              <w:ind w:left="13" w:right="4"/>
              <w:rPr>
                <w:sz w:val="24"/>
              </w:rPr>
            </w:pPr>
            <w:r>
              <w:rPr>
                <w:sz w:val="21"/>
              </w:rPr>
              <w:t>要求</w:t>
            </w:r>
            <w:r>
              <w:rPr>
                <w:sz w:val="24"/>
              </w:rPr>
              <w:t>烟尘 </w:t>
            </w:r>
            <w:r>
              <w:rPr>
                <w:rFonts w:ascii="Times New Roman" w:eastAsia="Times New Roman"/>
                <w:sz w:val="24"/>
              </w:rPr>
              <w:t>200mg/m</w:t>
            </w:r>
            <w:r>
              <w:rPr>
                <w:rFonts w:ascii="Times New Roman" w:eastAsia="Times New Roman"/>
                <w:position w:val="8"/>
                <w:sz w:val="15"/>
              </w:rPr>
              <w:t>3</w:t>
            </w:r>
            <w:r>
              <w:rPr>
                <w:sz w:val="24"/>
              </w:rPr>
              <w:t>、</w:t>
            </w:r>
          </w:p>
          <w:p>
            <w:pPr>
              <w:pStyle w:val="TableParagraph"/>
              <w:spacing w:line="267" w:lineRule="exact"/>
              <w:ind w:left="13" w:right="1"/>
              <w:rPr>
                <w:sz w:val="21"/>
              </w:rPr>
            </w:pP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position w:val="2"/>
                <w:sz w:val="21"/>
                <w:vertAlign w:val="baseline"/>
              </w:rPr>
              <w:t>；</w:t>
            </w:r>
          </w:p>
        </w:tc>
      </w:tr>
      <w:tr>
        <w:trPr>
          <w:trHeight w:val="387" w:hRule="atLeast"/>
        </w:trPr>
        <w:tc>
          <w:tcPr>
            <w:tcW w:w="1008" w:type="dxa"/>
          </w:tcPr>
          <w:p>
            <w:pPr>
              <w:pStyle w:val="TableParagraph"/>
              <w:spacing w:before="71"/>
              <w:ind w:left="8"/>
              <w:rPr>
                <w:rFonts w:ascii="Times New Roman"/>
                <w:sz w:val="21"/>
              </w:rPr>
            </w:pPr>
            <w:r>
              <w:rPr>
                <w:rFonts w:ascii="Times New Roman"/>
                <w:w w:val="99"/>
                <w:sz w:val="21"/>
              </w:rPr>
              <w:t>2</w:t>
            </w:r>
          </w:p>
        </w:tc>
        <w:tc>
          <w:tcPr>
            <w:tcW w:w="2340" w:type="dxa"/>
          </w:tcPr>
          <w:p>
            <w:pPr>
              <w:pStyle w:val="TableParagraph"/>
              <w:spacing w:before="57"/>
              <w:ind w:left="53" w:right="149"/>
              <w:rPr>
                <w:sz w:val="21"/>
              </w:rPr>
            </w:pPr>
            <w:r>
              <w:rPr>
                <w:sz w:val="21"/>
              </w:rPr>
              <w:t>储煤仓</w:t>
            </w:r>
          </w:p>
        </w:tc>
        <w:tc>
          <w:tcPr>
            <w:tcW w:w="3060" w:type="dxa"/>
          </w:tcPr>
          <w:p>
            <w:pPr>
              <w:pStyle w:val="TableParagraph"/>
              <w:spacing w:before="57"/>
              <w:ind w:left="949"/>
              <w:jc w:val="left"/>
              <w:rPr>
                <w:sz w:val="21"/>
              </w:rPr>
            </w:pPr>
            <w:r>
              <w:rPr>
                <w:sz w:val="21"/>
              </w:rPr>
              <w:t>全封闭煤仓</w:t>
            </w:r>
          </w:p>
        </w:tc>
        <w:tc>
          <w:tcPr>
            <w:tcW w:w="2992" w:type="dxa"/>
            <w:vMerge w:val="restart"/>
          </w:tcPr>
          <w:p>
            <w:pPr>
              <w:pStyle w:val="TableParagraph"/>
              <w:spacing w:line="242" w:lineRule="auto"/>
              <w:ind w:left="131" w:right="119" w:hanging="56"/>
              <w:jc w:val="both"/>
              <w:rPr>
                <w:sz w:val="21"/>
              </w:rPr>
            </w:pPr>
            <w:r>
              <w:rPr>
                <w:sz w:val="21"/>
              </w:rPr>
              <w:t>满足《煤炭工业污染物排放标准》（</w:t>
            </w:r>
            <w:r>
              <w:rPr>
                <w:rFonts w:ascii="Times New Roman" w:eastAsia="Times New Roman"/>
                <w:sz w:val="21"/>
              </w:rPr>
              <w:t>GB20426-2006</w:t>
            </w:r>
            <w:r>
              <w:rPr>
                <w:sz w:val="21"/>
              </w:rPr>
              <w:t>）</w:t>
            </w:r>
            <w:r>
              <w:rPr>
                <w:spacing w:val="-29"/>
                <w:sz w:val="21"/>
              </w:rPr>
              <w:t>表 </w:t>
            </w:r>
            <w:r>
              <w:rPr>
                <w:rFonts w:ascii="Times New Roman" w:eastAsia="Times New Roman"/>
                <w:sz w:val="21"/>
              </w:rPr>
              <w:t>4</w:t>
            </w:r>
            <w:r>
              <w:rPr>
                <w:sz w:val="21"/>
              </w:rPr>
              <w:t>、</w:t>
            </w:r>
            <w:r>
              <w:rPr>
                <w:spacing w:val="-29"/>
                <w:sz w:val="21"/>
              </w:rPr>
              <w:t>表 </w:t>
            </w:r>
            <w:r>
              <w:rPr>
                <w:rFonts w:ascii="Times New Roman" w:eastAsia="Times New Roman"/>
                <w:sz w:val="21"/>
              </w:rPr>
              <w:t>5 </w:t>
            </w:r>
            <w:r>
              <w:rPr>
                <w:spacing w:val="-1"/>
                <w:sz w:val="21"/>
              </w:rPr>
              <w:t>标准限值，颗粒物周界外</w:t>
            </w:r>
          </w:p>
          <w:p>
            <w:pPr>
              <w:pStyle w:val="TableParagraph"/>
              <w:spacing w:line="251" w:lineRule="exact" w:before="3"/>
              <w:ind w:left="870"/>
              <w:jc w:val="left"/>
              <w:rPr>
                <w:rFonts w:ascii="Times New Roman" w:hAnsi="Times New Roman" w:eastAsia="Times New Roman"/>
                <w:sz w:val="13"/>
              </w:rPr>
            </w:pPr>
            <w:r>
              <w:rPr>
                <w:sz w:val="21"/>
              </w:rPr>
              <w:t>浓度</w:t>
            </w:r>
            <w:r>
              <w:rPr>
                <w:rFonts w:ascii="Times New Roman" w:hAnsi="Times New Roman" w:eastAsia="Times New Roman"/>
                <w:sz w:val="21"/>
              </w:rPr>
              <w:t>≤1 mg/m</w:t>
            </w:r>
            <w:r>
              <w:rPr>
                <w:rFonts w:ascii="Times New Roman" w:hAnsi="Times New Roman" w:eastAsia="Times New Roman"/>
                <w:position w:val="7"/>
                <w:sz w:val="13"/>
              </w:rPr>
              <w:t>3</w:t>
            </w:r>
          </w:p>
        </w:tc>
      </w:tr>
      <w:tr>
        <w:trPr>
          <w:trHeight w:val="692" w:hRule="atLeast"/>
        </w:trPr>
        <w:tc>
          <w:tcPr>
            <w:tcW w:w="1008" w:type="dxa"/>
          </w:tcPr>
          <w:p>
            <w:pPr>
              <w:pStyle w:val="TableParagraph"/>
              <w:spacing w:before="6"/>
              <w:jc w:val="left"/>
              <w:rPr>
                <w:b/>
                <w:sz w:val="17"/>
              </w:rPr>
            </w:pPr>
          </w:p>
          <w:p>
            <w:pPr>
              <w:pStyle w:val="TableParagraph"/>
              <w:ind w:left="8"/>
              <w:rPr>
                <w:rFonts w:ascii="Times New Roman"/>
                <w:sz w:val="21"/>
              </w:rPr>
            </w:pPr>
            <w:r>
              <w:rPr>
                <w:rFonts w:ascii="Times New Roman"/>
                <w:w w:val="99"/>
                <w:sz w:val="21"/>
              </w:rPr>
              <w:t>3</w:t>
            </w:r>
          </w:p>
        </w:tc>
        <w:tc>
          <w:tcPr>
            <w:tcW w:w="2340" w:type="dxa"/>
          </w:tcPr>
          <w:p>
            <w:pPr>
              <w:pStyle w:val="TableParagraph"/>
              <w:spacing w:before="5"/>
              <w:jc w:val="left"/>
              <w:rPr>
                <w:b/>
                <w:sz w:val="16"/>
              </w:rPr>
            </w:pPr>
          </w:p>
          <w:p>
            <w:pPr>
              <w:pStyle w:val="TableParagraph"/>
              <w:ind w:left="53" w:right="152"/>
              <w:rPr>
                <w:sz w:val="21"/>
              </w:rPr>
            </w:pPr>
            <w:r>
              <w:rPr>
                <w:spacing w:val="-10"/>
                <w:w w:val="95"/>
                <w:sz w:val="21"/>
              </w:rPr>
              <w:t>工业广场、道路扬尘治理</w:t>
            </w:r>
          </w:p>
        </w:tc>
        <w:tc>
          <w:tcPr>
            <w:tcW w:w="3060" w:type="dxa"/>
          </w:tcPr>
          <w:p>
            <w:pPr>
              <w:pStyle w:val="TableParagraph"/>
              <w:spacing w:line="242" w:lineRule="auto" w:before="73"/>
              <w:ind w:left="1213" w:right="103" w:hanging="1208"/>
              <w:jc w:val="left"/>
              <w:rPr>
                <w:sz w:val="21"/>
              </w:rPr>
            </w:pPr>
            <w:r>
              <w:rPr>
                <w:w w:val="95"/>
                <w:sz w:val="21"/>
              </w:rPr>
              <w:t>洒水车一台，用于绿化洒水及降</w:t>
            </w:r>
            <w:r>
              <w:rPr>
                <w:sz w:val="21"/>
              </w:rPr>
              <w:t>尘洒水</w:t>
            </w:r>
          </w:p>
        </w:tc>
        <w:tc>
          <w:tcPr>
            <w:tcW w:w="2992" w:type="dxa"/>
            <w:vMerge/>
            <w:tcBorders>
              <w:top w:val="nil"/>
            </w:tcBorders>
          </w:tcPr>
          <w:p>
            <w:pPr>
              <w:rPr>
                <w:sz w:val="2"/>
                <w:szCs w:val="2"/>
              </w:rPr>
            </w:pPr>
          </w:p>
        </w:tc>
      </w:tr>
      <w:tr>
        <w:trPr>
          <w:trHeight w:val="816" w:hRule="atLeast"/>
        </w:trPr>
        <w:tc>
          <w:tcPr>
            <w:tcW w:w="1008" w:type="dxa"/>
          </w:tcPr>
          <w:p>
            <w:pPr>
              <w:pStyle w:val="TableParagraph"/>
              <w:spacing w:before="5"/>
              <w:jc w:val="left"/>
              <w:rPr>
                <w:b/>
                <w:sz w:val="22"/>
              </w:rPr>
            </w:pPr>
          </w:p>
          <w:p>
            <w:pPr>
              <w:pStyle w:val="TableParagraph"/>
              <w:ind w:left="8"/>
              <w:rPr>
                <w:rFonts w:ascii="Times New Roman"/>
                <w:sz w:val="21"/>
              </w:rPr>
            </w:pPr>
            <w:r>
              <w:rPr>
                <w:rFonts w:ascii="Times New Roman"/>
                <w:w w:val="99"/>
                <w:sz w:val="21"/>
              </w:rPr>
              <w:t>4</w:t>
            </w:r>
          </w:p>
        </w:tc>
        <w:tc>
          <w:tcPr>
            <w:tcW w:w="2340" w:type="dxa"/>
          </w:tcPr>
          <w:p>
            <w:pPr>
              <w:pStyle w:val="TableParagraph"/>
              <w:spacing w:before="4"/>
              <w:jc w:val="left"/>
              <w:rPr>
                <w:b/>
                <w:sz w:val="21"/>
              </w:rPr>
            </w:pPr>
          </w:p>
          <w:p>
            <w:pPr>
              <w:pStyle w:val="TableParagraph"/>
              <w:ind w:left="53" w:right="149"/>
              <w:rPr>
                <w:sz w:val="21"/>
              </w:rPr>
            </w:pPr>
            <w:r>
              <w:rPr>
                <w:sz w:val="21"/>
              </w:rPr>
              <w:t>食堂油烟治理</w:t>
            </w:r>
          </w:p>
        </w:tc>
        <w:tc>
          <w:tcPr>
            <w:tcW w:w="3060" w:type="dxa"/>
          </w:tcPr>
          <w:p>
            <w:pPr>
              <w:pStyle w:val="TableParagraph"/>
              <w:spacing w:before="4"/>
              <w:jc w:val="left"/>
              <w:rPr>
                <w:b/>
                <w:sz w:val="21"/>
              </w:rPr>
            </w:pPr>
          </w:p>
          <w:p>
            <w:pPr>
              <w:pStyle w:val="TableParagraph"/>
              <w:ind w:left="321"/>
              <w:jc w:val="left"/>
              <w:rPr>
                <w:sz w:val="21"/>
              </w:rPr>
            </w:pPr>
            <w:r>
              <w:rPr>
                <w:sz w:val="21"/>
              </w:rPr>
              <w:t>食堂安装油烟净化器 </w:t>
            </w:r>
            <w:r>
              <w:rPr>
                <w:rFonts w:ascii="Times New Roman" w:eastAsia="Times New Roman"/>
                <w:sz w:val="21"/>
              </w:rPr>
              <w:t>1 </w:t>
            </w:r>
            <w:r>
              <w:rPr>
                <w:sz w:val="21"/>
              </w:rPr>
              <w:t>台</w:t>
            </w:r>
          </w:p>
        </w:tc>
        <w:tc>
          <w:tcPr>
            <w:tcW w:w="2992" w:type="dxa"/>
          </w:tcPr>
          <w:p>
            <w:pPr>
              <w:pStyle w:val="TableParagraph"/>
              <w:ind w:left="109" w:hanging="111"/>
              <w:jc w:val="left"/>
              <w:rPr>
                <w:sz w:val="21"/>
              </w:rPr>
            </w:pPr>
            <w:r>
              <w:rPr>
                <w:sz w:val="21"/>
              </w:rPr>
              <w:t>满足《饮食业油烟排放标准（试</w:t>
            </w:r>
          </w:p>
          <w:p>
            <w:pPr>
              <w:pStyle w:val="TableParagraph"/>
              <w:spacing w:line="270" w:lineRule="atLeast" w:before="3"/>
              <w:ind w:left="477" w:right="97" w:hanging="368"/>
              <w:jc w:val="left"/>
              <w:rPr>
                <w:rFonts w:ascii="Times New Roman" w:hAnsi="Times New Roman" w:eastAsia="Times New Roman"/>
                <w:sz w:val="13"/>
              </w:rPr>
            </w:pPr>
            <w:r>
              <w:rPr>
                <w:w w:val="95"/>
                <w:sz w:val="21"/>
              </w:rPr>
              <w:t>行）》（</w:t>
            </w:r>
            <w:r>
              <w:rPr>
                <w:rFonts w:ascii="Times New Roman" w:hAnsi="Times New Roman" w:eastAsia="Times New Roman"/>
                <w:w w:val="95"/>
                <w:sz w:val="21"/>
              </w:rPr>
              <w:t>GB18483-2001</w:t>
            </w:r>
            <w:r>
              <w:rPr>
                <w:w w:val="95"/>
                <w:sz w:val="21"/>
              </w:rPr>
              <w:t>）中标</w:t>
            </w:r>
            <w:r>
              <w:rPr>
                <w:sz w:val="21"/>
              </w:rPr>
              <w:t>准限值，油烟</w:t>
            </w:r>
            <w:r>
              <w:rPr>
                <w:rFonts w:ascii="Times New Roman" w:hAnsi="Times New Roman" w:eastAsia="Times New Roman"/>
                <w:sz w:val="21"/>
              </w:rPr>
              <w:t>≤2mg/m</w:t>
            </w:r>
            <w:r>
              <w:rPr>
                <w:rFonts w:ascii="Times New Roman" w:hAnsi="Times New Roman" w:eastAsia="Times New Roman"/>
                <w:position w:val="7"/>
                <w:sz w:val="13"/>
              </w:rPr>
              <w:t>3</w:t>
            </w:r>
          </w:p>
        </w:tc>
      </w:tr>
      <w:tr>
        <w:trPr>
          <w:trHeight w:val="1090" w:hRule="atLeast"/>
        </w:trPr>
        <w:tc>
          <w:tcPr>
            <w:tcW w:w="1008" w:type="dxa"/>
          </w:tcPr>
          <w:p>
            <w:pPr>
              <w:pStyle w:val="TableParagraph"/>
              <w:jc w:val="left"/>
              <w:rPr>
                <w:b/>
                <w:sz w:val="20"/>
              </w:rPr>
            </w:pPr>
          </w:p>
          <w:p>
            <w:pPr>
              <w:pStyle w:val="TableParagraph"/>
              <w:spacing w:before="152"/>
              <w:ind w:left="6"/>
              <w:rPr>
                <w:sz w:val="21"/>
              </w:rPr>
            </w:pPr>
            <w:r>
              <w:rPr>
                <w:w w:val="99"/>
                <w:sz w:val="21"/>
              </w:rPr>
              <w:t>三</w:t>
            </w:r>
          </w:p>
        </w:tc>
        <w:tc>
          <w:tcPr>
            <w:tcW w:w="2340" w:type="dxa"/>
          </w:tcPr>
          <w:p>
            <w:pPr>
              <w:pStyle w:val="TableParagraph"/>
              <w:jc w:val="left"/>
              <w:rPr>
                <w:b/>
                <w:sz w:val="20"/>
              </w:rPr>
            </w:pPr>
          </w:p>
          <w:p>
            <w:pPr>
              <w:pStyle w:val="TableParagraph"/>
              <w:spacing w:before="152"/>
              <w:ind w:left="53" w:right="152"/>
              <w:rPr>
                <w:sz w:val="21"/>
              </w:rPr>
            </w:pPr>
            <w:r>
              <w:rPr>
                <w:sz w:val="21"/>
              </w:rPr>
              <w:t>噪声污染防治措施</w:t>
            </w:r>
          </w:p>
        </w:tc>
        <w:tc>
          <w:tcPr>
            <w:tcW w:w="3060" w:type="dxa"/>
          </w:tcPr>
          <w:p>
            <w:pPr>
              <w:pStyle w:val="TableParagraph"/>
              <w:spacing w:before="3"/>
              <w:jc w:val="left"/>
              <w:rPr>
                <w:b/>
                <w:sz w:val="21"/>
              </w:rPr>
            </w:pPr>
          </w:p>
          <w:p>
            <w:pPr>
              <w:pStyle w:val="TableParagraph"/>
              <w:spacing w:line="244" w:lineRule="auto"/>
              <w:ind w:left="1425" w:right="98" w:hanging="1318"/>
              <w:jc w:val="left"/>
              <w:rPr>
                <w:sz w:val="21"/>
              </w:rPr>
            </w:pPr>
            <w:r>
              <w:rPr>
                <w:spacing w:val="-11"/>
                <w:sz w:val="21"/>
              </w:rPr>
              <w:t>采用吸声、消声、镉声等降噪措</w:t>
            </w:r>
            <w:r>
              <w:rPr>
                <w:sz w:val="21"/>
              </w:rPr>
              <w:t>施</w:t>
            </w:r>
          </w:p>
        </w:tc>
        <w:tc>
          <w:tcPr>
            <w:tcW w:w="2992" w:type="dxa"/>
          </w:tcPr>
          <w:p>
            <w:pPr>
              <w:pStyle w:val="TableParagraph"/>
              <w:spacing w:before="1"/>
              <w:ind w:left="13" w:right="3"/>
              <w:rPr>
                <w:sz w:val="21"/>
              </w:rPr>
            </w:pPr>
            <w:r>
              <w:rPr>
                <w:sz w:val="21"/>
              </w:rPr>
              <w:t>厂界处满足</w:t>
            </w:r>
          </w:p>
          <w:p>
            <w:pPr>
              <w:pStyle w:val="TableParagraph"/>
              <w:spacing w:line="244" w:lineRule="auto" w:before="2"/>
              <w:ind w:left="107" w:right="119" w:firstLine="24"/>
              <w:rPr>
                <w:rFonts w:ascii="Times New Roman" w:eastAsia="Times New Roman"/>
                <w:sz w:val="21"/>
              </w:rPr>
            </w:pPr>
            <w:r>
              <w:rPr>
                <w:spacing w:val="-1"/>
                <w:w w:val="95"/>
                <w:sz w:val="21"/>
              </w:rPr>
              <w:t>《工业企业厂界环境噪声排放</w:t>
            </w:r>
            <w:r>
              <w:rPr>
                <w:sz w:val="21"/>
              </w:rPr>
              <w:t>标准》（</w:t>
            </w:r>
            <w:r>
              <w:rPr>
                <w:rFonts w:ascii="Times New Roman" w:eastAsia="Times New Roman"/>
                <w:sz w:val="21"/>
              </w:rPr>
              <w:t>GB12348-2008</w:t>
            </w:r>
            <w:r>
              <w:rPr>
                <w:sz w:val="21"/>
              </w:rPr>
              <w:t>）</w:t>
            </w:r>
            <w:r>
              <w:rPr>
                <w:spacing w:val="-28"/>
                <w:sz w:val="21"/>
              </w:rPr>
              <w:t>中 </w:t>
            </w:r>
            <w:r>
              <w:rPr>
                <w:rFonts w:ascii="Times New Roman" w:eastAsia="Times New Roman"/>
                <w:sz w:val="21"/>
              </w:rPr>
              <w:t>2</w:t>
            </w:r>
          </w:p>
          <w:p>
            <w:pPr>
              <w:pStyle w:val="TableParagraph"/>
              <w:spacing w:line="249" w:lineRule="exact"/>
              <w:ind w:left="13" w:right="6"/>
              <w:rPr>
                <w:sz w:val="21"/>
              </w:rPr>
            </w:pPr>
            <w:r>
              <w:rPr>
                <w:sz w:val="21"/>
              </w:rPr>
              <w:t>类标准</w:t>
            </w:r>
          </w:p>
        </w:tc>
      </w:tr>
      <w:tr>
        <w:trPr>
          <w:trHeight w:val="511" w:hRule="atLeast"/>
        </w:trPr>
        <w:tc>
          <w:tcPr>
            <w:tcW w:w="1008" w:type="dxa"/>
          </w:tcPr>
          <w:p>
            <w:pPr>
              <w:pStyle w:val="TableParagraph"/>
              <w:spacing w:before="120"/>
              <w:ind w:left="6"/>
              <w:rPr>
                <w:sz w:val="21"/>
              </w:rPr>
            </w:pPr>
            <w:r>
              <w:rPr>
                <w:w w:val="99"/>
                <w:sz w:val="21"/>
              </w:rPr>
              <w:t>四</w:t>
            </w:r>
          </w:p>
        </w:tc>
        <w:tc>
          <w:tcPr>
            <w:tcW w:w="2340" w:type="dxa"/>
          </w:tcPr>
          <w:p>
            <w:pPr>
              <w:pStyle w:val="TableParagraph"/>
              <w:spacing w:before="120"/>
              <w:ind w:left="53" w:right="152"/>
              <w:rPr>
                <w:sz w:val="21"/>
              </w:rPr>
            </w:pPr>
            <w:r>
              <w:rPr>
                <w:sz w:val="21"/>
              </w:rPr>
              <w:t>固体废物处理措施</w:t>
            </w:r>
          </w:p>
        </w:tc>
        <w:tc>
          <w:tcPr>
            <w:tcW w:w="3060" w:type="dxa"/>
          </w:tcPr>
          <w:p>
            <w:pPr>
              <w:pStyle w:val="TableParagraph"/>
              <w:jc w:val="left"/>
              <w:rPr>
                <w:rFonts w:ascii="Times New Roman"/>
                <w:sz w:val="20"/>
              </w:rPr>
            </w:pPr>
          </w:p>
        </w:tc>
        <w:tc>
          <w:tcPr>
            <w:tcW w:w="2992" w:type="dxa"/>
          </w:tcPr>
          <w:p>
            <w:pPr>
              <w:pStyle w:val="TableParagraph"/>
              <w:jc w:val="left"/>
              <w:rPr>
                <w:rFonts w:ascii="Times New Roman"/>
                <w:sz w:val="20"/>
              </w:rPr>
            </w:pPr>
          </w:p>
        </w:tc>
      </w:tr>
      <w:tr>
        <w:trPr>
          <w:trHeight w:val="508" w:hRule="atLeast"/>
        </w:trPr>
        <w:tc>
          <w:tcPr>
            <w:tcW w:w="1008" w:type="dxa"/>
          </w:tcPr>
          <w:p>
            <w:pPr>
              <w:pStyle w:val="TableParagraph"/>
              <w:spacing w:before="134"/>
              <w:ind w:left="8"/>
              <w:rPr>
                <w:rFonts w:ascii="Times New Roman"/>
                <w:sz w:val="21"/>
              </w:rPr>
            </w:pPr>
            <w:r>
              <w:rPr>
                <w:rFonts w:ascii="Times New Roman"/>
                <w:w w:val="99"/>
                <w:sz w:val="21"/>
              </w:rPr>
              <w:t>1</w:t>
            </w:r>
          </w:p>
        </w:tc>
        <w:tc>
          <w:tcPr>
            <w:tcW w:w="2340" w:type="dxa"/>
          </w:tcPr>
          <w:p>
            <w:pPr>
              <w:pStyle w:val="TableParagraph"/>
              <w:spacing w:before="120"/>
              <w:ind w:left="53" w:right="47"/>
              <w:rPr>
                <w:sz w:val="21"/>
              </w:rPr>
            </w:pPr>
            <w:r>
              <w:rPr>
                <w:sz w:val="21"/>
              </w:rPr>
              <w:t>灰渣</w:t>
            </w:r>
          </w:p>
        </w:tc>
        <w:tc>
          <w:tcPr>
            <w:tcW w:w="3060" w:type="dxa"/>
          </w:tcPr>
          <w:p>
            <w:pPr>
              <w:pStyle w:val="TableParagraph"/>
              <w:spacing w:before="120"/>
              <w:ind w:left="690"/>
              <w:jc w:val="left"/>
              <w:rPr>
                <w:sz w:val="21"/>
              </w:rPr>
            </w:pPr>
            <w:r>
              <w:rPr>
                <w:sz w:val="21"/>
              </w:rPr>
              <w:t>作为农肥原料外售</w:t>
            </w:r>
          </w:p>
        </w:tc>
        <w:tc>
          <w:tcPr>
            <w:tcW w:w="2992" w:type="dxa"/>
          </w:tcPr>
          <w:p>
            <w:pPr>
              <w:pStyle w:val="TableParagraph"/>
              <w:spacing w:before="120"/>
              <w:ind w:left="7" w:right="101"/>
              <w:rPr>
                <w:rFonts w:ascii="Times New Roman" w:eastAsia="Times New Roman"/>
                <w:sz w:val="21"/>
              </w:rPr>
            </w:pPr>
            <w:r>
              <w:rPr>
                <w:sz w:val="21"/>
              </w:rPr>
              <w:t>固体废物处理率达 </w:t>
            </w:r>
            <w:r>
              <w:rPr>
                <w:rFonts w:ascii="Times New Roman" w:eastAsia="Times New Roman"/>
                <w:sz w:val="21"/>
              </w:rPr>
              <w:t>100%</w:t>
            </w:r>
          </w:p>
        </w:tc>
      </w:tr>
    </w:tbl>
    <w:p>
      <w:pPr>
        <w:spacing w:after="0"/>
        <w:rPr>
          <w:rFonts w:ascii="Times New Roman" w:eastAsia="Times New Roman"/>
          <w:sz w:val="21"/>
        </w:rPr>
        <w:sectPr>
          <w:pgSz w:w="11910" w:h="16840"/>
          <w:pgMar w:header="0" w:footer="1027" w:top="1340" w:bottom="1220" w:left="1140" w:right="102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2340"/>
        <w:gridCol w:w="3060"/>
        <w:gridCol w:w="2992"/>
      </w:tblGrid>
      <w:tr>
        <w:trPr>
          <w:trHeight w:val="545" w:hRule="atLeast"/>
        </w:trPr>
        <w:tc>
          <w:tcPr>
            <w:tcW w:w="1008" w:type="dxa"/>
          </w:tcPr>
          <w:p>
            <w:pPr>
              <w:pStyle w:val="TableParagraph"/>
              <w:spacing w:before="150"/>
              <w:ind w:left="8"/>
              <w:rPr>
                <w:rFonts w:ascii="Times New Roman"/>
                <w:sz w:val="21"/>
              </w:rPr>
            </w:pPr>
            <w:r>
              <w:rPr>
                <w:rFonts w:ascii="Times New Roman"/>
                <w:w w:val="99"/>
                <w:sz w:val="21"/>
              </w:rPr>
              <w:t>2</w:t>
            </w:r>
          </w:p>
        </w:tc>
        <w:tc>
          <w:tcPr>
            <w:tcW w:w="2340" w:type="dxa"/>
          </w:tcPr>
          <w:p>
            <w:pPr>
              <w:pStyle w:val="TableParagraph"/>
              <w:ind w:left="53" w:right="47"/>
              <w:rPr>
                <w:sz w:val="21"/>
              </w:rPr>
            </w:pPr>
            <w:r>
              <w:rPr>
                <w:sz w:val="21"/>
              </w:rPr>
              <w:t>生活垃圾处理及污水处</w:t>
            </w:r>
          </w:p>
          <w:p>
            <w:pPr>
              <w:pStyle w:val="TableParagraph"/>
              <w:spacing w:line="251" w:lineRule="exact" w:before="4"/>
              <w:ind w:left="53" w:right="44"/>
              <w:rPr>
                <w:sz w:val="21"/>
              </w:rPr>
            </w:pPr>
            <w:r>
              <w:rPr>
                <w:sz w:val="21"/>
              </w:rPr>
              <w:t>理站污泥</w:t>
            </w:r>
          </w:p>
        </w:tc>
        <w:tc>
          <w:tcPr>
            <w:tcW w:w="3060" w:type="dxa"/>
          </w:tcPr>
          <w:p>
            <w:pPr>
              <w:pStyle w:val="TableParagraph"/>
              <w:spacing w:before="137"/>
              <w:ind w:left="91" w:right="85"/>
              <w:rPr>
                <w:sz w:val="21"/>
              </w:rPr>
            </w:pPr>
            <w:r>
              <w:rPr>
                <w:sz w:val="21"/>
              </w:rPr>
              <w:t>定期委托环卫部门处理</w:t>
            </w:r>
          </w:p>
        </w:tc>
        <w:tc>
          <w:tcPr>
            <w:tcW w:w="2992" w:type="dxa"/>
            <w:vMerge w:val="restart"/>
          </w:tcPr>
          <w:p>
            <w:pPr>
              <w:pStyle w:val="TableParagraph"/>
              <w:jc w:val="left"/>
              <w:rPr>
                <w:rFonts w:ascii="Times New Roman"/>
                <w:sz w:val="20"/>
              </w:rPr>
            </w:pPr>
          </w:p>
        </w:tc>
      </w:tr>
      <w:tr>
        <w:trPr>
          <w:trHeight w:val="544" w:hRule="atLeast"/>
        </w:trPr>
        <w:tc>
          <w:tcPr>
            <w:tcW w:w="1008" w:type="dxa"/>
          </w:tcPr>
          <w:p>
            <w:pPr>
              <w:pStyle w:val="TableParagraph"/>
              <w:spacing w:before="150"/>
              <w:ind w:left="8"/>
              <w:rPr>
                <w:rFonts w:ascii="Times New Roman"/>
                <w:sz w:val="21"/>
              </w:rPr>
            </w:pPr>
            <w:r>
              <w:rPr>
                <w:rFonts w:ascii="Times New Roman"/>
                <w:w w:val="99"/>
                <w:sz w:val="21"/>
              </w:rPr>
              <w:t>3</w:t>
            </w:r>
          </w:p>
        </w:tc>
        <w:tc>
          <w:tcPr>
            <w:tcW w:w="2340" w:type="dxa"/>
          </w:tcPr>
          <w:p>
            <w:pPr>
              <w:pStyle w:val="TableParagraph"/>
              <w:spacing w:before="136"/>
              <w:ind w:left="750"/>
              <w:jc w:val="left"/>
              <w:rPr>
                <w:sz w:val="21"/>
              </w:rPr>
            </w:pPr>
            <w:r>
              <w:rPr>
                <w:sz w:val="21"/>
              </w:rPr>
              <w:t>矸石处理</w:t>
            </w:r>
          </w:p>
        </w:tc>
        <w:tc>
          <w:tcPr>
            <w:tcW w:w="3060" w:type="dxa"/>
          </w:tcPr>
          <w:p>
            <w:pPr>
              <w:pStyle w:val="TableParagraph"/>
              <w:spacing w:line="268" w:lineRule="exact"/>
              <w:ind w:left="16"/>
              <w:rPr>
                <w:sz w:val="21"/>
              </w:rPr>
            </w:pPr>
            <w:r>
              <w:rPr>
                <w:spacing w:val="-10"/>
                <w:w w:val="95"/>
                <w:sz w:val="21"/>
              </w:rPr>
              <w:t>用于平整工业场地、公路的路基石</w:t>
            </w:r>
          </w:p>
          <w:p>
            <w:pPr>
              <w:pStyle w:val="TableParagraph"/>
              <w:spacing w:line="251" w:lineRule="exact" w:before="4"/>
              <w:ind w:left="91" w:right="85"/>
              <w:rPr>
                <w:sz w:val="21"/>
              </w:rPr>
            </w:pPr>
            <w:r>
              <w:rPr>
                <w:sz w:val="21"/>
              </w:rPr>
              <w:t>料、或用于填沟造田等</w:t>
            </w:r>
          </w:p>
        </w:tc>
        <w:tc>
          <w:tcPr>
            <w:tcW w:w="2992" w:type="dxa"/>
            <w:vMerge/>
            <w:tcBorders>
              <w:top w:val="nil"/>
            </w:tcBorders>
          </w:tcPr>
          <w:p>
            <w:pPr>
              <w:rPr>
                <w:sz w:val="2"/>
                <w:szCs w:val="2"/>
              </w:rPr>
            </w:pPr>
          </w:p>
        </w:tc>
      </w:tr>
      <w:tr>
        <w:trPr>
          <w:trHeight w:val="510" w:hRule="atLeast"/>
        </w:trPr>
        <w:tc>
          <w:tcPr>
            <w:tcW w:w="1008" w:type="dxa"/>
          </w:tcPr>
          <w:p>
            <w:pPr>
              <w:pStyle w:val="TableParagraph"/>
              <w:spacing w:before="133"/>
              <w:ind w:left="8"/>
              <w:rPr>
                <w:rFonts w:ascii="Times New Roman"/>
                <w:sz w:val="21"/>
              </w:rPr>
            </w:pPr>
            <w:r>
              <w:rPr>
                <w:rFonts w:ascii="Times New Roman"/>
                <w:w w:val="99"/>
                <w:sz w:val="21"/>
              </w:rPr>
              <w:t>4</w:t>
            </w:r>
          </w:p>
        </w:tc>
        <w:tc>
          <w:tcPr>
            <w:tcW w:w="2340" w:type="dxa"/>
          </w:tcPr>
          <w:p>
            <w:pPr>
              <w:pStyle w:val="TableParagraph"/>
              <w:spacing w:before="119"/>
              <w:ind w:left="53" w:right="47"/>
              <w:rPr>
                <w:sz w:val="21"/>
              </w:rPr>
            </w:pPr>
            <w:r>
              <w:rPr>
                <w:sz w:val="21"/>
              </w:rPr>
              <w:t>废机油</w:t>
            </w:r>
          </w:p>
        </w:tc>
        <w:tc>
          <w:tcPr>
            <w:tcW w:w="3060" w:type="dxa"/>
          </w:tcPr>
          <w:p>
            <w:pPr>
              <w:pStyle w:val="TableParagraph"/>
              <w:spacing w:before="119"/>
              <w:ind w:left="91" w:right="82"/>
              <w:rPr>
                <w:sz w:val="21"/>
              </w:rPr>
            </w:pPr>
            <w:r>
              <w:rPr>
                <w:sz w:val="21"/>
              </w:rPr>
              <w:t>委托有资质单位处理</w:t>
            </w:r>
          </w:p>
        </w:tc>
        <w:tc>
          <w:tcPr>
            <w:tcW w:w="2992" w:type="dxa"/>
            <w:vMerge/>
            <w:tcBorders>
              <w:top w:val="nil"/>
            </w:tcBorders>
          </w:tcPr>
          <w:p>
            <w:pPr>
              <w:rPr>
                <w:sz w:val="2"/>
                <w:szCs w:val="2"/>
              </w:rPr>
            </w:pPr>
          </w:p>
        </w:tc>
      </w:tr>
      <w:tr>
        <w:trPr>
          <w:trHeight w:val="545" w:hRule="atLeast"/>
        </w:trPr>
        <w:tc>
          <w:tcPr>
            <w:tcW w:w="1008" w:type="dxa"/>
          </w:tcPr>
          <w:p>
            <w:pPr>
              <w:pStyle w:val="TableParagraph"/>
              <w:spacing w:before="136"/>
              <w:ind w:left="6"/>
              <w:rPr>
                <w:sz w:val="21"/>
              </w:rPr>
            </w:pPr>
            <w:r>
              <w:rPr>
                <w:w w:val="99"/>
                <w:sz w:val="21"/>
              </w:rPr>
              <w:t>五</w:t>
            </w:r>
          </w:p>
        </w:tc>
        <w:tc>
          <w:tcPr>
            <w:tcW w:w="2340" w:type="dxa"/>
          </w:tcPr>
          <w:p>
            <w:pPr>
              <w:pStyle w:val="TableParagraph"/>
              <w:spacing w:before="136"/>
              <w:ind w:left="539"/>
              <w:jc w:val="left"/>
              <w:rPr>
                <w:sz w:val="21"/>
              </w:rPr>
            </w:pPr>
            <w:r>
              <w:rPr>
                <w:sz w:val="21"/>
              </w:rPr>
              <w:t>风险防范措施</w:t>
            </w:r>
          </w:p>
        </w:tc>
        <w:tc>
          <w:tcPr>
            <w:tcW w:w="3060" w:type="dxa"/>
          </w:tcPr>
          <w:p>
            <w:pPr>
              <w:pStyle w:val="TableParagraph"/>
              <w:spacing w:line="270" w:lineRule="atLeast" w:before="1"/>
              <w:ind w:left="690" w:hanging="584"/>
              <w:jc w:val="left"/>
              <w:rPr>
                <w:sz w:val="21"/>
              </w:rPr>
            </w:pPr>
            <w:r>
              <w:rPr>
                <w:sz w:val="21"/>
              </w:rPr>
              <w:t>落实风险减缓措施、管理措施， 做好风险应急预案</w:t>
            </w:r>
          </w:p>
        </w:tc>
        <w:tc>
          <w:tcPr>
            <w:tcW w:w="2992" w:type="dxa"/>
          </w:tcPr>
          <w:p>
            <w:pPr>
              <w:pStyle w:val="TableParagraph"/>
              <w:spacing w:line="270" w:lineRule="atLeast" w:before="1"/>
              <w:ind w:left="1285" w:right="227" w:hanging="1052"/>
              <w:jc w:val="left"/>
              <w:rPr>
                <w:sz w:val="21"/>
              </w:rPr>
            </w:pPr>
            <w:r>
              <w:rPr>
                <w:sz w:val="21"/>
              </w:rPr>
              <w:t>减免或降低风险事故发生几率。</w:t>
            </w:r>
          </w:p>
        </w:tc>
      </w:tr>
      <w:tr>
        <w:trPr>
          <w:trHeight w:val="817" w:hRule="atLeast"/>
        </w:trPr>
        <w:tc>
          <w:tcPr>
            <w:tcW w:w="1008" w:type="dxa"/>
          </w:tcPr>
          <w:p>
            <w:pPr>
              <w:pStyle w:val="TableParagraph"/>
              <w:spacing w:before="3"/>
              <w:jc w:val="left"/>
              <w:rPr>
                <w:b/>
                <w:sz w:val="21"/>
              </w:rPr>
            </w:pPr>
          </w:p>
          <w:p>
            <w:pPr>
              <w:pStyle w:val="TableParagraph"/>
              <w:ind w:left="6"/>
              <w:rPr>
                <w:sz w:val="21"/>
              </w:rPr>
            </w:pPr>
            <w:r>
              <w:rPr>
                <w:w w:val="99"/>
                <w:sz w:val="21"/>
              </w:rPr>
              <w:t>六</w:t>
            </w:r>
          </w:p>
        </w:tc>
        <w:tc>
          <w:tcPr>
            <w:tcW w:w="2340" w:type="dxa"/>
          </w:tcPr>
          <w:p>
            <w:pPr>
              <w:pStyle w:val="TableParagraph"/>
              <w:spacing w:before="3"/>
              <w:jc w:val="left"/>
              <w:rPr>
                <w:b/>
                <w:sz w:val="21"/>
              </w:rPr>
            </w:pPr>
          </w:p>
          <w:p>
            <w:pPr>
              <w:pStyle w:val="TableParagraph"/>
              <w:ind w:left="330"/>
              <w:jc w:val="left"/>
              <w:rPr>
                <w:sz w:val="21"/>
              </w:rPr>
            </w:pPr>
            <w:r>
              <w:rPr>
                <w:sz w:val="21"/>
              </w:rPr>
              <w:t>生态环境保护措施</w:t>
            </w:r>
          </w:p>
        </w:tc>
        <w:tc>
          <w:tcPr>
            <w:tcW w:w="3060" w:type="dxa"/>
          </w:tcPr>
          <w:p>
            <w:pPr>
              <w:pStyle w:val="TableParagraph"/>
              <w:spacing w:before="1"/>
              <w:ind w:left="10"/>
              <w:rPr>
                <w:rFonts w:ascii="Times New Roman" w:eastAsia="Times New Roman"/>
                <w:sz w:val="21"/>
              </w:rPr>
            </w:pPr>
            <w:r>
              <w:rPr>
                <w:sz w:val="21"/>
              </w:rPr>
              <w:t>厂区四周植树种草，绿化率 </w:t>
            </w:r>
            <w:r>
              <w:rPr>
                <w:rFonts w:ascii="Times New Roman" w:eastAsia="Times New Roman"/>
                <w:sz w:val="21"/>
              </w:rPr>
              <w:t>20%</w:t>
            </w:r>
          </w:p>
          <w:p>
            <w:pPr>
              <w:pStyle w:val="TableParagraph"/>
              <w:spacing w:before="2"/>
              <w:ind w:left="16"/>
              <w:rPr>
                <w:sz w:val="21"/>
              </w:rPr>
            </w:pPr>
            <w:r>
              <w:rPr>
                <w:spacing w:val="-11"/>
                <w:w w:val="95"/>
                <w:sz w:val="21"/>
              </w:rPr>
              <w:t>以上；场外运输道路临时占地生态</w:t>
            </w:r>
          </w:p>
          <w:p>
            <w:pPr>
              <w:pStyle w:val="TableParagraph"/>
              <w:spacing w:line="251" w:lineRule="exact" w:before="5"/>
              <w:ind w:left="91" w:right="82"/>
              <w:rPr>
                <w:sz w:val="21"/>
              </w:rPr>
            </w:pPr>
            <w:r>
              <w:rPr>
                <w:sz w:val="21"/>
              </w:rPr>
              <w:t>恢复；沉陷区生态综合整治</w:t>
            </w:r>
          </w:p>
        </w:tc>
        <w:tc>
          <w:tcPr>
            <w:tcW w:w="2992" w:type="dxa"/>
          </w:tcPr>
          <w:p>
            <w:pPr>
              <w:pStyle w:val="TableParagraph"/>
              <w:spacing w:line="242" w:lineRule="auto" w:before="138"/>
              <w:ind w:left="760" w:right="30" w:hanging="761"/>
              <w:jc w:val="left"/>
              <w:rPr>
                <w:sz w:val="21"/>
              </w:rPr>
            </w:pPr>
            <w:r>
              <w:rPr>
                <w:sz w:val="21"/>
              </w:rPr>
              <w:t>增加厂区绿化面积，临时占地恢复原有生态植被</w:t>
            </w:r>
          </w:p>
        </w:tc>
      </w:tr>
      <w:tr>
        <w:trPr>
          <w:trHeight w:val="545" w:hRule="atLeast"/>
        </w:trPr>
        <w:tc>
          <w:tcPr>
            <w:tcW w:w="1008" w:type="dxa"/>
          </w:tcPr>
          <w:p>
            <w:pPr>
              <w:pStyle w:val="TableParagraph"/>
              <w:spacing w:before="136"/>
              <w:ind w:left="6"/>
              <w:rPr>
                <w:sz w:val="21"/>
              </w:rPr>
            </w:pPr>
            <w:r>
              <w:rPr>
                <w:w w:val="99"/>
                <w:sz w:val="21"/>
              </w:rPr>
              <w:t>七</w:t>
            </w:r>
          </w:p>
        </w:tc>
        <w:tc>
          <w:tcPr>
            <w:tcW w:w="2340" w:type="dxa"/>
          </w:tcPr>
          <w:p>
            <w:pPr>
              <w:pStyle w:val="TableParagraph"/>
              <w:spacing w:before="136"/>
              <w:ind w:left="592"/>
              <w:jc w:val="left"/>
              <w:rPr>
                <w:sz w:val="21"/>
              </w:rPr>
            </w:pPr>
            <w:r>
              <w:rPr>
                <w:sz w:val="21"/>
              </w:rPr>
              <w:t>水土保持措施</w:t>
            </w:r>
          </w:p>
        </w:tc>
        <w:tc>
          <w:tcPr>
            <w:tcW w:w="3060" w:type="dxa"/>
          </w:tcPr>
          <w:p>
            <w:pPr>
              <w:pStyle w:val="TableParagraph"/>
              <w:spacing w:before="136"/>
              <w:ind w:left="91" w:right="82"/>
              <w:rPr>
                <w:sz w:val="21"/>
              </w:rPr>
            </w:pPr>
            <w:r>
              <w:rPr>
                <w:sz w:val="21"/>
              </w:rPr>
              <w:t>采用种草植树等方式</w:t>
            </w:r>
          </w:p>
        </w:tc>
        <w:tc>
          <w:tcPr>
            <w:tcW w:w="2992" w:type="dxa"/>
          </w:tcPr>
          <w:p>
            <w:pPr>
              <w:pStyle w:val="TableParagraph"/>
              <w:ind w:left="13" w:right="3"/>
              <w:rPr>
                <w:sz w:val="21"/>
              </w:rPr>
            </w:pPr>
            <w:r>
              <w:rPr>
                <w:sz w:val="21"/>
              </w:rPr>
              <w:t>降低水土流失量，保护生态环</w:t>
            </w:r>
          </w:p>
          <w:p>
            <w:pPr>
              <w:pStyle w:val="TableParagraph"/>
              <w:spacing w:line="251" w:lineRule="exact" w:before="4"/>
              <w:ind w:left="10"/>
              <w:rPr>
                <w:sz w:val="21"/>
              </w:rPr>
            </w:pPr>
            <w:r>
              <w:rPr>
                <w:w w:val="99"/>
                <w:sz w:val="21"/>
              </w:rPr>
              <w:t>境</w:t>
            </w:r>
          </w:p>
        </w:tc>
      </w:tr>
      <w:tr>
        <w:trPr>
          <w:trHeight w:val="543" w:hRule="atLeast"/>
        </w:trPr>
        <w:tc>
          <w:tcPr>
            <w:tcW w:w="1008" w:type="dxa"/>
          </w:tcPr>
          <w:p>
            <w:pPr>
              <w:pStyle w:val="TableParagraph"/>
              <w:spacing w:before="136"/>
              <w:ind w:left="6"/>
              <w:rPr>
                <w:sz w:val="21"/>
              </w:rPr>
            </w:pPr>
            <w:r>
              <w:rPr>
                <w:w w:val="99"/>
                <w:sz w:val="21"/>
              </w:rPr>
              <w:t>八</w:t>
            </w:r>
          </w:p>
        </w:tc>
        <w:tc>
          <w:tcPr>
            <w:tcW w:w="2340" w:type="dxa"/>
          </w:tcPr>
          <w:p>
            <w:pPr>
              <w:pStyle w:val="TableParagraph"/>
              <w:spacing w:before="136"/>
              <w:ind w:left="433"/>
              <w:jc w:val="left"/>
              <w:rPr>
                <w:sz w:val="21"/>
              </w:rPr>
            </w:pPr>
            <w:r>
              <w:rPr>
                <w:sz w:val="21"/>
              </w:rPr>
              <w:t>环境监测、监理</w:t>
            </w:r>
          </w:p>
        </w:tc>
        <w:tc>
          <w:tcPr>
            <w:tcW w:w="3060" w:type="dxa"/>
          </w:tcPr>
          <w:p>
            <w:pPr>
              <w:pStyle w:val="TableParagraph"/>
              <w:spacing w:before="136"/>
              <w:ind w:left="352" w:right="240"/>
              <w:rPr>
                <w:sz w:val="21"/>
              </w:rPr>
            </w:pPr>
            <w:r>
              <w:rPr>
                <w:sz w:val="21"/>
              </w:rPr>
              <w:t>进行常规的监测和监理</w:t>
            </w:r>
          </w:p>
        </w:tc>
        <w:tc>
          <w:tcPr>
            <w:tcW w:w="2992" w:type="dxa"/>
          </w:tcPr>
          <w:p>
            <w:pPr>
              <w:pStyle w:val="TableParagraph"/>
              <w:spacing w:line="268" w:lineRule="exact"/>
              <w:ind w:left="13" w:right="3"/>
              <w:rPr>
                <w:sz w:val="21"/>
              </w:rPr>
            </w:pPr>
            <w:r>
              <w:rPr>
                <w:sz w:val="21"/>
              </w:rPr>
              <w:t>监督项目环境保护措施的落实</w:t>
            </w:r>
          </w:p>
          <w:p>
            <w:pPr>
              <w:pStyle w:val="TableParagraph"/>
              <w:spacing w:line="251" w:lineRule="exact" w:before="4"/>
              <w:ind w:left="13" w:right="6"/>
              <w:rPr>
                <w:sz w:val="21"/>
              </w:rPr>
            </w:pPr>
            <w:r>
              <w:rPr>
                <w:sz w:val="21"/>
              </w:rPr>
              <w:t>情况</w:t>
            </w:r>
          </w:p>
        </w:tc>
      </w:tr>
      <w:tr>
        <w:trPr>
          <w:trHeight w:val="545" w:hRule="atLeast"/>
        </w:trPr>
        <w:tc>
          <w:tcPr>
            <w:tcW w:w="1008" w:type="dxa"/>
          </w:tcPr>
          <w:p>
            <w:pPr>
              <w:pStyle w:val="TableParagraph"/>
              <w:spacing w:before="136"/>
              <w:ind w:left="6"/>
              <w:rPr>
                <w:sz w:val="21"/>
              </w:rPr>
            </w:pPr>
            <w:r>
              <w:rPr>
                <w:w w:val="99"/>
                <w:sz w:val="21"/>
              </w:rPr>
              <w:t>九</w:t>
            </w:r>
          </w:p>
        </w:tc>
        <w:tc>
          <w:tcPr>
            <w:tcW w:w="2340" w:type="dxa"/>
          </w:tcPr>
          <w:p>
            <w:pPr>
              <w:pStyle w:val="TableParagraph"/>
              <w:spacing w:before="136"/>
              <w:ind w:left="330"/>
              <w:jc w:val="left"/>
              <w:rPr>
                <w:sz w:val="21"/>
              </w:rPr>
            </w:pPr>
            <w:r>
              <w:rPr>
                <w:sz w:val="21"/>
              </w:rPr>
              <w:t>服务期满设施关闭</w:t>
            </w:r>
          </w:p>
        </w:tc>
        <w:tc>
          <w:tcPr>
            <w:tcW w:w="3060" w:type="dxa"/>
          </w:tcPr>
          <w:p>
            <w:pPr>
              <w:pStyle w:val="TableParagraph"/>
              <w:spacing w:line="270" w:lineRule="atLeast" w:before="1"/>
              <w:ind w:left="585" w:right="96" w:hanging="478"/>
              <w:jc w:val="left"/>
              <w:rPr>
                <w:sz w:val="21"/>
              </w:rPr>
            </w:pPr>
            <w:r>
              <w:rPr>
                <w:spacing w:val="-11"/>
                <w:sz w:val="21"/>
              </w:rPr>
              <w:t>井口、设立警示牌，编制闭矿报</w:t>
            </w:r>
            <w:r>
              <w:rPr>
                <w:sz w:val="21"/>
              </w:rPr>
              <w:t>告、水土保持方案等</w:t>
            </w:r>
          </w:p>
        </w:tc>
        <w:tc>
          <w:tcPr>
            <w:tcW w:w="2992" w:type="dxa"/>
          </w:tcPr>
          <w:p>
            <w:pPr>
              <w:pStyle w:val="TableParagraph"/>
              <w:spacing w:line="270" w:lineRule="atLeast" w:before="1"/>
              <w:ind w:left="1285" w:right="119" w:hanging="1155"/>
              <w:jc w:val="left"/>
              <w:rPr>
                <w:sz w:val="21"/>
              </w:rPr>
            </w:pPr>
            <w:r>
              <w:rPr>
                <w:sz w:val="21"/>
              </w:rPr>
              <w:t>恢复生态环境，保护人民生命安全</w:t>
            </w:r>
          </w:p>
        </w:tc>
      </w:tr>
    </w:tbl>
    <w:p>
      <w:pPr>
        <w:spacing w:after="0" w:line="270" w:lineRule="atLeast"/>
        <w:jc w:val="left"/>
        <w:rPr>
          <w:sz w:val="21"/>
        </w:rPr>
        <w:sectPr>
          <w:footerReference w:type="default" r:id="rId68"/>
          <w:pgSz w:w="11910" w:h="16840"/>
          <w:pgMar w:footer="947" w:header="0" w:top="1400" w:bottom="1140" w:left="1140" w:right="1020"/>
          <w:pgNumType w:start="180"/>
        </w:sectPr>
      </w:pPr>
    </w:p>
    <w:p>
      <w:pPr>
        <w:pStyle w:val="BodyText"/>
        <w:rPr>
          <w:b/>
          <w:sz w:val="30"/>
        </w:rPr>
      </w:pPr>
    </w:p>
    <w:p>
      <w:pPr>
        <w:pStyle w:val="BodyText"/>
        <w:spacing w:before="12"/>
        <w:rPr>
          <w:b/>
          <w:sz w:val="27"/>
        </w:rPr>
      </w:pPr>
    </w:p>
    <w:p>
      <w:pPr>
        <w:spacing w:before="0"/>
        <w:ind w:left="220" w:right="0" w:firstLine="0"/>
        <w:jc w:val="left"/>
        <w:rPr>
          <w:b/>
          <w:sz w:val="28"/>
        </w:rPr>
      </w:pPr>
      <w:bookmarkStart w:name="14.1 场址方案概述" w:id="1080"/>
      <w:bookmarkEnd w:id="1080"/>
      <w:r>
        <w:rPr/>
      </w:r>
      <w:bookmarkStart w:name="_bookmark74" w:id="1081"/>
      <w:bookmarkEnd w:id="1081"/>
      <w:r>
        <w:rPr/>
      </w:r>
      <w:r>
        <w:rPr>
          <w:rFonts w:ascii="Times New Roman" w:eastAsia="Times New Roman"/>
          <w:b/>
          <w:sz w:val="28"/>
        </w:rPr>
        <w:t>14.1</w:t>
      </w:r>
      <w:r>
        <w:rPr>
          <w:rFonts w:ascii="Times New Roman" w:eastAsia="Times New Roman"/>
          <w:b/>
          <w:spacing w:val="68"/>
          <w:sz w:val="28"/>
        </w:rPr>
        <w:t> </w:t>
      </w:r>
      <w:r>
        <w:rPr>
          <w:b/>
          <w:spacing w:val="-3"/>
          <w:sz w:val="28"/>
        </w:rPr>
        <w:t>场址方案概述</w:t>
      </w:r>
    </w:p>
    <w:p>
      <w:pPr>
        <w:pStyle w:val="ListParagraph"/>
        <w:numPr>
          <w:ilvl w:val="1"/>
          <w:numId w:val="49"/>
        </w:numPr>
        <w:tabs>
          <w:tab w:pos="474" w:val="left" w:leader="none"/>
        </w:tabs>
        <w:spacing w:line="240" w:lineRule="auto" w:before="41" w:after="0"/>
        <w:ind w:left="473" w:right="0" w:hanging="452"/>
        <w:jc w:val="left"/>
        <w:rPr>
          <w:b/>
          <w:sz w:val="36"/>
        </w:rPr>
      </w:pPr>
      <w:bookmarkStart w:name="14.项目选址环境可行性分析" w:id="1082"/>
      <w:bookmarkEnd w:id="1082"/>
      <w:r>
        <w:rPr/>
      </w:r>
      <w:bookmarkStart w:name="_bookmark75" w:id="1083"/>
      <w:bookmarkEnd w:id="1083"/>
      <w:r>
        <w:rPr/>
      </w:r>
      <w:bookmarkStart w:name="_bookmark75" w:id="1084"/>
      <w:bookmarkEnd w:id="1084"/>
      <w:r>
        <w:rPr>
          <w:b/>
          <w:spacing w:val="2"/>
          <w:w w:val="99"/>
          <w:sz w:val="36"/>
        </w:rPr>
        <w:br w:type="column"/>
      </w:r>
      <w:r>
        <w:rPr>
          <w:b/>
          <w:spacing w:val="-2"/>
          <w:sz w:val="36"/>
        </w:rPr>
        <w:t>项目选址环境可行性分析</w:t>
      </w:r>
    </w:p>
    <w:p>
      <w:pPr>
        <w:spacing w:after="0" w:line="240" w:lineRule="auto"/>
        <w:jc w:val="left"/>
        <w:rPr>
          <w:sz w:val="36"/>
        </w:rPr>
        <w:sectPr>
          <w:pgSz w:w="11910" w:h="16840"/>
          <w:pgMar w:header="0" w:footer="947" w:top="1360" w:bottom="1140" w:left="1140" w:right="1020"/>
          <w:cols w:num="2" w:equalWidth="0">
            <w:col w:w="2540" w:space="40"/>
            <w:col w:w="7170"/>
          </w:cols>
        </w:sectPr>
      </w:pPr>
    </w:p>
    <w:p>
      <w:pPr>
        <w:pStyle w:val="BodyText"/>
        <w:spacing w:before="4"/>
        <w:rPr>
          <w:b/>
          <w:sz w:val="9"/>
        </w:rPr>
      </w:pPr>
    </w:p>
    <w:p>
      <w:pPr>
        <w:pStyle w:val="BodyText"/>
        <w:spacing w:before="66"/>
        <w:ind w:left="700"/>
      </w:pPr>
      <w:bookmarkStart w:name="双鸭山市东盛矿业集团有限公司整合矿区范围位于双鸭山市岭东区长胜乡东兴村南2.5k" w:id="1085"/>
      <w:bookmarkEnd w:id="1085"/>
      <w:r>
        <w:rPr/>
      </w:r>
      <w:r>
        <w:rPr/>
        <w:t>双鸭山市东盛矿业集团有限公司整合矿区范围位于双鸭山市岭东区长胜乡东兴村南</w:t>
      </w:r>
    </w:p>
    <w:p>
      <w:pPr>
        <w:pStyle w:val="BodyText"/>
        <w:spacing w:before="158"/>
        <w:ind w:left="220"/>
      </w:pPr>
      <w:r>
        <w:rPr>
          <w:rFonts w:ascii="Times New Roman" w:eastAsia="Times New Roman"/>
        </w:rPr>
        <w:t>2.5km</w:t>
      </w:r>
      <w:r>
        <w:rPr/>
        <w:t>，行政区隶属于双鸭山市岭东区，地表林地划属双鸭山林业局定国山林场。</w:t>
      </w:r>
    </w:p>
    <w:p>
      <w:pPr>
        <w:pStyle w:val="Heading3"/>
        <w:numPr>
          <w:ilvl w:val="1"/>
          <w:numId w:val="96"/>
        </w:numPr>
        <w:tabs>
          <w:tab w:pos="852" w:val="left" w:leader="none"/>
        </w:tabs>
        <w:spacing w:line="240" w:lineRule="auto" w:before="162" w:after="0"/>
        <w:ind w:left="852" w:right="0" w:hanging="632"/>
        <w:jc w:val="left"/>
        <w:rPr>
          <w:rFonts w:ascii="Times New Roman" w:eastAsia="Times New Roman"/>
        </w:rPr>
      </w:pPr>
      <w:bookmarkStart w:name="14.2 厂址方案的技术经济比较" w:id="1086"/>
      <w:bookmarkEnd w:id="1086"/>
      <w:r>
        <w:rPr>
          <w:b w:val="0"/>
        </w:rPr>
      </w:r>
      <w:bookmarkStart w:name="_bookmark76" w:id="1087"/>
      <w:bookmarkEnd w:id="1087"/>
      <w:r>
        <w:rPr>
          <w:b w:val="0"/>
        </w:rPr>
      </w:r>
      <w:bookmarkStart w:name="_bookmark76" w:id="1088"/>
      <w:bookmarkEnd w:id="1088"/>
      <w:r>
        <w:rPr/>
        <w:t>厂址方案的技术经济比较</w:t>
      </w:r>
    </w:p>
    <w:p>
      <w:pPr>
        <w:pStyle w:val="BodyText"/>
        <w:spacing w:line="364" w:lineRule="auto" w:before="185"/>
        <w:ind w:left="220" w:right="217" w:firstLine="480"/>
      </w:pPr>
      <w:bookmarkStart w:name="双鸭山市东盛矿业集团有限公司整合矿区范围位于双鸭山市岭东区长胜乡东兴村南2.5k" w:id="1089"/>
      <w:bookmarkEnd w:id="1089"/>
      <w:r>
        <w:rPr/>
      </w:r>
      <w:r>
        <w:rPr/>
        <w:t>双鸭山市东盛矿业集团有限公司整合矿区范围位于双鸭山市岭东区长胜乡东兴村南</w:t>
      </w:r>
      <w:r>
        <w:rPr>
          <w:rFonts w:ascii="Times New Roman" w:eastAsia="Times New Roman"/>
          <w:spacing w:val="-4"/>
        </w:rPr>
        <w:t>2.5km</w:t>
      </w:r>
      <w:r>
        <w:rPr>
          <w:spacing w:val="-5"/>
        </w:rPr>
        <w:t>，行政区划隶属双鸭山市岭东区管辖，地表林地划属双鸭山林业局定国山林场。周</w:t>
      </w:r>
      <w:r>
        <w:rPr>
          <w:spacing w:val="-11"/>
        </w:rPr>
        <w:t>围无居民区、学校、大型医院、文物保护和风景名胜等。工程地质条件、水文地质条件、</w:t>
      </w:r>
      <w:r>
        <w:rPr/>
        <w:t>公用工程等条件满足项目建设需要和环保要求，该场址满足项目建设要求，地类现状为建设用地。</w:t>
      </w:r>
    </w:p>
    <w:p>
      <w:pPr>
        <w:pStyle w:val="Heading3"/>
        <w:numPr>
          <w:ilvl w:val="1"/>
          <w:numId w:val="96"/>
        </w:numPr>
        <w:tabs>
          <w:tab w:pos="852" w:val="left" w:leader="none"/>
        </w:tabs>
        <w:spacing w:line="355" w:lineRule="exact" w:before="0" w:after="0"/>
        <w:ind w:left="852" w:right="0" w:hanging="632"/>
        <w:jc w:val="left"/>
        <w:rPr>
          <w:rFonts w:ascii="Times New Roman" w:eastAsia="Times New Roman"/>
        </w:rPr>
      </w:pPr>
      <w:bookmarkStart w:name="14.3 设计场地环境制约因素分析" w:id="1090"/>
      <w:bookmarkEnd w:id="1090"/>
      <w:r>
        <w:rPr>
          <w:b w:val="0"/>
        </w:rPr>
      </w:r>
      <w:bookmarkStart w:name="_bookmark77" w:id="1091"/>
      <w:bookmarkEnd w:id="1091"/>
      <w:r>
        <w:rPr>
          <w:b w:val="0"/>
        </w:rPr>
      </w:r>
      <w:bookmarkStart w:name="_bookmark77" w:id="1092"/>
      <w:bookmarkEnd w:id="1092"/>
      <w:r>
        <w:rPr/>
        <w:t>设计场地环境制约因素分析</w:t>
      </w:r>
    </w:p>
    <w:p>
      <w:pPr>
        <w:pStyle w:val="BodyText"/>
        <w:spacing w:before="185"/>
        <w:ind w:left="700"/>
      </w:pPr>
      <w:r>
        <w:rPr/>
        <w:t>场地所在地区为农村地区，环境空气属二类功能区，执行《环境空气质量标准》</w:t>
      </w:r>
    </w:p>
    <w:p>
      <w:pPr>
        <w:pStyle w:val="BodyText"/>
        <w:spacing w:line="364" w:lineRule="auto" w:before="161"/>
        <w:ind w:left="220" w:right="333"/>
        <w:jc w:val="both"/>
      </w:pPr>
      <w:r>
        <w:rPr>
          <w:spacing w:val="-1"/>
        </w:rPr>
        <w:t>（</w:t>
      </w:r>
      <w:r>
        <w:rPr>
          <w:rFonts w:ascii="Times New Roman" w:hAnsi="Times New Roman" w:eastAsia="Times New Roman"/>
          <w:spacing w:val="-1"/>
        </w:rPr>
        <w:t>GB3095</w:t>
      </w:r>
      <w:r>
        <w:rPr>
          <w:spacing w:val="-1"/>
        </w:rPr>
        <w:t>－</w:t>
      </w:r>
      <w:r>
        <w:rPr>
          <w:rFonts w:ascii="Times New Roman" w:hAnsi="Times New Roman" w:eastAsia="Times New Roman"/>
          <w:spacing w:val="-1"/>
        </w:rPr>
        <w:t>2012</w:t>
      </w:r>
      <w:r>
        <w:rPr>
          <w:spacing w:val="-1"/>
        </w:rPr>
        <w:t>）</w:t>
      </w:r>
      <w:r>
        <w:rPr>
          <w:spacing w:val="-3"/>
        </w:rPr>
        <w:t>二级标准；该地区工业污染源较少，项目所在地区域环境空气质量本底较好，具有一定的环境容量。根据《黑龙江省地面水环境质量功能区划和水环境质量</w:t>
      </w:r>
      <w:r>
        <w:rPr>
          <w:spacing w:val="-7"/>
        </w:rPr>
        <w:t>补充标准》</w:t>
      </w:r>
      <w:r>
        <w:rPr/>
        <w:t>（</w:t>
      </w:r>
      <w:r>
        <w:rPr>
          <w:rFonts w:ascii="Times New Roman" w:hAnsi="Times New Roman" w:eastAsia="Times New Roman"/>
        </w:rPr>
        <w:t>DB23/485-1998</w:t>
      </w:r>
      <w:r>
        <w:rPr/>
        <w:t>）</w:t>
      </w:r>
      <w:r>
        <w:rPr>
          <w:spacing w:val="-4"/>
        </w:rPr>
        <w:t>安邦河水体功能划分结果，确定执行《地表水环境质量标</w:t>
      </w:r>
      <w:r>
        <w:rPr/>
        <w:t>准》（</w:t>
      </w:r>
      <w:r>
        <w:rPr>
          <w:rFonts w:ascii="Times New Roman" w:hAnsi="Times New Roman" w:eastAsia="Times New Roman"/>
        </w:rPr>
        <w:t>GB3838</w:t>
      </w:r>
      <w:r>
        <w:rPr/>
        <w:t>－</w:t>
      </w:r>
      <w:r>
        <w:rPr>
          <w:rFonts w:ascii="Times New Roman" w:hAnsi="Times New Roman" w:eastAsia="Times New Roman"/>
        </w:rPr>
        <w:t>2002</w:t>
      </w:r>
      <w:r>
        <w:rPr/>
        <w:t>）中Ⅲ类标准。</w:t>
      </w:r>
    </w:p>
    <w:p>
      <w:pPr>
        <w:pStyle w:val="BodyText"/>
        <w:spacing w:line="362" w:lineRule="auto"/>
        <w:ind w:left="220" w:right="342" w:firstLine="480"/>
      </w:pPr>
      <w:r>
        <w:rPr/>
        <w:t>项目生活污水经生活污水处理站处理后全部回用，不外排；矿井涌水经矿井水处理站处理后，部分回用，部分外排入自建鱼塘。</w:t>
      </w:r>
    </w:p>
    <w:p>
      <w:pPr>
        <w:pStyle w:val="BodyText"/>
        <w:spacing w:before="2"/>
        <w:ind w:left="700"/>
      </w:pPr>
      <w:r>
        <w:rPr/>
        <w:t>经预测，本项目矿井涌水通过采取措施处理达标后排入附近自建鱼塘。</w:t>
      </w:r>
    </w:p>
    <w:p>
      <w:pPr>
        <w:pStyle w:val="Heading2"/>
        <w:numPr>
          <w:ilvl w:val="1"/>
          <w:numId w:val="96"/>
        </w:numPr>
        <w:tabs>
          <w:tab w:pos="821" w:val="left" w:leader="none"/>
        </w:tabs>
        <w:spacing w:line="240" w:lineRule="auto" w:before="161" w:after="0"/>
        <w:ind w:left="820" w:right="0" w:hanging="601"/>
        <w:jc w:val="left"/>
        <w:rPr>
          <w:rFonts w:ascii="Times New Roman" w:eastAsia="Times New Roman"/>
        </w:rPr>
      </w:pPr>
      <w:bookmarkStart w:name="14.4排矸场的环境可行性" w:id="1093"/>
      <w:bookmarkEnd w:id="1093"/>
      <w:r>
        <w:rPr>
          <w:b w:val="0"/>
        </w:rPr>
      </w:r>
      <w:bookmarkStart w:name="_bookmark78" w:id="1094"/>
      <w:bookmarkEnd w:id="1094"/>
      <w:r>
        <w:rPr>
          <w:b w:val="0"/>
        </w:rPr>
      </w:r>
      <w:bookmarkStart w:name="_bookmark78" w:id="1095"/>
      <w:bookmarkEnd w:id="1095"/>
      <w:r>
        <w:rPr/>
        <w:t>排矸场的环境可行性</w:t>
      </w:r>
    </w:p>
    <w:p>
      <w:pPr>
        <w:pStyle w:val="Heading3"/>
        <w:numPr>
          <w:ilvl w:val="2"/>
          <w:numId w:val="96"/>
        </w:numPr>
        <w:tabs>
          <w:tab w:pos="1061" w:val="left" w:leader="none"/>
        </w:tabs>
        <w:spacing w:line="240" w:lineRule="auto" w:before="199" w:after="0"/>
        <w:ind w:left="1060" w:right="0" w:hanging="841"/>
        <w:jc w:val="left"/>
      </w:pPr>
      <w:bookmarkStart w:name="14.4.1 煤矸石转运场地形地貌、占地类型及周围环境概况" w:id="1096"/>
      <w:bookmarkEnd w:id="1096"/>
      <w:r>
        <w:rPr>
          <w:b w:val="0"/>
        </w:rPr>
      </w:r>
      <w:bookmarkStart w:name="14.4.1 煤矸石转运场地形地貌、占地类型及周围环境概况" w:id="1097"/>
      <w:bookmarkEnd w:id="1097"/>
      <w:r>
        <w:rPr/>
        <w:t>煤矸石转运场地形地貌、占地类型及周围环境概况</w:t>
      </w:r>
    </w:p>
    <w:p>
      <w:pPr>
        <w:pStyle w:val="ListParagraph"/>
        <w:numPr>
          <w:ilvl w:val="3"/>
          <w:numId w:val="96"/>
        </w:numPr>
        <w:tabs>
          <w:tab w:pos="1302" w:val="left" w:leader="none"/>
        </w:tabs>
        <w:spacing w:line="240" w:lineRule="auto" w:before="186" w:after="0"/>
        <w:ind w:left="1301" w:right="0" w:hanging="602"/>
        <w:jc w:val="left"/>
        <w:rPr>
          <w:sz w:val="24"/>
        </w:rPr>
      </w:pPr>
      <w:r>
        <w:rPr>
          <w:sz w:val="24"/>
        </w:rPr>
        <w:t>地形地貌、占地类型</w:t>
      </w:r>
    </w:p>
    <w:p>
      <w:pPr>
        <w:pStyle w:val="BodyText"/>
        <w:spacing w:line="364" w:lineRule="auto" w:before="158"/>
        <w:ind w:left="220" w:right="218" w:firstLine="480"/>
      </w:pPr>
      <w:r>
        <w:rPr>
          <w:spacing w:val="-2"/>
        </w:rPr>
        <w:t>据调查煤矸石转运场地面。第四系不整合在穆棱组之上，顶部有 </w:t>
      </w:r>
      <w:r>
        <w:rPr>
          <w:rFonts w:ascii="Times New Roman" w:eastAsia="Times New Roman"/>
        </w:rPr>
        <w:t>1.0</w:t>
      </w:r>
      <w:r>
        <w:rPr/>
        <w:t>～</w:t>
      </w:r>
      <w:r>
        <w:rPr>
          <w:rFonts w:ascii="Times New Roman" w:eastAsia="Times New Roman"/>
        </w:rPr>
        <w:t>8.0m </w:t>
      </w:r>
      <w:r>
        <w:rPr>
          <w:spacing w:val="1"/>
        </w:rPr>
        <w:t>的腐植</w:t>
      </w:r>
      <w:r>
        <w:rPr>
          <w:spacing w:val="-9"/>
        </w:rPr>
        <w:t>土和粘土，其下为细砂、中砂、粗砂夹粘土或亚粘土等组成。控制厚度为 </w:t>
      </w:r>
      <w:r>
        <w:rPr>
          <w:rFonts w:ascii="Times New Roman" w:eastAsia="Times New Roman"/>
        </w:rPr>
        <w:t>1.40</w:t>
      </w:r>
      <w:r>
        <w:rPr/>
        <w:t>～</w:t>
      </w:r>
      <w:r>
        <w:rPr>
          <w:rFonts w:ascii="Times New Roman" w:eastAsia="Times New Roman"/>
        </w:rPr>
        <w:t>8.00 </w:t>
      </w:r>
      <w:r>
        <w:rPr>
          <w:spacing w:val="-8"/>
        </w:rPr>
        <w:t>米， </w:t>
      </w:r>
      <w:r>
        <w:rPr>
          <w:spacing w:val="-20"/>
        </w:rPr>
        <w:t>平均 </w:t>
      </w:r>
      <w:r>
        <w:rPr>
          <w:rFonts w:ascii="Times New Roman" w:eastAsia="Times New Roman"/>
        </w:rPr>
        <w:t>3.93m</w:t>
      </w:r>
      <w:r>
        <w:rPr/>
        <w:t>，渗透性较差，可以防止矸石淋滤液下渗。</w:t>
      </w:r>
    </w:p>
    <w:p>
      <w:pPr>
        <w:pStyle w:val="BodyText"/>
        <w:spacing w:line="307" w:lineRule="exact"/>
        <w:ind w:left="700"/>
      </w:pPr>
      <w:r>
        <w:rPr/>
        <w:t>项目区内主要为林地和少量旱地，工业广场占地类型为建设用地。</w:t>
      </w:r>
    </w:p>
    <w:p>
      <w:pPr>
        <w:pStyle w:val="ListParagraph"/>
        <w:numPr>
          <w:ilvl w:val="3"/>
          <w:numId w:val="96"/>
        </w:numPr>
        <w:tabs>
          <w:tab w:pos="1302" w:val="left" w:leader="none"/>
        </w:tabs>
        <w:spacing w:line="240" w:lineRule="auto" w:before="160" w:after="0"/>
        <w:ind w:left="1301" w:right="0" w:hanging="602"/>
        <w:jc w:val="left"/>
        <w:rPr>
          <w:sz w:val="24"/>
        </w:rPr>
      </w:pPr>
      <w:r>
        <w:rPr>
          <w:sz w:val="24"/>
        </w:rPr>
        <w:t>周围环境概况</w:t>
      </w:r>
    </w:p>
    <w:p>
      <w:pPr>
        <w:pStyle w:val="BodyText"/>
        <w:spacing w:before="158"/>
        <w:ind w:left="700"/>
      </w:pPr>
      <w:r>
        <w:rPr/>
        <w:t>通过现场调查可知，目前井田多为林地，少数农田，煤矸石转运场周围 </w:t>
      </w:r>
      <w:r>
        <w:rPr>
          <w:rFonts w:ascii="Times New Roman" w:eastAsia="Times New Roman"/>
        </w:rPr>
        <w:t>500m </w:t>
      </w:r>
      <w:r>
        <w:rPr/>
        <w:t>范围</w:t>
      </w:r>
    </w:p>
    <w:p>
      <w:pPr>
        <w:spacing w:after="0"/>
        <w:sectPr>
          <w:type w:val="continuous"/>
          <w:pgSz w:w="11910" w:h="16840"/>
          <w:pgMar w:top="1580" w:bottom="280" w:left="1140" w:right="1020"/>
        </w:sectPr>
      </w:pPr>
    </w:p>
    <w:p>
      <w:pPr>
        <w:pStyle w:val="BodyText"/>
        <w:spacing w:before="41"/>
        <w:ind w:left="220"/>
      </w:pPr>
      <w:r>
        <w:rPr/>
        <w:t>内无村屯，无其它自然保护区和风景名胜区等敏感保护目标。</w:t>
      </w:r>
    </w:p>
    <w:p>
      <w:pPr>
        <w:pStyle w:val="ListParagraph"/>
        <w:numPr>
          <w:ilvl w:val="3"/>
          <w:numId w:val="96"/>
        </w:numPr>
        <w:tabs>
          <w:tab w:pos="1302" w:val="left" w:leader="none"/>
        </w:tabs>
        <w:spacing w:line="240" w:lineRule="auto" w:before="158" w:after="0"/>
        <w:ind w:left="1301" w:right="0" w:hanging="602"/>
        <w:jc w:val="left"/>
        <w:rPr>
          <w:sz w:val="24"/>
        </w:rPr>
      </w:pPr>
      <w:r>
        <w:rPr>
          <w:sz w:val="24"/>
        </w:rPr>
        <w:t>工程地质和水文地质特征</w:t>
      </w:r>
    </w:p>
    <w:p>
      <w:pPr>
        <w:pStyle w:val="BodyText"/>
        <w:spacing w:line="364" w:lineRule="auto" w:before="161"/>
        <w:ind w:left="220" w:right="340" w:firstLine="480"/>
      </w:pPr>
      <w:r>
        <w:rPr/>
        <w:t>煤矸石转运场表层均为第四系，分布较广，附近没有断层、陷落柱、孔洞等不良地质状况。</w:t>
      </w:r>
    </w:p>
    <w:p>
      <w:pPr>
        <w:pStyle w:val="Heading3"/>
        <w:numPr>
          <w:ilvl w:val="2"/>
          <w:numId w:val="96"/>
        </w:numPr>
        <w:tabs>
          <w:tab w:pos="1061" w:val="left" w:leader="none"/>
        </w:tabs>
        <w:spacing w:line="358" w:lineRule="exact" w:before="0" w:after="0"/>
        <w:ind w:left="1060" w:right="0" w:hanging="841"/>
        <w:jc w:val="left"/>
      </w:pPr>
      <w:bookmarkStart w:name="14.4.2 煤矸石转运场选址的环境可行性" w:id="1098"/>
      <w:bookmarkEnd w:id="1098"/>
      <w:r>
        <w:rPr>
          <w:b w:val="0"/>
        </w:rPr>
      </w:r>
      <w:bookmarkStart w:name="14.4.2 煤矸石转运场选址的环境可行性" w:id="1099"/>
      <w:bookmarkEnd w:id="1099"/>
      <w:r>
        <w:rPr/>
        <w:t>煤矸石转运场选址的环境可行性</w:t>
      </w:r>
    </w:p>
    <w:p>
      <w:pPr>
        <w:pStyle w:val="ListParagraph"/>
        <w:numPr>
          <w:ilvl w:val="0"/>
          <w:numId w:val="97"/>
        </w:numPr>
        <w:tabs>
          <w:tab w:pos="1302" w:val="left" w:leader="none"/>
        </w:tabs>
        <w:spacing w:line="364" w:lineRule="auto" w:before="185" w:after="0"/>
        <w:ind w:left="220" w:right="338" w:firstLine="480"/>
        <w:jc w:val="left"/>
        <w:rPr>
          <w:sz w:val="24"/>
        </w:rPr>
      </w:pPr>
      <w:r>
        <w:rPr>
          <w:spacing w:val="-4"/>
          <w:sz w:val="24"/>
        </w:rPr>
        <w:t>煤矸石转运场为暂时性储存场，待塌陷区稳定后逐步用于回填采空区、铺路等</w:t>
      </w:r>
      <w:r>
        <w:rPr>
          <w:sz w:val="24"/>
        </w:rPr>
        <w:t>工程。本项目煤矸石转运场选址符合当地土地利用规划要求。</w:t>
      </w:r>
    </w:p>
    <w:p>
      <w:pPr>
        <w:pStyle w:val="ListParagraph"/>
        <w:numPr>
          <w:ilvl w:val="0"/>
          <w:numId w:val="97"/>
        </w:numPr>
        <w:tabs>
          <w:tab w:pos="1302" w:val="left" w:leader="none"/>
        </w:tabs>
        <w:spacing w:line="364" w:lineRule="auto" w:before="0" w:after="0"/>
        <w:ind w:left="220" w:right="338" w:firstLine="480"/>
        <w:jc w:val="both"/>
        <w:rPr>
          <w:sz w:val="24"/>
        </w:rPr>
      </w:pPr>
      <w:r>
        <w:rPr>
          <w:spacing w:val="-7"/>
          <w:sz w:val="24"/>
        </w:rPr>
        <w:t>煤矸石转运场周边 </w:t>
      </w:r>
      <w:r>
        <w:rPr>
          <w:rFonts w:ascii="Times New Roman" w:eastAsia="Times New Roman"/>
          <w:sz w:val="24"/>
        </w:rPr>
        <w:t>500m </w:t>
      </w:r>
      <w:r>
        <w:rPr>
          <w:spacing w:val="-2"/>
          <w:sz w:val="24"/>
        </w:rPr>
        <w:t>范围内无集中居民点，本项目煤矸石转运场经采取洒</w:t>
      </w:r>
      <w:r>
        <w:rPr>
          <w:sz w:val="24"/>
        </w:rPr>
        <w:t>水措施和种植防护林后对其影响较小；同时煤矸石转运场周围没有自然保护区、风景名胜区以及其它需要特别保护的区域。</w:t>
      </w:r>
    </w:p>
    <w:p>
      <w:pPr>
        <w:pStyle w:val="ListParagraph"/>
        <w:numPr>
          <w:ilvl w:val="0"/>
          <w:numId w:val="97"/>
        </w:numPr>
        <w:tabs>
          <w:tab w:pos="1302" w:val="left" w:leader="none"/>
        </w:tabs>
        <w:spacing w:line="362" w:lineRule="auto" w:before="0" w:after="0"/>
        <w:ind w:left="220" w:right="338" w:firstLine="480"/>
        <w:jc w:val="left"/>
        <w:rPr>
          <w:sz w:val="24"/>
        </w:rPr>
      </w:pPr>
      <w:r>
        <w:rPr>
          <w:spacing w:val="-2"/>
          <w:sz w:val="24"/>
        </w:rPr>
        <w:t>本项目矸石属于第Ⅰ类一般工业固体废物，煤矸石转运场可按Ⅰ类贮存场选</w:t>
      </w:r>
      <w:r>
        <w:rPr>
          <w:spacing w:val="-4"/>
          <w:sz w:val="24"/>
        </w:rPr>
        <w:t>址和设计。</w:t>
      </w:r>
    </w:p>
    <w:p>
      <w:pPr>
        <w:pStyle w:val="ListParagraph"/>
        <w:numPr>
          <w:ilvl w:val="0"/>
          <w:numId w:val="97"/>
        </w:numPr>
        <w:tabs>
          <w:tab w:pos="1302" w:val="left" w:leader="none"/>
        </w:tabs>
        <w:spacing w:line="362" w:lineRule="auto" w:before="3" w:after="0"/>
        <w:ind w:left="220" w:right="283" w:firstLine="480"/>
        <w:jc w:val="left"/>
        <w:rPr>
          <w:sz w:val="24"/>
        </w:rPr>
      </w:pPr>
      <w:r>
        <w:rPr>
          <w:spacing w:val="-1"/>
          <w:sz w:val="24"/>
        </w:rPr>
        <w:t>本项目矸石堆放自燃的可能性较小。矸石排入煤矸石转运场后能够及时清运， </w:t>
      </w:r>
      <w:r>
        <w:rPr>
          <w:sz w:val="24"/>
        </w:rPr>
        <w:t>对周围环境空气的影响较小。</w:t>
      </w:r>
    </w:p>
    <w:p>
      <w:pPr>
        <w:pStyle w:val="ListParagraph"/>
        <w:numPr>
          <w:ilvl w:val="0"/>
          <w:numId w:val="97"/>
        </w:numPr>
        <w:tabs>
          <w:tab w:pos="1302" w:val="left" w:leader="none"/>
        </w:tabs>
        <w:spacing w:line="362" w:lineRule="auto" w:before="5" w:after="0"/>
        <w:ind w:left="220" w:right="338" w:firstLine="480"/>
        <w:jc w:val="left"/>
        <w:rPr>
          <w:sz w:val="24"/>
        </w:rPr>
      </w:pPr>
      <w:r>
        <w:rPr>
          <w:spacing w:val="-4"/>
          <w:sz w:val="24"/>
        </w:rPr>
        <w:t>煤矸石转运场工程地质条件稳定、无断层、破碎带以及滑坡等不良地质灾害影</w:t>
      </w:r>
      <w:r>
        <w:rPr>
          <w:sz w:val="24"/>
        </w:rPr>
        <w:t>响，煤矸石转运场沟底标高高出当地最高洪水水位，不受洪水威胁。</w:t>
      </w:r>
    </w:p>
    <w:p>
      <w:pPr>
        <w:pStyle w:val="BodyText"/>
        <w:spacing w:line="364" w:lineRule="auto" w:before="5"/>
        <w:ind w:left="220" w:right="218" w:firstLine="480"/>
      </w:pPr>
      <w:r>
        <w:rPr>
          <w:spacing w:val="-8"/>
        </w:rPr>
        <w:t>根据以上分析，本项目煤矸石转运场经采取洒水措施和种植防护林后对其影响较小； </w:t>
      </w:r>
      <w:r>
        <w:rPr/>
        <w:t>从环境保护的角度而言，本煤矸石转运场选址符合《一般工业固体废弃物贮存、处置场污染控制标准》中的有关规定，煤矸石转运场的选址是可行的。</w:t>
      </w:r>
    </w:p>
    <w:p>
      <w:pPr>
        <w:pStyle w:val="Heading3"/>
        <w:numPr>
          <w:ilvl w:val="1"/>
          <w:numId w:val="96"/>
        </w:numPr>
        <w:tabs>
          <w:tab w:pos="780" w:val="left" w:leader="none"/>
        </w:tabs>
        <w:spacing w:line="240" w:lineRule="auto" w:before="0" w:after="0"/>
        <w:ind w:left="780" w:right="0" w:hanging="560"/>
        <w:jc w:val="left"/>
        <w:rPr>
          <w:rFonts w:ascii="Times New Roman" w:eastAsia="Times New Roman"/>
        </w:rPr>
      </w:pPr>
      <w:bookmarkStart w:name="14.5项目选址环境可行性综合分析" w:id="1100"/>
      <w:bookmarkEnd w:id="1100"/>
      <w:r>
        <w:rPr>
          <w:b w:val="0"/>
        </w:rPr>
      </w:r>
      <w:bookmarkStart w:name="_bookmark79" w:id="1101"/>
      <w:bookmarkEnd w:id="1101"/>
      <w:r>
        <w:rPr>
          <w:b w:val="0"/>
        </w:rPr>
      </w:r>
      <w:bookmarkStart w:name="_bookmark79" w:id="1102"/>
      <w:bookmarkEnd w:id="1102"/>
      <w:r>
        <w:rPr/>
        <w:t>项目选址环境可行性综合分析</w:t>
      </w:r>
    </w:p>
    <w:p>
      <w:pPr>
        <w:pStyle w:val="BodyText"/>
        <w:spacing w:before="10"/>
        <w:rPr>
          <w:b/>
          <w:sz w:val="21"/>
        </w:rPr>
      </w:pPr>
    </w:p>
    <w:p>
      <w:pPr>
        <w:pStyle w:val="BodyText"/>
        <w:ind w:left="700"/>
      </w:pPr>
      <w:r>
        <w:rPr>
          <w:rFonts w:ascii="Times New Roman" w:eastAsia="Times New Roman"/>
        </w:rPr>
        <w:t>1</w:t>
      </w:r>
      <w:r>
        <w:rPr/>
        <w:t>、环境空气</w:t>
      </w:r>
    </w:p>
    <w:p>
      <w:pPr>
        <w:pStyle w:val="BodyText"/>
        <w:spacing w:line="364" w:lineRule="auto" w:before="158"/>
        <w:ind w:left="220" w:right="213" w:firstLine="480"/>
      </w:pPr>
      <w:r>
        <w:rPr/>
        <w:t>在采取本评价提出的严格抑尘措施后，无组织排放对区域环境空气质量影响较小。</w:t>
      </w:r>
      <w:r>
        <w:rPr>
          <w:spacing w:val="-11"/>
        </w:rPr>
        <w:t>油烟排放浓度满足《饮食业油烟排放标准</w:t>
      </w:r>
      <w:r>
        <w:rPr>
          <w:spacing w:val="-224"/>
        </w:rPr>
        <w:t>》</w:t>
      </w:r>
      <w:r>
        <w:rPr>
          <w:spacing w:val="-3"/>
        </w:rPr>
        <w:t>（</w:t>
      </w:r>
      <w:r>
        <w:rPr>
          <w:rFonts w:ascii="Times New Roman" w:eastAsia="Times New Roman"/>
          <w:spacing w:val="-1"/>
        </w:rPr>
        <w:t>G</w:t>
      </w:r>
      <w:r>
        <w:rPr>
          <w:rFonts w:ascii="Times New Roman" w:eastAsia="Times New Roman"/>
        </w:rPr>
        <w:t>B 18483</w:t>
      </w:r>
      <w:r>
        <w:rPr>
          <w:rFonts w:ascii="Times New Roman" w:eastAsia="Times New Roman"/>
          <w:spacing w:val="-1"/>
        </w:rPr>
        <w:t>-</w:t>
      </w:r>
      <w:r>
        <w:rPr>
          <w:rFonts w:ascii="Times New Roman" w:eastAsia="Times New Roman"/>
        </w:rPr>
        <w:t>200</w:t>
      </w:r>
      <w:r>
        <w:rPr>
          <w:rFonts w:ascii="Times New Roman" w:eastAsia="Times New Roman"/>
          <w:spacing w:val="2"/>
        </w:rPr>
        <w:t>1</w:t>
      </w:r>
      <w:r>
        <w:rPr>
          <w:spacing w:val="-111"/>
        </w:rPr>
        <w:t>）</w:t>
      </w:r>
      <w:r>
        <w:rPr>
          <w:spacing w:val="-7"/>
        </w:rPr>
        <w:t>最高允许排放浓度 </w:t>
      </w:r>
      <w:r>
        <w:rPr>
          <w:rFonts w:ascii="Times New Roman" w:eastAsia="Times New Roman"/>
        </w:rPr>
        <w:t>2.0m</w:t>
      </w:r>
      <w:r>
        <w:rPr>
          <w:rFonts w:ascii="Times New Roman" w:eastAsia="Times New Roman"/>
          <w:spacing w:val="-3"/>
        </w:rPr>
        <w:t>g</w:t>
      </w:r>
      <w:r>
        <w:rPr>
          <w:rFonts w:ascii="Times New Roman" w:eastAsia="Times New Roman"/>
        </w:rPr>
        <w:t>/m</w:t>
      </w:r>
      <w:r>
        <w:rPr>
          <w:rFonts w:ascii="Times New Roman" w:eastAsia="Times New Roman"/>
          <w:spacing w:val="1"/>
          <w:w w:val="104"/>
          <w:position w:val="8"/>
          <w:sz w:val="15"/>
        </w:rPr>
        <w:t>3</w:t>
      </w:r>
      <w:r>
        <w:rPr/>
        <w:t>。本矿井为低瓦斯矿井，通过对该矿井产生的瓦斯进行抽排，抽排后的瓦斯浓度较低，本区扩散较好，因此，瓦斯排放对环境空气影响较小。总体来说，本项目对评价区域环境空气质量影响很小，排放的大气污染物可被现有环境所接受。</w:t>
      </w:r>
    </w:p>
    <w:p>
      <w:pPr>
        <w:pStyle w:val="BodyText"/>
        <w:spacing w:line="306" w:lineRule="exact"/>
        <w:ind w:left="700"/>
      </w:pPr>
      <w:r>
        <w:rPr>
          <w:rFonts w:ascii="Times New Roman" w:eastAsia="Times New Roman"/>
        </w:rPr>
        <w:t>2</w:t>
      </w:r>
      <w:r>
        <w:rPr/>
        <w:t>、地表水</w:t>
      </w:r>
    </w:p>
    <w:p>
      <w:pPr>
        <w:pStyle w:val="BodyText"/>
        <w:spacing w:line="364" w:lineRule="auto" w:before="158"/>
        <w:ind w:left="220" w:right="154" w:firstLine="480"/>
      </w:pPr>
      <w:r>
        <w:rPr/>
        <w:t>本项目生活污水处理后回用不外排，矿井涌水处理后回用，多余外排附近自建鱼塘， 因此，对地表水体影响不大。从地表水环境的角度分析，本项目在该厂址建设是可行的。</w:t>
      </w:r>
    </w:p>
    <w:p>
      <w:pPr>
        <w:spacing w:after="0" w:line="364" w:lineRule="auto"/>
        <w:sectPr>
          <w:pgSz w:w="11910" w:h="16840"/>
          <w:pgMar w:header="0" w:footer="947" w:top="1360" w:bottom="1220" w:left="1140" w:right="1020"/>
        </w:sectPr>
      </w:pPr>
    </w:p>
    <w:p>
      <w:pPr>
        <w:pStyle w:val="BodyText"/>
        <w:spacing w:before="61"/>
        <w:ind w:left="700"/>
      </w:pPr>
      <w:r>
        <w:rPr>
          <w:rFonts w:ascii="Times New Roman" w:eastAsia="Times New Roman"/>
        </w:rPr>
        <w:t>3</w:t>
      </w:r>
      <w:r>
        <w:rPr/>
        <w:t>、地下水</w:t>
      </w:r>
    </w:p>
    <w:p>
      <w:pPr>
        <w:pStyle w:val="BodyText"/>
        <w:spacing w:line="364" w:lineRule="auto" w:before="158"/>
        <w:ind w:left="220" w:right="170" w:firstLine="480"/>
      </w:pPr>
      <w:r>
        <w:rPr/>
        <w:t>按照地下水环境质量标准，本次收集井田勘探资料，并进行了评价区水文地质调查， 对地下水进行了采样监测，经过系统分析、全面对比、综合研究从地下水环境的角度分析，本项目在该厂址建设是可行的。</w:t>
      </w:r>
    </w:p>
    <w:p>
      <w:pPr>
        <w:pStyle w:val="BodyText"/>
        <w:spacing w:line="307" w:lineRule="exact"/>
        <w:ind w:left="700"/>
      </w:pPr>
      <w:r>
        <w:rPr>
          <w:rFonts w:ascii="Times New Roman" w:eastAsia="Times New Roman"/>
        </w:rPr>
        <w:t>4</w:t>
      </w:r>
      <w:r>
        <w:rPr/>
        <w:t>、噪声</w:t>
      </w:r>
    </w:p>
    <w:p>
      <w:pPr>
        <w:pStyle w:val="BodyText"/>
        <w:spacing w:line="362" w:lineRule="auto" w:before="161"/>
        <w:ind w:left="220" w:right="338" w:firstLine="480"/>
      </w:pPr>
      <w:r>
        <w:rPr/>
        <w:t>本项目主要噪声源相对较集中，周围 </w:t>
      </w:r>
      <w:r>
        <w:rPr>
          <w:rFonts w:ascii="Times New Roman" w:eastAsia="Times New Roman"/>
        </w:rPr>
        <w:t>200m </w:t>
      </w:r>
      <w:r>
        <w:rPr/>
        <w:t>内没有居民分布，本评价认为，在严格执行评价提出的防治措施前提下，从声环境角度而言，本项目在该厂址建设可行。</w:t>
      </w:r>
    </w:p>
    <w:p>
      <w:pPr>
        <w:pStyle w:val="BodyText"/>
        <w:spacing w:before="5"/>
        <w:ind w:left="700"/>
      </w:pPr>
      <w:r>
        <w:rPr>
          <w:rFonts w:ascii="Times New Roman" w:eastAsia="Times New Roman"/>
        </w:rPr>
        <w:t>5</w:t>
      </w:r>
      <w:r>
        <w:rPr/>
        <w:t>、固体废弃物</w:t>
      </w:r>
    </w:p>
    <w:p>
      <w:pPr>
        <w:pStyle w:val="BodyText"/>
        <w:spacing w:line="364" w:lineRule="auto" w:before="158"/>
        <w:ind w:left="220" w:right="338" w:firstLine="480"/>
        <w:jc w:val="both"/>
      </w:pPr>
      <w:r>
        <w:rPr/>
        <w:t>本矿井施工期产出的矸石全部用于修路和工业场地的平整，服务期产生的矸石暂存于矸石转运场，矸石可用于平整工业场地、公路的路基石料、或用于填沟造田等。本项目煤矸石转运场周围设置拦矸坝和截流沟，使煤矸石转运场淋溶的雨水经导流沟排入矿井水处理站的沉淀池，进入矿井处理系统，这样既保证了污染物不外排。煤矸石转运场采取洒水抑尘，可有效控制扬尘污染。</w:t>
      </w:r>
    </w:p>
    <w:p>
      <w:pPr>
        <w:pStyle w:val="BodyText"/>
        <w:spacing w:line="364" w:lineRule="auto"/>
        <w:ind w:left="220" w:right="340" w:firstLine="480"/>
        <w:jc w:val="both"/>
      </w:pPr>
      <w:r>
        <w:rPr/>
        <w:t>本项目产生生活垃圾集中收集，定期按环卫部门要求统一处理；矸石回填采空区和塌陷区、修路；生活污水处理站污泥按市政环卫部门要求统一处理；废机油委托有资质的单位处理。本项目服务期固体废物处理率达 </w:t>
      </w:r>
      <w:r>
        <w:rPr>
          <w:rFonts w:ascii="Times New Roman" w:eastAsia="Times New Roman"/>
        </w:rPr>
        <w:t>100%</w:t>
      </w:r>
      <w:r>
        <w:rPr/>
        <w:t>，对外环境影响较小。</w:t>
      </w:r>
    </w:p>
    <w:p>
      <w:pPr>
        <w:pStyle w:val="BodyText"/>
        <w:spacing w:line="307" w:lineRule="exact"/>
        <w:ind w:left="220"/>
      </w:pPr>
      <w:r>
        <w:rPr/>
        <w:t>综上所述，本项目选址合理。</w:t>
      </w:r>
    </w:p>
    <w:p>
      <w:pPr>
        <w:spacing w:after="0" w:line="307" w:lineRule="exact"/>
        <w:sectPr>
          <w:pgSz w:w="11910" w:h="16840"/>
          <w:pgMar w:header="0" w:footer="947" w:top="1340" w:bottom="1220" w:left="1140" w:right="1020"/>
        </w:sectPr>
      </w:pPr>
    </w:p>
    <w:p>
      <w:pPr>
        <w:pStyle w:val="BodyText"/>
        <w:rPr>
          <w:sz w:val="32"/>
        </w:rPr>
      </w:pPr>
    </w:p>
    <w:p>
      <w:pPr>
        <w:pStyle w:val="BodyText"/>
        <w:spacing w:before="11"/>
        <w:rPr>
          <w:sz w:val="25"/>
        </w:rPr>
      </w:pPr>
    </w:p>
    <w:p>
      <w:pPr>
        <w:pStyle w:val="Heading2"/>
        <w:numPr>
          <w:ilvl w:val="1"/>
          <w:numId w:val="98"/>
        </w:numPr>
        <w:tabs>
          <w:tab w:pos="896" w:val="left" w:leader="none"/>
        </w:tabs>
        <w:spacing w:line="240" w:lineRule="auto" w:before="1" w:after="0"/>
        <w:ind w:left="895" w:right="0" w:hanging="676"/>
        <w:jc w:val="left"/>
      </w:pPr>
      <w:bookmarkStart w:name="15.1 评价依据" w:id="1103"/>
      <w:bookmarkEnd w:id="1103"/>
      <w:r>
        <w:rPr>
          <w:b w:val="0"/>
        </w:rPr>
      </w:r>
      <w:bookmarkStart w:name="_bookmark80" w:id="1104"/>
      <w:bookmarkEnd w:id="1104"/>
      <w:r>
        <w:rPr>
          <w:b w:val="0"/>
        </w:rPr>
      </w:r>
      <w:bookmarkStart w:name="_bookmark80" w:id="1105"/>
      <w:bookmarkEnd w:id="1105"/>
      <w:r>
        <w:rPr/>
        <w:t>评价依据</w:t>
      </w:r>
    </w:p>
    <w:p>
      <w:pPr>
        <w:pStyle w:val="ListParagraph"/>
        <w:numPr>
          <w:ilvl w:val="1"/>
          <w:numId w:val="49"/>
        </w:numPr>
        <w:tabs>
          <w:tab w:pos="852" w:val="left" w:leader="none"/>
        </w:tabs>
        <w:spacing w:line="240" w:lineRule="auto" w:before="41" w:after="0"/>
        <w:ind w:left="852" w:right="0" w:hanging="632"/>
        <w:jc w:val="left"/>
        <w:rPr>
          <w:b/>
          <w:sz w:val="36"/>
        </w:rPr>
      </w:pPr>
      <w:bookmarkStart w:name="15. 环境风险影响分析" w:id="1106"/>
      <w:bookmarkEnd w:id="1106"/>
      <w:r>
        <w:rPr/>
      </w:r>
      <w:bookmarkStart w:name="_bookmark81" w:id="1107"/>
      <w:bookmarkEnd w:id="1107"/>
      <w:r>
        <w:rPr/>
      </w:r>
      <w:bookmarkStart w:name="_bookmark81" w:id="1108"/>
      <w:bookmarkEnd w:id="1108"/>
      <w:r>
        <w:rPr>
          <w:b/>
          <w:spacing w:val="2"/>
          <w:w w:val="99"/>
          <w:sz w:val="36"/>
        </w:rPr>
        <w:br w:type="column"/>
      </w:r>
      <w:r>
        <w:rPr>
          <w:b/>
          <w:sz w:val="36"/>
        </w:rPr>
        <w:t>环境风险影响分析</w:t>
      </w:r>
    </w:p>
    <w:p>
      <w:pPr>
        <w:spacing w:after="0" w:line="240" w:lineRule="auto"/>
        <w:jc w:val="left"/>
        <w:rPr>
          <w:sz w:val="36"/>
        </w:rPr>
        <w:sectPr>
          <w:pgSz w:w="11910" w:h="16840"/>
          <w:pgMar w:header="0" w:footer="947" w:top="1360" w:bottom="1220" w:left="1140" w:right="1020"/>
          <w:cols w:num="2" w:equalWidth="0">
            <w:col w:w="2138" w:space="1054"/>
            <w:col w:w="6558"/>
          </w:cols>
        </w:sectPr>
      </w:pPr>
    </w:p>
    <w:p>
      <w:pPr>
        <w:pStyle w:val="BodyText"/>
        <w:spacing w:before="11"/>
        <w:rPr>
          <w:b/>
          <w:sz w:val="9"/>
        </w:rPr>
      </w:pPr>
    </w:p>
    <w:p>
      <w:pPr>
        <w:pStyle w:val="Heading3"/>
        <w:numPr>
          <w:ilvl w:val="2"/>
          <w:numId w:val="98"/>
        </w:numPr>
        <w:tabs>
          <w:tab w:pos="1061" w:val="left" w:leader="none"/>
        </w:tabs>
        <w:spacing w:line="240" w:lineRule="auto" w:before="73" w:after="0"/>
        <w:ind w:left="1060" w:right="0" w:hanging="841"/>
        <w:jc w:val="left"/>
      </w:pPr>
      <w:bookmarkStart w:name="15.1.1 项目环境风险源调查" w:id="1109"/>
      <w:bookmarkEnd w:id="1109"/>
      <w:r>
        <w:rPr>
          <w:b w:val="0"/>
        </w:rPr>
      </w:r>
      <w:bookmarkStart w:name="15.1.1 项目环境风险源调查" w:id="1110"/>
      <w:bookmarkEnd w:id="1110"/>
      <w:r>
        <w:rPr/>
        <w:t>项目环境风险源调查</w:t>
      </w:r>
    </w:p>
    <w:p>
      <w:pPr>
        <w:pStyle w:val="BodyText"/>
        <w:spacing w:line="520" w:lineRule="atLeast" w:before="148"/>
        <w:ind w:left="220" w:right="340" w:firstLine="480"/>
      </w:pPr>
      <w:r>
        <w:rPr/>
        <w:t>环境风险源指“存在物质或能量意外释放，并可能产生环境危害的源”，本项目风险源为火药库、油脂库内柴油罐、危废暂存间。</w:t>
      </w:r>
    </w:p>
    <w:p>
      <w:pPr>
        <w:pStyle w:val="Heading3"/>
        <w:numPr>
          <w:ilvl w:val="2"/>
          <w:numId w:val="98"/>
        </w:numPr>
        <w:tabs>
          <w:tab w:pos="1061" w:val="left" w:leader="none"/>
        </w:tabs>
        <w:spacing w:line="240" w:lineRule="auto" w:before="37" w:after="0"/>
        <w:ind w:left="1060" w:right="0" w:hanging="841"/>
        <w:jc w:val="left"/>
      </w:pPr>
      <w:bookmarkStart w:name="15.1.2 环境风险潜势初判及评价等级确定" w:id="1111"/>
      <w:bookmarkEnd w:id="1111"/>
      <w:r>
        <w:rPr>
          <w:b w:val="0"/>
        </w:rPr>
      </w:r>
      <w:bookmarkStart w:name="15.1.2 环境风险潜势初判及评价等级确定" w:id="1112"/>
      <w:bookmarkEnd w:id="1112"/>
      <w:r>
        <w:rPr/>
        <w:t>环境风险潜势初判及评价等级确定</w:t>
      </w:r>
    </w:p>
    <w:p>
      <w:pPr>
        <w:pStyle w:val="BodyText"/>
        <w:spacing w:before="185"/>
        <w:ind w:left="700"/>
      </w:pPr>
      <w:r>
        <w:rPr/>
        <w:t>本项目危险物质主要为油类物质及硝铵炸药。</w:t>
      </w:r>
    </w:p>
    <w:p>
      <w:pPr>
        <w:pStyle w:val="BodyText"/>
        <w:spacing w:line="362" w:lineRule="auto" w:before="161"/>
        <w:ind w:left="220" w:right="338" w:firstLine="480"/>
      </w:pPr>
      <w:r>
        <w:rPr/>
        <w:t>根据《建设项目环境风险评价技术导则》（</w:t>
      </w:r>
      <w:r>
        <w:rPr>
          <w:rFonts w:ascii="Times New Roman" w:eastAsia="Times New Roman"/>
        </w:rPr>
        <w:t>HJ169-2018</w:t>
      </w:r>
      <w:r>
        <w:rPr/>
        <w:t>）中关于环境风险潜势初判方式首先按式计算物质总量与临界量比值（</w:t>
      </w:r>
      <w:r>
        <w:rPr>
          <w:rFonts w:ascii="Times New Roman" w:eastAsia="Times New Roman"/>
        </w:rPr>
        <w:t>Q</w:t>
      </w:r>
      <w:r>
        <w:rPr/>
        <w:t>）</w:t>
      </w:r>
    </w:p>
    <w:p>
      <w:pPr>
        <w:spacing w:after="0" w:line="362" w:lineRule="auto"/>
        <w:sectPr>
          <w:type w:val="continuous"/>
          <w:pgSz w:w="11910" w:h="16840"/>
          <w:pgMar w:top="1580" w:bottom="280" w:left="1140" w:right="1020"/>
        </w:sectPr>
      </w:pPr>
    </w:p>
    <w:p>
      <w:pPr>
        <w:spacing w:line="187" w:lineRule="auto" w:before="41"/>
        <w:ind w:left="3082" w:right="0" w:firstLine="0"/>
        <w:jc w:val="left"/>
        <w:rPr>
          <w:rFonts w:ascii="Times New Roman" w:hAnsi="Times New Roman"/>
          <w:sz w:val="22"/>
        </w:rPr>
      </w:pPr>
      <w:r>
        <w:rPr/>
        <w:pict>
          <v:line style="position:absolute;mso-position-horizontal-relative:page;mso-position-vertical-relative:paragraph;z-index:-285884416" from="244.528pt,25.512875pt" to="266.591pt,25.512875pt" stroked="true" strokeweight=".796pt" strokecolor="#000000">
            <v:stroke dashstyle="solid"/>
            <w10:wrap type="none"/>
          </v:line>
        </w:pict>
      </w:r>
      <w:r>
        <w:rPr/>
        <w:pict>
          <v:line style="position:absolute;mso-position-horizontal-relative:page;mso-position-vertical-relative:paragraph;z-index:-285883392" from="284.778992pt,25.512875pt" to="308.929992pt,25.512875pt" stroked="true" strokeweight=".796pt" strokecolor="#000000">
            <v:stroke dashstyle="solid"/>
            <w10:wrap type="none"/>
          </v:line>
        </w:pict>
      </w:r>
      <w:r>
        <w:rPr>
          <w:rFonts w:ascii="Times New Roman" w:hAnsi="Times New Roman"/>
          <w:position w:val="-23"/>
          <w:sz w:val="38"/>
        </w:rPr>
        <w:t>Q </w:t>
      </w:r>
      <w:r>
        <w:rPr>
          <w:rFonts w:ascii="Symbol" w:hAnsi="Symbol"/>
          <w:position w:val="-23"/>
          <w:sz w:val="38"/>
        </w:rPr>
        <w:t></w:t>
      </w:r>
      <w:r>
        <w:rPr>
          <w:rFonts w:ascii="Times New Roman" w:hAnsi="Times New Roman"/>
          <w:position w:val="-23"/>
          <w:sz w:val="38"/>
        </w:rPr>
        <w:t> </w:t>
      </w:r>
      <w:r>
        <w:rPr>
          <w:rFonts w:ascii="Times New Roman" w:hAnsi="Times New Roman"/>
          <w:sz w:val="38"/>
        </w:rPr>
        <w:t>q </w:t>
      </w:r>
      <w:r>
        <w:rPr>
          <w:rFonts w:ascii="Times New Roman" w:hAnsi="Times New Roman"/>
          <w:sz w:val="22"/>
        </w:rPr>
        <w:t>1  </w:t>
      </w:r>
      <w:r>
        <w:rPr>
          <w:rFonts w:ascii="Symbol" w:hAnsi="Symbol"/>
          <w:position w:val="-23"/>
          <w:sz w:val="38"/>
        </w:rPr>
        <w:t></w:t>
      </w:r>
      <w:r>
        <w:rPr>
          <w:rFonts w:ascii="Times New Roman" w:hAnsi="Times New Roman"/>
          <w:position w:val="-23"/>
          <w:sz w:val="38"/>
        </w:rPr>
        <w:t> </w:t>
      </w:r>
      <w:r>
        <w:rPr>
          <w:rFonts w:ascii="Times New Roman" w:hAnsi="Times New Roman"/>
          <w:sz w:val="38"/>
        </w:rPr>
        <w:t>q</w:t>
      </w:r>
      <w:r>
        <w:rPr>
          <w:rFonts w:ascii="Times New Roman" w:hAnsi="Times New Roman"/>
          <w:spacing w:val="18"/>
          <w:sz w:val="38"/>
        </w:rPr>
        <w:t> </w:t>
      </w:r>
      <w:r>
        <w:rPr>
          <w:rFonts w:ascii="Times New Roman" w:hAnsi="Times New Roman"/>
          <w:sz w:val="22"/>
        </w:rPr>
        <w:t>2</w:t>
      </w:r>
    </w:p>
    <w:p>
      <w:pPr>
        <w:tabs>
          <w:tab w:pos="804" w:val="left" w:leader="none"/>
        </w:tabs>
        <w:spacing w:line="366" w:lineRule="exact" w:before="0"/>
        <w:ind w:left="0" w:right="0" w:firstLine="0"/>
        <w:jc w:val="right"/>
        <w:rPr>
          <w:rFonts w:ascii="Times New Roman"/>
          <w:sz w:val="22"/>
        </w:rPr>
      </w:pPr>
      <w:r>
        <w:rPr>
          <w:rFonts w:ascii="Times New Roman"/>
          <w:spacing w:val="14"/>
          <w:sz w:val="38"/>
        </w:rPr>
        <w:t>Q</w:t>
      </w:r>
      <w:r>
        <w:rPr>
          <w:rFonts w:ascii="Times New Roman"/>
          <w:spacing w:val="14"/>
          <w:sz w:val="22"/>
        </w:rPr>
        <w:t>1</w:t>
        <w:tab/>
      </w:r>
      <w:r>
        <w:rPr>
          <w:rFonts w:ascii="Times New Roman"/>
          <w:sz w:val="38"/>
        </w:rPr>
        <w:t>Q</w:t>
      </w:r>
      <w:r>
        <w:rPr>
          <w:rFonts w:ascii="Times New Roman"/>
          <w:spacing w:val="-38"/>
          <w:sz w:val="38"/>
        </w:rPr>
        <w:t> </w:t>
      </w:r>
      <w:r>
        <w:rPr>
          <w:rFonts w:ascii="Times New Roman"/>
          <w:sz w:val="22"/>
        </w:rPr>
        <w:t>2</w:t>
      </w:r>
    </w:p>
    <w:p>
      <w:pPr>
        <w:spacing w:line="675" w:lineRule="exact" w:before="12"/>
        <w:ind w:left="57" w:right="0" w:firstLine="0"/>
        <w:jc w:val="left"/>
        <w:rPr>
          <w:rFonts w:ascii="Times New Roman" w:hAnsi="Times New Roman"/>
          <w:sz w:val="22"/>
        </w:rPr>
      </w:pPr>
      <w:r>
        <w:rP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w:t>
      </w:r>
      <w:r>
        <w:rPr>
          <w:rFonts w:ascii="Times New Roman" w:hAnsi="Times New Roman"/>
          <w:position w:val="24"/>
          <w:sz w:val="38"/>
        </w:rPr>
        <w:t>q</w:t>
      </w:r>
      <w:r>
        <w:rPr>
          <w:rFonts w:ascii="Times New Roman" w:hAnsi="Times New Roman"/>
          <w:position w:val="24"/>
          <w:sz w:val="22"/>
        </w:rPr>
        <w:t>n</w:t>
      </w:r>
    </w:p>
    <w:p>
      <w:pPr>
        <w:spacing w:line="301" w:lineRule="exact" w:before="0"/>
        <w:ind w:left="1025" w:right="0" w:firstLine="0"/>
        <w:jc w:val="left"/>
        <w:rPr>
          <w:rFonts w:ascii="Times New Roman"/>
          <w:sz w:val="22"/>
        </w:rPr>
      </w:pPr>
      <w:r>
        <w:rPr/>
        <w:pict>
          <v:line style="position:absolute;mso-position-horizontal-relative:page;mso-position-vertical-relative:paragraph;z-index:-285882368" from="360.213013pt,-8.827858pt" to="382.078013pt,-8.827858pt" stroked="true" strokeweight=".796pt" strokecolor="#000000">
            <v:stroke dashstyle="solid"/>
            <w10:wrap type="none"/>
          </v:line>
        </w:pic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bottom="280" w:left="1140" w:right="1020"/>
          <w:cols w:num="2" w:equalWidth="0">
            <w:col w:w="5019" w:space="40"/>
            <w:col w:w="4691"/>
          </w:cols>
        </w:sectPr>
      </w:pPr>
    </w:p>
    <w:p>
      <w:pPr>
        <w:pStyle w:val="BodyText"/>
        <w:spacing w:before="2"/>
        <w:rPr>
          <w:rFonts w:ascii="Times New Roman"/>
          <w:sz w:val="11"/>
        </w:rPr>
      </w:pPr>
    </w:p>
    <w:p>
      <w:pPr>
        <w:pStyle w:val="BodyText"/>
        <w:spacing w:before="74"/>
        <w:ind w:left="700"/>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BodyText"/>
        <w:spacing w:line="364" w:lineRule="auto" w:before="153"/>
        <w:ind w:left="700" w:right="4444"/>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当 </w:t>
      </w:r>
      <w:r>
        <w:rPr>
          <w:rFonts w:ascii="Times New Roman" w:hAnsi="Times New Roman" w:eastAsia="Times New Roman"/>
          <w:vertAlign w:val="baseline"/>
        </w:rPr>
        <w:t>Q&lt;1  </w:t>
      </w:r>
      <w:r>
        <w:rPr>
          <w:vertAlign w:val="baseline"/>
        </w:rPr>
        <w:t>时，该项目环境风险潜势为Ⅰ</w:t>
      </w:r>
    </w:p>
    <w:p>
      <w:pPr>
        <w:pStyle w:val="BodyText"/>
        <w:spacing w:line="305" w:lineRule="exact"/>
        <w:ind w:left="700"/>
      </w:pPr>
      <w:r>
        <w:rPr>
          <w:spacing w:val="-1"/>
        </w:rPr>
        <w:t>当 </w:t>
      </w:r>
      <w:r>
        <w:rPr>
          <w:rFonts w:ascii="Times New Roman" w:hAnsi="Times New Roman" w:eastAsia="Times New Roman"/>
        </w:rPr>
        <w:t>Q≥1  </w:t>
      </w:r>
      <w:r>
        <w:rPr>
          <w:spacing w:val="-1"/>
        </w:rPr>
        <w:t>时，将 </w:t>
      </w:r>
      <w:r>
        <w:rPr>
          <w:rFonts w:ascii="Times New Roman" w:hAnsi="Times New Roman" w:eastAsia="Times New Roman"/>
        </w:rPr>
        <w:t>Q</w:t>
      </w:r>
      <w:r>
        <w:rPr>
          <w:rFonts w:ascii="Times New Roman" w:hAnsi="Times New Roman" w:eastAsia="Times New Roman"/>
          <w:spacing w:val="59"/>
        </w:rPr>
        <w:t> </w:t>
      </w:r>
      <w:r>
        <w:rPr/>
        <w:t>值划分为：（</w:t>
      </w:r>
      <w:r>
        <w:rPr>
          <w:rFonts w:ascii="Times New Roman" w:hAnsi="Times New Roman" w:eastAsia="Times New Roman"/>
        </w:rPr>
        <w:t>1</w:t>
      </w:r>
      <w:r>
        <w:rPr/>
        <w:t>）</w:t>
      </w:r>
      <w:r>
        <w:rPr>
          <w:rFonts w:ascii="Times New Roman" w:hAnsi="Times New Roman" w:eastAsia="Times New Roman"/>
        </w:rPr>
        <w:t>1≤Q&lt;10</w:t>
      </w:r>
      <w:r>
        <w:rPr/>
        <w:t>；（</w:t>
      </w:r>
      <w:r>
        <w:rPr>
          <w:rFonts w:ascii="Times New Roman" w:hAnsi="Times New Roman" w:eastAsia="Times New Roman"/>
        </w:rPr>
        <w:t>2</w:t>
      </w:r>
      <w:r>
        <w:rPr/>
        <w:t>）</w:t>
      </w:r>
      <w:r>
        <w:rPr>
          <w:rFonts w:ascii="Times New Roman" w:hAnsi="Times New Roman" w:eastAsia="Times New Roman"/>
        </w:rPr>
        <w:t>10≤Q&lt;100</w:t>
      </w:r>
      <w:r>
        <w:rPr/>
        <w:t>；（</w:t>
      </w:r>
      <w:r>
        <w:rPr>
          <w:rFonts w:ascii="Times New Roman" w:hAnsi="Times New Roman" w:eastAsia="Times New Roman"/>
        </w:rPr>
        <w:t>3</w:t>
      </w:r>
      <w:r>
        <w:rPr/>
        <w:t>）</w:t>
      </w:r>
      <w:r>
        <w:rPr>
          <w:rFonts w:ascii="Times New Roman" w:hAnsi="Times New Roman" w:eastAsia="Times New Roman"/>
        </w:rPr>
        <w:t>Q≥100</w:t>
      </w:r>
      <w:r>
        <w:rPr/>
        <w:t>。</w:t>
      </w:r>
    </w:p>
    <w:p>
      <w:pPr>
        <w:spacing w:before="160"/>
        <w:ind w:left="0" w:right="112" w:firstLine="0"/>
        <w:jc w:val="center"/>
        <w:rPr>
          <w:b/>
          <w:sz w:val="21"/>
        </w:rPr>
      </w:pPr>
      <w:r>
        <w:rPr>
          <w:b/>
          <w:spacing w:val="-26"/>
          <w:sz w:val="21"/>
        </w:rPr>
        <w:t>表 </w:t>
      </w:r>
      <w:r>
        <w:rPr>
          <w:rFonts w:ascii="Times New Roman" w:eastAsia="Times New Roman"/>
          <w:b/>
          <w:sz w:val="21"/>
        </w:rPr>
        <w:t>15.1-1</w:t>
      </w:r>
      <w:r>
        <w:rPr>
          <w:rFonts w:ascii="Times New Roman" w:eastAsia="Times New Roman"/>
          <w:b/>
          <w:spacing w:val="52"/>
          <w:sz w:val="21"/>
        </w:rPr>
        <w:t> </w:t>
      </w:r>
      <w:r>
        <w:rPr>
          <w:b/>
          <w:spacing w:val="-11"/>
          <w:sz w:val="21"/>
        </w:rPr>
        <w:t>建设项目 </w:t>
      </w:r>
      <w:r>
        <w:rPr>
          <w:rFonts w:ascii="Times New Roman" w:eastAsia="Times New Roman"/>
          <w:b/>
          <w:sz w:val="21"/>
        </w:rPr>
        <w:t>Q </w:t>
      </w:r>
      <w:r>
        <w:rPr>
          <w:b/>
          <w:sz w:val="21"/>
        </w:rPr>
        <w:t>值确定表</w:t>
      </w:r>
    </w:p>
    <w:p>
      <w:pPr>
        <w:pStyle w:val="BodyText"/>
        <w:spacing w:before="10" w:after="1"/>
        <w:rPr>
          <w:b/>
          <w:sz w:val="10"/>
        </w:rPr>
      </w:pPr>
    </w:p>
    <w:tbl>
      <w:tblPr>
        <w:tblW w:w="0" w:type="auto"/>
        <w:jc w:val="left"/>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6"/>
        <w:gridCol w:w="1614"/>
        <w:gridCol w:w="1285"/>
        <w:gridCol w:w="1957"/>
        <w:gridCol w:w="1555"/>
        <w:gridCol w:w="1871"/>
      </w:tblGrid>
      <w:tr>
        <w:trPr>
          <w:trHeight w:val="453" w:hRule="atLeast"/>
        </w:trPr>
        <w:tc>
          <w:tcPr>
            <w:tcW w:w="966" w:type="dxa"/>
          </w:tcPr>
          <w:p>
            <w:pPr>
              <w:pStyle w:val="TableParagraph"/>
              <w:spacing w:before="90"/>
              <w:ind w:left="250" w:right="246"/>
              <w:rPr>
                <w:sz w:val="21"/>
              </w:rPr>
            </w:pPr>
            <w:r>
              <w:rPr>
                <w:sz w:val="21"/>
              </w:rPr>
              <w:t>序号</w:t>
            </w:r>
          </w:p>
        </w:tc>
        <w:tc>
          <w:tcPr>
            <w:tcW w:w="1614" w:type="dxa"/>
          </w:tcPr>
          <w:p>
            <w:pPr>
              <w:pStyle w:val="TableParagraph"/>
              <w:spacing w:before="90"/>
              <w:ind w:left="155" w:right="148"/>
              <w:rPr>
                <w:sz w:val="21"/>
              </w:rPr>
            </w:pPr>
            <w:r>
              <w:rPr>
                <w:sz w:val="21"/>
              </w:rPr>
              <w:t>危险物质名称</w:t>
            </w:r>
          </w:p>
        </w:tc>
        <w:tc>
          <w:tcPr>
            <w:tcW w:w="1285" w:type="dxa"/>
          </w:tcPr>
          <w:p>
            <w:pPr>
              <w:pStyle w:val="TableParagraph"/>
              <w:spacing w:before="90"/>
              <w:ind w:left="184" w:right="174"/>
              <w:rPr>
                <w:sz w:val="21"/>
              </w:rPr>
            </w:pPr>
            <w:r>
              <w:rPr>
                <w:rFonts w:ascii="Times New Roman" w:eastAsia="Times New Roman"/>
                <w:sz w:val="21"/>
              </w:rPr>
              <w:t>CAS </w:t>
            </w:r>
            <w:r>
              <w:rPr>
                <w:sz w:val="21"/>
              </w:rPr>
              <w:t>号</w:t>
            </w:r>
          </w:p>
        </w:tc>
        <w:tc>
          <w:tcPr>
            <w:tcW w:w="1957" w:type="dxa"/>
          </w:tcPr>
          <w:p>
            <w:pPr>
              <w:pStyle w:val="TableParagraph"/>
              <w:spacing w:before="90"/>
              <w:ind w:left="88" w:right="80"/>
              <w:rPr>
                <w:sz w:val="21"/>
              </w:rPr>
            </w:pPr>
            <w:r>
              <w:rPr>
                <w:sz w:val="21"/>
              </w:rPr>
              <w:t>最大存在总量（</w:t>
            </w:r>
            <w:r>
              <w:rPr>
                <w:rFonts w:ascii="Times New Roman" w:eastAsia="Times New Roman"/>
                <w:sz w:val="21"/>
              </w:rPr>
              <w:t>t</w:t>
            </w:r>
            <w:r>
              <w:rPr>
                <w:sz w:val="21"/>
              </w:rPr>
              <w:t>）</w:t>
            </w:r>
          </w:p>
        </w:tc>
        <w:tc>
          <w:tcPr>
            <w:tcW w:w="1555" w:type="dxa"/>
          </w:tcPr>
          <w:p>
            <w:pPr>
              <w:pStyle w:val="TableParagraph"/>
              <w:spacing w:before="90"/>
              <w:ind w:left="125" w:right="118"/>
              <w:rPr>
                <w:sz w:val="21"/>
              </w:rPr>
            </w:pPr>
            <w:r>
              <w:rPr>
                <w:sz w:val="21"/>
              </w:rPr>
              <w:t>临界量（</w:t>
            </w:r>
            <w:r>
              <w:rPr>
                <w:rFonts w:ascii="Times New Roman" w:eastAsia="Times New Roman"/>
                <w:sz w:val="21"/>
              </w:rPr>
              <w:t>t</w:t>
            </w:r>
            <w:r>
              <w:rPr>
                <w:sz w:val="21"/>
              </w:rPr>
              <w:t>）</w:t>
            </w:r>
          </w:p>
        </w:tc>
        <w:tc>
          <w:tcPr>
            <w:tcW w:w="1871" w:type="dxa"/>
          </w:tcPr>
          <w:p>
            <w:pPr>
              <w:pStyle w:val="TableParagraph"/>
              <w:spacing w:before="90"/>
              <w:ind w:left="129" w:right="121"/>
              <w:rPr>
                <w:sz w:val="21"/>
              </w:rPr>
            </w:pPr>
            <w:r>
              <w:rPr>
                <w:sz w:val="21"/>
              </w:rPr>
              <w:t>该种危险物 </w:t>
            </w:r>
            <w:r>
              <w:rPr>
                <w:rFonts w:ascii="Times New Roman" w:eastAsia="Times New Roman"/>
                <w:sz w:val="21"/>
              </w:rPr>
              <w:t>Q </w:t>
            </w:r>
            <w:r>
              <w:rPr>
                <w:sz w:val="21"/>
              </w:rPr>
              <w:t>值</w:t>
            </w:r>
          </w:p>
        </w:tc>
      </w:tr>
      <w:tr>
        <w:trPr>
          <w:trHeight w:val="454" w:hRule="atLeast"/>
        </w:trPr>
        <w:tc>
          <w:tcPr>
            <w:tcW w:w="966" w:type="dxa"/>
          </w:tcPr>
          <w:p>
            <w:pPr>
              <w:pStyle w:val="TableParagraph"/>
              <w:spacing w:before="104"/>
              <w:ind w:left="8"/>
              <w:rPr>
                <w:rFonts w:ascii="Times New Roman"/>
                <w:sz w:val="21"/>
              </w:rPr>
            </w:pPr>
            <w:r>
              <w:rPr>
                <w:rFonts w:ascii="Times New Roman"/>
                <w:w w:val="99"/>
                <w:sz w:val="21"/>
              </w:rPr>
              <w:t>1</w:t>
            </w:r>
          </w:p>
        </w:tc>
        <w:tc>
          <w:tcPr>
            <w:tcW w:w="1614" w:type="dxa"/>
          </w:tcPr>
          <w:p>
            <w:pPr>
              <w:pStyle w:val="TableParagraph"/>
              <w:spacing w:before="90"/>
              <w:ind w:left="152" w:right="148"/>
              <w:rPr>
                <w:sz w:val="21"/>
              </w:rPr>
            </w:pPr>
            <w:r>
              <w:rPr>
                <w:sz w:val="21"/>
              </w:rPr>
              <w:t>油类物质</w:t>
            </w:r>
          </w:p>
        </w:tc>
        <w:tc>
          <w:tcPr>
            <w:tcW w:w="1285" w:type="dxa"/>
          </w:tcPr>
          <w:p>
            <w:pPr>
              <w:pStyle w:val="TableParagraph"/>
              <w:spacing w:before="104"/>
              <w:ind w:left="7"/>
              <w:rPr>
                <w:rFonts w:ascii="Times New Roman"/>
                <w:sz w:val="21"/>
              </w:rPr>
            </w:pPr>
            <w:r>
              <w:rPr>
                <w:rFonts w:ascii="Times New Roman"/>
                <w:w w:val="99"/>
                <w:sz w:val="21"/>
              </w:rPr>
              <w:t>/</w:t>
            </w:r>
          </w:p>
        </w:tc>
        <w:tc>
          <w:tcPr>
            <w:tcW w:w="1957" w:type="dxa"/>
          </w:tcPr>
          <w:p>
            <w:pPr>
              <w:pStyle w:val="TableParagraph"/>
              <w:spacing w:before="104"/>
              <w:ind w:left="88" w:right="79"/>
              <w:rPr>
                <w:rFonts w:ascii="Times New Roman"/>
                <w:sz w:val="21"/>
              </w:rPr>
            </w:pPr>
            <w:r>
              <w:rPr>
                <w:rFonts w:ascii="Times New Roman"/>
                <w:sz w:val="21"/>
              </w:rPr>
              <w:t>20</w:t>
            </w:r>
          </w:p>
        </w:tc>
        <w:tc>
          <w:tcPr>
            <w:tcW w:w="1555" w:type="dxa"/>
          </w:tcPr>
          <w:p>
            <w:pPr>
              <w:pStyle w:val="TableParagraph"/>
              <w:spacing w:before="104"/>
              <w:ind w:left="125" w:right="115"/>
              <w:rPr>
                <w:rFonts w:ascii="Times New Roman"/>
                <w:sz w:val="21"/>
              </w:rPr>
            </w:pPr>
            <w:r>
              <w:rPr>
                <w:rFonts w:ascii="Times New Roman"/>
                <w:sz w:val="21"/>
              </w:rPr>
              <w:t>2500</w:t>
            </w:r>
          </w:p>
        </w:tc>
        <w:tc>
          <w:tcPr>
            <w:tcW w:w="1871" w:type="dxa"/>
          </w:tcPr>
          <w:p>
            <w:pPr>
              <w:pStyle w:val="TableParagraph"/>
              <w:spacing w:before="104"/>
              <w:ind w:left="129" w:right="120"/>
              <w:rPr>
                <w:rFonts w:ascii="Times New Roman"/>
                <w:sz w:val="21"/>
              </w:rPr>
            </w:pPr>
            <w:r>
              <w:rPr>
                <w:rFonts w:ascii="Times New Roman"/>
                <w:sz w:val="21"/>
              </w:rPr>
              <w:t>0.008</w:t>
            </w:r>
          </w:p>
        </w:tc>
      </w:tr>
      <w:tr>
        <w:trPr>
          <w:trHeight w:val="453" w:hRule="atLeast"/>
        </w:trPr>
        <w:tc>
          <w:tcPr>
            <w:tcW w:w="966" w:type="dxa"/>
          </w:tcPr>
          <w:p>
            <w:pPr>
              <w:pStyle w:val="TableParagraph"/>
              <w:spacing w:before="105"/>
              <w:ind w:left="8"/>
              <w:rPr>
                <w:rFonts w:ascii="Times New Roman"/>
                <w:sz w:val="21"/>
              </w:rPr>
            </w:pPr>
            <w:r>
              <w:rPr>
                <w:rFonts w:ascii="Times New Roman"/>
                <w:w w:val="99"/>
                <w:sz w:val="21"/>
              </w:rPr>
              <w:t>2</w:t>
            </w:r>
          </w:p>
        </w:tc>
        <w:tc>
          <w:tcPr>
            <w:tcW w:w="1614" w:type="dxa"/>
          </w:tcPr>
          <w:p>
            <w:pPr>
              <w:pStyle w:val="TableParagraph"/>
              <w:spacing w:before="89"/>
              <w:ind w:left="155" w:right="148"/>
              <w:rPr>
                <w:sz w:val="21"/>
              </w:rPr>
            </w:pPr>
            <w:r>
              <w:rPr>
                <w:sz w:val="21"/>
              </w:rPr>
              <w:t>硝酸铵</w:t>
            </w:r>
          </w:p>
        </w:tc>
        <w:tc>
          <w:tcPr>
            <w:tcW w:w="1285" w:type="dxa"/>
          </w:tcPr>
          <w:p>
            <w:pPr>
              <w:pStyle w:val="TableParagraph"/>
              <w:spacing w:before="105"/>
              <w:ind w:left="185" w:right="174"/>
              <w:rPr>
                <w:rFonts w:ascii="Times New Roman"/>
                <w:sz w:val="21"/>
              </w:rPr>
            </w:pPr>
            <w:r>
              <w:rPr>
                <w:rFonts w:ascii="Times New Roman"/>
                <w:sz w:val="21"/>
              </w:rPr>
              <w:t>6484-52-2</w:t>
            </w:r>
          </w:p>
        </w:tc>
        <w:tc>
          <w:tcPr>
            <w:tcW w:w="1957" w:type="dxa"/>
          </w:tcPr>
          <w:p>
            <w:pPr>
              <w:pStyle w:val="TableParagraph"/>
              <w:spacing w:before="105"/>
              <w:ind w:left="88" w:right="79"/>
              <w:rPr>
                <w:rFonts w:ascii="Times New Roman"/>
                <w:sz w:val="21"/>
              </w:rPr>
            </w:pPr>
            <w:r>
              <w:rPr>
                <w:rFonts w:ascii="Times New Roman"/>
                <w:sz w:val="21"/>
              </w:rPr>
              <w:t>10</w:t>
            </w:r>
          </w:p>
        </w:tc>
        <w:tc>
          <w:tcPr>
            <w:tcW w:w="1555" w:type="dxa"/>
          </w:tcPr>
          <w:p>
            <w:pPr>
              <w:pStyle w:val="TableParagraph"/>
              <w:spacing w:before="105"/>
              <w:ind w:left="125" w:right="115"/>
              <w:rPr>
                <w:rFonts w:ascii="Times New Roman"/>
                <w:sz w:val="21"/>
              </w:rPr>
            </w:pPr>
            <w:r>
              <w:rPr>
                <w:rFonts w:ascii="Times New Roman"/>
                <w:sz w:val="21"/>
              </w:rPr>
              <w:t>50</w:t>
            </w:r>
          </w:p>
        </w:tc>
        <w:tc>
          <w:tcPr>
            <w:tcW w:w="1871" w:type="dxa"/>
          </w:tcPr>
          <w:p>
            <w:pPr>
              <w:pStyle w:val="TableParagraph"/>
              <w:spacing w:before="105"/>
              <w:ind w:left="128" w:right="121"/>
              <w:rPr>
                <w:rFonts w:ascii="Times New Roman"/>
                <w:sz w:val="21"/>
              </w:rPr>
            </w:pPr>
            <w:r>
              <w:rPr>
                <w:rFonts w:ascii="Times New Roman"/>
                <w:sz w:val="21"/>
              </w:rPr>
              <w:t>0.2</w:t>
            </w:r>
          </w:p>
        </w:tc>
      </w:tr>
    </w:tbl>
    <w:p>
      <w:pPr>
        <w:pStyle w:val="BodyText"/>
        <w:spacing w:before="1"/>
        <w:ind w:left="700"/>
      </w:pPr>
      <w:r>
        <w:rPr>
          <w:rFonts w:ascii="Times New Roman" w:hAnsi="Times New Roman" w:eastAsia="Times New Roman"/>
        </w:rPr>
        <w:t>Q&lt;1</w:t>
      </w:r>
      <w:r>
        <w:rPr/>
        <w:t>，因此本项目环境风险潜势为Ⅰ。</w:t>
      </w:r>
    </w:p>
    <w:p>
      <w:pPr>
        <w:pStyle w:val="BodyText"/>
        <w:spacing w:before="160"/>
        <w:ind w:left="700"/>
      </w:pPr>
      <w:r>
        <w:rPr/>
        <w:t>根据《建设项目环境风险评价技术导则》（</w:t>
      </w:r>
      <w:r>
        <w:rPr>
          <w:rFonts w:ascii="Times New Roman" w:eastAsia="Times New Roman"/>
        </w:rPr>
        <w:t>HJ169-2018</w:t>
      </w:r>
      <w:r>
        <w:rPr/>
        <w:t>）中评价等级划分表，见表</w:t>
      </w:r>
    </w:p>
    <w:p>
      <w:pPr>
        <w:pStyle w:val="BodyText"/>
        <w:spacing w:before="158"/>
        <w:ind w:left="220"/>
      </w:pPr>
      <w:r>
        <w:rPr>
          <w:rFonts w:ascii="Times New Roman" w:eastAsia="Times New Roman"/>
        </w:rPr>
        <w:t>15.1-2</w:t>
      </w:r>
      <w:r>
        <w:rPr>
          <w:rFonts w:ascii="Times New Roman" w:eastAsia="Times New Roman"/>
          <w:spacing w:val="59"/>
        </w:rPr>
        <w:t> </w:t>
      </w:r>
      <w:r>
        <w:rPr/>
        <w:t>及本项目风险潜势判断结果，本项目环境风险评价简单分析即可。</w:t>
      </w:r>
    </w:p>
    <w:p>
      <w:pPr>
        <w:spacing w:before="160"/>
        <w:ind w:left="0" w:right="112" w:firstLine="0"/>
        <w:jc w:val="center"/>
        <w:rPr>
          <w:b/>
          <w:sz w:val="21"/>
        </w:rPr>
      </w:pPr>
      <w:r>
        <w:rPr>
          <w:b/>
          <w:sz w:val="21"/>
        </w:rPr>
        <w:t>表 </w:t>
      </w:r>
      <w:r>
        <w:rPr>
          <w:rFonts w:ascii="Times New Roman" w:eastAsia="Times New Roman"/>
          <w:b/>
          <w:sz w:val="21"/>
        </w:rPr>
        <w:t>15.1-2  </w:t>
      </w:r>
      <w:r>
        <w:rPr>
          <w:b/>
          <w:sz w:val="21"/>
        </w:rPr>
        <w:t>评价工作等级划分</w:t>
      </w:r>
    </w:p>
    <w:p>
      <w:pPr>
        <w:pStyle w:val="BodyText"/>
        <w:spacing w:before="10"/>
        <w:rPr>
          <w:b/>
          <w:sz w:val="10"/>
        </w:rPr>
      </w:pPr>
    </w:p>
    <w:tbl>
      <w:tblPr>
        <w:tblW w:w="0" w:type="auto"/>
        <w:jc w:val="left"/>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888"/>
        <w:gridCol w:w="1490"/>
        <w:gridCol w:w="1490"/>
        <w:gridCol w:w="2030"/>
      </w:tblGrid>
      <w:tr>
        <w:trPr>
          <w:trHeight w:val="453" w:hRule="atLeast"/>
        </w:trPr>
        <w:tc>
          <w:tcPr>
            <w:tcW w:w="2302" w:type="dxa"/>
          </w:tcPr>
          <w:p>
            <w:pPr>
              <w:pStyle w:val="TableParagraph"/>
              <w:spacing w:before="91"/>
              <w:ind w:left="499" w:right="493"/>
              <w:rPr>
                <w:sz w:val="21"/>
              </w:rPr>
            </w:pPr>
            <w:r>
              <w:rPr>
                <w:sz w:val="21"/>
              </w:rPr>
              <w:t>环境风险潜势</w:t>
            </w:r>
          </w:p>
        </w:tc>
        <w:tc>
          <w:tcPr>
            <w:tcW w:w="1888" w:type="dxa"/>
          </w:tcPr>
          <w:p>
            <w:pPr>
              <w:pStyle w:val="TableParagraph"/>
              <w:spacing w:before="91"/>
              <w:ind w:left="549" w:right="540"/>
              <w:rPr>
                <w:rFonts w:ascii="Times New Roman" w:hAnsi="Times New Roman" w:eastAsia="Times New Roman"/>
                <w:sz w:val="21"/>
              </w:rPr>
            </w:pPr>
            <w:r>
              <w:rPr>
                <w:sz w:val="21"/>
              </w:rPr>
              <w:t>Ⅳ，Ⅳ</w:t>
            </w:r>
            <w:r>
              <w:rPr>
                <w:rFonts w:ascii="Times New Roman" w:hAnsi="Times New Roman" w:eastAsia="Times New Roman"/>
                <w:sz w:val="21"/>
              </w:rPr>
              <w:t>+</w:t>
            </w:r>
          </w:p>
        </w:tc>
        <w:tc>
          <w:tcPr>
            <w:tcW w:w="1490" w:type="dxa"/>
          </w:tcPr>
          <w:p>
            <w:pPr>
              <w:pStyle w:val="TableParagraph"/>
              <w:spacing w:before="91"/>
              <w:ind w:left="10"/>
              <w:rPr>
                <w:sz w:val="21"/>
              </w:rPr>
            </w:pPr>
            <w:r>
              <w:rPr>
                <w:w w:val="99"/>
                <w:sz w:val="21"/>
              </w:rPr>
              <w:t>Ⅲ</w:t>
            </w:r>
          </w:p>
        </w:tc>
        <w:tc>
          <w:tcPr>
            <w:tcW w:w="1490" w:type="dxa"/>
          </w:tcPr>
          <w:p>
            <w:pPr>
              <w:pStyle w:val="TableParagraph"/>
              <w:spacing w:before="91"/>
              <w:ind w:left="6"/>
              <w:rPr>
                <w:sz w:val="21"/>
              </w:rPr>
            </w:pPr>
            <w:r>
              <w:rPr>
                <w:w w:val="99"/>
                <w:sz w:val="21"/>
              </w:rPr>
              <w:t>Ⅱ</w:t>
            </w:r>
          </w:p>
        </w:tc>
        <w:tc>
          <w:tcPr>
            <w:tcW w:w="2030" w:type="dxa"/>
          </w:tcPr>
          <w:p>
            <w:pPr>
              <w:pStyle w:val="TableParagraph"/>
              <w:spacing w:before="91"/>
              <w:ind w:left="9"/>
              <w:rPr>
                <w:sz w:val="21"/>
              </w:rPr>
            </w:pPr>
            <w:r>
              <w:rPr>
                <w:w w:val="99"/>
                <w:sz w:val="21"/>
              </w:rPr>
              <w:t>Ⅰ</w:t>
            </w:r>
          </w:p>
        </w:tc>
      </w:tr>
      <w:tr>
        <w:trPr>
          <w:trHeight w:val="454" w:hRule="atLeast"/>
        </w:trPr>
        <w:tc>
          <w:tcPr>
            <w:tcW w:w="2302" w:type="dxa"/>
          </w:tcPr>
          <w:p>
            <w:pPr>
              <w:pStyle w:val="TableParagraph"/>
              <w:spacing w:before="90"/>
              <w:ind w:left="499" w:right="493"/>
              <w:rPr>
                <w:sz w:val="21"/>
              </w:rPr>
            </w:pPr>
            <w:r>
              <w:rPr>
                <w:sz w:val="21"/>
              </w:rPr>
              <w:t>评价工作等级</w:t>
            </w:r>
          </w:p>
        </w:tc>
        <w:tc>
          <w:tcPr>
            <w:tcW w:w="1888" w:type="dxa"/>
          </w:tcPr>
          <w:p>
            <w:pPr>
              <w:pStyle w:val="TableParagraph"/>
              <w:spacing w:before="90"/>
              <w:ind w:left="9"/>
              <w:rPr>
                <w:sz w:val="21"/>
              </w:rPr>
            </w:pPr>
            <w:r>
              <w:rPr>
                <w:w w:val="99"/>
                <w:sz w:val="21"/>
              </w:rPr>
              <w:t>一</w:t>
            </w:r>
          </w:p>
        </w:tc>
        <w:tc>
          <w:tcPr>
            <w:tcW w:w="1490" w:type="dxa"/>
          </w:tcPr>
          <w:p>
            <w:pPr>
              <w:pStyle w:val="TableParagraph"/>
              <w:spacing w:before="90"/>
              <w:ind w:left="10"/>
              <w:rPr>
                <w:sz w:val="21"/>
              </w:rPr>
            </w:pPr>
            <w:r>
              <w:rPr>
                <w:w w:val="99"/>
                <w:sz w:val="21"/>
              </w:rPr>
              <w:t>二</w:t>
            </w:r>
          </w:p>
        </w:tc>
        <w:tc>
          <w:tcPr>
            <w:tcW w:w="1490" w:type="dxa"/>
          </w:tcPr>
          <w:p>
            <w:pPr>
              <w:pStyle w:val="TableParagraph"/>
              <w:spacing w:before="90"/>
              <w:ind w:left="6"/>
              <w:rPr>
                <w:sz w:val="21"/>
              </w:rPr>
            </w:pPr>
            <w:r>
              <w:rPr>
                <w:w w:val="99"/>
                <w:sz w:val="21"/>
              </w:rPr>
              <w:t>三</w:t>
            </w:r>
          </w:p>
        </w:tc>
        <w:tc>
          <w:tcPr>
            <w:tcW w:w="2030" w:type="dxa"/>
          </w:tcPr>
          <w:p>
            <w:pPr>
              <w:pStyle w:val="TableParagraph"/>
              <w:spacing w:before="90"/>
              <w:ind w:left="493" w:right="483"/>
              <w:rPr>
                <w:rFonts w:ascii="Times New Roman" w:eastAsia="Times New Roman"/>
                <w:sz w:val="13"/>
              </w:rPr>
            </w:pPr>
            <w:r>
              <w:rPr>
                <w:sz w:val="21"/>
              </w:rPr>
              <w:t>简单分析 </w:t>
            </w:r>
            <w:r>
              <w:rPr>
                <w:rFonts w:ascii="Times New Roman" w:eastAsia="Times New Roman"/>
                <w:position w:val="7"/>
                <w:sz w:val="13"/>
              </w:rPr>
              <w:t>a</w:t>
            </w:r>
          </w:p>
        </w:tc>
      </w:tr>
      <w:tr>
        <w:trPr>
          <w:trHeight w:val="545" w:hRule="atLeast"/>
        </w:trPr>
        <w:tc>
          <w:tcPr>
            <w:tcW w:w="9200" w:type="dxa"/>
            <w:gridSpan w:val="5"/>
          </w:tcPr>
          <w:p>
            <w:pPr>
              <w:pStyle w:val="TableParagraph"/>
              <w:ind w:left="4"/>
              <w:jc w:val="left"/>
              <w:rPr>
                <w:sz w:val="21"/>
              </w:rPr>
            </w:pPr>
            <w:r>
              <w:rPr>
                <w:rFonts w:ascii="Times New Roman" w:eastAsia="Times New Roman"/>
                <w:position w:val="7"/>
                <w:sz w:val="13"/>
              </w:rPr>
              <w:t>a </w:t>
            </w:r>
            <w:r>
              <w:rPr>
                <w:sz w:val="21"/>
              </w:rPr>
              <w:t>是相对于详细评价工作内容而言，在描述危险物质、环境影响途径、环境危害后果、风险防范措施</w:t>
            </w:r>
          </w:p>
          <w:p>
            <w:pPr>
              <w:pStyle w:val="TableParagraph"/>
              <w:spacing w:line="251" w:lineRule="exact" w:before="5"/>
              <w:ind w:left="4"/>
              <w:jc w:val="left"/>
              <w:rPr>
                <w:sz w:val="21"/>
              </w:rPr>
            </w:pPr>
            <w:r>
              <w:rPr>
                <w:sz w:val="21"/>
              </w:rPr>
              <w:t>等方面给出定性的说明。</w:t>
            </w:r>
          </w:p>
        </w:tc>
      </w:tr>
    </w:tbl>
    <w:p>
      <w:pPr>
        <w:pStyle w:val="Heading2"/>
        <w:numPr>
          <w:ilvl w:val="1"/>
          <w:numId w:val="98"/>
        </w:numPr>
        <w:tabs>
          <w:tab w:pos="896" w:val="left" w:leader="none"/>
        </w:tabs>
        <w:spacing w:line="240" w:lineRule="auto" w:before="1" w:after="0"/>
        <w:ind w:left="895" w:right="0" w:hanging="676"/>
        <w:jc w:val="left"/>
      </w:pPr>
      <w:bookmarkStart w:name="15.2 环境敏感目标调查" w:id="1113"/>
      <w:bookmarkEnd w:id="1113"/>
      <w:r>
        <w:rPr>
          <w:b w:val="0"/>
        </w:rPr>
      </w:r>
      <w:bookmarkStart w:name="_bookmark82" w:id="1114"/>
      <w:bookmarkEnd w:id="1114"/>
      <w:r>
        <w:rPr>
          <w:b w:val="0"/>
        </w:rPr>
      </w:r>
      <w:bookmarkStart w:name="_bookmark82" w:id="1115"/>
      <w:bookmarkEnd w:id="1115"/>
      <w:r>
        <w:rPr/>
        <w:t>环境敏感目标调查</w:t>
      </w:r>
    </w:p>
    <w:p>
      <w:pPr>
        <w:pStyle w:val="BodyText"/>
        <w:spacing w:before="199"/>
        <w:ind w:left="700"/>
      </w:pPr>
      <w:r>
        <w:rPr/>
        <w:t>环境敏感目标见下表。</w:t>
      </w:r>
    </w:p>
    <w:p>
      <w:pPr>
        <w:spacing w:after="0"/>
        <w:sectPr>
          <w:type w:val="continuous"/>
          <w:pgSz w:w="11910" w:h="16840"/>
          <w:pgMar w:top="1580" w:bottom="280" w:left="1140" w:right="1020"/>
        </w:sectPr>
      </w:pPr>
    </w:p>
    <w:p>
      <w:pPr>
        <w:spacing w:before="60"/>
        <w:ind w:left="0" w:right="110" w:firstLine="0"/>
        <w:jc w:val="center"/>
        <w:rPr>
          <w:b/>
          <w:sz w:val="21"/>
        </w:rPr>
      </w:pPr>
      <w:r>
        <w:rPr>
          <w:b/>
          <w:spacing w:val="-28"/>
          <w:sz w:val="21"/>
        </w:rPr>
        <w:t>表 </w:t>
      </w:r>
      <w:r>
        <w:rPr>
          <w:rFonts w:ascii="Times New Roman" w:eastAsia="Times New Roman"/>
          <w:b/>
          <w:sz w:val="21"/>
        </w:rPr>
        <w:t>15.2-1</w:t>
      </w:r>
      <w:r>
        <w:rPr>
          <w:rFonts w:ascii="Times New Roman" w:eastAsia="Times New Roman"/>
          <w:b/>
          <w:spacing w:val="52"/>
          <w:sz w:val="21"/>
        </w:rPr>
        <w:t> </w:t>
      </w:r>
      <w:r>
        <w:rPr>
          <w:b/>
          <w:sz w:val="21"/>
        </w:rPr>
        <w:t>建设项目环境敏感特征表</w:t>
      </w:r>
    </w:p>
    <w:p>
      <w:pPr>
        <w:pStyle w:val="BodyText"/>
        <w:spacing w:before="11" w:after="1"/>
        <w:rPr>
          <w:b/>
          <w:sz w:val="10"/>
        </w:rPr>
      </w:pP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584"/>
        <w:gridCol w:w="1761"/>
        <w:gridCol w:w="1392"/>
        <w:gridCol w:w="1705"/>
        <w:gridCol w:w="1847"/>
        <w:gridCol w:w="1213"/>
      </w:tblGrid>
      <w:tr>
        <w:trPr>
          <w:trHeight w:val="340" w:hRule="atLeast"/>
        </w:trPr>
        <w:tc>
          <w:tcPr>
            <w:tcW w:w="624" w:type="dxa"/>
          </w:tcPr>
          <w:p>
            <w:pPr>
              <w:pStyle w:val="TableParagraph"/>
              <w:spacing w:before="32"/>
              <w:ind w:left="101"/>
              <w:jc w:val="left"/>
              <w:rPr>
                <w:sz w:val="21"/>
              </w:rPr>
            </w:pPr>
            <w:r>
              <w:rPr>
                <w:sz w:val="21"/>
              </w:rPr>
              <w:t>类别</w:t>
            </w:r>
          </w:p>
        </w:tc>
        <w:tc>
          <w:tcPr>
            <w:tcW w:w="8502" w:type="dxa"/>
            <w:gridSpan w:val="6"/>
          </w:tcPr>
          <w:p>
            <w:pPr>
              <w:pStyle w:val="TableParagraph"/>
              <w:spacing w:before="32"/>
              <w:ind w:left="3227" w:right="3221"/>
              <w:rPr>
                <w:sz w:val="21"/>
              </w:rPr>
            </w:pPr>
            <w:r>
              <w:rPr>
                <w:sz w:val="21"/>
              </w:rPr>
              <w:t>环境敏感特征</w:t>
            </w:r>
          </w:p>
        </w:tc>
      </w:tr>
      <w:tr>
        <w:trPr>
          <w:trHeight w:val="340" w:hRule="atLeast"/>
        </w:trPr>
        <w:tc>
          <w:tcPr>
            <w:tcW w:w="624"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21"/>
              </w:rPr>
            </w:pPr>
          </w:p>
          <w:p>
            <w:pPr>
              <w:pStyle w:val="TableParagraph"/>
              <w:spacing w:line="244" w:lineRule="auto"/>
              <w:ind w:left="101" w:right="92"/>
              <w:jc w:val="left"/>
              <w:rPr>
                <w:sz w:val="21"/>
              </w:rPr>
            </w:pPr>
            <w:r>
              <w:rPr>
                <w:sz w:val="21"/>
              </w:rPr>
              <w:t>环境空气</w:t>
            </w:r>
          </w:p>
        </w:tc>
        <w:tc>
          <w:tcPr>
            <w:tcW w:w="8502" w:type="dxa"/>
            <w:gridSpan w:val="6"/>
          </w:tcPr>
          <w:p>
            <w:pPr>
              <w:pStyle w:val="TableParagraph"/>
              <w:spacing w:before="33"/>
              <w:ind w:left="3229" w:right="3221"/>
              <w:rPr>
                <w:sz w:val="21"/>
              </w:rPr>
            </w:pPr>
            <w:r>
              <w:rPr>
                <w:sz w:val="21"/>
              </w:rPr>
              <w:t>厂址周边 </w:t>
            </w:r>
            <w:r>
              <w:rPr>
                <w:rFonts w:ascii="Times New Roman" w:eastAsia="Times New Roman"/>
                <w:sz w:val="21"/>
              </w:rPr>
              <w:t>5km </w:t>
            </w:r>
            <w:r>
              <w:rPr>
                <w:sz w:val="21"/>
              </w:rPr>
              <w:t>范围内</w:t>
            </w:r>
          </w:p>
        </w:tc>
      </w:tr>
      <w:tr>
        <w:trPr>
          <w:trHeight w:val="543" w:hRule="atLeast"/>
        </w:trPr>
        <w:tc>
          <w:tcPr>
            <w:tcW w:w="624" w:type="dxa"/>
            <w:vMerge/>
            <w:tcBorders>
              <w:top w:val="nil"/>
            </w:tcBorders>
          </w:tcPr>
          <w:p>
            <w:pPr>
              <w:rPr>
                <w:sz w:val="2"/>
                <w:szCs w:val="2"/>
              </w:rPr>
            </w:pPr>
          </w:p>
        </w:tc>
        <w:tc>
          <w:tcPr>
            <w:tcW w:w="584" w:type="dxa"/>
          </w:tcPr>
          <w:p>
            <w:pPr>
              <w:pStyle w:val="TableParagraph"/>
              <w:spacing w:before="134"/>
              <w:ind w:left="61" w:right="52"/>
              <w:rPr>
                <w:sz w:val="21"/>
              </w:rPr>
            </w:pPr>
            <w:r>
              <w:rPr>
                <w:sz w:val="21"/>
              </w:rPr>
              <w:t>序号</w:t>
            </w:r>
          </w:p>
        </w:tc>
        <w:tc>
          <w:tcPr>
            <w:tcW w:w="1761" w:type="dxa"/>
          </w:tcPr>
          <w:p>
            <w:pPr>
              <w:pStyle w:val="TableParagraph"/>
              <w:spacing w:before="134"/>
              <w:ind w:left="228" w:right="222"/>
              <w:rPr>
                <w:sz w:val="21"/>
              </w:rPr>
            </w:pPr>
            <w:r>
              <w:rPr>
                <w:sz w:val="21"/>
              </w:rPr>
              <w:t>敏感目标名称</w:t>
            </w:r>
          </w:p>
        </w:tc>
        <w:tc>
          <w:tcPr>
            <w:tcW w:w="1392" w:type="dxa"/>
          </w:tcPr>
          <w:p>
            <w:pPr>
              <w:pStyle w:val="TableParagraph"/>
              <w:spacing w:before="134"/>
              <w:ind w:left="253" w:right="249"/>
              <w:rPr>
                <w:sz w:val="21"/>
              </w:rPr>
            </w:pPr>
            <w:r>
              <w:rPr>
                <w:sz w:val="21"/>
              </w:rPr>
              <w:t>相对方位</w:t>
            </w:r>
          </w:p>
        </w:tc>
        <w:tc>
          <w:tcPr>
            <w:tcW w:w="1705" w:type="dxa"/>
          </w:tcPr>
          <w:p>
            <w:pPr>
              <w:pStyle w:val="TableParagraph"/>
              <w:spacing w:line="269" w:lineRule="exact"/>
              <w:ind w:left="116"/>
              <w:jc w:val="left"/>
              <w:rPr>
                <w:sz w:val="21"/>
              </w:rPr>
            </w:pPr>
            <w:r>
              <w:rPr>
                <w:w w:val="95"/>
                <w:sz w:val="21"/>
              </w:rPr>
              <w:t>距本项目装置区</w:t>
            </w:r>
          </w:p>
          <w:p>
            <w:pPr>
              <w:pStyle w:val="TableParagraph"/>
              <w:spacing w:line="253" w:lineRule="exact" w:before="2"/>
              <w:ind w:left="111"/>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tcPr>
          <w:p>
            <w:pPr>
              <w:pStyle w:val="TableParagraph"/>
              <w:spacing w:before="134"/>
              <w:ind w:left="586" w:right="580"/>
              <w:rPr>
                <w:sz w:val="21"/>
              </w:rPr>
            </w:pPr>
            <w:r>
              <w:rPr>
                <w:sz w:val="21"/>
              </w:rPr>
              <w:t>属性</w:t>
            </w:r>
          </w:p>
        </w:tc>
        <w:tc>
          <w:tcPr>
            <w:tcW w:w="1213" w:type="dxa"/>
          </w:tcPr>
          <w:p>
            <w:pPr>
              <w:pStyle w:val="TableParagraph"/>
              <w:spacing w:before="134"/>
              <w:ind w:left="291"/>
              <w:jc w:val="left"/>
              <w:rPr>
                <w:sz w:val="21"/>
              </w:rPr>
            </w:pPr>
            <w:r>
              <w:rPr>
                <w:sz w:val="21"/>
              </w:rPr>
              <w:t>人口数</w:t>
            </w:r>
          </w:p>
        </w:tc>
      </w:tr>
      <w:tr>
        <w:trPr>
          <w:trHeight w:val="340" w:hRule="atLeast"/>
        </w:trPr>
        <w:tc>
          <w:tcPr>
            <w:tcW w:w="624" w:type="dxa"/>
            <w:vMerge/>
            <w:tcBorders>
              <w:top w:val="nil"/>
            </w:tcBorders>
          </w:tcPr>
          <w:p>
            <w:pPr>
              <w:rPr>
                <w:sz w:val="2"/>
                <w:szCs w:val="2"/>
              </w:rPr>
            </w:pPr>
          </w:p>
        </w:tc>
        <w:tc>
          <w:tcPr>
            <w:tcW w:w="584" w:type="dxa"/>
          </w:tcPr>
          <w:p>
            <w:pPr>
              <w:pStyle w:val="TableParagraph"/>
              <w:spacing w:before="50"/>
              <w:ind w:left="8"/>
              <w:rPr>
                <w:rFonts w:ascii="Times New Roman"/>
                <w:sz w:val="21"/>
              </w:rPr>
            </w:pPr>
            <w:r>
              <w:rPr>
                <w:rFonts w:ascii="Times New Roman"/>
                <w:w w:val="99"/>
                <w:sz w:val="21"/>
              </w:rPr>
              <w:t>1</w:t>
            </w:r>
          </w:p>
        </w:tc>
        <w:tc>
          <w:tcPr>
            <w:tcW w:w="1761" w:type="dxa"/>
          </w:tcPr>
          <w:p>
            <w:pPr>
              <w:pStyle w:val="TableParagraph"/>
              <w:spacing w:before="34"/>
              <w:ind w:left="228" w:right="222"/>
              <w:rPr>
                <w:sz w:val="21"/>
              </w:rPr>
            </w:pPr>
            <w:r>
              <w:rPr>
                <w:sz w:val="21"/>
              </w:rPr>
              <w:t>东兴村</w:t>
            </w:r>
          </w:p>
        </w:tc>
        <w:tc>
          <w:tcPr>
            <w:tcW w:w="1392" w:type="dxa"/>
          </w:tcPr>
          <w:p>
            <w:pPr>
              <w:pStyle w:val="TableParagraph"/>
              <w:spacing w:before="50"/>
              <w:ind w:left="253" w:right="248"/>
              <w:rPr>
                <w:rFonts w:ascii="Times New Roman"/>
                <w:sz w:val="21"/>
              </w:rPr>
            </w:pPr>
            <w:r>
              <w:rPr>
                <w:rFonts w:ascii="Times New Roman"/>
                <w:sz w:val="21"/>
              </w:rPr>
              <w:t>NWW</w:t>
            </w:r>
          </w:p>
        </w:tc>
        <w:tc>
          <w:tcPr>
            <w:tcW w:w="1705" w:type="dxa"/>
          </w:tcPr>
          <w:p>
            <w:pPr>
              <w:pStyle w:val="TableParagraph"/>
              <w:spacing w:before="50"/>
              <w:ind w:left="97" w:right="88"/>
              <w:rPr>
                <w:rFonts w:ascii="Times New Roman"/>
                <w:sz w:val="21"/>
              </w:rPr>
            </w:pPr>
            <w:r>
              <w:rPr>
                <w:rFonts w:ascii="Times New Roman"/>
                <w:sz w:val="21"/>
              </w:rPr>
              <w:t>750</w:t>
            </w:r>
          </w:p>
        </w:tc>
        <w:tc>
          <w:tcPr>
            <w:tcW w:w="1847" w:type="dxa"/>
          </w:tcPr>
          <w:p>
            <w:pPr>
              <w:pStyle w:val="TableParagraph"/>
              <w:spacing w:before="34"/>
              <w:ind w:left="586" w:right="580"/>
              <w:rPr>
                <w:sz w:val="21"/>
              </w:rPr>
            </w:pPr>
            <w:r>
              <w:rPr>
                <w:sz w:val="21"/>
              </w:rPr>
              <w:t>居住区</w:t>
            </w:r>
          </w:p>
        </w:tc>
        <w:tc>
          <w:tcPr>
            <w:tcW w:w="1213" w:type="dxa"/>
          </w:tcPr>
          <w:p>
            <w:pPr>
              <w:pStyle w:val="TableParagraph"/>
              <w:spacing w:before="34"/>
              <w:ind w:left="317"/>
              <w:jc w:val="left"/>
              <w:rPr>
                <w:sz w:val="21"/>
              </w:rPr>
            </w:pPr>
            <w:r>
              <w:rPr>
                <w:rFonts w:ascii="Times New Roman" w:eastAsia="Times New Roman"/>
                <w:sz w:val="21"/>
              </w:rPr>
              <w:t>965 </w:t>
            </w:r>
            <w:r>
              <w:rPr>
                <w:sz w:val="21"/>
              </w:rPr>
              <w:t>人</w:t>
            </w:r>
          </w:p>
        </w:tc>
      </w:tr>
      <w:tr>
        <w:trPr>
          <w:trHeight w:val="340" w:hRule="atLeast"/>
        </w:trPr>
        <w:tc>
          <w:tcPr>
            <w:tcW w:w="624" w:type="dxa"/>
            <w:vMerge/>
            <w:tcBorders>
              <w:top w:val="nil"/>
            </w:tcBorders>
          </w:tcPr>
          <w:p>
            <w:pPr>
              <w:rPr>
                <w:sz w:val="2"/>
                <w:szCs w:val="2"/>
              </w:rPr>
            </w:pPr>
          </w:p>
        </w:tc>
        <w:tc>
          <w:tcPr>
            <w:tcW w:w="584" w:type="dxa"/>
          </w:tcPr>
          <w:p>
            <w:pPr>
              <w:pStyle w:val="TableParagraph"/>
              <w:spacing w:before="48"/>
              <w:ind w:left="8"/>
              <w:rPr>
                <w:rFonts w:ascii="Times New Roman"/>
                <w:sz w:val="21"/>
              </w:rPr>
            </w:pPr>
            <w:r>
              <w:rPr>
                <w:rFonts w:ascii="Times New Roman"/>
                <w:w w:val="99"/>
                <w:sz w:val="21"/>
              </w:rPr>
              <w:t>2</w:t>
            </w:r>
          </w:p>
        </w:tc>
        <w:tc>
          <w:tcPr>
            <w:tcW w:w="1761" w:type="dxa"/>
          </w:tcPr>
          <w:p>
            <w:pPr>
              <w:pStyle w:val="TableParagraph"/>
              <w:spacing w:before="34"/>
              <w:ind w:left="228" w:right="222"/>
              <w:rPr>
                <w:sz w:val="21"/>
              </w:rPr>
            </w:pPr>
            <w:r>
              <w:rPr>
                <w:sz w:val="21"/>
              </w:rPr>
              <w:t>东升村</w:t>
            </w:r>
          </w:p>
        </w:tc>
        <w:tc>
          <w:tcPr>
            <w:tcW w:w="1392" w:type="dxa"/>
          </w:tcPr>
          <w:p>
            <w:pPr>
              <w:pStyle w:val="TableParagraph"/>
              <w:spacing w:before="48"/>
              <w:ind w:left="7"/>
              <w:rPr>
                <w:rFonts w:ascii="Times New Roman"/>
                <w:sz w:val="21"/>
              </w:rPr>
            </w:pPr>
            <w:r>
              <w:rPr>
                <w:rFonts w:ascii="Times New Roman"/>
                <w:w w:val="99"/>
                <w:sz w:val="21"/>
              </w:rPr>
              <w:t>W</w:t>
            </w:r>
          </w:p>
        </w:tc>
        <w:tc>
          <w:tcPr>
            <w:tcW w:w="1705" w:type="dxa"/>
          </w:tcPr>
          <w:p>
            <w:pPr>
              <w:pStyle w:val="TableParagraph"/>
              <w:spacing w:before="48"/>
              <w:ind w:left="97" w:right="88"/>
              <w:rPr>
                <w:rFonts w:ascii="Times New Roman"/>
                <w:sz w:val="21"/>
              </w:rPr>
            </w:pPr>
            <w:r>
              <w:rPr>
                <w:rFonts w:ascii="Times New Roman"/>
                <w:sz w:val="21"/>
              </w:rPr>
              <w:t>1600</w:t>
            </w:r>
          </w:p>
        </w:tc>
        <w:tc>
          <w:tcPr>
            <w:tcW w:w="1847" w:type="dxa"/>
          </w:tcPr>
          <w:p>
            <w:pPr>
              <w:pStyle w:val="TableParagraph"/>
              <w:spacing w:before="34"/>
              <w:ind w:left="586" w:right="580"/>
              <w:rPr>
                <w:sz w:val="21"/>
              </w:rPr>
            </w:pPr>
            <w:r>
              <w:rPr>
                <w:sz w:val="21"/>
              </w:rPr>
              <w:t>居住区</w:t>
            </w:r>
          </w:p>
        </w:tc>
        <w:tc>
          <w:tcPr>
            <w:tcW w:w="1213" w:type="dxa"/>
          </w:tcPr>
          <w:p>
            <w:pPr>
              <w:pStyle w:val="TableParagraph"/>
              <w:spacing w:before="34"/>
              <w:ind w:left="269"/>
              <w:jc w:val="left"/>
              <w:rPr>
                <w:sz w:val="21"/>
              </w:rPr>
            </w:pPr>
            <w:r>
              <w:rPr>
                <w:rFonts w:ascii="Times New Roman" w:eastAsia="Times New Roman"/>
                <w:sz w:val="21"/>
              </w:rPr>
              <w:t>1100 </w:t>
            </w:r>
            <w:r>
              <w:rPr>
                <w:sz w:val="21"/>
              </w:rPr>
              <w:t>人</w:t>
            </w:r>
          </w:p>
        </w:tc>
      </w:tr>
      <w:tr>
        <w:trPr>
          <w:trHeight w:val="340" w:hRule="atLeast"/>
        </w:trPr>
        <w:tc>
          <w:tcPr>
            <w:tcW w:w="624" w:type="dxa"/>
            <w:vMerge/>
            <w:tcBorders>
              <w:top w:val="nil"/>
            </w:tcBorders>
          </w:tcPr>
          <w:p>
            <w:pPr>
              <w:rPr>
                <w:sz w:val="2"/>
                <w:szCs w:val="2"/>
              </w:rPr>
            </w:pPr>
          </w:p>
        </w:tc>
        <w:tc>
          <w:tcPr>
            <w:tcW w:w="584" w:type="dxa"/>
          </w:tcPr>
          <w:p>
            <w:pPr>
              <w:pStyle w:val="TableParagraph"/>
              <w:spacing w:before="48"/>
              <w:ind w:left="8"/>
              <w:rPr>
                <w:rFonts w:ascii="Times New Roman"/>
                <w:sz w:val="21"/>
              </w:rPr>
            </w:pPr>
            <w:r>
              <w:rPr>
                <w:rFonts w:ascii="Times New Roman"/>
                <w:w w:val="99"/>
                <w:sz w:val="21"/>
              </w:rPr>
              <w:t>3</w:t>
            </w:r>
          </w:p>
        </w:tc>
        <w:tc>
          <w:tcPr>
            <w:tcW w:w="1761" w:type="dxa"/>
          </w:tcPr>
          <w:p>
            <w:pPr>
              <w:pStyle w:val="TableParagraph"/>
              <w:spacing w:before="34"/>
              <w:ind w:left="228" w:right="219"/>
              <w:rPr>
                <w:sz w:val="21"/>
              </w:rPr>
            </w:pPr>
            <w:r>
              <w:rPr>
                <w:sz w:val="21"/>
              </w:rPr>
              <w:t>博爱园小区</w:t>
            </w:r>
          </w:p>
        </w:tc>
        <w:tc>
          <w:tcPr>
            <w:tcW w:w="1392" w:type="dxa"/>
          </w:tcPr>
          <w:p>
            <w:pPr>
              <w:pStyle w:val="TableParagraph"/>
              <w:spacing w:before="48"/>
              <w:ind w:left="7"/>
              <w:rPr>
                <w:rFonts w:ascii="Times New Roman"/>
                <w:sz w:val="21"/>
              </w:rPr>
            </w:pPr>
            <w:r>
              <w:rPr>
                <w:rFonts w:ascii="Times New Roman"/>
                <w:w w:val="99"/>
                <w:sz w:val="21"/>
              </w:rPr>
              <w:t>W</w:t>
            </w:r>
          </w:p>
        </w:tc>
        <w:tc>
          <w:tcPr>
            <w:tcW w:w="1705" w:type="dxa"/>
          </w:tcPr>
          <w:p>
            <w:pPr>
              <w:pStyle w:val="TableParagraph"/>
              <w:spacing w:before="48"/>
              <w:ind w:left="97" w:right="88"/>
              <w:rPr>
                <w:rFonts w:ascii="Times New Roman"/>
                <w:sz w:val="21"/>
              </w:rPr>
            </w:pPr>
            <w:r>
              <w:rPr>
                <w:rFonts w:ascii="Times New Roman"/>
                <w:sz w:val="21"/>
              </w:rPr>
              <w:t>1732</w:t>
            </w:r>
          </w:p>
        </w:tc>
        <w:tc>
          <w:tcPr>
            <w:tcW w:w="1847" w:type="dxa"/>
          </w:tcPr>
          <w:p>
            <w:pPr>
              <w:pStyle w:val="TableParagraph"/>
              <w:spacing w:before="34"/>
              <w:ind w:left="586" w:right="580"/>
              <w:rPr>
                <w:sz w:val="21"/>
              </w:rPr>
            </w:pPr>
            <w:r>
              <w:rPr>
                <w:sz w:val="21"/>
              </w:rPr>
              <w:t>居住区</w:t>
            </w:r>
          </w:p>
        </w:tc>
        <w:tc>
          <w:tcPr>
            <w:tcW w:w="1213" w:type="dxa"/>
          </w:tcPr>
          <w:p>
            <w:pPr>
              <w:pStyle w:val="TableParagraph"/>
              <w:spacing w:before="34"/>
              <w:ind w:left="212"/>
              <w:jc w:val="left"/>
              <w:rPr>
                <w:sz w:val="21"/>
              </w:rPr>
            </w:pPr>
            <w:r>
              <w:rPr>
                <w:rFonts w:ascii="Times New Roman" w:eastAsia="Times New Roman"/>
                <w:sz w:val="21"/>
              </w:rPr>
              <w:t>17000 </w:t>
            </w:r>
            <w:r>
              <w:rPr>
                <w:sz w:val="21"/>
              </w:rPr>
              <w:t>人</w:t>
            </w:r>
          </w:p>
        </w:tc>
      </w:tr>
      <w:tr>
        <w:trPr>
          <w:trHeight w:val="340" w:hRule="atLeast"/>
        </w:trPr>
        <w:tc>
          <w:tcPr>
            <w:tcW w:w="624" w:type="dxa"/>
            <w:vMerge/>
            <w:tcBorders>
              <w:top w:val="nil"/>
            </w:tcBorders>
          </w:tcPr>
          <w:p>
            <w:pPr>
              <w:rPr>
                <w:sz w:val="2"/>
                <w:szCs w:val="2"/>
              </w:rPr>
            </w:pPr>
          </w:p>
        </w:tc>
        <w:tc>
          <w:tcPr>
            <w:tcW w:w="7289" w:type="dxa"/>
            <w:gridSpan w:val="5"/>
          </w:tcPr>
          <w:p>
            <w:pPr>
              <w:pStyle w:val="TableParagraph"/>
              <w:spacing w:before="35"/>
              <w:ind w:left="2044" w:right="2039"/>
              <w:rPr>
                <w:sz w:val="21"/>
              </w:rPr>
            </w:pPr>
            <w:r>
              <w:rPr>
                <w:sz w:val="21"/>
              </w:rPr>
              <w:t>厂址周边 </w:t>
            </w:r>
            <w:r>
              <w:rPr>
                <w:rFonts w:ascii="Times New Roman" w:eastAsia="Times New Roman"/>
                <w:sz w:val="21"/>
              </w:rPr>
              <w:t>500m </w:t>
            </w:r>
            <w:r>
              <w:rPr>
                <w:sz w:val="21"/>
              </w:rPr>
              <w:t>范围内人口数小计</w:t>
            </w:r>
          </w:p>
        </w:tc>
        <w:tc>
          <w:tcPr>
            <w:tcW w:w="1213" w:type="dxa"/>
          </w:tcPr>
          <w:p>
            <w:pPr>
              <w:pStyle w:val="TableParagraph"/>
              <w:spacing w:before="49"/>
              <w:ind w:left="7"/>
              <w:rPr>
                <w:rFonts w:ascii="Times New Roman"/>
                <w:sz w:val="21"/>
              </w:rPr>
            </w:pPr>
            <w:r>
              <w:rPr>
                <w:rFonts w:ascii="Times New Roman"/>
                <w:w w:val="99"/>
                <w:sz w:val="21"/>
              </w:rPr>
              <w:t>0</w:t>
            </w:r>
          </w:p>
        </w:tc>
      </w:tr>
      <w:tr>
        <w:trPr>
          <w:trHeight w:val="340" w:hRule="atLeast"/>
        </w:trPr>
        <w:tc>
          <w:tcPr>
            <w:tcW w:w="624" w:type="dxa"/>
            <w:vMerge/>
            <w:tcBorders>
              <w:top w:val="nil"/>
            </w:tcBorders>
          </w:tcPr>
          <w:p>
            <w:pPr>
              <w:rPr>
                <w:sz w:val="2"/>
                <w:szCs w:val="2"/>
              </w:rPr>
            </w:pPr>
          </w:p>
        </w:tc>
        <w:tc>
          <w:tcPr>
            <w:tcW w:w="7289" w:type="dxa"/>
            <w:gridSpan w:val="5"/>
          </w:tcPr>
          <w:p>
            <w:pPr>
              <w:pStyle w:val="TableParagraph"/>
              <w:spacing w:before="33"/>
              <w:ind w:left="2044" w:right="2035"/>
              <w:rPr>
                <w:sz w:val="21"/>
              </w:rPr>
            </w:pPr>
            <w:r>
              <w:rPr>
                <w:sz w:val="21"/>
              </w:rPr>
              <w:t>厂址周边 </w:t>
            </w:r>
            <w:r>
              <w:rPr>
                <w:rFonts w:ascii="Times New Roman" w:eastAsia="Times New Roman"/>
                <w:sz w:val="21"/>
              </w:rPr>
              <w:t>5km </w:t>
            </w:r>
            <w:r>
              <w:rPr>
                <w:sz w:val="21"/>
              </w:rPr>
              <w:t>范围内人口数小计</w:t>
            </w:r>
          </w:p>
        </w:tc>
        <w:tc>
          <w:tcPr>
            <w:tcW w:w="1213" w:type="dxa"/>
          </w:tcPr>
          <w:p>
            <w:pPr>
              <w:pStyle w:val="TableParagraph"/>
              <w:spacing w:before="33"/>
              <w:ind w:left="212"/>
              <w:jc w:val="left"/>
              <w:rPr>
                <w:sz w:val="21"/>
              </w:rPr>
            </w:pPr>
            <w:r>
              <w:rPr>
                <w:rFonts w:ascii="Times New Roman" w:eastAsia="Times New Roman"/>
                <w:sz w:val="21"/>
              </w:rPr>
              <w:t>19065 </w:t>
            </w:r>
            <w:r>
              <w:rPr>
                <w:sz w:val="21"/>
              </w:rPr>
              <w:t>人</w:t>
            </w:r>
          </w:p>
        </w:tc>
      </w:tr>
    </w:tbl>
    <w:p>
      <w:pPr>
        <w:pStyle w:val="BodyText"/>
        <w:spacing w:before="6"/>
        <w:rPr>
          <w:b/>
          <w:sz w:val="32"/>
        </w:rPr>
      </w:pPr>
    </w:p>
    <w:p>
      <w:pPr>
        <w:pStyle w:val="Heading2"/>
        <w:numPr>
          <w:ilvl w:val="1"/>
          <w:numId w:val="98"/>
        </w:numPr>
        <w:tabs>
          <w:tab w:pos="896" w:val="left" w:leader="none"/>
        </w:tabs>
        <w:spacing w:line="240" w:lineRule="auto" w:before="0" w:after="0"/>
        <w:ind w:left="895" w:right="0" w:hanging="676"/>
        <w:jc w:val="left"/>
      </w:pPr>
      <w:bookmarkStart w:name="15.3 环境风险识别" w:id="1116"/>
      <w:bookmarkEnd w:id="1116"/>
      <w:r>
        <w:rPr>
          <w:b w:val="0"/>
        </w:rPr>
      </w:r>
      <w:bookmarkStart w:name="_bookmark83" w:id="1117"/>
      <w:bookmarkEnd w:id="1117"/>
      <w:r>
        <w:rPr>
          <w:b w:val="0"/>
        </w:rPr>
      </w:r>
      <w:bookmarkStart w:name="_bookmark83" w:id="1118"/>
      <w:bookmarkEnd w:id="1118"/>
      <w:r>
        <w:rPr/>
        <w:t>环境风险识别</w:t>
      </w:r>
    </w:p>
    <w:p>
      <w:pPr>
        <w:pStyle w:val="BodyText"/>
        <w:spacing w:line="362" w:lineRule="auto" w:before="199"/>
        <w:ind w:left="220" w:right="340" w:firstLine="480"/>
      </w:pPr>
      <w:r>
        <w:rPr/>
        <w:t>本煤矿环境风险评价重点为油脂库内油脂库内柴油罐泄露及硝铵炸药爆炸的环境风险以及对环境造成的影响。</w:t>
      </w:r>
    </w:p>
    <w:p>
      <w:pPr>
        <w:pStyle w:val="BodyText"/>
        <w:spacing w:before="5"/>
        <w:ind w:left="700"/>
      </w:pPr>
      <w:r>
        <w:rPr/>
        <w:t>本项目风险识别具体内容见下表。</w:t>
      </w:r>
    </w:p>
    <w:p>
      <w:pPr>
        <w:spacing w:before="159"/>
        <w:ind w:left="0" w:right="112" w:firstLine="0"/>
        <w:jc w:val="center"/>
        <w:rPr>
          <w:b/>
          <w:sz w:val="21"/>
        </w:rPr>
      </w:pPr>
      <w:r>
        <w:rPr>
          <w:b/>
          <w:spacing w:val="-26"/>
          <w:sz w:val="21"/>
        </w:rPr>
        <w:t>表 </w:t>
      </w:r>
      <w:r>
        <w:rPr>
          <w:rFonts w:ascii="Times New Roman" w:eastAsia="Times New Roman"/>
          <w:b/>
          <w:sz w:val="21"/>
        </w:rPr>
        <w:t>15.3-1</w:t>
      </w:r>
      <w:r>
        <w:rPr>
          <w:rFonts w:ascii="Times New Roman" w:eastAsia="Times New Roman"/>
          <w:b/>
          <w:spacing w:val="52"/>
          <w:sz w:val="21"/>
        </w:rPr>
        <w:t> </w:t>
      </w:r>
      <w:r>
        <w:rPr>
          <w:b/>
          <w:sz w:val="21"/>
        </w:rPr>
        <w:t>建设项目环境风险识别</w:t>
      </w:r>
    </w:p>
    <w:p>
      <w:pPr>
        <w:pStyle w:val="BodyText"/>
        <w:spacing w:before="10"/>
        <w:rPr>
          <w:b/>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2"/>
        <w:gridCol w:w="1989"/>
        <w:gridCol w:w="1214"/>
        <w:gridCol w:w="1260"/>
        <w:gridCol w:w="1199"/>
        <w:gridCol w:w="2294"/>
        <w:gridCol w:w="746"/>
      </w:tblGrid>
      <w:tr>
        <w:trPr>
          <w:trHeight w:val="545" w:hRule="atLeast"/>
        </w:trPr>
        <w:tc>
          <w:tcPr>
            <w:tcW w:w="692" w:type="dxa"/>
          </w:tcPr>
          <w:p>
            <w:pPr>
              <w:pStyle w:val="TableParagraph"/>
              <w:spacing w:before="135"/>
              <w:ind w:left="114" w:right="107"/>
              <w:rPr>
                <w:sz w:val="21"/>
              </w:rPr>
            </w:pPr>
            <w:r>
              <w:rPr>
                <w:sz w:val="21"/>
              </w:rPr>
              <w:t>序号</w:t>
            </w:r>
          </w:p>
        </w:tc>
        <w:tc>
          <w:tcPr>
            <w:tcW w:w="1989" w:type="dxa"/>
          </w:tcPr>
          <w:p>
            <w:pPr>
              <w:pStyle w:val="TableParagraph"/>
              <w:spacing w:before="135"/>
              <w:ind w:left="341" w:right="332"/>
              <w:rPr>
                <w:sz w:val="21"/>
              </w:rPr>
            </w:pPr>
            <w:r>
              <w:rPr>
                <w:sz w:val="21"/>
              </w:rPr>
              <w:t>风险源</w:t>
            </w:r>
          </w:p>
        </w:tc>
        <w:tc>
          <w:tcPr>
            <w:tcW w:w="1214" w:type="dxa"/>
          </w:tcPr>
          <w:p>
            <w:pPr>
              <w:pStyle w:val="TableParagraph"/>
              <w:ind w:left="164" w:right="159"/>
              <w:rPr>
                <w:sz w:val="21"/>
              </w:rPr>
            </w:pPr>
            <w:r>
              <w:rPr>
                <w:sz w:val="21"/>
              </w:rPr>
              <w:t>主要危险</w:t>
            </w:r>
          </w:p>
          <w:p>
            <w:pPr>
              <w:pStyle w:val="TableParagraph"/>
              <w:spacing w:line="253" w:lineRule="exact" w:before="2"/>
              <w:ind w:left="164" w:right="156"/>
              <w:rPr>
                <w:sz w:val="21"/>
              </w:rPr>
            </w:pPr>
            <w:r>
              <w:rPr>
                <w:sz w:val="21"/>
              </w:rPr>
              <w:t>物质</w:t>
            </w:r>
          </w:p>
        </w:tc>
        <w:tc>
          <w:tcPr>
            <w:tcW w:w="1260" w:type="dxa"/>
          </w:tcPr>
          <w:p>
            <w:pPr>
              <w:pStyle w:val="TableParagraph"/>
              <w:ind w:left="189" w:right="181"/>
              <w:rPr>
                <w:sz w:val="21"/>
              </w:rPr>
            </w:pPr>
            <w:r>
              <w:rPr>
                <w:sz w:val="21"/>
              </w:rPr>
              <w:t>环境风险</w:t>
            </w:r>
          </w:p>
          <w:p>
            <w:pPr>
              <w:pStyle w:val="TableParagraph"/>
              <w:spacing w:line="253" w:lineRule="exact" w:before="2"/>
              <w:ind w:left="187" w:right="181"/>
              <w:rPr>
                <w:sz w:val="21"/>
              </w:rPr>
            </w:pPr>
            <w:r>
              <w:rPr>
                <w:sz w:val="21"/>
              </w:rPr>
              <w:t>类型</w:t>
            </w:r>
          </w:p>
        </w:tc>
        <w:tc>
          <w:tcPr>
            <w:tcW w:w="1199" w:type="dxa"/>
          </w:tcPr>
          <w:p>
            <w:pPr>
              <w:pStyle w:val="TableParagraph"/>
              <w:ind w:left="158" w:right="151"/>
              <w:rPr>
                <w:sz w:val="21"/>
              </w:rPr>
            </w:pPr>
            <w:r>
              <w:rPr>
                <w:sz w:val="21"/>
              </w:rPr>
              <w:t>环境影响</w:t>
            </w:r>
          </w:p>
          <w:p>
            <w:pPr>
              <w:pStyle w:val="TableParagraph"/>
              <w:spacing w:line="253" w:lineRule="exact" w:before="2"/>
              <w:ind w:left="155" w:right="151"/>
              <w:rPr>
                <w:sz w:val="21"/>
              </w:rPr>
            </w:pPr>
            <w:r>
              <w:rPr>
                <w:sz w:val="21"/>
              </w:rPr>
              <w:t>途径</w:t>
            </w:r>
          </w:p>
        </w:tc>
        <w:tc>
          <w:tcPr>
            <w:tcW w:w="2294" w:type="dxa"/>
          </w:tcPr>
          <w:p>
            <w:pPr>
              <w:pStyle w:val="TableParagraph"/>
              <w:ind w:left="65" w:right="57"/>
              <w:rPr>
                <w:sz w:val="21"/>
              </w:rPr>
            </w:pPr>
            <w:r>
              <w:rPr>
                <w:sz w:val="21"/>
              </w:rPr>
              <w:t>可能受影响的环境敏</w:t>
            </w:r>
          </w:p>
          <w:p>
            <w:pPr>
              <w:pStyle w:val="TableParagraph"/>
              <w:spacing w:line="253" w:lineRule="exact" w:before="2"/>
              <w:ind w:left="63" w:right="57"/>
              <w:rPr>
                <w:sz w:val="21"/>
              </w:rPr>
            </w:pPr>
            <w:r>
              <w:rPr>
                <w:sz w:val="21"/>
              </w:rPr>
              <w:t>感目标</w:t>
            </w:r>
          </w:p>
        </w:tc>
        <w:tc>
          <w:tcPr>
            <w:tcW w:w="746" w:type="dxa"/>
          </w:tcPr>
          <w:p>
            <w:pPr>
              <w:pStyle w:val="TableParagraph"/>
              <w:spacing w:before="135"/>
              <w:ind w:left="163"/>
              <w:jc w:val="left"/>
              <w:rPr>
                <w:sz w:val="21"/>
              </w:rPr>
            </w:pPr>
            <w:r>
              <w:rPr>
                <w:sz w:val="21"/>
              </w:rPr>
              <w:t>备注</w:t>
            </w:r>
          </w:p>
        </w:tc>
      </w:tr>
      <w:tr>
        <w:trPr>
          <w:trHeight w:val="543" w:hRule="atLeast"/>
        </w:trPr>
        <w:tc>
          <w:tcPr>
            <w:tcW w:w="692" w:type="dxa"/>
          </w:tcPr>
          <w:p>
            <w:pPr>
              <w:pStyle w:val="TableParagraph"/>
              <w:spacing w:before="150"/>
              <w:ind w:left="6"/>
              <w:rPr>
                <w:rFonts w:ascii="Times New Roman"/>
                <w:sz w:val="21"/>
              </w:rPr>
            </w:pPr>
            <w:r>
              <w:rPr>
                <w:rFonts w:ascii="Times New Roman"/>
                <w:w w:val="99"/>
                <w:sz w:val="21"/>
              </w:rPr>
              <w:t>1</w:t>
            </w:r>
          </w:p>
        </w:tc>
        <w:tc>
          <w:tcPr>
            <w:tcW w:w="1989" w:type="dxa"/>
          </w:tcPr>
          <w:p>
            <w:pPr>
              <w:pStyle w:val="TableParagraph"/>
              <w:spacing w:before="134"/>
              <w:ind w:left="341" w:right="332"/>
              <w:rPr>
                <w:sz w:val="21"/>
              </w:rPr>
            </w:pPr>
            <w:r>
              <w:rPr>
                <w:sz w:val="21"/>
              </w:rPr>
              <w:t>油脂库</w:t>
            </w:r>
          </w:p>
        </w:tc>
        <w:tc>
          <w:tcPr>
            <w:tcW w:w="1214" w:type="dxa"/>
          </w:tcPr>
          <w:p>
            <w:pPr>
              <w:pStyle w:val="TableParagraph"/>
              <w:spacing w:before="134"/>
              <w:ind w:left="164" w:right="159"/>
              <w:rPr>
                <w:sz w:val="21"/>
              </w:rPr>
            </w:pPr>
            <w:r>
              <w:rPr>
                <w:sz w:val="21"/>
              </w:rPr>
              <w:t>油类物质</w:t>
            </w:r>
          </w:p>
        </w:tc>
        <w:tc>
          <w:tcPr>
            <w:tcW w:w="1260" w:type="dxa"/>
          </w:tcPr>
          <w:p>
            <w:pPr>
              <w:pStyle w:val="TableParagraph"/>
              <w:ind w:left="189" w:right="181"/>
              <w:rPr>
                <w:sz w:val="21"/>
              </w:rPr>
            </w:pPr>
            <w:r>
              <w:rPr>
                <w:sz w:val="21"/>
              </w:rPr>
              <w:t>危险物质</w:t>
            </w:r>
          </w:p>
          <w:p>
            <w:pPr>
              <w:pStyle w:val="TableParagraph"/>
              <w:spacing w:line="253" w:lineRule="exact" w:before="2"/>
              <w:ind w:left="187" w:right="181"/>
              <w:rPr>
                <w:sz w:val="21"/>
              </w:rPr>
            </w:pPr>
            <w:r>
              <w:rPr>
                <w:sz w:val="21"/>
              </w:rPr>
              <w:t>泄露</w:t>
            </w:r>
          </w:p>
        </w:tc>
        <w:tc>
          <w:tcPr>
            <w:tcW w:w="1199" w:type="dxa"/>
          </w:tcPr>
          <w:p>
            <w:pPr>
              <w:pStyle w:val="TableParagraph"/>
              <w:ind w:left="158" w:right="151"/>
              <w:rPr>
                <w:sz w:val="21"/>
              </w:rPr>
            </w:pPr>
            <w:r>
              <w:rPr>
                <w:sz w:val="21"/>
              </w:rPr>
              <w:t>漫流、下</w:t>
            </w:r>
          </w:p>
          <w:p>
            <w:pPr>
              <w:pStyle w:val="TableParagraph"/>
              <w:spacing w:line="253" w:lineRule="exact" w:before="2"/>
              <w:ind w:left="7"/>
              <w:rPr>
                <w:sz w:val="21"/>
              </w:rPr>
            </w:pPr>
            <w:r>
              <w:rPr>
                <w:w w:val="99"/>
                <w:sz w:val="21"/>
              </w:rPr>
              <w:t>渗</w:t>
            </w:r>
          </w:p>
        </w:tc>
        <w:tc>
          <w:tcPr>
            <w:tcW w:w="2294" w:type="dxa"/>
          </w:tcPr>
          <w:p>
            <w:pPr>
              <w:pStyle w:val="TableParagraph"/>
              <w:ind w:left="87" w:right="57"/>
              <w:rPr>
                <w:sz w:val="21"/>
              </w:rPr>
            </w:pPr>
            <w:r>
              <w:rPr>
                <w:sz w:val="21"/>
              </w:rPr>
              <w:t>工业场地下游地下水、</w:t>
            </w:r>
          </w:p>
          <w:p>
            <w:pPr>
              <w:pStyle w:val="TableParagraph"/>
              <w:spacing w:line="253" w:lineRule="exact" w:before="2"/>
              <w:ind w:left="65" w:right="57"/>
              <w:rPr>
                <w:sz w:val="21"/>
              </w:rPr>
            </w:pPr>
            <w:r>
              <w:rPr>
                <w:sz w:val="21"/>
              </w:rPr>
              <w:t>地表水水质</w:t>
            </w:r>
          </w:p>
        </w:tc>
        <w:tc>
          <w:tcPr>
            <w:tcW w:w="746" w:type="dxa"/>
          </w:tcPr>
          <w:p>
            <w:pPr>
              <w:pStyle w:val="TableParagraph"/>
              <w:jc w:val="left"/>
              <w:rPr>
                <w:rFonts w:ascii="Times New Roman"/>
                <w:sz w:val="22"/>
              </w:rPr>
            </w:pPr>
          </w:p>
        </w:tc>
      </w:tr>
      <w:tr>
        <w:trPr>
          <w:trHeight w:val="273" w:hRule="atLeast"/>
        </w:trPr>
        <w:tc>
          <w:tcPr>
            <w:tcW w:w="692" w:type="dxa"/>
          </w:tcPr>
          <w:p>
            <w:pPr>
              <w:pStyle w:val="TableParagraph"/>
              <w:spacing w:line="239" w:lineRule="exact" w:before="14"/>
              <w:ind w:left="6"/>
              <w:rPr>
                <w:rFonts w:ascii="Times New Roman"/>
                <w:sz w:val="21"/>
              </w:rPr>
            </w:pPr>
            <w:r>
              <w:rPr>
                <w:rFonts w:ascii="Times New Roman"/>
                <w:w w:val="99"/>
                <w:sz w:val="21"/>
              </w:rPr>
              <w:t>2</w:t>
            </w:r>
          </w:p>
        </w:tc>
        <w:tc>
          <w:tcPr>
            <w:tcW w:w="1989" w:type="dxa"/>
          </w:tcPr>
          <w:p>
            <w:pPr>
              <w:pStyle w:val="TableParagraph"/>
              <w:spacing w:line="253" w:lineRule="exact"/>
              <w:ind w:left="341" w:right="337"/>
              <w:rPr>
                <w:sz w:val="21"/>
              </w:rPr>
            </w:pPr>
            <w:r>
              <w:rPr>
                <w:sz w:val="21"/>
              </w:rPr>
              <w:t>硝铵炸药爆炸</w:t>
            </w:r>
          </w:p>
        </w:tc>
        <w:tc>
          <w:tcPr>
            <w:tcW w:w="1214" w:type="dxa"/>
          </w:tcPr>
          <w:p>
            <w:pPr>
              <w:pStyle w:val="TableParagraph"/>
              <w:spacing w:line="239" w:lineRule="exact" w:before="14"/>
              <w:ind w:left="8"/>
              <w:rPr>
                <w:rFonts w:ascii="Times New Roman"/>
                <w:sz w:val="21"/>
              </w:rPr>
            </w:pPr>
            <w:r>
              <w:rPr>
                <w:rFonts w:ascii="Times New Roman"/>
                <w:w w:val="99"/>
                <w:sz w:val="21"/>
              </w:rPr>
              <w:t>/</w:t>
            </w:r>
          </w:p>
        </w:tc>
        <w:tc>
          <w:tcPr>
            <w:tcW w:w="1260" w:type="dxa"/>
          </w:tcPr>
          <w:p>
            <w:pPr>
              <w:pStyle w:val="TableParagraph"/>
              <w:spacing w:line="253" w:lineRule="exact"/>
              <w:ind w:left="107"/>
              <w:jc w:val="left"/>
              <w:rPr>
                <w:sz w:val="21"/>
              </w:rPr>
            </w:pPr>
            <w:r>
              <w:rPr>
                <w:sz w:val="21"/>
              </w:rPr>
              <w:t>爆炸、火灾</w:t>
            </w:r>
          </w:p>
        </w:tc>
        <w:tc>
          <w:tcPr>
            <w:tcW w:w="1199" w:type="dxa"/>
          </w:tcPr>
          <w:p>
            <w:pPr>
              <w:pStyle w:val="TableParagraph"/>
              <w:spacing w:line="253" w:lineRule="exact"/>
              <w:ind w:left="179"/>
              <w:jc w:val="left"/>
              <w:rPr>
                <w:sz w:val="21"/>
              </w:rPr>
            </w:pPr>
            <w:r>
              <w:rPr>
                <w:sz w:val="21"/>
              </w:rPr>
              <w:t>产生废气</w:t>
            </w:r>
          </w:p>
        </w:tc>
        <w:tc>
          <w:tcPr>
            <w:tcW w:w="2294" w:type="dxa"/>
          </w:tcPr>
          <w:p>
            <w:pPr>
              <w:pStyle w:val="TableParagraph"/>
              <w:spacing w:line="253" w:lineRule="exact"/>
              <w:ind w:left="727"/>
              <w:jc w:val="left"/>
              <w:rPr>
                <w:sz w:val="21"/>
              </w:rPr>
            </w:pPr>
            <w:r>
              <w:rPr>
                <w:sz w:val="21"/>
              </w:rPr>
              <w:t>环境空气</w:t>
            </w:r>
          </w:p>
        </w:tc>
        <w:tc>
          <w:tcPr>
            <w:tcW w:w="746" w:type="dxa"/>
          </w:tcPr>
          <w:p>
            <w:pPr>
              <w:pStyle w:val="TableParagraph"/>
              <w:jc w:val="left"/>
              <w:rPr>
                <w:rFonts w:ascii="Times New Roman"/>
                <w:sz w:val="20"/>
              </w:rPr>
            </w:pPr>
          </w:p>
        </w:tc>
      </w:tr>
    </w:tbl>
    <w:p>
      <w:pPr>
        <w:pStyle w:val="Heading2"/>
        <w:numPr>
          <w:ilvl w:val="1"/>
          <w:numId w:val="98"/>
        </w:numPr>
        <w:tabs>
          <w:tab w:pos="896" w:val="left" w:leader="none"/>
        </w:tabs>
        <w:spacing w:line="240" w:lineRule="auto" w:before="1" w:after="0"/>
        <w:ind w:left="895" w:right="0" w:hanging="676"/>
        <w:jc w:val="left"/>
      </w:pPr>
      <w:bookmarkStart w:name="15.4 环境风险分析" w:id="1119"/>
      <w:bookmarkEnd w:id="1119"/>
      <w:r>
        <w:rPr>
          <w:b w:val="0"/>
        </w:rPr>
      </w:r>
      <w:bookmarkStart w:name="_bookmark84" w:id="1120"/>
      <w:bookmarkEnd w:id="1120"/>
      <w:r>
        <w:rPr>
          <w:b w:val="0"/>
        </w:rPr>
      </w:r>
      <w:bookmarkStart w:name="_bookmark84" w:id="1121"/>
      <w:bookmarkEnd w:id="1121"/>
      <w:r>
        <w:rPr/>
        <w:t>环境风险分析</w:t>
      </w:r>
    </w:p>
    <w:p>
      <w:pPr>
        <w:pStyle w:val="Heading3"/>
        <w:numPr>
          <w:ilvl w:val="2"/>
          <w:numId w:val="98"/>
        </w:numPr>
        <w:tabs>
          <w:tab w:pos="1061" w:val="left" w:leader="none"/>
        </w:tabs>
        <w:spacing w:line="240" w:lineRule="auto" w:before="200" w:after="0"/>
        <w:ind w:left="1060" w:right="0" w:hanging="841"/>
        <w:jc w:val="left"/>
      </w:pPr>
      <w:r>
        <w:rPr/>
        <w:t>油脂库内柴油罐泄漏风险事故影响分析</w:t>
      </w:r>
    </w:p>
    <w:p>
      <w:pPr>
        <w:pStyle w:val="BodyText"/>
        <w:spacing w:before="185"/>
        <w:ind w:left="700"/>
      </w:pPr>
      <w:r>
        <w:rPr>
          <w:rFonts w:ascii="Times New Roman" w:eastAsia="Times New Roman"/>
        </w:rPr>
        <w:t>1</w:t>
      </w:r>
      <w:r>
        <w:rPr/>
        <w:t>、油脂库内柴油罐泄露源项分析</w:t>
      </w:r>
    </w:p>
    <w:p>
      <w:pPr>
        <w:pStyle w:val="BodyText"/>
        <w:spacing w:line="364" w:lineRule="auto" w:before="158"/>
        <w:ind w:left="220" w:right="338" w:firstLine="480"/>
      </w:pPr>
      <w:r>
        <w:rPr>
          <w:spacing w:val="-5"/>
        </w:rPr>
        <w:t>本项目油脂库内柴油罐储量为 </w:t>
      </w:r>
      <w:r>
        <w:rPr>
          <w:rFonts w:ascii="Times New Roman" w:eastAsia="Times New Roman"/>
          <w:spacing w:val="-16"/>
        </w:rPr>
        <w:t>20t</w:t>
      </w:r>
      <w:r>
        <w:rPr>
          <w:spacing w:val="-5"/>
        </w:rPr>
        <w:t>，在发生油脂库内柴油罐损坏破裂后会在短时间内</w:t>
      </w:r>
      <w:r>
        <w:rPr/>
        <w:t>泄漏出一定量的油品。</w:t>
      </w:r>
    </w:p>
    <w:p>
      <w:pPr>
        <w:pStyle w:val="BodyText"/>
        <w:spacing w:before="2"/>
        <w:ind w:left="700"/>
      </w:pPr>
      <w:r>
        <w:rPr>
          <w:rFonts w:ascii="Times New Roman" w:eastAsia="Times New Roman"/>
        </w:rPr>
        <w:t>2</w:t>
      </w:r>
      <w:r>
        <w:rPr/>
        <w:t>、油脂库内柴油罐泄露风险分析</w:t>
      </w:r>
    </w:p>
    <w:p>
      <w:pPr>
        <w:pStyle w:val="BodyText"/>
        <w:spacing w:line="364" w:lineRule="auto" w:before="158"/>
        <w:ind w:left="220" w:right="218" w:firstLine="480"/>
      </w:pPr>
      <w:r>
        <w:rPr/>
        <w:t>事故性的泄漏可能渗入土壤环境、地下水水环境，从而对油脂库内柴油罐周边的土壤及地下水环境产生一定的影响。但一般情况下，油脂库内柴油罐发生泄漏事故而成品</w:t>
      </w:r>
      <w:r>
        <w:rPr>
          <w:spacing w:val="-13"/>
        </w:rPr>
        <w:t>油泄漏于地表的量有限，且按照应急管理要求，油脂库内柴油罐设有事故池</w:t>
      </w:r>
      <w:r>
        <w:rPr/>
        <w:t>（</w:t>
      </w:r>
      <w:r>
        <w:rPr>
          <w:spacing w:val="-25"/>
        </w:rPr>
        <w:t>即集油</w:t>
      </w:r>
      <w:r>
        <w:rPr/>
        <w:t>（水</w:t>
      </w:r>
      <w:r>
        <w:rPr>
          <w:spacing w:val="-15"/>
        </w:rPr>
        <w:t>） </w:t>
      </w:r>
      <w:r>
        <w:rPr/>
        <w:t>坑），如果处理及时得当，则可有效地控制对周围环境的影响。</w:t>
      </w:r>
    </w:p>
    <w:p>
      <w:pPr>
        <w:pStyle w:val="Heading3"/>
        <w:numPr>
          <w:ilvl w:val="2"/>
          <w:numId w:val="98"/>
        </w:numPr>
        <w:tabs>
          <w:tab w:pos="1061" w:val="left" w:leader="none"/>
        </w:tabs>
        <w:spacing w:line="357" w:lineRule="exact" w:before="0" w:after="0"/>
        <w:ind w:left="1060" w:right="0" w:hanging="841"/>
        <w:jc w:val="left"/>
      </w:pPr>
      <w:r>
        <w:rPr/>
        <w:t>火药雷管库爆炸风险事故影响分析</w:t>
      </w:r>
    </w:p>
    <w:p>
      <w:pPr>
        <w:pStyle w:val="BodyText"/>
        <w:spacing w:before="1"/>
        <w:rPr>
          <w:b/>
          <w:sz w:val="28"/>
        </w:rPr>
      </w:pPr>
    </w:p>
    <w:p>
      <w:pPr>
        <w:pStyle w:val="ListParagraph"/>
        <w:numPr>
          <w:ilvl w:val="3"/>
          <w:numId w:val="98"/>
        </w:numPr>
        <w:tabs>
          <w:tab w:pos="1302" w:val="left" w:leader="none"/>
        </w:tabs>
        <w:spacing w:line="240" w:lineRule="auto" w:before="0" w:after="0"/>
        <w:ind w:left="1301" w:right="0" w:hanging="602"/>
        <w:jc w:val="left"/>
        <w:rPr>
          <w:sz w:val="24"/>
        </w:rPr>
      </w:pPr>
      <w:r>
        <w:rPr>
          <w:sz w:val="24"/>
        </w:rPr>
        <w:t>炸药爆炸事故源项分析</w:t>
      </w:r>
    </w:p>
    <w:p>
      <w:pPr>
        <w:spacing w:after="0" w:line="240" w:lineRule="auto"/>
        <w:jc w:val="left"/>
        <w:rPr>
          <w:sz w:val="24"/>
        </w:rPr>
        <w:sectPr>
          <w:pgSz w:w="11910" w:h="16840"/>
          <w:pgMar w:header="0" w:footer="947" w:top="1340" w:bottom="1220" w:left="1140" w:right="1020"/>
        </w:sectPr>
      </w:pPr>
    </w:p>
    <w:p>
      <w:pPr>
        <w:pStyle w:val="BodyText"/>
        <w:spacing w:line="405" w:lineRule="auto" w:before="36"/>
        <w:ind w:left="220" w:right="338" w:firstLine="480"/>
        <w:jc w:val="both"/>
      </w:pPr>
      <w:r>
        <w:rPr/>
        <w:t>本工程在生产过程中涉及的主要环境风险为炸药的爆炸。由于炸药的敏感性和危险性，本工程所用炸药在运输、使用过程中的碰撞、摩擦、挤压以及遇明火的条件下都会产生剧烈的爆炸。</w:t>
      </w:r>
    </w:p>
    <w:p>
      <w:pPr>
        <w:pStyle w:val="ListParagraph"/>
        <w:numPr>
          <w:ilvl w:val="3"/>
          <w:numId w:val="98"/>
        </w:numPr>
        <w:tabs>
          <w:tab w:pos="1302" w:val="left" w:leader="none"/>
        </w:tabs>
        <w:spacing w:line="240" w:lineRule="auto" w:before="1" w:after="0"/>
        <w:ind w:left="1301" w:right="0" w:hanging="602"/>
        <w:jc w:val="left"/>
        <w:rPr>
          <w:sz w:val="24"/>
        </w:rPr>
      </w:pPr>
      <w:r>
        <w:rPr>
          <w:sz w:val="24"/>
        </w:rPr>
        <w:t>炸药、导爆管等爆破器材风险分析</w:t>
      </w:r>
    </w:p>
    <w:p>
      <w:pPr>
        <w:pStyle w:val="BodyText"/>
        <w:spacing w:before="214"/>
        <w:ind w:left="700"/>
      </w:pPr>
      <w:r>
        <w:rPr/>
        <w:t>①炸药使用过程中风险影响分析</w:t>
      </w:r>
    </w:p>
    <w:p>
      <w:pPr>
        <w:pStyle w:val="BodyText"/>
        <w:spacing w:line="405" w:lineRule="auto" w:before="210"/>
        <w:ind w:left="220" w:right="338" w:firstLine="480"/>
        <w:jc w:val="both"/>
      </w:pPr>
      <w:r>
        <w:rPr/>
        <w:t>本工程存在于炸药因装卸不慎或遇明火而发生爆炸或周边生产矿工撤离不及时，对周边矿工的安全构成威胁。本工程爆破由经过专门培训有爆破许可证的工人负责，作业工人不得穿化纤类工作服，进入作业现场，要认真检查，确认安全后方可作业。只要做好爆破前做好安全防范，对周边村庄履行告知义务，禁止随便进入矿区，就不会造成地面人员伤亡与财产损失。</w:t>
      </w:r>
    </w:p>
    <w:p>
      <w:pPr>
        <w:pStyle w:val="BodyText"/>
        <w:spacing w:before="4"/>
        <w:ind w:left="700"/>
      </w:pPr>
      <w:r>
        <w:rPr/>
        <w:t>②炸药运输环节环境风险影响评价</w:t>
      </w:r>
    </w:p>
    <w:p>
      <w:pPr>
        <w:pStyle w:val="BodyText"/>
        <w:spacing w:line="405" w:lineRule="auto" w:before="211"/>
        <w:ind w:left="220" w:right="338" w:firstLine="480"/>
        <w:jc w:val="both"/>
      </w:pPr>
      <w:r>
        <w:rPr/>
        <w:t>本工程炸药运输由专业的爆破公司运至临时存放点。炸药在运输过程中的挤压、碰撞、遇热的情况下可能爆炸。炸药爆炸时如果恰好道路两侧有村庄或人群等敏感目标， 会给群众带来生命财产的损失，但这种机率是非常小的。另外，爆炸产生的废气主要是粉尘和氮氧化合物，对周围大气影响较小。</w:t>
      </w:r>
    </w:p>
    <w:p>
      <w:pPr>
        <w:pStyle w:val="BodyText"/>
        <w:spacing w:before="2"/>
        <w:ind w:left="700"/>
      </w:pPr>
      <w:r>
        <w:rPr/>
        <w:t>③地质灾害</w:t>
      </w:r>
    </w:p>
    <w:p>
      <w:pPr>
        <w:pStyle w:val="BodyText"/>
        <w:spacing w:line="405" w:lineRule="auto" w:before="213"/>
        <w:ind w:left="220" w:right="338" w:firstLine="480"/>
      </w:pPr>
      <w:r>
        <w:rPr/>
        <w:t>地质灾害主要是由不良地质影响、矿山设计及推进方向不合理等原因造成的。事故发生概率</w:t>
      </w:r>
      <w:r>
        <w:rPr>
          <w:rFonts w:ascii="Times New Roman" w:eastAsia="Times New Roman"/>
        </w:rPr>
        <w:t>:</w:t>
      </w:r>
      <w:r>
        <w:rPr/>
        <w:t>本项目矿山地质较稳定，如不发生违章作业和严重的突发性自然灾害，一般不</w:t>
      </w:r>
    </w:p>
    <w:p>
      <w:pPr>
        <w:pStyle w:val="BodyText"/>
        <w:ind w:left="220"/>
      </w:pPr>
      <w:r>
        <w:rPr/>
        <w:t>会发生坍塌、滑坡等事故</w:t>
      </w:r>
      <w:r>
        <w:rPr>
          <w:rFonts w:ascii="Times New Roman" w:eastAsia="Times New Roman"/>
        </w:rPr>
        <w:t>;</w:t>
      </w:r>
      <w:r>
        <w:rPr/>
        <w:t>但由于操作不当，发生局部坍塌的可能性存在。</w:t>
      </w:r>
    </w:p>
    <w:p>
      <w:pPr>
        <w:pStyle w:val="Heading2"/>
        <w:numPr>
          <w:ilvl w:val="1"/>
          <w:numId w:val="98"/>
        </w:numPr>
        <w:tabs>
          <w:tab w:pos="821" w:val="left" w:leader="none"/>
        </w:tabs>
        <w:spacing w:line="240" w:lineRule="auto" w:before="38" w:after="0"/>
        <w:ind w:left="820" w:right="0" w:hanging="601"/>
        <w:jc w:val="left"/>
      </w:pPr>
      <w:bookmarkStart w:name="15.5环境风险防范措施及环应急要求" w:id="1122"/>
      <w:bookmarkEnd w:id="1122"/>
      <w:r>
        <w:rPr>
          <w:b w:val="0"/>
        </w:rPr>
      </w:r>
      <w:bookmarkStart w:name="_bookmark85" w:id="1123"/>
      <w:bookmarkEnd w:id="1123"/>
      <w:r>
        <w:rPr>
          <w:b w:val="0"/>
        </w:rPr>
      </w:r>
      <w:bookmarkStart w:name="_bookmark85" w:id="1124"/>
      <w:bookmarkEnd w:id="1124"/>
      <w:r>
        <w:rPr/>
        <w:t>环境风险防范措施及环应急要求</w:t>
      </w:r>
    </w:p>
    <w:p>
      <w:pPr>
        <w:pStyle w:val="Heading3"/>
        <w:numPr>
          <w:ilvl w:val="2"/>
          <w:numId w:val="98"/>
        </w:numPr>
        <w:tabs>
          <w:tab w:pos="1061" w:val="left" w:leader="none"/>
        </w:tabs>
        <w:spacing w:line="240" w:lineRule="auto" w:before="200" w:after="0"/>
        <w:ind w:left="1060" w:right="0" w:hanging="841"/>
        <w:jc w:val="left"/>
      </w:pPr>
      <w:r>
        <w:rPr/>
        <w:t>环境风险防范措施</w:t>
      </w:r>
    </w:p>
    <w:p>
      <w:pPr>
        <w:pStyle w:val="BodyText"/>
        <w:spacing w:before="185"/>
        <w:ind w:left="700"/>
      </w:pPr>
      <w:r>
        <w:rPr>
          <w:rFonts w:ascii="Times New Roman" w:eastAsia="Times New Roman"/>
        </w:rPr>
        <w:t>1</w:t>
      </w:r>
      <w:r>
        <w:rPr/>
        <w:t>、油脂库内柴油罐风险事故防范措施</w:t>
      </w:r>
    </w:p>
    <w:p>
      <w:pPr>
        <w:pStyle w:val="ListParagraph"/>
        <w:numPr>
          <w:ilvl w:val="0"/>
          <w:numId w:val="99"/>
        </w:numPr>
        <w:tabs>
          <w:tab w:pos="1302" w:val="left" w:leader="none"/>
        </w:tabs>
        <w:spacing w:line="364" w:lineRule="auto" w:before="158" w:after="0"/>
        <w:ind w:left="220" w:right="340" w:firstLine="480"/>
        <w:jc w:val="left"/>
        <w:rPr>
          <w:sz w:val="24"/>
        </w:rPr>
      </w:pPr>
      <w:r>
        <w:rPr>
          <w:sz w:val="24"/>
        </w:rPr>
        <w:t>油脂库内柴油罐内设有防治流体流散的设施和集油（水）</w:t>
      </w:r>
      <w:r>
        <w:rPr>
          <w:spacing w:val="-10"/>
          <w:sz w:val="24"/>
        </w:rPr>
        <w:t>坑，地面按 </w:t>
      </w:r>
      <w:r>
        <w:rPr>
          <w:rFonts w:ascii="Times New Roman" w:hAnsi="Times New Roman" w:eastAsia="Times New Roman"/>
          <w:sz w:val="24"/>
        </w:rPr>
        <w:t>5‰</w:t>
      </w:r>
      <w:r>
        <w:rPr>
          <w:spacing w:val="-8"/>
          <w:sz w:val="24"/>
        </w:rPr>
        <w:t>坡度</w:t>
      </w:r>
      <w:r>
        <w:rPr>
          <w:sz w:val="24"/>
        </w:rPr>
        <w:t>设集油坑。</w:t>
      </w:r>
    </w:p>
    <w:p>
      <w:pPr>
        <w:pStyle w:val="ListParagraph"/>
        <w:numPr>
          <w:ilvl w:val="0"/>
          <w:numId w:val="99"/>
        </w:numPr>
        <w:tabs>
          <w:tab w:pos="1302" w:val="left" w:leader="none"/>
        </w:tabs>
        <w:spacing w:line="364" w:lineRule="auto" w:before="0" w:after="0"/>
        <w:ind w:left="220" w:right="337" w:firstLine="480"/>
        <w:jc w:val="left"/>
        <w:rPr>
          <w:sz w:val="24"/>
        </w:rPr>
      </w:pPr>
      <w:r>
        <w:rPr>
          <w:spacing w:val="-6"/>
          <w:sz w:val="24"/>
        </w:rPr>
        <w:t>设立标志，加强巡检，防止人为破坏。建成营运后，要提髙操作人员的素质和</w:t>
      </w:r>
      <w:r>
        <w:rPr>
          <w:sz w:val="24"/>
        </w:rPr>
        <w:t>管理水平，防止或减少事故风险的发生，确保油脂库内柴油罐状况正常。</w:t>
      </w:r>
    </w:p>
    <w:p>
      <w:pPr>
        <w:pStyle w:val="BodyText"/>
        <w:spacing w:line="306" w:lineRule="exact"/>
        <w:ind w:left="700"/>
      </w:pPr>
      <w:r>
        <w:rPr>
          <w:rFonts w:ascii="Times New Roman" w:eastAsia="Times New Roman"/>
        </w:rPr>
        <w:t>2</w:t>
      </w:r>
      <w:r>
        <w:rPr/>
        <w:t>、炸药库风险事故防范措施</w:t>
      </w:r>
    </w:p>
    <w:p>
      <w:pPr>
        <w:spacing w:after="0" w:line="306" w:lineRule="exact"/>
        <w:sectPr>
          <w:pgSz w:w="11910" w:h="16840"/>
          <w:pgMar w:header="0" w:footer="947" w:top="1540" w:bottom="1220" w:left="1140" w:right="1020"/>
        </w:sectPr>
      </w:pPr>
    </w:p>
    <w:p>
      <w:pPr>
        <w:pStyle w:val="ListParagraph"/>
        <w:numPr>
          <w:ilvl w:val="0"/>
          <w:numId w:val="100"/>
        </w:numPr>
        <w:tabs>
          <w:tab w:pos="1302" w:val="left" w:leader="none"/>
        </w:tabs>
        <w:spacing w:line="362" w:lineRule="auto" w:before="61" w:after="0"/>
        <w:ind w:left="220" w:right="337" w:firstLine="480"/>
        <w:jc w:val="left"/>
        <w:rPr>
          <w:sz w:val="24"/>
        </w:rPr>
      </w:pPr>
      <w:r>
        <w:rPr>
          <w:spacing w:val="-8"/>
          <w:sz w:val="24"/>
        </w:rPr>
        <w:t>储存、使用爆炸物品，必须按国家《民用爆炸物品管理条例》等有关规定，建</w:t>
      </w:r>
      <w:r>
        <w:rPr>
          <w:sz w:val="24"/>
        </w:rPr>
        <w:t>设符合安全标准和设计要求的专用库房，并安装全部配套设施和安全防护装置。</w:t>
      </w:r>
    </w:p>
    <w:p>
      <w:pPr>
        <w:pStyle w:val="ListParagraph"/>
        <w:numPr>
          <w:ilvl w:val="0"/>
          <w:numId w:val="100"/>
        </w:numPr>
        <w:tabs>
          <w:tab w:pos="1302" w:val="left" w:leader="none"/>
        </w:tabs>
        <w:spacing w:line="364" w:lineRule="auto" w:before="5" w:after="0"/>
        <w:ind w:left="220" w:right="338" w:firstLine="480"/>
        <w:jc w:val="left"/>
        <w:rPr>
          <w:sz w:val="24"/>
        </w:rPr>
      </w:pPr>
      <w:r>
        <w:rPr>
          <w:spacing w:val="-4"/>
          <w:sz w:val="24"/>
        </w:rPr>
        <w:t>爆破器材必须入库储存，按规定和安全要求存于专用库房内，由经过专业培训</w:t>
      </w:r>
      <w:r>
        <w:rPr>
          <w:sz w:val="24"/>
        </w:rPr>
        <w:t>并持证上岗的专职库管员管理和监护，由警卫人员昼夜看守。</w:t>
      </w:r>
    </w:p>
    <w:p>
      <w:pPr>
        <w:pStyle w:val="ListParagraph"/>
        <w:numPr>
          <w:ilvl w:val="0"/>
          <w:numId w:val="100"/>
        </w:numPr>
        <w:tabs>
          <w:tab w:pos="1302" w:val="left" w:leader="none"/>
        </w:tabs>
        <w:spacing w:line="364" w:lineRule="auto" w:before="0" w:after="0"/>
        <w:ind w:left="220" w:right="338" w:firstLine="480"/>
        <w:jc w:val="left"/>
        <w:rPr>
          <w:sz w:val="24"/>
        </w:rPr>
      </w:pPr>
      <w:r>
        <w:rPr>
          <w:spacing w:val="-4"/>
          <w:sz w:val="24"/>
        </w:rPr>
        <w:t>炸药和雷管必须分库储存，并保持安全距离。一次库存量不得超过储存许可证</w:t>
      </w:r>
      <w:r>
        <w:rPr>
          <w:sz w:val="24"/>
        </w:rPr>
        <w:t>允许的容量和超过一个月的使用量。</w:t>
      </w:r>
    </w:p>
    <w:p>
      <w:pPr>
        <w:pStyle w:val="ListParagraph"/>
        <w:numPr>
          <w:ilvl w:val="0"/>
          <w:numId w:val="100"/>
        </w:numPr>
        <w:tabs>
          <w:tab w:pos="1302" w:val="left" w:leader="none"/>
        </w:tabs>
        <w:spacing w:line="364" w:lineRule="auto" w:before="0" w:after="0"/>
        <w:ind w:left="220" w:right="338" w:firstLine="480"/>
        <w:jc w:val="both"/>
        <w:rPr>
          <w:sz w:val="24"/>
        </w:rPr>
      </w:pPr>
      <w:r>
        <w:rPr>
          <w:spacing w:val="-5"/>
          <w:sz w:val="24"/>
        </w:rPr>
        <w:t>不同型号的药必须分别堆放。库房内每堆应有标志牌：标明数量、规格及进库</w:t>
      </w:r>
      <w:r>
        <w:rPr>
          <w:sz w:val="24"/>
        </w:rPr>
        <w:t>时间、生产厂家等。堆间距离、离墙距离、通道宽度等应符合相关要求，并堆放整齐、稳固。</w:t>
      </w:r>
    </w:p>
    <w:p>
      <w:pPr>
        <w:pStyle w:val="ListParagraph"/>
        <w:numPr>
          <w:ilvl w:val="0"/>
          <w:numId w:val="100"/>
        </w:numPr>
        <w:tabs>
          <w:tab w:pos="1302" w:val="left" w:leader="none"/>
        </w:tabs>
        <w:spacing w:line="362" w:lineRule="auto" w:before="0" w:after="0"/>
        <w:ind w:left="220" w:right="337" w:firstLine="480"/>
        <w:jc w:val="left"/>
        <w:rPr>
          <w:sz w:val="24"/>
        </w:rPr>
      </w:pPr>
      <w:r>
        <w:rPr>
          <w:spacing w:val="-6"/>
          <w:sz w:val="24"/>
        </w:rPr>
        <w:t>爆破器材必须做到先进先出，收、发必须按正规手续及时签字、记帐，做到日</w:t>
      </w:r>
      <w:r>
        <w:rPr>
          <w:sz w:val="24"/>
        </w:rPr>
        <w:t>清、旬结，帐目清楚。账、卡、物相符，矿主管部门每月必须核实一次。</w:t>
      </w:r>
    </w:p>
    <w:p>
      <w:pPr>
        <w:pStyle w:val="ListParagraph"/>
        <w:numPr>
          <w:ilvl w:val="0"/>
          <w:numId w:val="100"/>
        </w:numPr>
        <w:tabs>
          <w:tab w:pos="1302" w:val="left" w:leader="none"/>
        </w:tabs>
        <w:spacing w:line="362" w:lineRule="auto" w:before="2" w:after="0"/>
        <w:ind w:left="220" w:right="218" w:firstLine="480"/>
        <w:jc w:val="left"/>
        <w:rPr>
          <w:sz w:val="24"/>
        </w:rPr>
      </w:pPr>
      <w:r>
        <w:rPr>
          <w:spacing w:val="-7"/>
          <w:sz w:val="24"/>
        </w:rPr>
        <w:t>库房和发药点都要配置温度计和湿度计，并每天记录。库房内要每天开窗通风</w:t>
      </w:r>
      <w:r>
        <w:rPr>
          <w:spacing w:val="-10"/>
          <w:sz w:val="24"/>
        </w:rPr>
        <w:t>，通风时间一般不少于 </w:t>
      </w:r>
      <w:r>
        <w:rPr>
          <w:rFonts w:ascii="Times New Roman" w:eastAsia="Times New Roman"/>
          <w:sz w:val="24"/>
        </w:rPr>
        <w:t>5</w:t>
      </w:r>
      <w:r>
        <w:rPr>
          <w:sz w:val="24"/>
        </w:rPr>
        <w:t>～</w:t>
      </w:r>
      <w:r>
        <w:rPr>
          <w:rFonts w:ascii="Times New Roman" w:eastAsia="Times New Roman"/>
          <w:sz w:val="24"/>
        </w:rPr>
        <w:t>6 </w:t>
      </w:r>
      <w:r>
        <w:rPr>
          <w:sz w:val="24"/>
        </w:rPr>
        <w:t>小时。</w:t>
      </w:r>
    </w:p>
    <w:p>
      <w:pPr>
        <w:pStyle w:val="ListParagraph"/>
        <w:numPr>
          <w:ilvl w:val="0"/>
          <w:numId w:val="100"/>
        </w:numPr>
        <w:tabs>
          <w:tab w:pos="1302" w:val="left" w:leader="none"/>
        </w:tabs>
        <w:spacing w:line="364" w:lineRule="auto" w:before="5" w:after="0"/>
        <w:ind w:left="220" w:right="218" w:firstLine="480"/>
        <w:jc w:val="left"/>
        <w:rPr>
          <w:sz w:val="24"/>
        </w:rPr>
      </w:pPr>
      <w:r>
        <w:rPr>
          <w:spacing w:val="-8"/>
          <w:sz w:val="24"/>
        </w:rPr>
        <w:t>加强安全管理和事故防范，凡接触爆炸物品的人员，必须穿棉布或抗静电衣服</w:t>
      </w:r>
      <w:r>
        <w:rPr>
          <w:spacing w:val="-4"/>
          <w:sz w:val="24"/>
        </w:rPr>
        <w:t>，非工作需要或未经批准，任何人员不得接近炸药和雷管库。库区禁止一切火种、火具、易燃易爆等危险品进入，发现事故隐患或预兆，要立即报告主管领导和有关部门，及时整改和处理。严禁在储存库、发放间对爆炸材料进行加工作业。</w:t>
      </w:r>
    </w:p>
    <w:p>
      <w:pPr>
        <w:pStyle w:val="ListParagraph"/>
        <w:numPr>
          <w:ilvl w:val="0"/>
          <w:numId w:val="100"/>
        </w:numPr>
        <w:tabs>
          <w:tab w:pos="1302" w:val="left" w:leader="none"/>
        </w:tabs>
        <w:spacing w:line="362" w:lineRule="auto" w:before="0" w:after="0"/>
        <w:ind w:left="220" w:right="338" w:firstLine="480"/>
        <w:jc w:val="left"/>
        <w:rPr>
          <w:sz w:val="24"/>
        </w:rPr>
      </w:pPr>
      <w:r>
        <w:rPr>
          <w:spacing w:val="-5"/>
          <w:sz w:val="24"/>
        </w:rPr>
        <w:t>发现爆破器材丢失、被盗或帐实不符时，必须及时报告矿安保科、公安机关和</w:t>
      </w:r>
      <w:r>
        <w:rPr>
          <w:sz w:val="24"/>
        </w:rPr>
        <w:t>有关部门，立即组织力量追查、破案或清查，并将结果及时报告上级有关部门。</w:t>
      </w:r>
    </w:p>
    <w:p>
      <w:pPr>
        <w:pStyle w:val="ListParagraph"/>
        <w:numPr>
          <w:ilvl w:val="0"/>
          <w:numId w:val="100"/>
        </w:numPr>
        <w:tabs>
          <w:tab w:pos="1302" w:val="left" w:leader="none"/>
        </w:tabs>
        <w:spacing w:line="364" w:lineRule="auto" w:before="2" w:after="0"/>
        <w:ind w:left="220" w:right="338" w:firstLine="480"/>
        <w:jc w:val="left"/>
        <w:rPr>
          <w:sz w:val="24"/>
        </w:rPr>
      </w:pPr>
      <w:r>
        <w:rPr>
          <w:spacing w:val="-5"/>
          <w:sz w:val="24"/>
        </w:rPr>
        <w:t>爆炸物品在装卸、运输、储存、发放等业务操作过程中稍有不慎或操作不当就</w:t>
      </w:r>
      <w:r>
        <w:rPr>
          <w:sz w:val="24"/>
        </w:rPr>
        <w:t>可能引发事故。因此，必须加强涉爆作业环境安全操作管理。</w:t>
      </w:r>
    </w:p>
    <w:p>
      <w:pPr>
        <w:pStyle w:val="Heading3"/>
        <w:numPr>
          <w:ilvl w:val="2"/>
          <w:numId w:val="98"/>
        </w:numPr>
        <w:tabs>
          <w:tab w:pos="992" w:val="left" w:leader="none"/>
        </w:tabs>
        <w:spacing w:line="358" w:lineRule="exact" w:before="0" w:after="0"/>
        <w:ind w:left="991" w:right="0" w:hanging="772"/>
        <w:jc w:val="left"/>
      </w:pPr>
      <w:r>
        <w:rPr/>
        <w:t>应急要求</w:t>
      </w:r>
    </w:p>
    <w:p>
      <w:pPr>
        <w:pStyle w:val="ListParagraph"/>
        <w:numPr>
          <w:ilvl w:val="0"/>
          <w:numId w:val="101"/>
        </w:numPr>
        <w:tabs>
          <w:tab w:pos="1302" w:val="left" w:leader="none"/>
        </w:tabs>
        <w:spacing w:line="240" w:lineRule="auto" w:before="186" w:after="0"/>
        <w:ind w:left="1301" w:right="0" w:hanging="602"/>
        <w:jc w:val="left"/>
        <w:rPr>
          <w:sz w:val="24"/>
        </w:rPr>
      </w:pPr>
      <w:r>
        <w:rPr>
          <w:sz w:val="24"/>
        </w:rPr>
        <w:t>组织机构及职责</w:t>
      </w:r>
    </w:p>
    <w:p>
      <w:pPr>
        <w:pStyle w:val="BodyText"/>
        <w:spacing w:before="158"/>
        <w:ind w:left="700"/>
      </w:pPr>
      <w:r>
        <w:rPr/>
        <w:t>建设单位应设置专门机构负责项目建设及运营期的环境安全。其职责包括：</w:t>
      </w:r>
    </w:p>
    <w:p>
      <w:pPr>
        <w:pStyle w:val="BodyText"/>
        <w:spacing w:line="364" w:lineRule="auto" w:before="160"/>
        <w:ind w:left="220" w:right="338" w:firstLine="480"/>
        <w:jc w:val="both"/>
      </w:pPr>
      <w:r>
        <w:rPr/>
        <w:t>①负责统一协调突发环境事件的应对工作，负责应急统一指挥，同时还负责与矿区外界保持紧密联系，将事态的发展向外部的支持保障机构发出信号，并及时将反馈信息应用于事故应急的领导和指挥当中。</w:t>
      </w:r>
    </w:p>
    <w:p>
      <w:pPr>
        <w:pStyle w:val="BodyText"/>
        <w:spacing w:line="364" w:lineRule="auto"/>
        <w:ind w:left="220" w:right="218" w:firstLine="480"/>
      </w:pPr>
      <w:r>
        <w:rPr/>
        <w:t>②保证应对事故的各项资源，包括建立企业救援队，并与社会可利用资源建立长期</w:t>
      </w:r>
      <w:r>
        <w:rPr>
          <w:spacing w:val="-7"/>
        </w:rPr>
        <w:t>合作关系；当建设单位内部资源不足、不能应对环境事故，需要区域内其他部门增援时， </w:t>
      </w:r>
      <w:r>
        <w:rPr/>
        <w:t>由建设单位的环境安全管理部门提出增援请求。</w:t>
      </w:r>
    </w:p>
    <w:p>
      <w:pPr>
        <w:spacing w:after="0" w:line="364" w:lineRule="auto"/>
        <w:sectPr>
          <w:pgSz w:w="11910" w:h="16840"/>
          <w:pgMar w:header="0" w:footer="947" w:top="1340" w:bottom="1220" w:left="1140" w:right="1020"/>
        </w:sectPr>
      </w:pPr>
    </w:p>
    <w:p>
      <w:pPr>
        <w:pStyle w:val="BodyText"/>
        <w:spacing w:line="362" w:lineRule="auto" w:before="41"/>
        <w:ind w:left="220" w:right="341" w:firstLine="480"/>
      </w:pPr>
      <w:r>
        <w:rPr/>
        <w:t>③在事故处理终止或者处理过程中，要向公众及时、准确地发布反映环境安全事故的信息，引导正确的舆论导向，对社会和公众负责。</w:t>
      </w:r>
    </w:p>
    <w:p>
      <w:pPr>
        <w:pStyle w:val="ListParagraph"/>
        <w:numPr>
          <w:ilvl w:val="0"/>
          <w:numId w:val="101"/>
        </w:numPr>
        <w:tabs>
          <w:tab w:pos="1302" w:val="left" w:leader="none"/>
        </w:tabs>
        <w:spacing w:line="240" w:lineRule="auto" w:before="5" w:after="0"/>
        <w:ind w:left="1301" w:right="0" w:hanging="602"/>
        <w:jc w:val="left"/>
        <w:rPr>
          <w:sz w:val="24"/>
        </w:rPr>
      </w:pPr>
      <w:r>
        <w:rPr>
          <w:sz w:val="24"/>
        </w:rPr>
        <w:t>应急预案内容</w:t>
      </w:r>
    </w:p>
    <w:p>
      <w:pPr>
        <w:pStyle w:val="BodyText"/>
        <w:spacing w:line="364" w:lineRule="auto" w:before="161"/>
        <w:ind w:left="220" w:right="170" w:firstLine="480"/>
      </w:pPr>
      <w:r>
        <w:rPr/>
        <w:t>建设单位应对本次评价提出的可能的环境事故，根据《突发环境事件应急管理办法》相关要求，编制《双鸭山市东盛矿业集团有限公司突发环境事件应急预案》，并在相关环保部门进行备案。</w:t>
      </w:r>
    </w:p>
    <w:p>
      <w:pPr>
        <w:pStyle w:val="BodyText"/>
        <w:spacing w:line="364" w:lineRule="auto"/>
        <w:ind w:left="220" w:right="338" w:firstLine="480"/>
        <w:jc w:val="both"/>
      </w:pPr>
      <w:r>
        <w:rPr/>
        <w:t>从应急工作程序上，可以分为预防预警、应急响应、应急处理、应急终止、信息发布五个步骤。建设单位编制的环境事故应急预案应对以下内容进行细化，并明确各项工作的责任人。</w:t>
      </w:r>
    </w:p>
    <w:p>
      <w:pPr>
        <w:pStyle w:val="BodyText"/>
        <w:spacing w:line="307" w:lineRule="exact"/>
        <w:ind w:left="700"/>
      </w:pPr>
      <w:r>
        <w:rPr/>
        <w:t>①预防预警</w:t>
      </w:r>
    </w:p>
    <w:p>
      <w:pPr>
        <w:pStyle w:val="BodyText"/>
        <w:spacing w:before="155"/>
        <w:ind w:left="700"/>
      </w:pPr>
      <w:r>
        <w:rPr/>
        <w:t>预防与预警是处理环境安全突发事件的必要前提。</w:t>
      </w:r>
    </w:p>
    <w:p>
      <w:pPr>
        <w:pStyle w:val="BodyText"/>
        <w:spacing w:line="362" w:lineRule="auto" w:before="160"/>
        <w:ind w:left="220" w:right="338" w:firstLine="480"/>
      </w:pPr>
      <w:r>
        <w:rPr/>
        <w:t>根据突发事件的严重性、紧急程度和可能波及的范围，划分预警级别，并根据事态的发展情况和采取措施的效果，提高或者降低应急预警级别。</w:t>
      </w:r>
    </w:p>
    <w:p>
      <w:pPr>
        <w:pStyle w:val="BodyText"/>
        <w:spacing w:before="5"/>
        <w:ind w:left="700"/>
      </w:pPr>
      <w:r>
        <w:rPr/>
        <w:t>② 应急响应</w:t>
      </w:r>
    </w:p>
    <w:p>
      <w:pPr>
        <w:pStyle w:val="BodyText"/>
        <w:spacing w:line="364" w:lineRule="auto" w:before="161"/>
        <w:ind w:left="220" w:right="338" w:firstLine="480"/>
        <w:jc w:val="both"/>
      </w:pPr>
      <w:r>
        <w:rPr/>
        <w:t>环境风险突发事件发生后，应立即启动并实施相应应急预案，及时向晋中市生态环境局寿阳分局、寿阳县政府上报；同时，启动建设单位应急专业指挥机构；应急救援力量应立即开展应急救援工作；需要其他应急救援力量支援时，应及时向寿阳县政府提出申请。</w:t>
      </w:r>
    </w:p>
    <w:p>
      <w:pPr>
        <w:pStyle w:val="BodyText"/>
        <w:spacing w:line="303" w:lineRule="exact"/>
        <w:ind w:left="700"/>
      </w:pPr>
      <w:r>
        <w:rPr/>
        <w:t>③应急处理</w:t>
      </w:r>
    </w:p>
    <w:p>
      <w:pPr>
        <w:pStyle w:val="BodyText"/>
        <w:spacing w:line="364" w:lineRule="auto" w:before="160"/>
        <w:ind w:left="700" w:right="161"/>
      </w:pPr>
      <w:r>
        <w:rPr/>
        <w:t>对各类环境事故，根据相应的救援方案进行救援的处理，同时应进行应急环境监测。根据监测结果，综合分析突发环境事件污染变化趋势，并通过专家咨询和讨论的方</w:t>
      </w:r>
    </w:p>
    <w:p>
      <w:pPr>
        <w:pStyle w:val="BodyText"/>
        <w:spacing w:line="364" w:lineRule="auto"/>
        <w:ind w:left="220" w:right="338"/>
      </w:pPr>
      <w:r>
        <w:rPr/>
        <w:t>式，预测并报告突发环境事件的发展情况和污染物的变化情况，作为突发环境事件应急决策的依据。</w:t>
      </w:r>
    </w:p>
    <w:p>
      <w:pPr>
        <w:pStyle w:val="BodyText"/>
        <w:spacing w:line="306" w:lineRule="exact"/>
        <w:ind w:left="700"/>
      </w:pPr>
      <w:r>
        <w:rPr/>
        <w:t>④ 应急终止</w:t>
      </w:r>
    </w:p>
    <w:p>
      <w:pPr>
        <w:pStyle w:val="BodyText"/>
        <w:spacing w:line="362" w:lineRule="auto" w:before="159"/>
        <w:ind w:left="220" w:right="338" w:firstLine="480"/>
      </w:pPr>
      <w:r>
        <w:rPr/>
        <w:t>应急终止须经现场救援指挥部确认，由现场救援指挥部向所属各专业应急救援队伍下达应急终止命令。</w:t>
      </w:r>
    </w:p>
    <w:p>
      <w:pPr>
        <w:pStyle w:val="BodyText"/>
        <w:spacing w:line="362" w:lineRule="auto" w:before="5"/>
        <w:ind w:left="220" w:right="338" w:firstLine="480"/>
      </w:pPr>
      <w:r>
        <w:rPr/>
        <w:t>应急状态终止后，建设单位应根据上级有关指示和实际情况，继续进行环境监测和评价工作，直至其他补救措施无需继续进行为止。</w:t>
      </w:r>
    </w:p>
    <w:p>
      <w:pPr>
        <w:pStyle w:val="BodyText"/>
        <w:spacing w:before="5"/>
        <w:ind w:left="700"/>
      </w:pPr>
      <w:r>
        <w:rPr/>
        <w:t>⑤信息发布</w:t>
      </w:r>
    </w:p>
    <w:p>
      <w:pPr>
        <w:pStyle w:val="BodyText"/>
        <w:spacing w:before="158"/>
        <w:ind w:left="700"/>
      </w:pPr>
      <w:r>
        <w:rPr/>
        <w:t>突发环境安全事件终止后，要通过报纸、广播、电视和网络等多种媒体方式，及时</w:t>
      </w:r>
    </w:p>
    <w:p>
      <w:pPr>
        <w:spacing w:after="0"/>
        <w:sectPr>
          <w:pgSz w:w="11910" w:h="16840"/>
          <w:pgMar w:header="0" w:footer="947" w:top="1360" w:bottom="1220" w:left="1140" w:right="1020"/>
        </w:sectPr>
      </w:pPr>
    </w:p>
    <w:p>
      <w:pPr>
        <w:pStyle w:val="BodyText"/>
        <w:spacing w:before="41"/>
        <w:ind w:left="220"/>
      </w:pPr>
      <w:r>
        <w:rPr/>
        <w:t>发布准确、权威的信息，正确引导社会舆论，增强对于环境安全应急措施的透明度。</w:t>
      </w:r>
    </w:p>
    <w:p>
      <w:pPr>
        <w:pStyle w:val="ListParagraph"/>
        <w:numPr>
          <w:ilvl w:val="0"/>
          <w:numId w:val="101"/>
        </w:numPr>
        <w:tabs>
          <w:tab w:pos="1302" w:val="left" w:leader="none"/>
        </w:tabs>
        <w:spacing w:line="240" w:lineRule="auto" w:before="158" w:after="0"/>
        <w:ind w:left="1301" w:right="0" w:hanging="602"/>
        <w:jc w:val="left"/>
        <w:rPr>
          <w:sz w:val="24"/>
        </w:rPr>
      </w:pPr>
      <w:r>
        <w:rPr>
          <w:sz w:val="24"/>
        </w:rPr>
        <w:t>监督管理</w:t>
      </w:r>
    </w:p>
    <w:p>
      <w:pPr>
        <w:pStyle w:val="BodyText"/>
        <w:spacing w:before="161"/>
        <w:ind w:left="700"/>
      </w:pPr>
      <w:r>
        <w:rPr/>
        <w:t>①预案演练</w:t>
      </w:r>
    </w:p>
    <w:p>
      <w:pPr>
        <w:pStyle w:val="BodyText"/>
        <w:spacing w:line="362" w:lineRule="auto" w:before="160"/>
        <w:ind w:left="220" w:right="338" w:firstLine="480"/>
      </w:pPr>
      <w:r>
        <w:rPr/>
        <w:t>按照环境应急预案及相关单项预案，建设单位应定期组织不同类型的环境应急实战演练，提高防范和处置突发环境事件的技能，增强实战能力。</w:t>
      </w:r>
    </w:p>
    <w:p>
      <w:pPr>
        <w:pStyle w:val="BodyText"/>
        <w:spacing w:before="5"/>
        <w:ind w:left="700"/>
      </w:pPr>
      <w:r>
        <w:rPr/>
        <w:t>②宣传与培训</w:t>
      </w:r>
    </w:p>
    <w:p>
      <w:pPr>
        <w:pStyle w:val="BodyText"/>
        <w:spacing w:line="364" w:lineRule="auto" w:before="158"/>
        <w:ind w:left="220" w:right="338" w:firstLine="480"/>
        <w:jc w:val="both"/>
      </w:pPr>
      <w:r>
        <w:rPr/>
        <w:t>建设单位加强环境保护科普宣传教育工作，普及环境污染事件预防常识，编印、发放有毒有害物质污染公众防护</w:t>
      </w:r>
      <w:r>
        <w:rPr>
          <w:rFonts w:ascii="Times New Roman" w:hAnsi="Times New Roman" w:eastAsia="Times New Roman"/>
        </w:rPr>
        <w:t>“</w:t>
      </w:r>
      <w:r>
        <w:rPr/>
        <w:t>明白卡</w:t>
      </w:r>
      <w:r>
        <w:rPr>
          <w:rFonts w:ascii="Times New Roman" w:hAnsi="Times New Roman" w:eastAsia="Times New Roman"/>
        </w:rPr>
        <w:t>”</w:t>
      </w:r>
      <w:r>
        <w:rPr/>
        <w:t>，增强公众的防范意识和相关心理准备，提高公众的防范能力。</w:t>
      </w:r>
    </w:p>
    <w:p>
      <w:pPr>
        <w:pStyle w:val="BodyText"/>
        <w:spacing w:line="362" w:lineRule="auto"/>
        <w:ind w:left="220" w:right="338" w:firstLine="480"/>
      </w:pPr>
      <w:r>
        <w:rPr/>
        <w:t>企业内工作人员应积极主动接受日常培训，企业应对重要目标工作人员进行培训和管理。</w:t>
      </w:r>
    </w:p>
    <w:p>
      <w:pPr>
        <w:pStyle w:val="BodyText"/>
        <w:spacing w:before="5"/>
        <w:ind w:left="700"/>
      </w:pPr>
      <w:r>
        <w:rPr/>
        <w:t>③监督与评价</w:t>
      </w:r>
    </w:p>
    <w:p>
      <w:pPr>
        <w:pStyle w:val="BodyText"/>
        <w:spacing w:line="364" w:lineRule="auto" w:before="158"/>
        <w:ind w:left="220" w:right="338" w:firstLine="480"/>
        <w:jc w:val="both"/>
      </w:pPr>
      <w:r>
        <w:rP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应急机构的设置；应急工作程序的建立与执行情况；应急救援队伍的建设；应急人员培训与考核情况；应急装备使用和经费管理情况等。</w:t>
      </w:r>
    </w:p>
    <w:p>
      <w:pPr>
        <w:pStyle w:val="Heading2"/>
        <w:numPr>
          <w:ilvl w:val="1"/>
          <w:numId w:val="98"/>
        </w:numPr>
        <w:tabs>
          <w:tab w:pos="896" w:val="left" w:leader="none"/>
        </w:tabs>
        <w:spacing w:line="240" w:lineRule="auto" w:before="0" w:after="0"/>
        <w:ind w:left="895" w:right="0" w:hanging="676"/>
        <w:jc w:val="left"/>
      </w:pPr>
      <w:bookmarkStart w:name="15.6 分析结论" w:id="1125"/>
      <w:bookmarkEnd w:id="1125"/>
      <w:r>
        <w:rPr>
          <w:b w:val="0"/>
        </w:rPr>
      </w:r>
      <w:bookmarkStart w:name="_bookmark86" w:id="1126"/>
      <w:bookmarkEnd w:id="1126"/>
      <w:r>
        <w:rPr>
          <w:b w:val="0"/>
        </w:rPr>
      </w:r>
      <w:bookmarkStart w:name="_bookmark86" w:id="1127"/>
      <w:bookmarkEnd w:id="1127"/>
      <w:r>
        <w:rPr/>
        <w:t>分析结论</w:t>
      </w:r>
    </w:p>
    <w:p>
      <w:pPr>
        <w:pStyle w:val="BodyText"/>
        <w:spacing w:line="364" w:lineRule="auto" w:before="199"/>
        <w:ind w:left="220" w:right="338" w:firstLine="480"/>
        <w:jc w:val="both"/>
      </w:pPr>
      <w:r>
        <w:rPr/>
        <w:t>本项目风险源项主要为油脂库内柴油罐泄露、硝铵炸药爆炸，所在区域主要环境敏感目标为周边村民住户，本项目环境风险可防控，已根据本项目可能影响的范围和程度逐项提出缓解环境风险的建议措施。</w:t>
      </w:r>
    </w:p>
    <w:p>
      <w:pPr>
        <w:pStyle w:val="BodyText"/>
        <w:spacing w:line="304" w:lineRule="exact"/>
        <w:ind w:left="700"/>
        <w:jc w:val="both"/>
      </w:pPr>
      <w:r>
        <w:rPr/>
        <w:t>基于本次环境风险评价内容，建设项目环境风险简单分析内容汇总见表 </w:t>
      </w:r>
      <w:r>
        <w:rPr>
          <w:rFonts w:ascii="Times New Roman" w:eastAsia="Times New Roman"/>
        </w:rPr>
        <w:t>15.6-1</w:t>
      </w:r>
      <w:r>
        <w:rPr/>
        <w:t>。</w:t>
      </w:r>
    </w:p>
    <w:p>
      <w:pPr>
        <w:spacing w:before="159"/>
        <w:ind w:left="0" w:right="105" w:firstLine="0"/>
        <w:jc w:val="center"/>
        <w:rPr>
          <w:b/>
          <w:sz w:val="21"/>
        </w:rPr>
      </w:pPr>
      <w:r>
        <w:rPr>
          <w:b/>
          <w:sz w:val="21"/>
        </w:rPr>
        <w:t>表 </w:t>
      </w:r>
      <w:r>
        <w:rPr>
          <w:rFonts w:ascii="Times New Roman" w:eastAsia="Times New Roman"/>
          <w:b/>
          <w:sz w:val="21"/>
        </w:rPr>
        <w:t>15.6-1 </w:t>
      </w:r>
      <w:r>
        <w:rPr>
          <w:b/>
          <w:sz w:val="21"/>
        </w:rPr>
        <w:t>建设项目环境风险简单分析内容表</w:t>
      </w:r>
    </w:p>
    <w:p>
      <w:pPr>
        <w:pStyle w:val="BodyText"/>
        <w:spacing w:before="11"/>
        <w:rPr>
          <w:b/>
          <w:sz w:val="10"/>
        </w:r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2860"/>
        <w:gridCol w:w="2423"/>
        <w:gridCol w:w="2423"/>
      </w:tblGrid>
      <w:tr>
        <w:trPr>
          <w:trHeight w:val="454" w:hRule="atLeast"/>
        </w:trPr>
        <w:tc>
          <w:tcPr>
            <w:tcW w:w="1580" w:type="dxa"/>
          </w:tcPr>
          <w:p>
            <w:pPr>
              <w:pStyle w:val="TableParagraph"/>
              <w:spacing w:before="62"/>
              <w:ind w:left="137" w:right="133"/>
              <w:rPr>
                <w:sz w:val="21"/>
              </w:rPr>
            </w:pPr>
            <w:r>
              <w:rPr>
                <w:sz w:val="21"/>
              </w:rPr>
              <w:t>建设项目名称</w:t>
            </w:r>
          </w:p>
        </w:tc>
        <w:tc>
          <w:tcPr>
            <w:tcW w:w="7706" w:type="dxa"/>
            <w:gridSpan w:val="3"/>
          </w:tcPr>
          <w:p>
            <w:pPr>
              <w:pStyle w:val="TableParagraph"/>
              <w:jc w:val="left"/>
              <w:rPr>
                <w:rFonts w:ascii="Times New Roman"/>
                <w:sz w:val="22"/>
              </w:rPr>
            </w:pPr>
          </w:p>
        </w:tc>
      </w:tr>
      <w:tr>
        <w:trPr>
          <w:trHeight w:val="453" w:hRule="atLeast"/>
        </w:trPr>
        <w:tc>
          <w:tcPr>
            <w:tcW w:w="1580" w:type="dxa"/>
          </w:tcPr>
          <w:p>
            <w:pPr>
              <w:pStyle w:val="TableParagraph"/>
              <w:spacing w:before="63"/>
              <w:ind w:left="137" w:right="130"/>
              <w:rPr>
                <w:sz w:val="21"/>
              </w:rPr>
            </w:pPr>
            <w:r>
              <w:rPr>
                <w:sz w:val="21"/>
              </w:rPr>
              <w:t>建设地点</w:t>
            </w:r>
          </w:p>
        </w:tc>
        <w:tc>
          <w:tcPr>
            <w:tcW w:w="2860" w:type="dxa"/>
          </w:tcPr>
          <w:p>
            <w:pPr>
              <w:pStyle w:val="TableParagraph"/>
              <w:spacing w:before="63"/>
              <w:ind w:left="777" w:right="773"/>
              <w:rPr>
                <w:sz w:val="21"/>
              </w:rPr>
            </w:pPr>
            <w:r>
              <w:rPr>
                <w:sz w:val="21"/>
              </w:rPr>
              <w:t>黑龙江（省）</w:t>
            </w:r>
          </w:p>
        </w:tc>
        <w:tc>
          <w:tcPr>
            <w:tcW w:w="2423" w:type="dxa"/>
          </w:tcPr>
          <w:p>
            <w:pPr>
              <w:pStyle w:val="TableParagraph"/>
              <w:spacing w:before="63"/>
              <w:ind w:left="580"/>
              <w:jc w:val="left"/>
              <w:rPr>
                <w:sz w:val="21"/>
              </w:rPr>
            </w:pPr>
            <w:r>
              <w:rPr>
                <w:sz w:val="21"/>
              </w:rPr>
              <w:t>双鸭山（市）</w:t>
            </w:r>
          </w:p>
        </w:tc>
        <w:tc>
          <w:tcPr>
            <w:tcW w:w="2423" w:type="dxa"/>
          </w:tcPr>
          <w:p>
            <w:pPr>
              <w:pStyle w:val="TableParagraph"/>
              <w:spacing w:before="63"/>
              <w:ind w:left="685"/>
              <w:jc w:val="left"/>
              <w:rPr>
                <w:sz w:val="21"/>
              </w:rPr>
            </w:pPr>
            <w:r>
              <w:rPr>
                <w:sz w:val="21"/>
              </w:rPr>
              <w:t>（自治县）</w:t>
            </w:r>
          </w:p>
        </w:tc>
      </w:tr>
      <w:tr>
        <w:trPr>
          <w:trHeight w:val="454" w:hRule="atLeast"/>
        </w:trPr>
        <w:tc>
          <w:tcPr>
            <w:tcW w:w="1580" w:type="dxa"/>
            <w:vMerge w:val="restart"/>
          </w:tcPr>
          <w:p>
            <w:pPr>
              <w:pStyle w:val="TableParagraph"/>
              <w:jc w:val="left"/>
              <w:rPr>
                <w:b/>
                <w:sz w:val="23"/>
              </w:rPr>
            </w:pPr>
          </w:p>
          <w:p>
            <w:pPr>
              <w:pStyle w:val="TableParagraph"/>
              <w:spacing w:before="1"/>
              <w:ind w:left="369"/>
              <w:jc w:val="left"/>
              <w:rPr>
                <w:sz w:val="21"/>
              </w:rPr>
            </w:pPr>
            <w:r>
              <w:rPr>
                <w:sz w:val="21"/>
              </w:rPr>
              <w:t>地理坐标</w:t>
            </w:r>
          </w:p>
        </w:tc>
        <w:tc>
          <w:tcPr>
            <w:tcW w:w="2860" w:type="dxa"/>
          </w:tcPr>
          <w:p>
            <w:pPr>
              <w:pStyle w:val="TableParagraph"/>
              <w:spacing w:before="62"/>
              <w:ind w:left="777" w:right="773"/>
              <w:rPr>
                <w:sz w:val="21"/>
              </w:rPr>
            </w:pPr>
            <w:r>
              <w:rPr>
                <w:sz w:val="21"/>
              </w:rPr>
              <w:t>东经</w:t>
            </w:r>
          </w:p>
        </w:tc>
        <w:tc>
          <w:tcPr>
            <w:tcW w:w="4846" w:type="dxa"/>
            <w:gridSpan w:val="2"/>
          </w:tcPr>
          <w:p>
            <w:pPr>
              <w:pStyle w:val="TableParagraph"/>
              <w:spacing w:before="81"/>
              <w:ind w:left="1795" w:right="1785"/>
              <w:rPr>
                <w:rFonts w:ascii="Times New Roman" w:hAnsi="Times New Roman"/>
                <w:sz w:val="21"/>
              </w:rPr>
            </w:pPr>
            <w:r>
              <w:rPr>
                <w:rFonts w:ascii="Times New Roman" w:hAnsi="Times New Roman"/>
                <w:sz w:val="21"/>
              </w:rPr>
              <w:t>131°10′38.18″</w:t>
            </w:r>
          </w:p>
        </w:tc>
      </w:tr>
      <w:tr>
        <w:trPr>
          <w:trHeight w:val="454" w:hRule="atLeast"/>
        </w:trPr>
        <w:tc>
          <w:tcPr>
            <w:tcW w:w="1580" w:type="dxa"/>
            <w:vMerge/>
            <w:tcBorders>
              <w:top w:val="nil"/>
            </w:tcBorders>
          </w:tcPr>
          <w:p>
            <w:pPr>
              <w:rPr>
                <w:sz w:val="2"/>
                <w:szCs w:val="2"/>
              </w:rPr>
            </w:pPr>
          </w:p>
        </w:tc>
        <w:tc>
          <w:tcPr>
            <w:tcW w:w="2860" w:type="dxa"/>
          </w:tcPr>
          <w:p>
            <w:pPr>
              <w:pStyle w:val="TableParagraph"/>
              <w:spacing w:before="62"/>
              <w:ind w:left="777" w:right="773"/>
              <w:rPr>
                <w:sz w:val="21"/>
              </w:rPr>
            </w:pPr>
            <w:r>
              <w:rPr>
                <w:sz w:val="21"/>
              </w:rPr>
              <w:t>北纬</w:t>
            </w:r>
          </w:p>
        </w:tc>
        <w:tc>
          <w:tcPr>
            <w:tcW w:w="4846" w:type="dxa"/>
            <w:gridSpan w:val="2"/>
          </w:tcPr>
          <w:p>
            <w:pPr>
              <w:pStyle w:val="TableParagraph"/>
              <w:spacing w:before="80"/>
              <w:ind w:left="1795" w:right="1785"/>
              <w:rPr>
                <w:rFonts w:ascii="Times New Roman" w:hAnsi="Times New Roman"/>
                <w:sz w:val="21"/>
              </w:rPr>
            </w:pPr>
            <w:r>
              <w:rPr>
                <w:rFonts w:ascii="Times New Roman" w:hAnsi="Times New Roman"/>
                <w:sz w:val="21"/>
              </w:rPr>
              <w:t>46°34′38.38″</w:t>
            </w:r>
          </w:p>
        </w:tc>
      </w:tr>
      <w:tr>
        <w:trPr>
          <w:trHeight w:val="652" w:hRule="atLeast"/>
        </w:trPr>
        <w:tc>
          <w:tcPr>
            <w:tcW w:w="1580" w:type="dxa"/>
          </w:tcPr>
          <w:p>
            <w:pPr>
              <w:pStyle w:val="TableParagraph"/>
              <w:spacing w:before="1"/>
              <w:ind w:left="137" w:right="133"/>
              <w:rPr>
                <w:sz w:val="21"/>
              </w:rPr>
            </w:pPr>
            <w:r>
              <w:rPr>
                <w:sz w:val="21"/>
              </w:rPr>
              <w:t>主要危险物质</w:t>
            </w:r>
          </w:p>
          <w:p>
            <w:pPr>
              <w:pStyle w:val="TableParagraph"/>
              <w:spacing w:before="55"/>
              <w:ind w:left="137" w:right="128"/>
              <w:rPr>
                <w:sz w:val="21"/>
              </w:rPr>
            </w:pPr>
            <w:r>
              <w:rPr>
                <w:sz w:val="21"/>
              </w:rPr>
              <w:t>及分布</w:t>
            </w:r>
          </w:p>
        </w:tc>
        <w:tc>
          <w:tcPr>
            <w:tcW w:w="7706" w:type="dxa"/>
            <w:gridSpan w:val="3"/>
          </w:tcPr>
          <w:p>
            <w:pPr>
              <w:pStyle w:val="TableParagraph"/>
              <w:spacing w:before="1"/>
              <w:ind w:left="107"/>
              <w:jc w:val="left"/>
              <w:rPr>
                <w:sz w:val="21"/>
              </w:rPr>
            </w:pPr>
            <w:r>
              <w:rPr>
                <w:sz w:val="21"/>
              </w:rPr>
              <w:t>主要危险物质为丙类油脂（如润滑油、机油、重油及闪点大于或等于 </w:t>
            </w:r>
            <w:r>
              <w:rPr>
                <w:rFonts w:ascii="Times New Roman" w:eastAsia="Times New Roman"/>
                <w:sz w:val="21"/>
              </w:rPr>
              <w:t>60 </w:t>
            </w:r>
            <w:r>
              <w:rPr>
                <w:sz w:val="21"/>
              </w:rPr>
              <w:t>摄氏度的</w:t>
            </w:r>
          </w:p>
          <w:p>
            <w:pPr>
              <w:pStyle w:val="TableParagraph"/>
              <w:spacing w:before="55"/>
              <w:ind w:left="107"/>
              <w:jc w:val="left"/>
              <w:rPr>
                <w:sz w:val="21"/>
              </w:rPr>
            </w:pPr>
            <w:r>
              <w:rPr>
                <w:sz w:val="21"/>
              </w:rPr>
              <w:t>柴油等），储存于油脂库内柴油罐；硝铵炸药储存于火药库</w:t>
            </w:r>
          </w:p>
        </w:tc>
      </w:tr>
      <w:tr>
        <w:trPr>
          <w:trHeight w:val="978" w:hRule="atLeast"/>
        </w:trPr>
        <w:tc>
          <w:tcPr>
            <w:tcW w:w="1580" w:type="dxa"/>
          </w:tcPr>
          <w:p>
            <w:pPr>
              <w:pStyle w:val="TableParagraph"/>
              <w:spacing w:line="290" w:lineRule="auto" w:before="163"/>
              <w:ind w:left="264" w:right="151" w:hanging="106"/>
              <w:jc w:val="left"/>
              <w:rPr>
                <w:sz w:val="21"/>
              </w:rPr>
            </w:pPr>
            <w:r>
              <w:rPr>
                <w:sz w:val="21"/>
              </w:rPr>
              <w:t>环境影响途径及危害后果</w:t>
            </w:r>
          </w:p>
        </w:tc>
        <w:tc>
          <w:tcPr>
            <w:tcW w:w="7706" w:type="dxa"/>
            <w:gridSpan w:val="3"/>
          </w:tcPr>
          <w:p>
            <w:pPr>
              <w:pStyle w:val="TableParagraph"/>
              <w:ind w:left="107"/>
              <w:jc w:val="left"/>
              <w:rPr>
                <w:sz w:val="21"/>
              </w:rPr>
            </w:pPr>
            <w:r>
              <w:rPr>
                <w:sz w:val="21"/>
              </w:rPr>
              <w:t>最不利情况下，油脂库内柴油罐发生泄漏事故造成丙类油脂泄漏于地表，如果处理</w:t>
            </w:r>
          </w:p>
          <w:p>
            <w:pPr>
              <w:pStyle w:val="TableParagraph"/>
              <w:spacing w:line="320" w:lineRule="atLeast" w:before="7"/>
              <w:ind w:left="107" w:right="26"/>
              <w:jc w:val="left"/>
              <w:rPr>
                <w:sz w:val="21"/>
              </w:rPr>
            </w:pPr>
            <w:r>
              <w:rPr>
                <w:w w:val="95"/>
                <w:sz w:val="21"/>
              </w:rPr>
              <w:t>及时得当，则可有效地控制对周围环境的影响；按国家《民用爆炸物品管理条例》  </w:t>
            </w:r>
            <w:r>
              <w:rPr>
                <w:sz w:val="21"/>
              </w:rPr>
              <w:t>等有关规定储存、使用爆炸物品，可将爆炸造成的环境危害降至最低。</w:t>
            </w:r>
          </w:p>
        </w:tc>
      </w:tr>
    </w:tbl>
    <w:p>
      <w:pPr>
        <w:spacing w:after="0" w:line="320" w:lineRule="atLeast"/>
        <w:jc w:val="left"/>
        <w:rPr>
          <w:sz w:val="21"/>
        </w:rPr>
        <w:sectPr>
          <w:pgSz w:w="11910" w:h="16840"/>
          <w:pgMar w:header="0" w:footer="947" w:top="1360" w:bottom="1220" w:left="1140" w:right="1020"/>
        </w:sect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7706"/>
      </w:tblGrid>
      <w:tr>
        <w:trPr>
          <w:trHeight w:val="980" w:hRule="atLeast"/>
        </w:trPr>
        <w:tc>
          <w:tcPr>
            <w:tcW w:w="1580" w:type="dxa"/>
          </w:tcPr>
          <w:p>
            <w:pPr>
              <w:pStyle w:val="TableParagraph"/>
              <w:spacing w:line="290" w:lineRule="auto" w:before="163"/>
              <w:ind w:left="578" w:right="151" w:hanging="420"/>
              <w:jc w:val="left"/>
              <w:rPr>
                <w:sz w:val="21"/>
              </w:rPr>
            </w:pPr>
            <w:r>
              <w:rPr>
                <w:sz w:val="21"/>
              </w:rPr>
              <w:t>风险防范措施要求</w:t>
            </w:r>
          </w:p>
        </w:tc>
        <w:tc>
          <w:tcPr>
            <w:tcW w:w="7706" w:type="dxa"/>
          </w:tcPr>
          <w:p>
            <w:pPr>
              <w:pStyle w:val="TableParagraph"/>
              <w:spacing w:line="290" w:lineRule="auto"/>
              <w:ind w:left="107" w:right="132"/>
              <w:jc w:val="left"/>
              <w:rPr>
                <w:sz w:val="21"/>
              </w:rPr>
            </w:pPr>
            <w:r>
              <w:rPr>
                <w:rFonts w:ascii="Times New Roman" w:eastAsia="Times New Roman"/>
                <w:w w:val="95"/>
                <w:sz w:val="21"/>
              </w:rPr>
              <w:t>1</w:t>
            </w:r>
            <w:r>
              <w:rPr>
                <w:w w:val="95"/>
                <w:sz w:val="21"/>
              </w:rPr>
              <w:t>、设立标志，加强巡检，防止人为破坏。建成营运后，要提髙操作人员的素质和  </w:t>
            </w:r>
            <w:r>
              <w:rPr>
                <w:sz w:val="21"/>
              </w:rPr>
              <w:t>管理水平，防止或减少事故风险的发生，确保油脂库内柴油罐状态正常。</w:t>
            </w:r>
          </w:p>
          <w:p>
            <w:pPr>
              <w:pStyle w:val="TableParagraph"/>
              <w:spacing w:before="4"/>
              <w:ind w:left="107"/>
              <w:jc w:val="left"/>
              <w:rPr>
                <w:sz w:val="21"/>
              </w:rPr>
            </w:pPr>
            <w:r>
              <w:rPr>
                <w:rFonts w:ascii="Times New Roman" w:eastAsia="Times New Roman"/>
                <w:sz w:val="21"/>
              </w:rPr>
              <w:t>2</w:t>
            </w:r>
            <w:r>
              <w:rPr>
                <w:sz w:val="21"/>
              </w:rPr>
              <w:t>、重视环境管理工作，加强监督，及时发现各设施存在的环境隐患。</w:t>
            </w:r>
          </w:p>
        </w:tc>
      </w:tr>
      <w:tr>
        <w:trPr>
          <w:trHeight w:val="454" w:hRule="atLeast"/>
        </w:trPr>
        <w:tc>
          <w:tcPr>
            <w:tcW w:w="9286" w:type="dxa"/>
            <w:gridSpan w:val="2"/>
          </w:tcPr>
          <w:p>
            <w:pPr>
              <w:pStyle w:val="TableParagraph"/>
              <w:spacing w:before="63"/>
              <w:ind w:left="108"/>
              <w:jc w:val="left"/>
              <w:rPr>
                <w:sz w:val="21"/>
              </w:rPr>
            </w:pPr>
            <w:r>
              <w:rPr>
                <w:sz w:val="21"/>
              </w:rPr>
              <w:t>填表说明：无</w:t>
            </w:r>
          </w:p>
        </w:tc>
      </w:tr>
    </w:tbl>
    <w:p>
      <w:pPr>
        <w:spacing w:after="0"/>
        <w:jc w:val="left"/>
        <w:rPr>
          <w:sz w:val="21"/>
        </w:rPr>
        <w:sectPr>
          <w:footerReference w:type="default" r:id="rId69"/>
          <w:pgSz w:w="11910" w:h="16840"/>
          <w:pgMar w:footer="947" w:header="0" w:top="1400" w:bottom="1140" w:left="1140" w:right="1020"/>
          <w:pgNumType w:start="190"/>
        </w:sectPr>
      </w:pPr>
    </w:p>
    <w:p>
      <w:pPr>
        <w:pStyle w:val="Heading1"/>
        <w:numPr>
          <w:ilvl w:val="1"/>
          <w:numId w:val="49"/>
        </w:numPr>
        <w:tabs>
          <w:tab w:pos="3684" w:val="left" w:leader="none"/>
        </w:tabs>
        <w:spacing w:line="240" w:lineRule="auto" w:before="41" w:after="0"/>
        <w:ind w:left="3684" w:right="0" w:hanging="632"/>
        <w:jc w:val="left"/>
      </w:pPr>
      <w:bookmarkStart w:name="16. 环境经济损益分析" w:id="1128"/>
      <w:bookmarkEnd w:id="1128"/>
      <w:r>
        <w:rPr>
          <w:b w:val="0"/>
        </w:rPr>
      </w:r>
      <w:bookmarkStart w:name="_bookmark87" w:id="1129"/>
      <w:bookmarkEnd w:id="1129"/>
      <w:r>
        <w:rPr>
          <w:b w:val="0"/>
        </w:rPr>
      </w:r>
      <w:bookmarkStart w:name="_bookmark87" w:id="1130"/>
      <w:bookmarkEnd w:id="1130"/>
      <w:r>
        <w:rPr>
          <w:w w:val="95"/>
        </w:rPr>
        <w:t>环境经济损益分析</w:t>
      </w:r>
    </w:p>
    <w:p>
      <w:pPr>
        <w:pStyle w:val="Heading3"/>
        <w:numPr>
          <w:ilvl w:val="1"/>
          <w:numId w:val="102"/>
        </w:numPr>
        <w:tabs>
          <w:tab w:pos="780" w:val="left" w:leader="none"/>
        </w:tabs>
        <w:spacing w:line="240" w:lineRule="auto" w:before="240" w:after="0"/>
        <w:ind w:left="780" w:right="0" w:hanging="560"/>
        <w:jc w:val="left"/>
      </w:pPr>
      <w:bookmarkStart w:name="16.1环境保护工程投资分析" w:id="1131"/>
      <w:bookmarkEnd w:id="1131"/>
      <w:r>
        <w:rPr>
          <w:b w:val="0"/>
        </w:rPr>
      </w:r>
      <w:bookmarkStart w:name="_bookmark88" w:id="1132"/>
      <w:bookmarkEnd w:id="1132"/>
      <w:r>
        <w:rPr>
          <w:b w:val="0"/>
        </w:rPr>
      </w:r>
      <w:bookmarkStart w:name="_bookmark88" w:id="1133"/>
      <w:bookmarkEnd w:id="1133"/>
      <w:r>
        <w:rPr>
          <w:spacing w:val="-1"/>
          <w:w w:val="95"/>
        </w:rPr>
        <w:t>环境保护工程投资分析</w:t>
      </w:r>
    </w:p>
    <w:p>
      <w:pPr>
        <w:pStyle w:val="BodyText"/>
        <w:spacing w:before="186"/>
        <w:ind w:left="700"/>
      </w:pPr>
      <w:r>
        <w:rPr/>
        <w:t>本项目环境保护投资估算结果见表 </w:t>
      </w:r>
      <w:r>
        <w:rPr>
          <w:rFonts w:ascii="Times New Roman" w:eastAsia="Times New Roman"/>
        </w:rPr>
        <w:t>16.1-1</w:t>
      </w:r>
      <w:r>
        <w:rPr/>
        <w:t>。</w:t>
      </w:r>
    </w:p>
    <w:p>
      <w:pPr>
        <w:pStyle w:val="Heading4"/>
        <w:tabs>
          <w:tab w:pos="1159" w:val="left" w:leader="none"/>
        </w:tabs>
        <w:spacing w:before="158" w:after="3"/>
        <w:ind w:right="110"/>
        <w:jc w:val="center"/>
      </w:pPr>
      <w:r>
        <w:rPr/>
        <w:t>表</w:t>
      </w:r>
      <w:r>
        <w:rPr>
          <w:spacing w:val="-62"/>
        </w:rPr>
        <w:t> </w:t>
      </w:r>
      <w:r>
        <w:rPr>
          <w:rFonts w:ascii="Times New Roman" w:eastAsia="Times New Roman"/>
        </w:rPr>
        <w:t>16.1-1</w:t>
        <w:tab/>
      </w:r>
      <w:r>
        <w:rPr/>
        <w:t>矿井环保投资估算表</w:t>
      </w:r>
    </w:p>
    <w:tbl>
      <w:tblPr>
        <w:tblW w:w="0" w:type="auto"/>
        <w:jc w:val="left"/>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99"/>
        <w:gridCol w:w="2589"/>
        <w:gridCol w:w="2199"/>
        <w:gridCol w:w="3699"/>
      </w:tblGrid>
      <w:tr>
        <w:trPr>
          <w:trHeight w:val="397" w:hRule="atLeast"/>
        </w:trPr>
        <w:tc>
          <w:tcPr>
            <w:tcW w:w="799" w:type="dxa"/>
            <w:tcBorders>
              <w:bottom w:val="single" w:sz="4" w:space="0" w:color="000000"/>
              <w:right w:val="single" w:sz="4" w:space="0" w:color="000000"/>
            </w:tcBorders>
          </w:tcPr>
          <w:p>
            <w:pPr>
              <w:pStyle w:val="TableParagraph"/>
              <w:spacing w:before="62"/>
              <w:ind w:left="168" w:right="156"/>
              <w:rPr>
                <w:sz w:val="21"/>
              </w:rPr>
            </w:pPr>
            <w:r>
              <w:rPr>
                <w:sz w:val="21"/>
              </w:rPr>
              <w:t>序号</w:t>
            </w:r>
          </w:p>
        </w:tc>
        <w:tc>
          <w:tcPr>
            <w:tcW w:w="2589" w:type="dxa"/>
            <w:tcBorders>
              <w:left w:val="single" w:sz="4" w:space="0" w:color="000000"/>
              <w:bottom w:val="single" w:sz="4" w:space="0" w:color="000000"/>
              <w:right w:val="single" w:sz="4" w:space="0" w:color="000000"/>
            </w:tcBorders>
          </w:tcPr>
          <w:p>
            <w:pPr>
              <w:pStyle w:val="TableParagraph"/>
              <w:spacing w:before="62"/>
              <w:ind w:left="857" w:right="841"/>
              <w:rPr>
                <w:sz w:val="21"/>
              </w:rPr>
            </w:pPr>
            <w:r>
              <w:rPr>
                <w:sz w:val="21"/>
              </w:rPr>
              <w:t>环保项目</w:t>
            </w:r>
          </w:p>
        </w:tc>
        <w:tc>
          <w:tcPr>
            <w:tcW w:w="2199" w:type="dxa"/>
            <w:tcBorders>
              <w:left w:val="single" w:sz="4" w:space="0" w:color="000000"/>
              <w:bottom w:val="single" w:sz="4" w:space="0" w:color="000000"/>
              <w:right w:val="single" w:sz="4" w:space="0" w:color="000000"/>
            </w:tcBorders>
          </w:tcPr>
          <w:p>
            <w:pPr>
              <w:pStyle w:val="TableParagraph"/>
              <w:spacing w:before="62"/>
              <w:ind w:left="347" w:right="331"/>
              <w:rPr>
                <w:sz w:val="21"/>
              </w:rPr>
            </w:pPr>
            <w:r>
              <w:rPr>
                <w:sz w:val="21"/>
              </w:rPr>
              <w:t>投资估算：万元</w:t>
            </w:r>
          </w:p>
        </w:tc>
        <w:tc>
          <w:tcPr>
            <w:tcW w:w="3699" w:type="dxa"/>
            <w:tcBorders>
              <w:left w:val="single" w:sz="4" w:space="0" w:color="000000"/>
              <w:bottom w:val="single" w:sz="4" w:space="0" w:color="000000"/>
            </w:tcBorders>
          </w:tcPr>
          <w:p>
            <w:pPr>
              <w:pStyle w:val="TableParagraph"/>
              <w:spacing w:before="62"/>
              <w:ind w:left="153" w:right="131"/>
              <w:rPr>
                <w:sz w:val="21"/>
              </w:rPr>
            </w:pPr>
            <w:r>
              <w:rPr>
                <w:sz w:val="21"/>
              </w:rPr>
              <w:t>备注</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3"/>
              <w:ind w:left="10"/>
              <w:rPr>
                <w:sz w:val="21"/>
              </w:rPr>
            </w:pPr>
            <w:r>
              <w:rPr>
                <w:w w:val="99"/>
                <w:sz w:val="21"/>
              </w:rPr>
              <w:t>一</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857" w:right="841"/>
              <w:rPr>
                <w:sz w:val="21"/>
              </w:rPr>
            </w:pPr>
            <w:r>
              <w:rPr>
                <w:sz w:val="21"/>
              </w:rPr>
              <w:t>污水处理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125</w:t>
            </w:r>
          </w:p>
        </w:tc>
        <w:tc>
          <w:tcPr>
            <w:tcW w:w="3699" w:type="dxa"/>
            <w:tcBorders>
              <w:top w:val="single" w:sz="4" w:space="0" w:color="000000"/>
              <w:left w:val="single" w:sz="4" w:space="0" w:color="000000"/>
              <w:bottom w:val="single" w:sz="4" w:space="0" w:color="000000"/>
            </w:tcBorders>
          </w:tcPr>
          <w:p>
            <w:pPr>
              <w:pStyle w:val="TableParagraph"/>
              <w:jc w:val="left"/>
              <w:rPr>
                <w:rFonts w:ascii="Times New Roman"/>
                <w:sz w:val="22"/>
              </w:rPr>
            </w:pP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78"/>
              <w:ind w:left="11"/>
              <w:rPr>
                <w:rFonts w:ascii="Times New Roman"/>
                <w:sz w:val="21"/>
              </w:rPr>
            </w:pPr>
            <w:r>
              <w:rPr>
                <w:rFonts w:ascii="Times New Roman"/>
                <w:w w:val="99"/>
                <w:sz w:val="21"/>
              </w:rPr>
              <w:t>1</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4"/>
              <w:ind w:left="667"/>
              <w:jc w:val="left"/>
              <w:rPr>
                <w:sz w:val="21"/>
              </w:rPr>
            </w:pPr>
            <w:r>
              <w:rPr>
                <w:sz w:val="21"/>
              </w:rPr>
              <w:t>生活污水处理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8"/>
              <w:ind w:left="347" w:right="328"/>
              <w:rPr>
                <w:rFonts w:ascii="Times New Roman"/>
                <w:sz w:val="21"/>
              </w:rPr>
            </w:pPr>
            <w:r>
              <w:rPr>
                <w:rFonts w:ascii="Times New Roman"/>
                <w:sz w:val="21"/>
              </w:rPr>
              <w:t>50</w:t>
            </w:r>
          </w:p>
        </w:tc>
        <w:tc>
          <w:tcPr>
            <w:tcW w:w="3699" w:type="dxa"/>
            <w:tcBorders>
              <w:top w:val="single" w:sz="4" w:space="0" w:color="000000"/>
              <w:left w:val="single" w:sz="4" w:space="0" w:color="000000"/>
              <w:bottom w:val="single" w:sz="4" w:space="0" w:color="000000"/>
            </w:tcBorders>
          </w:tcPr>
          <w:p>
            <w:pPr>
              <w:pStyle w:val="TableParagraph"/>
              <w:spacing w:before="64"/>
              <w:ind w:left="151" w:right="131"/>
              <w:rPr>
                <w:sz w:val="21"/>
              </w:rPr>
            </w:pPr>
            <w:r>
              <w:rPr>
                <w:sz w:val="21"/>
              </w:rPr>
              <w:t>“三同时”工程</w:t>
            </w: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76"/>
              <w:ind w:left="11"/>
              <w:rPr>
                <w:rFonts w:ascii="Times New Roman"/>
                <w:sz w:val="21"/>
              </w:rPr>
            </w:pPr>
            <w:r>
              <w:rPr>
                <w:rFonts w:ascii="Times New Roman"/>
                <w:w w:val="99"/>
                <w:sz w:val="21"/>
              </w:rPr>
              <w:t>2</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773"/>
              <w:jc w:val="left"/>
              <w:rPr>
                <w:sz w:val="21"/>
              </w:rPr>
            </w:pPr>
            <w:r>
              <w:rPr>
                <w:sz w:val="21"/>
              </w:rPr>
              <w:t>矿井水处理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75</w:t>
            </w:r>
          </w:p>
        </w:tc>
        <w:tc>
          <w:tcPr>
            <w:tcW w:w="3699" w:type="dxa"/>
            <w:tcBorders>
              <w:top w:val="single" w:sz="4" w:space="0" w:color="000000"/>
              <w:left w:val="single" w:sz="4" w:space="0" w:color="000000"/>
              <w:bottom w:val="single" w:sz="4" w:space="0" w:color="000000"/>
            </w:tcBorders>
          </w:tcPr>
          <w:p>
            <w:pPr>
              <w:pStyle w:val="TableParagraph"/>
              <w:spacing w:before="63"/>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3"/>
              <w:ind w:left="10"/>
              <w:rPr>
                <w:sz w:val="21"/>
              </w:rPr>
            </w:pPr>
            <w:r>
              <w:rPr>
                <w:w w:val="99"/>
                <w:sz w:val="21"/>
              </w:rPr>
              <w:t>二</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667"/>
              <w:jc w:val="left"/>
              <w:rPr>
                <w:sz w:val="21"/>
              </w:rPr>
            </w:pPr>
            <w:r>
              <w:rPr>
                <w:sz w:val="21"/>
              </w:rPr>
              <w:t>大气污染防治</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93</w:t>
            </w:r>
          </w:p>
        </w:tc>
        <w:tc>
          <w:tcPr>
            <w:tcW w:w="3699" w:type="dxa"/>
            <w:tcBorders>
              <w:top w:val="single" w:sz="4" w:space="0" w:color="000000"/>
              <w:left w:val="single" w:sz="4" w:space="0" w:color="000000"/>
              <w:bottom w:val="single" w:sz="4" w:space="0" w:color="000000"/>
            </w:tcBorders>
          </w:tcPr>
          <w:p>
            <w:pPr>
              <w:pStyle w:val="TableParagraph"/>
              <w:jc w:val="left"/>
              <w:rPr>
                <w:rFonts w:ascii="Times New Roman"/>
                <w:sz w:val="22"/>
              </w:rPr>
            </w:pP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76"/>
              <w:ind w:left="11"/>
              <w:rPr>
                <w:rFonts w:ascii="Times New Roman"/>
                <w:sz w:val="21"/>
              </w:rPr>
            </w:pPr>
            <w:r>
              <w:rPr>
                <w:rFonts w:ascii="Times New Roman"/>
                <w:w w:val="99"/>
                <w:sz w:val="21"/>
              </w:rPr>
              <w:t>1</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247"/>
              <w:jc w:val="left"/>
              <w:rPr>
                <w:sz w:val="21"/>
              </w:rPr>
            </w:pPr>
            <w:r>
              <w:rPr>
                <w:sz w:val="21"/>
              </w:rPr>
              <w:t>筛分、转载点粉尘治理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10</w:t>
            </w:r>
          </w:p>
        </w:tc>
        <w:tc>
          <w:tcPr>
            <w:tcW w:w="3699" w:type="dxa"/>
            <w:tcBorders>
              <w:top w:val="single" w:sz="4" w:space="0" w:color="000000"/>
              <w:left w:val="single" w:sz="4" w:space="0" w:color="000000"/>
              <w:bottom w:val="single" w:sz="4" w:space="0" w:color="000000"/>
            </w:tcBorders>
          </w:tcPr>
          <w:p>
            <w:pPr>
              <w:pStyle w:val="TableParagraph"/>
              <w:spacing w:before="62"/>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77"/>
              <w:ind w:left="11"/>
              <w:rPr>
                <w:rFonts w:ascii="Times New Roman"/>
                <w:sz w:val="21"/>
              </w:rPr>
            </w:pPr>
            <w:r>
              <w:rPr>
                <w:rFonts w:ascii="Times New Roman"/>
                <w:w w:val="99"/>
                <w:sz w:val="21"/>
              </w:rPr>
              <w:t>2</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247"/>
              <w:jc w:val="left"/>
              <w:rPr>
                <w:sz w:val="21"/>
              </w:rPr>
            </w:pPr>
            <w:r>
              <w:rPr>
                <w:sz w:val="21"/>
              </w:rPr>
              <w:t>煤矸石转运场洒水抑尘</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10</w:t>
            </w:r>
          </w:p>
        </w:tc>
        <w:tc>
          <w:tcPr>
            <w:tcW w:w="3699" w:type="dxa"/>
            <w:tcBorders>
              <w:top w:val="single" w:sz="4" w:space="0" w:color="000000"/>
              <w:left w:val="single" w:sz="4" w:space="0" w:color="000000"/>
              <w:bottom w:val="single" w:sz="4" w:space="0" w:color="000000"/>
            </w:tcBorders>
          </w:tcPr>
          <w:p>
            <w:pPr>
              <w:pStyle w:val="TableParagraph"/>
              <w:spacing w:before="63"/>
              <w:ind w:left="151" w:right="131"/>
              <w:rPr>
                <w:sz w:val="21"/>
              </w:rPr>
            </w:pPr>
            <w:r>
              <w:rPr>
                <w:sz w:val="21"/>
              </w:rPr>
              <w:t>“三同时”工程</w:t>
            </w: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76"/>
              <w:ind w:left="11"/>
              <w:rPr>
                <w:rFonts w:ascii="Times New Roman"/>
                <w:sz w:val="21"/>
              </w:rPr>
            </w:pPr>
            <w:r>
              <w:rPr>
                <w:rFonts w:ascii="Times New Roman"/>
                <w:w w:val="99"/>
                <w:sz w:val="21"/>
              </w:rPr>
              <w:t>3</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144"/>
              <w:jc w:val="left"/>
              <w:rPr>
                <w:sz w:val="21"/>
              </w:rPr>
            </w:pPr>
            <w:r>
              <w:rPr>
                <w:sz w:val="21"/>
              </w:rPr>
              <w:t>工业广场、道路扬尘治理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30"/>
              <w:rPr>
                <w:rFonts w:ascii="Times New Roman"/>
                <w:sz w:val="21"/>
              </w:rPr>
            </w:pPr>
            <w:r>
              <w:rPr>
                <w:rFonts w:ascii="Times New Roman"/>
                <w:sz w:val="21"/>
              </w:rPr>
              <w:t>10</w:t>
            </w:r>
          </w:p>
        </w:tc>
        <w:tc>
          <w:tcPr>
            <w:tcW w:w="3699" w:type="dxa"/>
            <w:tcBorders>
              <w:top w:val="single" w:sz="4" w:space="0" w:color="000000"/>
              <w:left w:val="single" w:sz="4" w:space="0" w:color="000000"/>
              <w:bottom w:val="single" w:sz="4" w:space="0" w:color="000000"/>
            </w:tcBorders>
          </w:tcPr>
          <w:p>
            <w:pPr>
              <w:pStyle w:val="TableParagraph"/>
              <w:spacing w:before="62"/>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77"/>
              <w:ind w:left="11"/>
              <w:rPr>
                <w:rFonts w:ascii="Times New Roman"/>
                <w:sz w:val="21"/>
              </w:rPr>
            </w:pPr>
            <w:r>
              <w:rPr>
                <w:rFonts w:ascii="Times New Roman"/>
                <w:w w:val="99"/>
                <w:sz w:val="21"/>
              </w:rPr>
              <w:t>4</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667"/>
              <w:jc w:val="left"/>
              <w:rPr>
                <w:sz w:val="21"/>
              </w:rPr>
            </w:pPr>
            <w:r>
              <w:rPr>
                <w:sz w:val="21"/>
              </w:rPr>
              <w:t>食堂油烟治理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19"/>
              <w:rPr>
                <w:rFonts w:ascii="Times New Roman"/>
                <w:sz w:val="21"/>
              </w:rPr>
            </w:pPr>
            <w:r>
              <w:rPr>
                <w:rFonts w:ascii="Times New Roman"/>
                <w:w w:val="99"/>
                <w:sz w:val="21"/>
              </w:rPr>
              <w:t>3</w:t>
            </w:r>
          </w:p>
        </w:tc>
        <w:tc>
          <w:tcPr>
            <w:tcW w:w="3699" w:type="dxa"/>
            <w:tcBorders>
              <w:top w:val="single" w:sz="4" w:space="0" w:color="000000"/>
              <w:left w:val="single" w:sz="4" w:space="0" w:color="000000"/>
              <w:bottom w:val="single" w:sz="4" w:space="0" w:color="000000"/>
            </w:tcBorders>
          </w:tcPr>
          <w:p>
            <w:pPr>
              <w:pStyle w:val="TableParagraph"/>
              <w:spacing w:before="63"/>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78"/>
              <w:ind w:left="11"/>
              <w:rPr>
                <w:rFonts w:ascii="Times New Roman"/>
                <w:sz w:val="21"/>
              </w:rPr>
            </w:pPr>
            <w:r>
              <w:rPr>
                <w:rFonts w:ascii="Times New Roman"/>
                <w:w w:val="99"/>
                <w:sz w:val="21"/>
              </w:rPr>
              <w:t>5</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4"/>
              <w:ind w:left="247"/>
              <w:jc w:val="left"/>
              <w:rPr>
                <w:sz w:val="21"/>
              </w:rPr>
            </w:pPr>
            <w:r>
              <w:rPr>
                <w:sz w:val="21"/>
              </w:rPr>
              <w:t>锅炉、热风炉烟气净化</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8"/>
              <w:ind w:left="347" w:right="328"/>
              <w:rPr>
                <w:rFonts w:ascii="Times New Roman"/>
                <w:sz w:val="21"/>
              </w:rPr>
            </w:pPr>
            <w:r>
              <w:rPr>
                <w:rFonts w:ascii="Times New Roman"/>
                <w:sz w:val="21"/>
              </w:rPr>
              <w:t>40</w:t>
            </w:r>
          </w:p>
        </w:tc>
        <w:tc>
          <w:tcPr>
            <w:tcW w:w="3699" w:type="dxa"/>
            <w:tcBorders>
              <w:top w:val="single" w:sz="4" w:space="0" w:color="000000"/>
              <w:left w:val="single" w:sz="4" w:space="0" w:color="000000"/>
              <w:bottom w:val="single" w:sz="4" w:space="0" w:color="000000"/>
            </w:tcBorders>
          </w:tcPr>
          <w:p>
            <w:pPr>
              <w:pStyle w:val="TableParagraph"/>
              <w:spacing w:before="64"/>
              <w:ind w:left="151" w:right="131"/>
              <w:rPr>
                <w:sz w:val="21"/>
              </w:rPr>
            </w:pPr>
            <w:r>
              <w:rPr>
                <w:sz w:val="21"/>
              </w:rPr>
              <w:t>“三同时”工程</w:t>
            </w: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76"/>
              <w:ind w:left="11"/>
              <w:rPr>
                <w:rFonts w:ascii="Times New Roman"/>
                <w:sz w:val="21"/>
              </w:rPr>
            </w:pPr>
            <w:r>
              <w:rPr>
                <w:rFonts w:ascii="Times New Roman"/>
                <w:w w:val="99"/>
                <w:sz w:val="21"/>
              </w:rPr>
              <w:t>6</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458"/>
              <w:jc w:val="left"/>
              <w:rPr>
                <w:sz w:val="21"/>
              </w:rPr>
            </w:pPr>
            <w:r>
              <w:rPr>
                <w:sz w:val="21"/>
              </w:rPr>
              <w:t>筛分车间粉尘治理</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20</w:t>
            </w:r>
          </w:p>
        </w:tc>
        <w:tc>
          <w:tcPr>
            <w:tcW w:w="3699" w:type="dxa"/>
            <w:tcBorders>
              <w:top w:val="single" w:sz="4" w:space="0" w:color="000000"/>
              <w:left w:val="single" w:sz="4" w:space="0" w:color="000000"/>
              <w:bottom w:val="single" w:sz="4" w:space="0" w:color="000000"/>
            </w:tcBorders>
          </w:tcPr>
          <w:p>
            <w:pPr>
              <w:pStyle w:val="TableParagraph"/>
              <w:spacing w:before="62"/>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3"/>
              <w:ind w:left="10"/>
              <w:rPr>
                <w:sz w:val="21"/>
              </w:rPr>
            </w:pPr>
            <w:r>
              <w:rPr>
                <w:w w:val="99"/>
                <w:sz w:val="21"/>
              </w:rPr>
              <w:t>三</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857" w:right="841"/>
              <w:rPr>
                <w:sz w:val="21"/>
              </w:rPr>
            </w:pPr>
            <w:r>
              <w:rPr>
                <w:sz w:val="21"/>
              </w:rPr>
              <w:t>噪声控制</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20</w:t>
            </w:r>
          </w:p>
        </w:tc>
        <w:tc>
          <w:tcPr>
            <w:tcW w:w="3699" w:type="dxa"/>
            <w:tcBorders>
              <w:top w:val="single" w:sz="4" w:space="0" w:color="000000"/>
              <w:left w:val="single" w:sz="4" w:space="0" w:color="000000"/>
              <w:bottom w:val="single" w:sz="4" w:space="0" w:color="000000"/>
            </w:tcBorders>
          </w:tcPr>
          <w:p>
            <w:pPr>
              <w:pStyle w:val="TableParagraph"/>
              <w:spacing w:before="63"/>
              <w:ind w:left="151" w:right="131"/>
              <w:rPr>
                <w:sz w:val="21"/>
              </w:rPr>
            </w:pPr>
            <w:r>
              <w:rPr>
                <w:sz w:val="21"/>
              </w:rPr>
              <w:t>“三同时”工程</w:t>
            </w: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62"/>
              <w:ind w:left="10"/>
              <w:rPr>
                <w:sz w:val="21"/>
              </w:rPr>
            </w:pPr>
            <w:r>
              <w:rPr>
                <w:w w:val="99"/>
                <w:sz w:val="21"/>
              </w:rPr>
              <w:t>四</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405"/>
              <w:jc w:val="left"/>
              <w:rPr>
                <w:sz w:val="21"/>
              </w:rPr>
            </w:pPr>
            <w:r>
              <w:rPr>
                <w:sz w:val="21"/>
              </w:rPr>
              <w:t>固体废物污染防治</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25</w:t>
            </w:r>
          </w:p>
        </w:tc>
        <w:tc>
          <w:tcPr>
            <w:tcW w:w="3699" w:type="dxa"/>
            <w:tcBorders>
              <w:top w:val="single" w:sz="4" w:space="0" w:color="000000"/>
              <w:left w:val="single" w:sz="4" w:space="0" w:color="000000"/>
              <w:bottom w:val="single" w:sz="4" w:space="0" w:color="000000"/>
            </w:tcBorders>
          </w:tcPr>
          <w:p>
            <w:pPr>
              <w:pStyle w:val="TableParagraph"/>
              <w:spacing w:before="62"/>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3"/>
              <w:ind w:left="10"/>
              <w:rPr>
                <w:sz w:val="21"/>
              </w:rPr>
            </w:pPr>
            <w:r>
              <w:rPr>
                <w:w w:val="99"/>
                <w:sz w:val="21"/>
              </w:rPr>
              <w:t>五</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752" w:right="841"/>
              <w:rPr>
                <w:sz w:val="21"/>
              </w:rPr>
            </w:pPr>
            <w:r>
              <w:rPr>
                <w:sz w:val="21"/>
              </w:rPr>
              <w:t>绿化</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15</w:t>
            </w:r>
          </w:p>
        </w:tc>
        <w:tc>
          <w:tcPr>
            <w:tcW w:w="3699" w:type="dxa"/>
            <w:tcBorders>
              <w:top w:val="single" w:sz="4" w:space="0" w:color="000000"/>
              <w:left w:val="single" w:sz="4" w:space="0" w:color="000000"/>
              <w:bottom w:val="single" w:sz="4" w:space="0" w:color="000000"/>
            </w:tcBorders>
          </w:tcPr>
          <w:p>
            <w:pPr>
              <w:pStyle w:val="TableParagraph"/>
              <w:spacing w:before="63"/>
              <w:ind w:left="151" w:right="131"/>
              <w:rPr>
                <w:sz w:val="21"/>
              </w:rPr>
            </w:pPr>
            <w:r>
              <w:rPr>
                <w:sz w:val="21"/>
              </w:rPr>
              <w:t>“三同时”工程</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4"/>
              <w:ind w:left="10"/>
              <w:rPr>
                <w:sz w:val="21"/>
              </w:rPr>
            </w:pPr>
            <w:r>
              <w:rPr>
                <w:w w:val="99"/>
                <w:sz w:val="21"/>
              </w:rPr>
              <w:t>六</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4"/>
              <w:ind w:left="458"/>
              <w:jc w:val="left"/>
              <w:rPr>
                <w:sz w:val="21"/>
              </w:rPr>
            </w:pPr>
            <w:r>
              <w:rPr>
                <w:sz w:val="21"/>
              </w:rPr>
              <w:t>环保设施运行费用</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8"/>
              <w:ind w:left="347" w:right="328"/>
              <w:rPr>
                <w:rFonts w:ascii="Times New Roman"/>
                <w:sz w:val="21"/>
              </w:rPr>
            </w:pPr>
            <w:r>
              <w:rPr>
                <w:rFonts w:ascii="Times New Roman"/>
                <w:sz w:val="21"/>
              </w:rPr>
              <w:t>20</w:t>
            </w:r>
          </w:p>
        </w:tc>
        <w:tc>
          <w:tcPr>
            <w:tcW w:w="3699" w:type="dxa"/>
            <w:tcBorders>
              <w:top w:val="single" w:sz="4" w:space="0" w:color="000000"/>
              <w:left w:val="single" w:sz="4" w:space="0" w:color="000000"/>
              <w:bottom w:val="single" w:sz="4" w:space="0" w:color="000000"/>
            </w:tcBorders>
          </w:tcPr>
          <w:p>
            <w:pPr>
              <w:pStyle w:val="TableParagraph"/>
              <w:spacing w:before="64"/>
              <w:ind w:left="151" w:right="131"/>
              <w:rPr>
                <w:sz w:val="21"/>
              </w:rPr>
            </w:pPr>
            <w:r>
              <w:rPr>
                <w:sz w:val="21"/>
              </w:rPr>
              <w:t>“三同时”工程</w:t>
            </w:r>
          </w:p>
        </w:tc>
      </w:tr>
      <w:tr>
        <w:trPr>
          <w:trHeight w:val="396" w:hRule="atLeast"/>
        </w:trPr>
        <w:tc>
          <w:tcPr>
            <w:tcW w:w="799" w:type="dxa"/>
            <w:tcBorders>
              <w:top w:val="single" w:sz="4" w:space="0" w:color="000000"/>
              <w:bottom w:val="single" w:sz="4" w:space="0" w:color="000000"/>
              <w:right w:val="single" w:sz="4" w:space="0" w:color="000000"/>
            </w:tcBorders>
          </w:tcPr>
          <w:p>
            <w:pPr>
              <w:pStyle w:val="TableParagraph"/>
              <w:spacing w:before="62"/>
              <w:ind w:left="10"/>
              <w:rPr>
                <w:sz w:val="21"/>
              </w:rPr>
            </w:pPr>
            <w:r>
              <w:rPr>
                <w:w w:val="99"/>
                <w:sz w:val="21"/>
              </w:rPr>
              <w:t>七</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857" w:right="841"/>
              <w:rPr>
                <w:sz w:val="21"/>
              </w:rPr>
            </w:pPr>
            <w:r>
              <w:rPr>
                <w:sz w:val="21"/>
              </w:rPr>
              <w:t>预备费用</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29.8</w:t>
            </w:r>
          </w:p>
        </w:tc>
        <w:tc>
          <w:tcPr>
            <w:tcW w:w="3699" w:type="dxa"/>
            <w:tcBorders>
              <w:top w:val="single" w:sz="4" w:space="0" w:color="000000"/>
              <w:left w:val="single" w:sz="4" w:space="0" w:color="000000"/>
              <w:bottom w:val="single" w:sz="4" w:space="0" w:color="000000"/>
            </w:tcBorders>
          </w:tcPr>
          <w:p>
            <w:pPr>
              <w:pStyle w:val="TableParagraph"/>
              <w:spacing w:before="62"/>
              <w:ind w:left="153" w:right="130"/>
              <w:rPr>
                <w:rFonts w:ascii="Times New Roman" w:eastAsia="Times New Roman"/>
                <w:sz w:val="21"/>
              </w:rPr>
            </w:pPr>
            <w:r>
              <w:rPr>
                <w:sz w:val="21"/>
              </w:rPr>
              <w:t>前六项的 </w:t>
            </w:r>
            <w:r>
              <w:rPr>
                <w:rFonts w:ascii="Times New Roman" w:eastAsia="Times New Roman"/>
                <w:sz w:val="21"/>
              </w:rPr>
              <w:t>10%</w:t>
            </w: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63"/>
              <w:ind w:left="10"/>
              <w:rPr>
                <w:sz w:val="21"/>
              </w:rPr>
            </w:pPr>
            <w:r>
              <w:rPr>
                <w:w w:val="99"/>
                <w:sz w:val="21"/>
              </w:rPr>
              <w:t>八</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3"/>
              <w:ind w:left="857" w:right="841"/>
              <w:rPr>
                <w:sz w:val="21"/>
              </w:rPr>
            </w:pPr>
            <w:r>
              <w:rPr>
                <w:sz w:val="21"/>
              </w:rPr>
              <w:t>其他费用</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7"/>
              <w:ind w:left="347" w:right="328"/>
              <w:rPr>
                <w:rFonts w:ascii="Times New Roman"/>
                <w:sz w:val="21"/>
              </w:rPr>
            </w:pPr>
            <w:r>
              <w:rPr>
                <w:rFonts w:ascii="Times New Roman"/>
                <w:sz w:val="21"/>
              </w:rPr>
              <w:t>81.73</w:t>
            </w:r>
          </w:p>
        </w:tc>
        <w:tc>
          <w:tcPr>
            <w:tcW w:w="3699" w:type="dxa"/>
            <w:tcBorders>
              <w:top w:val="single" w:sz="4" w:space="0" w:color="000000"/>
              <w:left w:val="single" w:sz="4" w:space="0" w:color="000000"/>
              <w:bottom w:val="single" w:sz="4" w:space="0" w:color="000000"/>
            </w:tcBorders>
          </w:tcPr>
          <w:p>
            <w:pPr>
              <w:pStyle w:val="TableParagraph"/>
              <w:jc w:val="left"/>
              <w:rPr>
                <w:rFonts w:ascii="Times New Roman"/>
                <w:sz w:val="22"/>
              </w:rPr>
            </w:pPr>
          </w:p>
        </w:tc>
      </w:tr>
      <w:tr>
        <w:trPr>
          <w:trHeight w:val="397" w:hRule="atLeast"/>
        </w:trPr>
        <w:tc>
          <w:tcPr>
            <w:tcW w:w="799" w:type="dxa"/>
            <w:tcBorders>
              <w:top w:val="single" w:sz="4" w:space="0" w:color="000000"/>
              <w:bottom w:val="single" w:sz="4" w:space="0" w:color="000000"/>
              <w:right w:val="single" w:sz="4" w:space="0" w:color="000000"/>
            </w:tcBorders>
          </w:tcPr>
          <w:p>
            <w:pPr>
              <w:pStyle w:val="TableParagraph"/>
              <w:spacing w:before="76"/>
              <w:ind w:left="11"/>
              <w:rPr>
                <w:rFonts w:ascii="Times New Roman"/>
                <w:sz w:val="21"/>
              </w:rPr>
            </w:pPr>
            <w:r>
              <w:rPr>
                <w:rFonts w:ascii="Times New Roman"/>
                <w:w w:val="99"/>
                <w:sz w:val="21"/>
              </w:rPr>
              <w:t>1</w:t>
            </w:r>
          </w:p>
        </w:tc>
        <w:tc>
          <w:tcPr>
            <w:tcW w:w="2589" w:type="dxa"/>
            <w:tcBorders>
              <w:top w:val="single" w:sz="4" w:space="0" w:color="000000"/>
              <w:left w:val="single" w:sz="4" w:space="0" w:color="000000"/>
              <w:bottom w:val="single" w:sz="4" w:space="0" w:color="000000"/>
              <w:right w:val="single" w:sz="4" w:space="0" w:color="000000"/>
            </w:tcBorders>
          </w:tcPr>
          <w:p>
            <w:pPr>
              <w:pStyle w:val="TableParagraph"/>
              <w:spacing w:before="62"/>
              <w:ind w:left="300"/>
              <w:jc w:val="left"/>
              <w:rPr>
                <w:sz w:val="21"/>
              </w:rPr>
            </w:pPr>
            <w:r>
              <w:rPr>
                <w:sz w:val="21"/>
              </w:rPr>
              <w:t>环境治理和土地复垦</w:t>
            </w:r>
          </w:p>
        </w:tc>
        <w:tc>
          <w:tcPr>
            <w:tcW w:w="2199" w:type="dxa"/>
            <w:tcBorders>
              <w:top w:val="single" w:sz="4" w:space="0" w:color="000000"/>
              <w:left w:val="single" w:sz="4" w:space="0" w:color="000000"/>
              <w:bottom w:val="single" w:sz="4" w:space="0" w:color="000000"/>
              <w:right w:val="single" w:sz="4" w:space="0" w:color="000000"/>
            </w:tcBorders>
          </w:tcPr>
          <w:p>
            <w:pPr>
              <w:pStyle w:val="TableParagraph"/>
              <w:spacing w:before="76"/>
              <w:ind w:left="347" w:right="328"/>
              <w:rPr>
                <w:rFonts w:ascii="Times New Roman"/>
                <w:sz w:val="21"/>
              </w:rPr>
            </w:pPr>
            <w:r>
              <w:rPr>
                <w:rFonts w:ascii="Times New Roman"/>
                <w:sz w:val="21"/>
              </w:rPr>
              <w:t>81.73</w:t>
            </w:r>
          </w:p>
        </w:tc>
        <w:tc>
          <w:tcPr>
            <w:tcW w:w="3699" w:type="dxa"/>
            <w:tcBorders>
              <w:top w:val="single" w:sz="4" w:space="0" w:color="000000"/>
              <w:left w:val="single" w:sz="4" w:space="0" w:color="000000"/>
              <w:bottom w:val="single" w:sz="4" w:space="0" w:color="000000"/>
            </w:tcBorders>
          </w:tcPr>
          <w:p>
            <w:pPr>
              <w:pStyle w:val="TableParagraph"/>
              <w:spacing w:before="62"/>
              <w:ind w:left="153" w:right="131"/>
              <w:rPr>
                <w:sz w:val="21"/>
              </w:rPr>
            </w:pPr>
            <w:r>
              <w:rPr>
                <w:sz w:val="21"/>
              </w:rPr>
              <w:t>不纳入“三同时”工程</w:t>
            </w:r>
          </w:p>
        </w:tc>
      </w:tr>
      <w:tr>
        <w:trPr>
          <w:trHeight w:val="396" w:hRule="atLeast"/>
        </w:trPr>
        <w:tc>
          <w:tcPr>
            <w:tcW w:w="799" w:type="dxa"/>
            <w:tcBorders>
              <w:top w:val="single" w:sz="4" w:space="0" w:color="000000"/>
              <w:right w:val="single" w:sz="4" w:space="0" w:color="000000"/>
            </w:tcBorders>
          </w:tcPr>
          <w:p>
            <w:pPr>
              <w:pStyle w:val="TableParagraph"/>
              <w:spacing w:before="63"/>
              <w:ind w:left="168" w:right="156"/>
              <w:rPr>
                <w:sz w:val="21"/>
              </w:rPr>
            </w:pPr>
            <w:r>
              <w:rPr>
                <w:sz w:val="21"/>
              </w:rPr>
              <w:t>合计</w:t>
            </w:r>
          </w:p>
        </w:tc>
        <w:tc>
          <w:tcPr>
            <w:tcW w:w="2589" w:type="dxa"/>
            <w:tcBorders>
              <w:top w:val="single" w:sz="4" w:space="0" w:color="000000"/>
              <w:left w:val="single" w:sz="4" w:space="0" w:color="000000"/>
              <w:right w:val="single" w:sz="4" w:space="0" w:color="000000"/>
            </w:tcBorders>
          </w:tcPr>
          <w:p>
            <w:pPr>
              <w:pStyle w:val="TableParagraph"/>
              <w:spacing w:before="63"/>
              <w:ind w:left="614"/>
              <w:jc w:val="left"/>
              <w:rPr>
                <w:sz w:val="21"/>
              </w:rPr>
            </w:pPr>
            <w:r>
              <w:rPr>
                <w:sz w:val="21"/>
              </w:rPr>
              <w:t>环境工程投资</w:t>
            </w:r>
          </w:p>
        </w:tc>
        <w:tc>
          <w:tcPr>
            <w:tcW w:w="2199" w:type="dxa"/>
            <w:tcBorders>
              <w:top w:val="single" w:sz="4" w:space="0" w:color="000000"/>
              <w:left w:val="single" w:sz="4" w:space="0" w:color="000000"/>
              <w:right w:val="single" w:sz="4" w:space="0" w:color="000000"/>
            </w:tcBorders>
          </w:tcPr>
          <w:p>
            <w:pPr>
              <w:pStyle w:val="TableParagraph"/>
              <w:spacing w:before="77"/>
              <w:ind w:left="248" w:right="331"/>
              <w:rPr>
                <w:rFonts w:ascii="Times New Roman"/>
                <w:sz w:val="21"/>
              </w:rPr>
            </w:pPr>
            <w:r>
              <w:rPr>
                <w:rFonts w:ascii="Times New Roman"/>
                <w:sz w:val="21"/>
              </w:rPr>
              <w:t>327.8</w:t>
            </w:r>
          </w:p>
        </w:tc>
        <w:tc>
          <w:tcPr>
            <w:tcW w:w="3699" w:type="dxa"/>
            <w:tcBorders>
              <w:top w:val="single" w:sz="4" w:space="0" w:color="000000"/>
              <w:left w:val="single" w:sz="4" w:space="0" w:color="000000"/>
            </w:tcBorders>
          </w:tcPr>
          <w:p>
            <w:pPr>
              <w:pStyle w:val="TableParagraph"/>
              <w:spacing w:before="63"/>
              <w:ind w:left="153" w:right="131"/>
              <w:rPr>
                <w:sz w:val="21"/>
              </w:rPr>
            </w:pPr>
            <w:r>
              <w:rPr>
                <w:sz w:val="21"/>
              </w:rPr>
              <w:t>“三同时”工程投资，不包含第八项</w:t>
            </w:r>
          </w:p>
        </w:tc>
      </w:tr>
    </w:tbl>
    <w:p>
      <w:pPr>
        <w:pStyle w:val="BodyText"/>
        <w:spacing w:line="362" w:lineRule="auto" w:before="3"/>
        <w:ind w:left="220" w:right="275" w:firstLine="480"/>
      </w:pPr>
      <w:r>
        <w:rPr/>
        <w:t>本项目建设总投资 </w:t>
      </w:r>
      <w:r>
        <w:rPr>
          <w:rFonts w:ascii="Times New Roman" w:eastAsia="Times New Roman"/>
        </w:rPr>
        <w:t>11358.62 </w:t>
      </w:r>
      <w:r>
        <w:rPr/>
        <w:t>万元，环保工程投资 </w:t>
      </w:r>
      <w:r>
        <w:rPr>
          <w:rFonts w:ascii="Times New Roman" w:eastAsia="Times New Roman"/>
        </w:rPr>
        <w:t>327.8 </w:t>
      </w:r>
      <w:r>
        <w:rPr/>
        <w:t>万元，项目环保工程投资占项目建设总投资的比例为 </w:t>
      </w:r>
      <w:r>
        <w:rPr>
          <w:rFonts w:ascii="Times New Roman" w:eastAsia="Times New Roman"/>
        </w:rPr>
        <w:t>2.88%</w:t>
      </w:r>
      <w:r>
        <w:rPr/>
        <w:t>。</w:t>
      </w:r>
    </w:p>
    <w:p>
      <w:pPr>
        <w:pStyle w:val="Heading3"/>
        <w:numPr>
          <w:ilvl w:val="1"/>
          <w:numId w:val="102"/>
        </w:numPr>
        <w:tabs>
          <w:tab w:pos="852" w:val="left" w:leader="none"/>
        </w:tabs>
        <w:spacing w:line="240" w:lineRule="auto" w:before="6" w:after="0"/>
        <w:ind w:left="852" w:right="0" w:hanging="632"/>
        <w:jc w:val="left"/>
      </w:pPr>
      <w:bookmarkStart w:name="16.2 环境经济效益分析与评价" w:id="1134"/>
      <w:bookmarkEnd w:id="1134"/>
      <w:r>
        <w:rPr>
          <w:b w:val="0"/>
        </w:rPr>
      </w:r>
      <w:bookmarkStart w:name="_bookmark89" w:id="1135"/>
      <w:bookmarkEnd w:id="1135"/>
      <w:r>
        <w:rPr>
          <w:b w:val="0"/>
        </w:rPr>
      </w:r>
      <w:bookmarkStart w:name="_bookmark89" w:id="1136"/>
      <w:bookmarkEnd w:id="1136"/>
      <w:r>
        <w:rPr/>
        <w:t>环境经济效益分析与评价</w:t>
      </w:r>
    </w:p>
    <w:p>
      <w:pPr>
        <w:pStyle w:val="Heading4"/>
        <w:numPr>
          <w:ilvl w:val="2"/>
          <w:numId w:val="102"/>
        </w:numPr>
        <w:tabs>
          <w:tab w:pos="881" w:val="left" w:leader="none"/>
        </w:tabs>
        <w:spacing w:line="240" w:lineRule="auto" w:before="185" w:after="0"/>
        <w:ind w:left="880" w:right="0" w:hanging="661"/>
        <w:jc w:val="left"/>
        <w:rPr>
          <w:rFonts w:ascii="Times New Roman" w:eastAsia="Times New Roman"/>
        </w:rPr>
      </w:pPr>
      <w:bookmarkStart w:name="16.2.1环境效益分析" w:id="1137"/>
      <w:bookmarkEnd w:id="1137"/>
      <w:r>
        <w:rPr>
          <w:b w:val="0"/>
        </w:rPr>
      </w:r>
      <w:bookmarkStart w:name="16.2.1环境效益分析" w:id="1138"/>
      <w:bookmarkEnd w:id="1138"/>
      <w:r>
        <w:rPr/>
        <w:t>环境效益分析</w:t>
      </w:r>
    </w:p>
    <w:p>
      <w:pPr>
        <w:pStyle w:val="BodyText"/>
        <w:spacing w:line="364" w:lineRule="auto" w:before="158"/>
        <w:ind w:left="220" w:right="217" w:firstLine="470"/>
      </w:pPr>
      <w:r>
        <w:rPr/>
        <w:t>尽管本项目采取了比较完善的环境保护措施，但投入运行后仍然存在</w:t>
      </w:r>
      <w:r>
        <w:rPr>
          <w:rFonts w:ascii="Times New Roman" w:hAnsi="Times New Roman" w:eastAsia="Times New Roman"/>
          <w:spacing w:val="3"/>
        </w:rPr>
        <w:t>“</w:t>
      </w:r>
      <w:r>
        <w:rPr/>
        <w:t>三废</w:t>
      </w:r>
      <w:r>
        <w:rPr>
          <w:rFonts w:ascii="Times New Roman" w:hAnsi="Times New Roman" w:eastAsia="Times New Roman"/>
          <w:spacing w:val="3"/>
        </w:rPr>
        <w:t>”</w:t>
      </w:r>
      <w:r>
        <w:rPr/>
        <w:t>和噪声</w:t>
      </w:r>
      <w:r>
        <w:rPr>
          <w:spacing w:val="-8"/>
        </w:rPr>
        <w:t>排放。也将不可避免地形成地表塌陷，因此对周围环境空气、地面水、地下水、声环境、</w:t>
      </w:r>
      <w:r>
        <w:rPr/>
        <w:t>生态环境质量会带来一定程度的负面影响。另一方面本工程建成后将向社会提供低硫的产品，符合国家的产业政策和环保政策，具有积极的环保意义。</w:t>
      </w:r>
    </w:p>
    <w:p>
      <w:pPr>
        <w:spacing w:after="0" w:line="364" w:lineRule="auto"/>
        <w:sectPr>
          <w:pgSz w:w="11910" w:h="16840"/>
          <w:pgMar w:header="0" w:footer="947" w:top="1360" w:bottom="1140" w:left="1140" w:right="1020"/>
        </w:sectPr>
      </w:pPr>
    </w:p>
    <w:p>
      <w:pPr>
        <w:pStyle w:val="Heading4"/>
        <w:numPr>
          <w:ilvl w:val="2"/>
          <w:numId w:val="102"/>
        </w:numPr>
        <w:tabs>
          <w:tab w:pos="881" w:val="left" w:leader="none"/>
        </w:tabs>
        <w:spacing w:line="240" w:lineRule="auto" w:before="61" w:after="0"/>
        <w:ind w:left="880" w:right="0" w:hanging="661"/>
        <w:jc w:val="left"/>
        <w:rPr>
          <w:rFonts w:ascii="Times New Roman" w:eastAsia="Times New Roman"/>
        </w:rPr>
      </w:pPr>
      <w:bookmarkStart w:name="16.2.2社会效益分析" w:id="1139"/>
      <w:bookmarkEnd w:id="1139"/>
      <w:r>
        <w:rPr>
          <w:b w:val="0"/>
        </w:rPr>
      </w:r>
      <w:bookmarkStart w:name="16.2.2社会效益分析" w:id="1140"/>
      <w:bookmarkEnd w:id="1140"/>
      <w:r>
        <w:rPr/>
        <w:t>社会效益分析</w:t>
      </w:r>
    </w:p>
    <w:p>
      <w:pPr>
        <w:pStyle w:val="BodyText"/>
        <w:spacing w:before="158"/>
        <w:ind w:left="780"/>
      </w:pPr>
      <w:r>
        <w:rPr/>
        <w:t>（</w:t>
      </w:r>
      <w:r>
        <w:rPr>
          <w:spacing w:val="-80"/>
        </w:rPr>
        <w:t> </w:t>
      </w:r>
      <w:r>
        <w:rPr>
          <w:rFonts w:ascii="Times New Roman" w:eastAsia="Times New Roman"/>
          <w:spacing w:val="9"/>
        </w:rPr>
        <w:t>1</w:t>
      </w:r>
      <w:r>
        <w:rPr>
          <w:spacing w:val="9"/>
        </w:rPr>
        <w:t>）</w:t>
      </w:r>
      <w:r>
        <w:rPr>
          <w:spacing w:val="26"/>
        </w:rPr>
        <w:t> 项目建设符合国家产业政策和环境保护政策</w:t>
      </w:r>
    </w:p>
    <w:p>
      <w:pPr>
        <w:pStyle w:val="BodyText"/>
        <w:spacing w:line="364" w:lineRule="auto" w:before="161"/>
        <w:ind w:left="220" w:right="218" w:firstLine="480"/>
      </w:pPr>
      <w:r>
        <w:rPr/>
        <w:t>目前我国煤炭供应严重短缺，优质动力煤和化工原料煤供应不足，影响了经济的发</w:t>
      </w:r>
      <w:r>
        <w:rPr>
          <w:spacing w:val="-12"/>
        </w:rPr>
        <w:t>展。因此本项目建成后每年将向社会提供 </w:t>
      </w:r>
      <w:r>
        <w:rPr>
          <w:rFonts w:ascii="Times New Roman" w:eastAsia="Times New Roman"/>
        </w:rPr>
        <w:t>30 </w:t>
      </w:r>
      <w:r>
        <w:rPr>
          <w:spacing w:val="-30"/>
        </w:rPr>
        <w:t>万 </w:t>
      </w:r>
      <w:r>
        <w:rPr>
          <w:rFonts w:ascii="Times New Roman" w:eastAsia="Times New Roman"/>
        </w:rPr>
        <w:t>t </w:t>
      </w:r>
      <w:r>
        <w:rPr>
          <w:spacing w:val="-9"/>
        </w:rPr>
        <w:t>优质煤，项目开发符合国家的产业政策。</w:t>
      </w:r>
    </w:p>
    <w:p>
      <w:pPr>
        <w:pStyle w:val="BodyText"/>
        <w:spacing w:line="306" w:lineRule="exact"/>
        <w:ind w:left="700"/>
      </w:pPr>
      <w:r>
        <w:rPr/>
        <w:t>（</w:t>
      </w:r>
      <w:r>
        <w:rPr>
          <w:spacing w:val="-80"/>
        </w:rPr>
        <w:t> </w:t>
      </w:r>
      <w:r>
        <w:rPr>
          <w:rFonts w:ascii="Times New Roman" w:eastAsia="Times New Roman"/>
          <w:spacing w:val="9"/>
        </w:rPr>
        <w:t>2</w:t>
      </w:r>
      <w:r>
        <w:rPr>
          <w:spacing w:val="9"/>
        </w:rPr>
        <w:t>）</w:t>
      </w:r>
      <w:r>
        <w:rPr>
          <w:spacing w:val="22"/>
        </w:rPr>
        <w:t> 项目建设对就业的影响</w:t>
      </w:r>
    </w:p>
    <w:p>
      <w:pPr>
        <w:pStyle w:val="BodyText"/>
        <w:spacing w:line="364" w:lineRule="auto" w:before="160"/>
        <w:ind w:left="220" w:right="218" w:firstLine="470"/>
      </w:pPr>
      <w:r>
        <w:rPr/>
        <w:t>本工程投入运行后可直接产生多个为矿井生产提供服务的岗位，这对改善当地的就业状况、促进社会稳定有积极意义。但建设单位应尽可能地安排附近农民从事与矿井生</w:t>
      </w:r>
      <w:r>
        <w:rPr>
          <w:spacing w:val="-5"/>
        </w:rPr>
        <w:t>产相关的服务性行业，并且从严把关。对于确实不能安排的，也要尽可能围绕煤矿生产， </w:t>
      </w:r>
      <w:r>
        <w:rPr/>
        <w:t>引导并为当地农民创造就业条件，充分利用煤炭开采过程中形成的矿井涌水、矸石，进行综合性开发，补偿提高受影响农民的收入。</w:t>
      </w:r>
    </w:p>
    <w:p>
      <w:pPr>
        <w:pStyle w:val="ListParagraph"/>
        <w:numPr>
          <w:ilvl w:val="0"/>
          <w:numId w:val="103"/>
        </w:numPr>
        <w:tabs>
          <w:tab w:pos="1293" w:val="left" w:leader="none"/>
        </w:tabs>
        <w:spacing w:line="303" w:lineRule="exact" w:before="0" w:after="0"/>
        <w:ind w:left="1292" w:right="0" w:hanging="602"/>
        <w:jc w:val="left"/>
        <w:rPr>
          <w:sz w:val="24"/>
        </w:rPr>
      </w:pPr>
      <w:r>
        <w:rPr>
          <w:sz w:val="24"/>
        </w:rPr>
        <w:t>项目建设对促进当地经济发展的意义</w:t>
      </w:r>
    </w:p>
    <w:p>
      <w:pPr>
        <w:pStyle w:val="BodyText"/>
        <w:spacing w:line="364" w:lineRule="auto" w:before="161"/>
        <w:ind w:left="220" w:right="338" w:firstLine="470"/>
        <w:jc w:val="both"/>
      </w:pPr>
      <w:r>
        <w:rPr/>
        <w:t>本工程建成后每年销售收入 </w:t>
      </w:r>
      <w:r>
        <w:rPr>
          <w:rFonts w:ascii="Times New Roman" w:eastAsia="Times New Roman"/>
        </w:rPr>
        <w:t>16500 </w:t>
      </w:r>
      <w:r>
        <w:rPr/>
        <w:t>万元，这对带动经济发展具有重要意义。项目建设也将使当地的商业、医疗卫生条件和文化教育设施得到不同程度的改善，这将间接地促进当地经济的发展。此外本工程建成后，可以利用建成的供电、供水、供热和交通基础设施，以及工程余水、余渣，进行区域性农业经济开发，改善当地居民的生活质量。</w:t>
      </w:r>
    </w:p>
    <w:p>
      <w:pPr>
        <w:pStyle w:val="Heading4"/>
        <w:numPr>
          <w:ilvl w:val="2"/>
          <w:numId w:val="102"/>
        </w:numPr>
        <w:tabs>
          <w:tab w:pos="881" w:val="left" w:leader="none"/>
        </w:tabs>
        <w:spacing w:line="305" w:lineRule="exact" w:before="0" w:after="0"/>
        <w:ind w:left="880" w:right="0" w:hanging="661"/>
        <w:jc w:val="left"/>
        <w:rPr>
          <w:rFonts w:ascii="Times New Roman" w:eastAsia="Times New Roman"/>
        </w:rPr>
      </w:pPr>
      <w:bookmarkStart w:name="16.2.3经济效益评价" w:id="1141"/>
      <w:bookmarkEnd w:id="1141"/>
      <w:r>
        <w:rPr>
          <w:b w:val="0"/>
        </w:rPr>
      </w:r>
      <w:bookmarkStart w:name="16.2.3经济效益评价" w:id="1142"/>
      <w:bookmarkEnd w:id="1142"/>
      <w:r>
        <w:rPr/>
        <w:t>经济效益评价</w:t>
      </w:r>
    </w:p>
    <w:p>
      <w:pPr>
        <w:pStyle w:val="BodyText"/>
        <w:spacing w:line="364" w:lineRule="auto" w:before="160"/>
        <w:ind w:left="220" w:right="338" w:firstLine="470"/>
        <w:jc w:val="both"/>
      </w:pPr>
      <w:r>
        <w:rPr>
          <w:spacing w:val="-6"/>
        </w:rPr>
        <w:t>本矿井年平均税后利润 </w:t>
      </w:r>
      <w:r>
        <w:rPr>
          <w:rFonts w:ascii="Times New Roman" w:eastAsia="Times New Roman"/>
        </w:rPr>
        <w:t>5505.5 </w:t>
      </w:r>
      <w:r>
        <w:rPr/>
        <w:t>万元，动态投资回收期（</w:t>
      </w:r>
      <w:r>
        <w:rPr>
          <w:spacing w:val="-1"/>
        </w:rPr>
        <w:t>含建设期</w:t>
      </w:r>
      <w:r>
        <w:rPr/>
        <w:t>）</w:t>
      </w:r>
      <w:r>
        <w:rPr>
          <w:rFonts w:ascii="Times New Roman" w:eastAsia="Times New Roman"/>
        </w:rPr>
        <w:t>2.14 </w:t>
      </w:r>
      <w:r>
        <w:rPr>
          <w:spacing w:val="-3"/>
        </w:rPr>
        <w:t>年，本项目</w:t>
      </w:r>
      <w:r>
        <w:rPr/>
        <w:t>的各项财务评价指标，均满足煤炭行业的基准要求，并具有较强的盈利能力和抗风险能力。该项目资源可靠，生产技术成熟，产品市场看好。综合来看项目经济效益较好，从经济角度看本工程是可行的。</w:t>
      </w:r>
    </w:p>
    <w:p>
      <w:pPr>
        <w:pStyle w:val="Heading3"/>
        <w:numPr>
          <w:ilvl w:val="1"/>
          <w:numId w:val="102"/>
        </w:numPr>
        <w:tabs>
          <w:tab w:pos="780" w:val="left" w:leader="none"/>
        </w:tabs>
        <w:spacing w:line="357" w:lineRule="exact" w:before="0" w:after="0"/>
        <w:ind w:left="780" w:right="0" w:hanging="560"/>
        <w:jc w:val="left"/>
      </w:pPr>
      <w:bookmarkStart w:name="16.3环境经济损益简要分析" w:id="1143"/>
      <w:bookmarkEnd w:id="1143"/>
      <w:r>
        <w:rPr>
          <w:b w:val="0"/>
        </w:rPr>
      </w:r>
      <w:bookmarkStart w:name="_bookmark90" w:id="1144"/>
      <w:bookmarkEnd w:id="1144"/>
      <w:r>
        <w:rPr>
          <w:b w:val="0"/>
        </w:rPr>
      </w:r>
      <w:bookmarkStart w:name="_bookmark90" w:id="1145"/>
      <w:bookmarkEnd w:id="1145"/>
      <w:r>
        <w:rPr/>
        <w:t>环境经济损益简要分析</w:t>
      </w:r>
    </w:p>
    <w:p>
      <w:pPr>
        <w:pStyle w:val="Heading4"/>
        <w:numPr>
          <w:ilvl w:val="2"/>
          <w:numId w:val="102"/>
        </w:numPr>
        <w:tabs>
          <w:tab w:pos="881" w:val="left" w:leader="none"/>
        </w:tabs>
        <w:spacing w:line="240" w:lineRule="auto" w:before="185" w:after="0"/>
        <w:ind w:left="880" w:right="0" w:hanging="661"/>
        <w:jc w:val="left"/>
        <w:rPr>
          <w:rFonts w:ascii="Times New Roman" w:eastAsia="Times New Roman"/>
        </w:rPr>
      </w:pPr>
      <w:bookmarkStart w:name="16.3.1环保费用的确定和估算" w:id="1146"/>
      <w:bookmarkEnd w:id="1146"/>
      <w:r>
        <w:rPr>
          <w:b w:val="0"/>
        </w:rPr>
      </w:r>
      <w:bookmarkStart w:name="16.3.1环保费用的确定和估算" w:id="1147"/>
      <w:bookmarkEnd w:id="1147"/>
      <w:r>
        <w:rPr/>
        <w:t>环保费用的确定和估算</w:t>
      </w:r>
    </w:p>
    <w:p>
      <w:pPr>
        <w:pStyle w:val="BodyText"/>
        <w:spacing w:before="159"/>
        <w:ind w:left="700"/>
      </w:pPr>
      <w:r>
        <w:rPr/>
        <w:t>环保费用一般可分为外部费用和内部费用，用下式表示：</w:t>
      </w:r>
    </w:p>
    <w:p>
      <w:pPr>
        <w:pStyle w:val="BodyText"/>
        <w:spacing w:before="157"/>
        <w:ind w:left="1180"/>
        <w:rPr>
          <w:rFonts w:ascii="Times New Roman"/>
        </w:rPr>
      </w:pPr>
      <w:r>
        <w:rPr>
          <w:rFonts w:ascii="Times New Roman"/>
        </w:rPr>
        <w:t>Et=Et(O)+Et(I)</w:t>
      </w:r>
    </w:p>
    <w:p>
      <w:pPr>
        <w:pStyle w:val="BodyText"/>
        <w:spacing w:line="364" w:lineRule="auto" w:before="140"/>
        <w:ind w:left="1809" w:right="4254" w:hanging="629"/>
      </w:pPr>
      <w:r>
        <w:rPr/>
        <w:t>式中：</w:t>
      </w:r>
      <w:r>
        <w:rPr>
          <w:rFonts w:ascii="Times New Roman" w:hAnsi="Times New Roman" w:eastAsia="Times New Roman"/>
        </w:rPr>
        <w:t>Et—</w:t>
      </w:r>
      <w:r>
        <w:rPr/>
        <w:t>环境保护费用（万元） </w:t>
      </w:r>
      <w:r>
        <w:rPr>
          <w:rFonts w:ascii="Times New Roman" w:hAnsi="Times New Roman" w:eastAsia="Times New Roman"/>
        </w:rPr>
        <w:t>Et(O)—</w:t>
      </w:r>
      <w:r>
        <w:rPr/>
        <w:t>环境保护外部费用（万元） </w:t>
      </w:r>
      <w:r>
        <w:rPr>
          <w:rFonts w:ascii="Times New Roman" w:hAnsi="Times New Roman" w:eastAsia="Times New Roman"/>
        </w:rPr>
        <w:t>Et(I)—</w:t>
      </w:r>
      <w:r>
        <w:rPr/>
        <w:t>环境保护内部费用（万元）</w:t>
      </w:r>
    </w:p>
    <w:p>
      <w:pPr>
        <w:pStyle w:val="ListParagraph"/>
        <w:numPr>
          <w:ilvl w:val="3"/>
          <w:numId w:val="102"/>
        </w:numPr>
        <w:tabs>
          <w:tab w:pos="1302" w:val="left" w:leader="none"/>
        </w:tabs>
        <w:spacing w:line="307" w:lineRule="exact" w:before="0" w:after="0"/>
        <w:ind w:left="1301" w:right="0" w:hanging="602"/>
        <w:jc w:val="left"/>
        <w:rPr>
          <w:sz w:val="24"/>
        </w:rPr>
      </w:pPr>
      <w:r>
        <w:rPr>
          <w:sz w:val="24"/>
        </w:rPr>
        <w:t>外部费用的确定与估算</w:t>
      </w:r>
    </w:p>
    <w:p>
      <w:pPr>
        <w:pStyle w:val="BodyText"/>
        <w:spacing w:line="364" w:lineRule="auto" w:before="158"/>
        <w:ind w:left="220" w:right="338" w:firstLine="480"/>
      </w:pPr>
      <w:r>
        <w:rPr/>
        <w:t>外部费用是指由于项目开发形成对环境损害所带来的费用，主要为矿山地质环境保</w:t>
      </w:r>
      <w:r>
        <w:rPr>
          <w:spacing w:val="-8"/>
        </w:rPr>
        <w:t>护费用和土地复垦费用，矿山地质环境保护估算动态总投资为 </w:t>
      </w:r>
      <w:r>
        <w:rPr>
          <w:rFonts w:ascii="Times New Roman" w:eastAsia="Times New Roman"/>
        </w:rPr>
        <w:t>34.60 </w:t>
      </w:r>
      <w:r>
        <w:rPr>
          <w:spacing w:val="-9"/>
        </w:rPr>
        <w:t>万元，矿山土地复垦</w:t>
      </w:r>
    </w:p>
    <w:p>
      <w:pPr>
        <w:spacing w:after="0" w:line="364" w:lineRule="auto"/>
        <w:sectPr>
          <w:pgSz w:w="11910" w:h="16840"/>
          <w:pgMar w:header="0" w:footer="947" w:top="1340" w:bottom="1220" w:left="1140" w:right="1020"/>
        </w:sectPr>
      </w:pPr>
    </w:p>
    <w:p>
      <w:pPr>
        <w:pStyle w:val="BodyText"/>
        <w:spacing w:before="61"/>
        <w:ind w:left="220"/>
      </w:pPr>
      <w:r>
        <w:rPr/>
        <w:t>估算投资为 </w:t>
      </w:r>
      <w:r>
        <w:rPr>
          <w:rFonts w:ascii="Times New Roman" w:eastAsia="Times New Roman"/>
        </w:rPr>
        <w:t>47.13 </w:t>
      </w:r>
      <w:r>
        <w:rPr/>
        <w:t>万元，总计 </w:t>
      </w:r>
      <w:r>
        <w:rPr>
          <w:rFonts w:ascii="Times New Roman" w:eastAsia="Times New Roman"/>
        </w:rPr>
        <w:t>81.73 </w:t>
      </w:r>
      <w:r>
        <w:rPr/>
        <w:t>万元，分摊到每年外部费用为 </w:t>
      </w:r>
      <w:r>
        <w:rPr>
          <w:rFonts w:ascii="Times New Roman" w:eastAsia="Times New Roman"/>
        </w:rPr>
        <w:t>5.88 </w:t>
      </w:r>
      <w:r>
        <w:rPr/>
        <w:t>万元。</w:t>
      </w:r>
    </w:p>
    <w:p>
      <w:pPr>
        <w:pStyle w:val="ListParagraph"/>
        <w:numPr>
          <w:ilvl w:val="3"/>
          <w:numId w:val="102"/>
        </w:numPr>
        <w:tabs>
          <w:tab w:pos="1302" w:val="left" w:leader="none"/>
        </w:tabs>
        <w:spacing w:line="240" w:lineRule="auto" w:before="158" w:after="0"/>
        <w:ind w:left="1301" w:right="0" w:hanging="602"/>
        <w:jc w:val="left"/>
        <w:rPr>
          <w:sz w:val="24"/>
        </w:rPr>
      </w:pPr>
      <w:r>
        <w:rPr>
          <w:sz w:val="24"/>
        </w:rPr>
        <w:t>内部费用的确定与估算</w:t>
      </w:r>
    </w:p>
    <w:p>
      <w:pPr>
        <w:pStyle w:val="BodyText"/>
        <w:spacing w:line="364" w:lineRule="auto" w:before="161"/>
        <w:ind w:left="220" w:right="154" w:firstLine="480"/>
      </w:pPr>
      <w:r>
        <w:rPr/>
        <w:t>内部费用是指项目开发过程中，建设单位为了防止环境污染而付出的环境保护费用， 由基本建设费和运行费两部分组成。环境保护基本建设费用为 </w:t>
      </w:r>
      <w:r>
        <w:rPr>
          <w:rFonts w:ascii="Times New Roman" w:eastAsia="Times New Roman"/>
        </w:rPr>
        <w:t>327.8 </w:t>
      </w:r>
      <w:r>
        <w:rPr/>
        <w:t>万元，折算到每年，</w:t>
      </w:r>
    </w:p>
    <w:p>
      <w:pPr>
        <w:pStyle w:val="BodyText"/>
        <w:spacing w:line="306" w:lineRule="exact"/>
        <w:ind w:left="220"/>
      </w:pPr>
      <w:r>
        <w:rPr/>
        <w:t>每年投入的环境保护基本建设费用为 </w:t>
      </w:r>
      <w:r>
        <w:rPr>
          <w:rFonts w:ascii="Times New Roman" w:eastAsia="Times New Roman"/>
        </w:rPr>
        <w:t>23.58 </w:t>
      </w:r>
      <w:r>
        <w:rPr/>
        <w:t>万元。</w:t>
      </w:r>
    </w:p>
    <w:p>
      <w:pPr>
        <w:pStyle w:val="BodyText"/>
        <w:spacing w:line="364" w:lineRule="auto" w:before="160"/>
        <w:ind w:left="220" w:right="217" w:firstLine="480"/>
      </w:pPr>
      <w:r>
        <w:rPr/>
        <w:t>运行费用是指矿井各项环保工程、水土保持、绿化、环保监测和管理等环境保护工程的运行、管理费用，按生产要素计算，运行费用主要由各项环保工程的折旧费、设备</w:t>
      </w:r>
      <w:r>
        <w:rPr>
          <w:spacing w:val="-8"/>
        </w:rPr>
        <w:t>大修费用、耗电费、材料消耗费、人工工资及福利费、运输费、设备维护费和管理费等。</w:t>
      </w:r>
      <w:r>
        <w:rPr>
          <w:spacing w:val="-21"/>
        </w:rPr>
        <w:t>对表 </w:t>
      </w:r>
      <w:r>
        <w:rPr>
          <w:rFonts w:ascii="Times New Roman" w:eastAsia="Times New Roman"/>
        </w:rPr>
        <w:t>16.1-1 </w:t>
      </w:r>
      <w:r>
        <w:rPr/>
        <w:t>中各项环保工程逐项进行运行费用计算，结果为本工程环保工程运行费用为</w:t>
      </w:r>
    </w:p>
    <w:p>
      <w:pPr>
        <w:pStyle w:val="BodyText"/>
        <w:spacing w:line="305" w:lineRule="exact"/>
        <w:ind w:left="220"/>
      </w:pPr>
      <w:r>
        <w:rPr>
          <w:rFonts w:ascii="Times New Roman" w:eastAsia="Times New Roman"/>
        </w:rPr>
        <w:t>10 </w:t>
      </w:r>
      <w:r>
        <w:rPr/>
        <w:t>万元</w:t>
      </w:r>
      <w:r>
        <w:rPr>
          <w:rFonts w:ascii="Times New Roman" w:eastAsia="Times New Roman"/>
        </w:rPr>
        <w:t>/</w:t>
      </w:r>
      <w:r>
        <w:rPr/>
        <w:t>年。</w:t>
      </w:r>
    </w:p>
    <w:p>
      <w:pPr>
        <w:pStyle w:val="BodyText"/>
        <w:spacing w:before="158"/>
        <w:ind w:left="700"/>
      </w:pPr>
      <w:r>
        <w:rPr/>
        <w:t>年环境保护内部费用为 </w:t>
      </w:r>
      <w:r>
        <w:rPr>
          <w:rFonts w:ascii="Times New Roman" w:eastAsia="Times New Roman"/>
        </w:rPr>
        <w:t>33.58 </w:t>
      </w:r>
      <w:r>
        <w:rPr/>
        <w:t>万元</w:t>
      </w:r>
      <w:r>
        <w:rPr>
          <w:rFonts w:ascii="Times New Roman" w:eastAsia="Times New Roman"/>
        </w:rPr>
        <w:t>/</w:t>
      </w:r>
      <w:r>
        <w:rPr/>
        <w:t>年，年环境保护外部费用 </w:t>
      </w:r>
      <w:r>
        <w:rPr>
          <w:rFonts w:ascii="Times New Roman" w:eastAsia="Times New Roman"/>
        </w:rPr>
        <w:t>5.88 </w:t>
      </w:r>
      <w:r>
        <w:rPr/>
        <w:t>万元</w:t>
      </w:r>
      <w:r>
        <w:rPr>
          <w:rFonts w:ascii="Times New Roman" w:eastAsia="Times New Roman"/>
        </w:rPr>
        <w:t>/</w:t>
      </w:r>
      <w:r>
        <w:rPr/>
        <w:t>年，年环境保</w:t>
      </w:r>
    </w:p>
    <w:p>
      <w:pPr>
        <w:pStyle w:val="BodyText"/>
        <w:spacing w:before="161"/>
        <w:ind w:left="220"/>
      </w:pPr>
      <w:r>
        <w:rPr/>
        <w:t>护费用为 </w:t>
      </w:r>
      <w:r>
        <w:rPr>
          <w:rFonts w:ascii="Times New Roman" w:eastAsia="Times New Roman"/>
        </w:rPr>
        <w:t>39.46 </w:t>
      </w:r>
      <w:r>
        <w:rPr/>
        <w:t>万元</w:t>
      </w:r>
      <w:r>
        <w:rPr>
          <w:rFonts w:ascii="Times New Roman" w:eastAsia="Times New Roman"/>
        </w:rPr>
        <w:t>/</w:t>
      </w:r>
      <w:r>
        <w:rPr/>
        <w:t>年。</w:t>
      </w:r>
    </w:p>
    <w:p>
      <w:pPr>
        <w:pStyle w:val="Heading4"/>
        <w:numPr>
          <w:ilvl w:val="2"/>
          <w:numId w:val="102"/>
        </w:numPr>
        <w:tabs>
          <w:tab w:pos="881" w:val="left" w:leader="none"/>
        </w:tabs>
        <w:spacing w:line="240" w:lineRule="auto" w:before="158" w:after="0"/>
        <w:ind w:left="880" w:right="0" w:hanging="661"/>
        <w:jc w:val="left"/>
        <w:rPr>
          <w:rFonts w:ascii="Times New Roman" w:eastAsia="Times New Roman"/>
        </w:rPr>
      </w:pPr>
      <w:bookmarkStart w:name="16.3.2年环境损失费用的确定和估算" w:id="1148"/>
      <w:bookmarkEnd w:id="1148"/>
      <w:r>
        <w:rPr>
          <w:b w:val="0"/>
        </w:rPr>
      </w:r>
      <w:bookmarkStart w:name="16.3.2年环境损失费用的确定和估算" w:id="1149"/>
      <w:bookmarkEnd w:id="1149"/>
      <w:r>
        <w:rPr/>
        <w:t>年环境损失费用的确定和估算</w:t>
      </w:r>
    </w:p>
    <w:p>
      <w:pPr>
        <w:pStyle w:val="BodyText"/>
        <w:spacing w:line="364" w:lineRule="auto" w:before="160"/>
        <w:ind w:left="220" w:right="337" w:firstLine="480"/>
      </w:pPr>
      <w:r>
        <w:rPr/>
        <w:t>年环境损失费用</w:t>
      </w:r>
      <w:r>
        <w:rPr>
          <w:rFonts w:ascii="Times New Roman" w:hAnsi="Times New Roman" w:eastAsia="Times New Roman"/>
        </w:rPr>
        <w:t>(Hs)</w:t>
      </w:r>
      <w:r>
        <w:rPr>
          <w:spacing w:val="-10"/>
        </w:rPr>
        <w:t>即指矿井投产后，每年资源的流失和</w:t>
      </w:r>
      <w:r>
        <w:rPr>
          <w:rFonts w:ascii="Times New Roman" w:hAnsi="Times New Roman" w:eastAsia="Times New Roman"/>
        </w:rPr>
        <w:t>“</w:t>
      </w:r>
      <w:r>
        <w:rPr/>
        <w:t>三废</w:t>
      </w:r>
      <w:r>
        <w:rPr>
          <w:rFonts w:ascii="Times New Roman" w:hAnsi="Times New Roman" w:eastAsia="Times New Roman"/>
        </w:rPr>
        <w:t>”</w:t>
      </w:r>
      <w:r>
        <w:rPr>
          <w:spacing w:val="-2"/>
        </w:rPr>
        <w:t>及噪声排放对环境造</w:t>
      </w:r>
      <w:r>
        <w:rPr/>
        <w:t>成的损失，以及原环境功能发生了改变等原因带来的损失。主要包括以下几项：</w:t>
      </w:r>
    </w:p>
    <w:p>
      <w:pPr>
        <w:pStyle w:val="ListParagraph"/>
        <w:numPr>
          <w:ilvl w:val="0"/>
          <w:numId w:val="104"/>
        </w:numPr>
        <w:tabs>
          <w:tab w:pos="981" w:val="left" w:leader="none"/>
        </w:tabs>
        <w:spacing w:line="306" w:lineRule="exact" w:before="0" w:after="0"/>
        <w:ind w:left="980" w:right="0" w:hanging="281"/>
        <w:jc w:val="left"/>
        <w:rPr>
          <w:sz w:val="24"/>
        </w:rPr>
      </w:pPr>
      <w:r>
        <w:rPr>
          <w:sz w:val="24"/>
        </w:rPr>
        <w:t>煤炭资源的流失价值</w:t>
      </w:r>
    </w:p>
    <w:p>
      <w:pPr>
        <w:pStyle w:val="BodyText"/>
        <w:spacing w:line="362" w:lineRule="auto" w:before="161"/>
        <w:ind w:left="220" w:right="338" w:firstLine="480"/>
      </w:pPr>
      <w:r>
        <w:rPr/>
        <w:t>这里煤炭资源流失价值，是指因煤炭外运、装卸、风蚀、雨蚀等原因造成的煤炭资源损失，本项目由于采取了很完善的防治措施，煤炭资源流失很少，可以忽略不计。</w:t>
      </w:r>
    </w:p>
    <w:p>
      <w:pPr>
        <w:pStyle w:val="ListParagraph"/>
        <w:numPr>
          <w:ilvl w:val="0"/>
          <w:numId w:val="104"/>
        </w:numPr>
        <w:tabs>
          <w:tab w:pos="981" w:val="left" w:leader="none"/>
        </w:tabs>
        <w:spacing w:line="240" w:lineRule="auto" w:before="2" w:after="0"/>
        <w:ind w:left="980" w:right="0" w:hanging="281"/>
        <w:jc w:val="left"/>
        <w:rPr>
          <w:sz w:val="24"/>
        </w:rPr>
      </w:pPr>
      <w:r>
        <w:rPr>
          <w:sz w:val="24"/>
        </w:rPr>
        <w:t>水资源的流失价值</w:t>
      </w:r>
    </w:p>
    <w:p>
      <w:pPr>
        <w:pStyle w:val="BodyText"/>
        <w:spacing w:before="161"/>
        <w:ind w:left="700"/>
      </w:pPr>
      <w:r>
        <w:rPr/>
        <w:t>本项目矿井水大部分回用，部分排放至自建鱼塘，则每年浪费水资源价值约 </w:t>
      </w:r>
      <w:r>
        <w:rPr>
          <w:rFonts w:ascii="Times New Roman" w:eastAsia="Times New Roman"/>
        </w:rPr>
        <w:t>0 </w:t>
      </w:r>
      <w:r>
        <w:rPr/>
        <w:t>万元。</w:t>
      </w:r>
    </w:p>
    <w:p>
      <w:pPr>
        <w:pStyle w:val="ListParagraph"/>
        <w:numPr>
          <w:ilvl w:val="0"/>
          <w:numId w:val="104"/>
        </w:numPr>
        <w:tabs>
          <w:tab w:pos="981" w:val="left" w:leader="none"/>
        </w:tabs>
        <w:spacing w:line="240" w:lineRule="auto" w:before="160" w:after="0"/>
        <w:ind w:left="98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BodyText"/>
        <w:spacing w:line="364" w:lineRule="auto" w:before="159"/>
        <w:ind w:left="220" w:right="218" w:firstLine="480"/>
      </w:pPr>
      <w:r>
        <w:rPr/>
        <w:t>由于本项目排放的</w:t>
      </w:r>
      <w:r>
        <w:rPr>
          <w:rFonts w:ascii="Times New Roman" w:hAnsi="Times New Roman" w:eastAsia="Times New Roman"/>
          <w:spacing w:val="3"/>
        </w:rPr>
        <w:t>“</w:t>
      </w:r>
      <w:r>
        <w:rPr/>
        <w:t>三废</w:t>
      </w:r>
      <w:r>
        <w:rPr>
          <w:rFonts w:ascii="Times New Roman" w:hAnsi="Times New Roman" w:eastAsia="Times New Roman"/>
        </w:rPr>
        <w:t>”</w:t>
      </w:r>
      <w:r>
        <w:rPr/>
        <w:t>均通过比较完善的污染控制工程进行了妥善处理，达到国</w:t>
      </w:r>
      <w:r>
        <w:rPr>
          <w:spacing w:val="-4"/>
        </w:rPr>
        <w:t>家排放标准和区域环境规划的目标，对周围环境污染很小，但排污必定带来一定的损失， 这部分损失按收取的排污费计为 </w:t>
      </w:r>
      <w:r>
        <w:rPr>
          <w:rFonts w:ascii="Times New Roman" w:hAnsi="Times New Roman" w:eastAsia="Times New Roman"/>
        </w:rPr>
        <w:t>5 </w:t>
      </w:r>
      <w:r>
        <w:rPr/>
        <w:t>万元。</w:t>
      </w:r>
    </w:p>
    <w:p>
      <w:pPr>
        <w:pStyle w:val="BodyText"/>
        <w:spacing w:line="307" w:lineRule="exact"/>
        <w:ind w:left="700"/>
      </w:pPr>
      <w:r>
        <w:rPr/>
        <w:t>所以本项目的环境损失费用</w:t>
      </w:r>
      <w:r>
        <w:rPr>
          <w:rFonts w:ascii="Times New Roman" w:eastAsia="Times New Roman"/>
        </w:rPr>
        <w:t>(1)+(2)+(3)=5 </w:t>
      </w:r>
      <w:r>
        <w:rPr/>
        <w:t>万元</w:t>
      </w:r>
      <w:r>
        <w:rPr>
          <w:rFonts w:ascii="Times New Roman" w:eastAsia="Times New Roman"/>
        </w:rPr>
        <w:t>/</w:t>
      </w:r>
      <w:r>
        <w:rPr/>
        <w:t>年</w:t>
      </w:r>
    </w:p>
    <w:p>
      <w:pPr>
        <w:pStyle w:val="Heading4"/>
        <w:numPr>
          <w:ilvl w:val="2"/>
          <w:numId w:val="102"/>
        </w:numPr>
        <w:tabs>
          <w:tab w:pos="881" w:val="left" w:leader="none"/>
        </w:tabs>
        <w:spacing w:line="240" w:lineRule="auto" w:before="158" w:after="0"/>
        <w:ind w:left="880" w:right="0" w:hanging="661"/>
        <w:jc w:val="left"/>
        <w:rPr>
          <w:rFonts w:ascii="Times New Roman" w:eastAsia="Times New Roman"/>
        </w:rPr>
      </w:pPr>
      <w:bookmarkStart w:name="16.3.3环境成本和环境系数的确定与分析" w:id="1150"/>
      <w:bookmarkEnd w:id="1150"/>
      <w:r>
        <w:rPr>
          <w:b w:val="0"/>
        </w:rPr>
      </w:r>
      <w:bookmarkStart w:name="16.3.3环境成本和环境系数的确定与分析" w:id="1151"/>
      <w:bookmarkEnd w:id="1151"/>
      <w:r>
        <w:rPr/>
        <w:t>环境成本和环境系数的确定与分析</w:t>
      </w:r>
    </w:p>
    <w:p>
      <w:pPr>
        <w:pStyle w:val="ListParagraph"/>
        <w:numPr>
          <w:ilvl w:val="0"/>
          <w:numId w:val="105"/>
        </w:numPr>
        <w:tabs>
          <w:tab w:pos="1101" w:val="left" w:leader="none"/>
        </w:tabs>
        <w:spacing w:line="240" w:lineRule="auto" w:before="160" w:after="0"/>
        <w:ind w:left="1100" w:right="0" w:hanging="281"/>
        <w:jc w:val="left"/>
        <w:rPr>
          <w:sz w:val="24"/>
        </w:rPr>
      </w:pPr>
      <w:r>
        <w:rPr>
          <w:sz w:val="24"/>
        </w:rPr>
        <w:t>年环境代价</w:t>
      </w:r>
    </w:p>
    <w:p>
      <w:pPr>
        <w:pStyle w:val="BodyText"/>
        <w:spacing w:line="364" w:lineRule="auto" w:before="158"/>
        <w:ind w:left="220" w:right="269" w:firstLine="600"/>
      </w:pPr>
      <w:r>
        <w:rPr/>
        <w:t>年环境代价 </w:t>
      </w:r>
      <w:r>
        <w:rPr>
          <w:rFonts w:ascii="Times New Roman" w:eastAsia="Times New Roman"/>
        </w:rPr>
        <w:t>Hd </w:t>
      </w:r>
      <w:r>
        <w:rPr/>
        <w:t>即是项目投入的年环境保护费用 </w:t>
      </w:r>
      <w:r>
        <w:rPr>
          <w:rFonts w:ascii="Times New Roman" w:eastAsia="Times New Roman"/>
        </w:rPr>
        <w:t>Et(</w:t>
      </w:r>
      <w:r>
        <w:rPr/>
        <w:t>包括外部费用和内部费用</w:t>
      </w:r>
      <w:r>
        <w:rPr>
          <w:rFonts w:ascii="Times New Roman" w:eastAsia="Times New Roman"/>
        </w:rPr>
        <w:t>)</w:t>
      </w:r>
      <w:r>
        <w:rPr/>
        <w:t>和年环境损失费用 </w:t>
      </w:r>
      <w:r>
        <w:rPr>
          <w:rFonts w:ascii="Times New Roman" w:eastAsia="Times New Roman"/>
        </w:rPr>
        <w:t>Hs </w:t>
      </w:r>
      <w:r>
        <w:rPr/>
        <w:t>之和，合计 </w:t>
      </w:r>
      <w:r>
        <w:rPr>
          <w:rFonts w:ascii="Times New Roman" w:eastAsia="Times New Roman"/>
        </w:rPr>
        <w:t>44.46 </w:t>
      </w:r>
      <w:r>
        <w:rPr/>
        <w:t>万元</w:t>
      </w:r>
      <w:r>
        <w:rPr>
          <w:rFonts w:ascii="Times New Roman" w:eastAsia="Times New Roman"/>
        </w:rPr>
        <w:t>/</w:t>
      </w:r>
      <w:r>
        <w:rPr/>
        <w:t>年。</w:t>
      </w:r>
    </w:p>
    <w:p>
      <w:pPr>
        <w:pStyle w:val="ListParagraph"/>
        <w:numPr>
          <w:ilvl w:val="0"/>
          <w:numId w:val="105"/>
        </w:numPr>
        <w:tabs>
          <w:tab w:pos="981" w:val="left" w:leader="none"/>
        </w:tabs>
        <w:spacing w:line="306" w:lineRule="exact" w:before="0" w:after="0"/>
        <w:ind w:left="980" w:right="0" w:hanging="281"/>
        <w:jc w:val="left"/>
        <w:rPr>
          <w:sz w:val="24"/>
        </w:rPr>
      </w:pPr>
      <w:r>
        <w:rPr>
          <w:sz w:val="24"/>
        </w:rPr>
        <w:t>环境成本的确定</w:t>
      </w:r>
    </w:p>
    <w:p>
      <w:pPr>
        <w:spacing w:after="0" w:line="306" w:lineRule="exact"/>
        <w:jc w:val="left"/>
        <w:rPr>
          <w:sz w:val="24"/>
        </w:rPr>
        <w:sectPr>
          <w:pgSz w:w="11910" w:h="16840"/>
          <w:pgMar w:header="0" w:footer="947" w:top="1340" w:bottom="1220" w:left="1140" w:right="1020"/>
        </w:sectPr>
      </w:pPr>
    </w:p>
    <w:p>
      <w:pPr>
        <w:pStyle w:val="BodyText"/>
        <w:spacing w:line="362" w:lineRule="auto" w:before="61"/>
        <w:ind w:left="220" w:right="337" w:firstLine="480"/>
      </w:pPr>
      <w:r>
        <w:rPr>
          <w:spacing w:val="-13"/>
        </w:rPr>
        <w:t>环境成本 </w:t>
      </w:r>
      <w:r>
        <w:rPr>
          <w:rFonts w:ascii="Times New Roman" w:eastAsia="Times New Roman"/>
        </w:rPr>
        <w:t>Hb </w:t>
      </w:r>
      <w:r>
        <w:rPr>
          <w:spacing w:val="-6"/>
        </w:rPr>
        <w:t>是指开发项目单位产品的环境代价，即 </w:t>
      </w:r>
      <w:r>
        <w:rPr>
          <w:rFonts w:ascii="Times New Roman" w:eastAsia="Times New Roman"/>
        </w:rPr>
        <w:t>Hb=Hd</w:t>
      </w:r>
      <w:r>
        <w:rPr/>
        <w:t>／</w:t>
      </w:r>
      <w:r>
        <w:rPr>
          <w:rFonts w:ascii="Times New Roman" w:eastAsia="Times New Roman"/>
        </w:rPr>
        <w:t>M</w:t>
      </w:r>
      <w:r>
        <w:rPr/>
        <w:t>，</w:t>
      </w:r>
      <w:r>
        <w:rPr>
          <w:rFonts w:ascii="Times New Roman" w:eastAsia="Times New Roman"/>
        </w:rPr>
        <w:t>M </w:t>
      </w:r>
      <w:r>
        <w:rPr/>
        <w:t>是产品产量</w:t>
      </w:r>
      <w:r>
        <w:rPr>
          <w:rFonts w:ascii="Times New Roman" w:eastAsia="Times New Roman"/>
        </w:rPr>
        <w:t>(</w:t>
      </w:r>
      <w:r>
        <w:rPr>
          <w:spacing w:val="-14"/>
        </w:rPr>
        <w:t>按</w:t>
      </w:r>
      <w:r>
        <w:rPr/>
        <w:t>新增原煤产量计</w:t>
      </w:r>
      <w:r>
        <w:rPr>
          <w:rFonts w:ascii="Times New Roman" w:eastAsia="Times New Roman"/>
        </w:rPr>
        <w:t>)</w:t>
      </w:r>
      <w:r>
        <w:rPr>
          <w:spacing w:val="-5"/>
        </w:rPr>
        <w:t>，经计算，项目的年环境成本为 </w:t>
      </w:r>
      <w:r>
        <w:rPr>
          <w:rFonts w:ascii="Times New Roman" w:eastAsia="Times New Roman"/>
        </w:rPr>
        <w:t>1.48 </w:t>
      </w:r>
      <w:r>
        <w:rPr/>
        <w:t>元</w:t>
      </w:r>
      <w:r>
        <w:rPr>
          <w:rFonts w:ascii="Times New Roman" w:eastAsia="Times New Roman"/>
        </w:rPr>
        <w:t>/t </w:t>
      </w:r>
      <w:r>
        <w:rPr/>
        <w:t>原煤。</w:t>
      </w:r>
    </w:p>
    <w:p>
      <w:pPr>
        <w:pStyle w:val="BodyText"/>
        <w:spacing w:line="364" w:lineRule="auto" w:before="5"/>
        <w:ind w:left="220" w:right="338" w:firstLine="480"/>
      </w:pPr>
      <w:r>
        <w:rPr/>
        <w:t>总的看来，本项目采取了完善污染防治措施，且由于矿井涌水量不大，虽水资源利用率低，但付出的环境代价相对不高。</w:t>
      </w:r>
    </w:p>
    <w:p>
      <w:pPr>
        <w:pStyle w:val="ListParagraph"/>
        <w:numPr>
          <w:ilvl w:val="0"/>
          <w:numId w:val="105"/>
        </w:numPr>
        <w:tabs>
          <w:tab w:pos="981" w:val="left" w:leader="none"/>
        </w:tabs>
        <w:spacing w:line="306" w:lineRule="exact" w:before="0" w:after="0"/>
        <w:ind w:left="980" w:right="0" w:hanging="281"/>
        <w:jc w:val="left"/>
        <w:rPr>
          <w:sz w:val="24"/>
        </w:rPr>
      </w:pPr>
      <w:r>
        <w:rPr>
          <w:sz w:val="24"/>
        </w:rPr>
        <w:t>环境系数的确定</w:t>
      </w:r>
    </w:p>
    <w:p>
      <w:pPr>
        <w:pStyle w:val="BodyText"/>
        <w:spacing w:before="161"/>
        <w:ind w:left="700"/>
      </w:pPr>
      <w:r>
        <w:rPr/>
        <w:t>环境系数是指年环境代价与年工业产值的比值，即 </w:t>
      </w:r>
      <w:r>
        <w:rPr>
          <w:rFonts w:ascii="Times New Roman" w:eastAsia="Times New Roman"/>
        </w:rPr>
        <w:t>Hx=Hd</w:t>
      </w:r>
      <w:r>
        <w:rPr/>
        <w:t>／</w:t>
      </w:r>
      <w:r>
        <w:rPr>
          <w:rFonts w:ascii="Times New Roman" w:eastAsia="Times New Roman"/>
        </w:rPr>
        <w:t>Ge</w:t>
      </w:r>
      <w:r>
        <w:rPr/>
        <w:t>。</w:t>
      </w:r>
    </w:p>
    <w:p>
      <w:pPr>
        <w:pStyle w:val="BodyText"/>
        <w:spacing w:line="364" w:lineRule="auto" w:before="158"/>
        <w:ind w:left="220" w:right="338" w:firstLine="480"/>
      </w:pPr>
      <w:r>
        <w:rPr>
          <w:spacing w:val="-9"/>
        </w:rPr>
        <w:t>经计算，本项目环境系数为 </w:t>
      </w:r>
      <w:r>
        <w:rPr>
          <w:rFonts w:ascii="Times New Roman" w:eastAsia="Times New Roman"/>
          <w:spacing w:val="-3"/>
        </w:rPr>
        <w:t>0.00269</w:t>
      </w:r>
      <w:r>
        <w:rPr>
          <w:spacing w:val="-9"/>
        </w:rPr>
        <w:t>，说明项目创造 </w:t>
      </w:r>
      <w:r>
        <w:rPr>
          <w:rFonts w:ascii="Times New Roman" w:eastAsia="Times New Roman"/>
        </w:rPr>
        <w:t>1 </w:t>
      </w:r>
      <w:r>
        <w:rPr>
          <w:spacing w:val="-5"/>
        </w:rPr>
        <w:t>万元的产值，付出的环境代价</w:t>
      </w:r>
      <w:r>
        <w:rPr>
          <w:spacing w:val="-30"/>
        </w:rPr>
        <w:t>达 </w:t>
      </w:r>
      <w:r>
        <w:rPr>
          <w:rFonts w:ascii="Times New Roman" w:eastAsia="Times New Roman"/>
        </w:rPr>
        <w:t>26.9 </w:t>
      </w:r>
      <w:r>
        <w:rPr/>
        <w:t>元。</w:t>
      </w:r>
    </w:p>
    <w:p>
      <w:pPr>
        <w:pStyle w:val="Heading4"/>
        <w:spacing w:before="159" w:after="31"/>
        <w:ind w:right="110"/>
        <w:jc w:val="center"/>
        <w:rPr>
          <w:rFonts w:ascii="黑体" w:eastAsia="黑体" w:hint="eastAsia"/>
        </w:rPr>
      </w:pPr>
      <w:r>
        <w:rPr>
          <w:rFonts w:ascii="黑体" w:eastAsia="黑体" w:hint="eastAsia"/>
        </w:rPr>
        <w:t>表 </w:t>
      </w:r>
      <w:r>
        <w:rPr>
          <w:rFonts w:ascii="Times New Roman" w:eastAsia="Times New Roman"/>
        </w:rPr>
        <w:t>16.3-1  </w:t>
      </w:r>
      <w:r>
        <w:rPr>
          <w:rFonts w:ascii="黑体" w:eastAsia="黑体" w:hint="eastAsia"/>
        </w:rPr>
        <w:t>环境经济损失分析表</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0"/>
        <w:gridCol w:w="782"/>
        <w:gridCol w:w="795"/>
        <w:gridCol w:w="912"/>
        <w:gridCol w:w="1112"/>
        <w:gridCol w:w="1449"/>
        <w:gridCol w:w="1166"/>
        <w:gridCol w:w="1338"/>
        <w:gridCol w:w="1325"/>
      </w:tblGrid>
      <w:tr>
        <w:trPr>
          <w:trHeight w:val="600" w:hRule="atLeast"/>
        </w:trPr>
        <w:tc>
          <w:tcPr>
            <w:tcW w:w="3129" w:type="dxa"/>
            <w:gridSpan w:val="4"/>
          </w:tcPr>
          <w:p>
            <w:pPr>
              <w:pStyle w:val="TableParagraph"/>
              <w:spacing w:before="1"/>
              <w:jc w:val="left"/>
              <w:rPr>
                <w:rFonts w:ascii="黑体"/>
                <w:b/>
                <w:sz w:val="14"/>
              </w:rPr>
            </w:pPr>
          </w:p>
          <w:p>
            <w:pPr>
              <w:pStyle w:val="TableParagraph"/>
              <w:ind w:left="1123" w:right="1116"/>
              <w:rPr>
                <w:sz w:val="21"/>
              </w:rPr>
            </w:pPr>
            <w:r>
              <w:rPr>
                <w:sz w:val="21"/>
              </w:rPr>
              <w:t>指标名称</w:t>
            </w:r>
          </w:p>
        </w:tc>
        <w:tc>
          <w:tcPr>
            <w:tcW w:w="1112" w:type="dxa"/>
          </w:tcPr>
          <w:p>
            <w:pPr>
              <w:pStyle w:val="TableParagraph"/>
              <w:spacing w:before="29"/>
              <w:ind w:left="134"/>
              <w:jc w:val="left"/>
              <w:rPr>
                <w:sz w:val="21"/>
              </w:rPr>
            </w:pPr>
            <w:r>
              <w:rPr>
                <w:w w:val="95"/>
                <w:sz w:val="21"/>
              </w:rPr>
              <w:t>单项费用</w:t>
            </w:r>
          </w:p>
          <w:p>
            <w:pPr>
              <w:pStyle w:val="TableParagraph"/>
              <w:spacing w:line="250" w:lineRule="exact" w:before="31"/>
              <w:ind w:left="134"/>
              <w:jc w:val="left"/>
              <w:rPr>
                <w:sz w:val="21"/>
              </w:rPr>
            </w:pPr>
            <w:r>
              <w:rPr>
                <w:w w:val="95"/>
                <w:sz w:val="21"/>
              </w:rPr>
              <w:t>（万元）</w:t>
            </w:r>
          </w:p>
        </w:tc>
        <w:tc>
          <w:tcPr>
            <w:tcW w:w="1449" w:type="dxa"/>
          </w:tcPr>
          <w:p>
            <w:pPr>
              <w:pStyle w:val="TableParagraph"/>
              <w:spacing w:before="29"/>
              <w:ind w:left="198"/>
              <w:jc w:val="left"/>
              <w:rPr>
                <w:sz w:val="21"/>
              </w:rPr>
            </w:pPr>
            <w:r>
              <w:rPr>
                <w:w w:val="95"/>
                <w:sz w:val="21"/>
              </w:rPr>
              <w:t>单项费用小</w:t>
            </w:r>
          </w:p>
          <w:p>
            <w:pPr>
              <w:pStyle w:val="TableParagraph"/>
              <w:spacing w:line="250" w:lineRule="exact" w:before="31"/>
              <w:ind w:left="198"/>
              <w:jc w:val="left"/>
              <w:rPr>
                <w:sz w:val="21"/>
              </w:rPr>
            </w:pPr>
            <w:r>
              <w:rPr>
                <w:w w:val="95"/>
                <w:sz w:val="21"/>
              </w:rPr>
              <w:t>计（万元）</w:t>
            </w:r>
          </w:p>
        </w:tc>
        <w:tc>
          <w:tcPr>
            <w:tcW w:w="1166" w:type="dxa"/>
          </w:tcPr>
          <w:p>
            <w:pPr>
              <w:pStyle w:val="TableParagraph"/>
              <w:spacing w:before="29"/>
              <w:ind w:left="37" w:right="29"/>
              <w:rPr>
                <w:sz w:val="21"/>
              </w:rPr>
            </w:pPr>
            <w:r>
              <w:rPr>
                <w:sz w:val="21"/>
              </w:rPr>
              <w:t>年费用（万</w:t>
            </w:r>
          </w:p>
          <w:p>
            <w:pPr>
              <w:pStyle w:val="TableParagraph"/>
              <w:spacing w:line="250" w:lineRule="exact" w:before="31"/>
              <w:ind w:left="34" w:right="29"/>
              <w:rPr>
                <w:sz w:val="21"/>
              </w:rPr>
            </w:pPr>
            <w:r>
              <w:rPr>
                <w:sz w:val="21"/>
              </w:rPr>
              <w:t>元</w:t>
            </w:r>
            <w:r>
              <w:rPr>
                <w:rFonts w:ascii="Times New Roman" w:eastAsia="Times New Roman"/>
                <w:sz w:val="21"/>
              </w:rPr>
              <w:t>/</w:t>
            </w:r>
            <w:r>
              <w:rPr>
                <w:sz w:val="21"/>
              </w:rPr>
              <w:t>年）</w:t>
            </w:r>
          </w:p>
        </w:tc>
        <w:tc>
          <w:tcPr>
            <w:tcW w:w="1338" w:type="dxa"/>
          </w:tcPr>
          <w:p>
            <w:pPr>
              <w:pStyle w:val="TableParagraph"/>
              <w:spacing w:before="29"/>
              <w:ind w:left="144"/>
              <w:jc w:val="left"/>
              <w:rPr>
                <w:sz w:val="21"/>
              </w:rPr>
            </w:pPr>
            <w:r>
              <w:rPr>
                <w:w w:val="95"/>
                <w:sz w:val="21"/>
              </w:rPr>
              <w:t>年费用小计</w:t>
            </w:r>
          </w:p>
          <w:p>
            <w:pPr>
              <w:pStyle w:val="TableParagraph"/>
              <w:spacing w:line="250" w:lineRule="exact" w:before="31"/>
              <w:ind w:left="115"/>
              <w:jc w:val="left"/>
              <w:rPr>
                <w:sz w:val="21"/>
              </w:rPr>
            </w:pPr>
            <w:r>
              <w:rPr>
                <w:spacing w:val="-1"/>
                <w:w w:val="95"/>
                <w:sz w:val="21"/>
              </w:rPr>
              <w:t>（万元</w:t>
            </w:r>
            <w:r>
              <w:rPr>
                <w:rFonts w:ascii="Times New Roman" w:eastAsia="Times New Roman"/>
                <w:w w:val="95"/>
                <w:sz w:val="21"/>
              </w:rPr>
              <w:t>/</w:t>
            </w:r>
            <w:r>
              <w:rPr>
                <w:w w:val="95"/>
                <w:sz w:val="21"/>
              </w:rPr>
              <w:t>年）</w:t>
            </w:r>
          </w:p>
        </w:tc>
        <w:tc>
          <w:tcPr>
            <w:tcW w:w="1325" w:type="dxa"/>
          </w:tcPr>
          <w:p>
            <w:pPr>
              <w:pStyle w:val="TableParagraph"/>
              <w:spacing w:before="29"/>
              <w:ind w:left="135"/>
              <w:jc w:val="left"/>
              <w:rPr>
                <w:sz w:val="21"/>
              </w:rPr>
            </w:pPr>
            <w:r>
              <w:rPr>
                <w:w w:val="95"/>
                <w:sz w:val="21"/>
              </w:rPr>
              <w:t>年费用合计</w:t>
            </w:r>
          </w:p>
          <w:p>
            <w:pPr>
              <w:pStyle w:val="TableParagraph"/>
              <w:spacing w:line="250" w:lineRule="exact" w:before="31"/>
              <w:ind w:left="107"/>
              <w:jc w:val="left"/>
              <w:rPr>
                <w:sz w:val="21"/>
              </w:rPr>
            </w:pPr>
            <w:r>
              <w:rPr>
                <w:w w:val="95"/>
                <w:sz w:val="21"/>
              </w:rPr>
              <w:t>（万元</w:t>
            </w:r>
            <w:r>
              <w:rPr>
                <w:rFonts w:ascii="Times New Roman" w:eastAsia="Times New Roman"/>
                <w:w w:val="95"/>
                <w:sz w:val="21"/>
              </w:rPr>
              <w:t>/</w:t>
            </w:r>
            <w:r>
              <w:rPr>
                <w:w w:val="95"/>
                <w:sz w:val="21"/>
              </w:rPr>
              <w:t>年）</w:t>
            </w:r>
          </w:p>
        </w:tc>
      </w:tr>
      <w:tr>
        <w:trPr>
          <w:trHeight w:val="900" w:hRule="atLeast"/>
        </w:trPr>
        <w:tc>
          <w:tcPr>
            <w:tcW w:w="640" w:type="dxa"/>
            <w:vMerge w:val="restart"/>
          </w:tcPr>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spacing w:before="5"/>
              <w:jc w:val="left"/>
              <w:rPr>
                <w:rFonts w:ascii="黑体"/>
                <w:b/>
                <w:sz w:val="16"/>
              </w:rPr>
            </w:pPr>
          </w:p>
          <w:p>
            <w:pPr>
              <w:pStyle w:val="TableParagraph"/>
              <w:spacing w:line="266" w:lineRule="auto" w:before="1"/>
              <w:ind w:left="109" w:right="100"/>
              <w:jc w:val="left"/>
              <w:rPr>
                <w:sz w:val="21"/>
              </w:rPr>
            </w:pPr>
            <w:r>
              <w:rPr>
                <w:sz w:val="21"/>
              </w:rPr>
              <w:t>环境代价</w:t>
            </w:r>
          </w:p>
        </w:tc>
        <w:tc>
          <w:tcPr>
            <w:tcW w:w="782" w:type="dxa"/>
            <w:vMerge w:val="restart"/>
          </w:tcPr>
          <w:p>
            <w:pPr>
              <w:pStyle w:val="TableParagraph"/>
              <w:jc w:val="left"/>
              <w:rPr>
                <w:rFonts w:ascii="黑体"/>
                <w:b/>
                <w:sz w:val="20"/>
              </w:rPr>
            </w:pPr>
          </w:p>
          <w:p>
            <w:pPr>
              <w:pStyle w:val="TableParagraph"/>
              <w:jc w:val="left"/>
              <w:rPr>
                <w:rFonts w:ascii="黑体"/>
                <w:b/>
                <w:sz w:val="20"/>
              </w:rPr>
            </w:pPr>
          </w:p>
          <w:p>
            <w:pPr>
              <w:pStyle w:val="TableParagraph"/>
              <w:jc w:val="left"/>
              <w:rPr>
                <w:rFonts w:ascii="黑体"/>
                <w:b/>
                <w:sz w:val="20"/>
              </w:rPr>
            </w:pPr>
          </w:p>
          <w:p>
            <w:pPr>
              <w:pStyle w:val="TableParagraph"/>
              <w:spacing w:line="266" w:lineRule="auto" w:before="170"/>
              <w:ind w:left="180" w:right="171"/>
              <w:jc w:val="both"/>
              <w:rPr>
                <w:sz w:val="21"/>
              </w:rPr>
            </w:pPr>
            <w:r>
              <w:rPr>
                <w:sz w:val="21"/>
              </w:rPr>
              <w:t>环境保护费用</w:t>
            </w:r>
          </w:p>
        </w:tc>
        <w:tc>
          <w:tcPr>
            <w:tcW w:w="795" w:type="dxa"/>
          </w:tcPr>
          <w:p>
            <w:pPr>
              <w:pStyle w:val="TableParagraph"/>
              <w:spacing w:before="1"/>
              <w:jc w:val="left"/>
              <w:rPr>
                <w:rFonts w:ascii="黑体"/>
                <w:b/>
                <w:sz w:val="14"/>
              </w:rPr>
            </w:pPr>
          </w:p>
          <w:p>
            <w:pPr>
              <w:pStyle w:val="TableParagraph"/>
              <w:spacing w:line="266" w:lineRule="auto"/>
              <w:ind w:left="185" w:right="179"/>
              <w:jc w:val="left"/>
              <w:rPr>
                <w:sz w:val="21"/>
              </w:rPr>
            </w:pPr>
            <w:r>
              <w:rPr>
                <w:sz w:val="21"/>
              </w:rPr>
              <w:t>外部费用</w:t>
            </w:r>
          </w:p>
        </w:tc>
        <w:tc>
          <w:tcPr>
            <w:tcW w:w="912" w:type="dxa"/>
          </w:tcPr>
          <w:p>
            <w:pPr>
              <w:pStyle w:val="TableParagraph"/>
              <w:spacing w:before="29"/>
              <w:ind w:left="141"/>
              <w:jc w:val="left"/>
              <w:rPr>
                <w:sz w:val="21"/>
              </w:rPr>
            </w:pPr>
            <w:r>
              <w:rPr>
                <w:w w:val="95"/>
                <w:sz w:val="21"/>
              </w:rPr>
              <w:t>环境治</w:t>
            </w:r>
          </w:p>
          <w:p>
            <w:pPr>
              <w:pStyle w:val="TableParagraph"/>
              <w:spacing w:line="300" w:lineRule="atLeast"/>
              <w:ind w:left="141" w:right="129"/>
              <w:jc w:val="left"/>
              <w:rPr>
                <w:sz w:val="21"/>
              </w:rPr>
            </w:pPr>
            <w:r>
              <w:rPr>
                <w:spacing w:val="-6"/>
                <w:sz w:val="21"/>
              </w:rPr>
              <w:t>理和土</w:t>
            </w:r>
            <w:r>
              <w:rPr>
                <w:spacing w:val="-6"/>
                <w:w w:val="95"/>
                <w:sz w:val="21"/>
              </w:rPr>
              <w:t>地复垦</w:t>
            </w:r>
          </w:p>
        </w:tc>
        <w:tc>
          <w:tcPr>
            <w:tcW w:w="1112" w:type="dxa"/>
          </w:tcPr>
          <w:p>
            <w:pPr>
              <w:pStyle w:val="TableParagraph"/>
              <w:spacing w:before="10"/>
              <w:jc w:val="left"/>
              <w:rPr>
                <w:rFonts w:ascii="黑体"/>
                <w:b/>
                <w:sz w:val="26"/>
              </w:rPr>
            </w:pPr>
          </w:p>
          <w:p>
            <w:pPr>
              <w:pStyle w:val="TableParagraph"/>
              <w:ind w:left="299" w:right="289"/>
              <w:rPr>
                <w:rFonts w:ascii="Times New Roman"/>
                <w:sz w:val="21"/>
              </w:rPr>
            </w:pPr>
            <w:r>
              <w:rPr>
                <w:rFonts w:ascii="Times New Roman"/>
                <w:sz w:val="21"/>
              </w:rPr>
              <w:t>81.73</w:t>
            </w:r>
          </w:p>
        </w:tc>
        <w:tc>
          <w:tcPr>
            <w:tcW w:w="1449" w:type="dxa"/>
          </w:tcPr>
          <w:p>
            <w:pPr>
              <w:pStyle w:val="TableParagraph"/>
              <w:spacing w:before="10"/>
              <w:jc w:val="left"/>
              <w:rPr>
                <w:rFonts w:ascii="黑体"/>
                <w:b/>
                <w:sz w:val="26"/>
              </w:rPr>
            </w:pPr>
          </w:p>
          <w:p>
            <w:pPr>
              <w:pStyle w:val="TableParagraph"/>
              <w:ind w:left="486"/>
              <w:jc w:val="left"/>
              <w:rPr>
                <w:rFonts w:ascii="Times New Roman"/>
                <w:sz w:val="21"/>
              </w:rPr>
            </w:pPr>
            <w:r>
              <w:rPr>
                <w:rFonts w:ascii="Times New Roman"/>
                <w:sz w:val="21"/>
              </w:rPr>
              <w:t>81.73</w:t>
            </w:r>
          </w:p>
        </w:tc>
        <w:tc>
          <w:tcPr>
            <w:tcW w:w="1166" w:type="dxa"/>
          </w:tcPr>
          <w:p>
            <w:pPr>
              <w:pStyle w:val="TableParagraph"/>
              <w:spacing w:before="10"/>
              <w:jc w:val="left"/>
              <w:rPr>
                <w:rFonts w:ascii="黑体"/>
                <w:b/>
                <w:sz w:val="26"/>
              </w:rPr>
            </w:pPr>
          </w:p>
          <w:p>
            <w:pPr>
              <w:pStyle w:val="TableParagraph"/>
              <w:ind w:left="37" w:right="28"/>
              <w:rPr>
                <w:rFonts w:ascii="Times New Roman"/>
                <w:sz w:val="21"/>
              </w:rPr>
            </w:pPr>
            <w:r>
              <w:rPr>
                <w:rFonts w:ascii="Times New Roman"/>
                <w:sz w:val="21"/>
              </w:rPr>
              <w:t>5.88</w:t>
            </w:r>
          </w:p>
        </w:tc>
        <w:tc>
          <w:tcPr>
            <w:tcW w:w="1338" w:type="dxa"/>
            <w:vMerge w:val="restart"/>
          </w:tcPr>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spacing w:before="10"/>
              <w:jc w:val="left"/>
              <w:rPr>
                <w:rFonts w:ascii="黑体"/>
                <w:b/>
                <w:sz w:val="31"/>
              </w:rPr>
            </w:pPr>
          </w:p>
          <w:p>
            <w:pPr>
              <w:pStyle w:val="TableParagraph"/>
              <w:ind w:left="432"/>
              <w:jc w:val="left"/>
              <w:rPr>
                <w:rFonts w:ascii="Times New Roman"/>
                <w:sz w:val="21"/>
              </w:rPr>
            </w:pPr>
            <w:r>
              <w:rPr>
                <w:rFonts w:ascii="Times New Roman"/>
                <w:sz w:val="21"/>
              </w:rPr>
              <w:t>39.46</w:t>
            </w:r>
          </w:p>
        </w:tc>
        <w:tc>
          <w:tcPr>
            <w:tcW w:w="1325" w:type="dxa"/>
            <w:vMerge w:val="restart"/>
          </w:tcPr>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jc w:val="left"/>
              <w:rPr>
                <w:rFonts w:ascii="黑体"/>
                <w:b/>
                <w:sz w:val="22"/>
              </w:rPr>
            </w:pPr>
          </w:p>
          <w:p>
            <w:pPr>
              <w:pStyle w:val="TableParagraph"/>
              <w:spacing w:before="196"/>
              <w:ind w:left="426"/>
              <w:jc w:val="left"/>
              <w:rPr>
                <w:rFonts w:ascii="Times New Roman"/>
                <w:sz w:val="21"/>
              </w:rPr>
            </w:pPr>
            <w:r>
              <w:rPr>
                <w:rFonts w:ascii="Times New Roman"/>
                <w:sz w:val="21"/>
              </w:rPr>
              <w:t>44.46</w:t>
            </w:r>
          </w:p>
        </w:tc>
      </w:tr>
      <w:tr>
        <w:trPr>
          <w:trHeight w:val="900" w:hRule="atLeast"/>
        </w:trPr>
        <w:tc>
          <w:tcPr>
            <w:tcW w:w="640" w:type="dxa"/>
            <w:vMerge/>
            <w:tcBorders>
              <w:top w:val="nil"/>
            </w:tcBorders>
          </w:tcPr>
          <w:p>
            <w:pPr>
              <w:rPr>
                <w:sz w:val="2"/>
                <w:szCs w:val="2"/>
              </w:rPr>
            </w:pPr>
          </w:p>
        </w:tc>
        <w:tc>
          <w:tcPr>
            <w:tcW w:w="782" w:type="dxa"/>
            <w:vMerge/>
            <w:tcBorders>
              <w:top w:val="nil"/>
            </w:tcBorders>
          </w:tcPr>
          <w:p>
            <w:pPr>
              <w:rPr>
                <w:sz w:val="2"/>
                <w:szCs w:val="2"/>
              </w:rPr>
            </w:pPr>
          </w:p>
        </w:tc>
        <w:tc>
          <w:tcPr>
            <w:tcW w:w="795" w:type="dxa"/>
            <w:vMerge w:val="restart"/>
          </w:tcPr>
          <w:p>
            <w:pPr>
              <w:pStyle w:val="TableParagraph"/>
              <w:jc w:val="left"/>
              <w:rPr>
                <w:rFonts w:ascii="黑体"/>
                <w:b/>
                <w:sz w:val="20"/>
              </w:rPr>
            </w:pPr>
          </w:p>
          <w:p>
            <w:pPr>
              <w:pStyle w:val="TableParagraph"/>
              <w:spacing w:before="8"/>
              <w:jc w:val="left"/>
              <w:rPr>
                <w:rFonts w:ascii="黑体"/>
                <w:b/>
                <w:sz w:val="29"/>
              </w:rPr>
            </w:pPr>
          </w:p>
          <w:p>
            <w:pPr>
              <w:pStyle w:val="TableParagraph"/>
              <w:spacing w:line="266" w:lineRule="auto"/>
              <w:ind w:left="185" w:right="179"/>
              <w:jc w:val="left"/>
              <w:rPr>
                <w:sz w:val="21"/>
              </w:rPr>
            </w:pPr>
            <w:r>
              <w:rPr>
                <w:sz w:val="21"/>
              </w:rPr>
              <w:t>内部费用</w:t>
            </w:r>
          </w:p>
        </w:tc>
        <w:tc>
          <w:tcPr>
            <w:tcW w:w="912" w:type="dxa"/>
          </w:tcPr>
          <w:p>
            <w:pPr>
              <w:pStyle w:val="TableParagraph"/>
              <w:spacing w:line="266" w:lineRule="auto" w:before="29"/>
              <w:ind w:left="141" w:right="129"/>
              <w:jc w:val="left"/>
              <w:rPr>
                <w:sz w:val="21"/>
              </w:rPr>
            </w:pPr>
            <w:r>
              <w:rPr>
                <w:spacing w:val="-6"/>
                <w:sz w:val="21"/>
              </w:rPr>
              <w:t>环境保</w:t>
            </w:r>
            <w:r>
              <w:rPr>
                <w:spacing w:val="-6"/>
                <w:w w:val="95"/>
                <w:sz w:val="21"/>
              </w:rPr>
              <w:t>护工程</w:t>
            </w:r>
          </w:p>
          <w:p>
            <w:pPr>
              <w:pStyle w:val="TableParagraph"/>
              <w:spacing w:line="251" w:lineRule="exact" w:before="2"/>
              <w:ind w:left="244"/>
              <w:jc w:val="left"/>
              <w:rPr>
                <w:sz w:val="21"/>
              </w:rPr>
            </w:pPr>
            <w:r>
              <w:rPr>
                <w:spacing w:val="-1"/>
                <w:w w:val="95"/>
                <w:sz w:val="21"/>
              </w:rPr>
              <w:t>投资</w:t>
            </w:r>
          </w:p>
        </w:tc>
        <w:tc>
          <w:tcPr>
            <w:tcW w:w="1112" w:type="dxa"/>
          </w:tcPr>
          <w:p>
            <w:pPr>
              <w:pStyle w:val="TableParagraph"/>
              <w:spacing w:before="9"/>
              <w:jc w:val="left"/>
              <w:rPr>
                <w:rFonts w:ascii="黑体"/>
                <w:b/>
                <w:sz w:val="26"/>
              </w:rPr>
            </w:pPr>
          </w:p>
          <w:p>
            <w:pPr>
              <w:pStyle w:val="TableParagraph"/>
              <w:spacing w:before="1"/>
              <w:ind w:left="299" w:right="289"/>
              <w:rPr>
                <w:rFonts w:ascii="Times New Roman"/>
                <w:sz w:val="21"/>
              </w:rPr>
            </w:pPr>
            <w:r>
              <w:rPr>
                <w:rFonts w:ascii="Times New Roman"/>
                <w:sz w:val="21"/>
              </w:rPr>
              <w:t>327.8</w:t>
            </w:r>
          </w:p>
        </w:tc>
        <w:tc>
          <w:tcPr>
            <w:tcW w:w="1449" w:type="dxa"/>
            <w:vMerge w:val="restart"/>
          </w:tcPr>
          <w:p>
            <w:pPr>
              <w:pStyle w:val="TableParagraph"/>
              <w:jc w:val="left"/>
              <w:rPr>
                <w:rFonts w:ascii="黑体"/>
                <w:b/>
                <w:sz w:val="22"/>
              </w:rPr>
            </w:pPr>
          </w:p>
          <w:p>
            <w:pPr>
              <w:pStyle w:val="TableParagraph"/>
              <w:jc w:val="left"/>
              <w:rPr>
                <w:rFonts w:ascii="黑体"/>
                <w:b/>
                <w:sz w:val="22"/>
              </w:rPr>
            </w:pPr>
          </w:p>
          <w:p>
            <w:pPr>
              <w:pStyle w:val="TableParagraph"/>
              <w:spacing w:before="4"/>
              <w:jc w:val="left"/>
              <w:rPr>
                <w:rFonts w:ascii="黑体"/>
                <w:b/>
                <w:sz w:val="18"/>
              </w:rPr>
            </w:pPr>
          </w:p>
          <w:p>
            <w:pPr>
              <w:pStyle w:val="TableParagraph"/>
              <w:ind w:left="486"/>
              <w:jc w:val="left"/>
              <w:rPr>
                <w:rFonts w:ascii="Times New Roman"/>
                <w:sz w:val="21"/>
              </w:rPr>
            </w:pPr>
            <w:r>
              <w:rPr>
                <w:rFonts w:ascii="Times New Roman"/>
                <w:sz w:val="21"/>
              </w:rPr>
              <w:t>466.8</w:t>
            </w:r>
          </w:p>
        </w:tc>
        <w:tc>
          <w:tcPr>
            <w:tcW w:w="1166" w:type="dxa"/>
          </w:tcPr>
          <w:p>
            <w:pPr>
              <w:pStyle w:val="TableParagraph"/>
              <w:spacing w:before="9"/>
              <w:jc w:val="left"/>
              <w:rPr>
                <w:rFonts w:ascii="黑体"/>
                <w:b/>
                <w:sz w:val="26"/>
              </w:rPr>
            </w:pPr>
          </w:p>
          <w:p>
            <w:pPr>
              <w:pStyle w:val="TableParagraph"/>
              <w:spacing w:before="1"/>
              <w:ind w:left="37" w:right="28"/>
              <w:rPr>
                <w:rFonts w:ascii="Times New Roman"/>
                <w:sz w:val="21"/>
              </w:rPr>
            </w:pPr>
            <w:r>
              <w:rPr>
                <w:rFonts w:ascii="Times New Roman"/>
                <w:sz w:val="21"/>
              </w:rPr>
              <w:t>23.58</w:t>
            </w:r>
          </w:p>
        </w:tc>
        <w:tc>
          <w:tcPr>
            <w:tcW w:w="1338" w:type="dxa"/>
            <w:vMerge/>
            <w:tcBorders>
              <w:top w:val="nil"/>
            </w:tcBorders>
          </w:tcPr>
          <w:p>
            <w:pPr>
              <w:rPr>
                <w:sz w:val="2"/>
                <w:szCs w:val="2"/>
              </w:rPr>
            </w:pPr>
          </w:p>
        </w:tc>
        <w:tc>
          <w:tcPr>
            <w:tcW w:w="1325" w:type="dxa"/>
            <w:vMerge/>
            <w:tcBorders>
              <w:top w:val="nil"/>
            </w:tcBorders>
          </w:tcPr>
          <w:p>
            <w:pPr>
              <w:rPr>
                <w:sz w:val="2"/>
                <w:szCs w:val="2"/>
              </w:rPr>
            </w:pPr>
          </w:p>
        </w:tc>
      </w:tr>
      <w:tr>
        <w:trPr>
          <w:trHeight w:val="900" w:hRule="atLeast"/>
        </w:trPr>
        <w:tc>
          <w:tcPr>
            <w:tcW w:w="640" w:type="dxa"/>
            <w:vMerge/>
            <w:tcBorders>
              <w:top w:val="nil"/>
            </w:tcBorders>
          </w:tcPr>
          <w:p>
            <w:pPr>
              <w:rPr>
                <w:sz w:val="2"/>
                <w:szCs w:val="2"/>
              </w:rPr>
            </w:pPr>
          </w:p>
        </w:tc>
        <w:tc>
          <w:tcPr>
            <w:tcW w:w="782" w:type="dxa"/>
            <w:vMerge/>
            <w:tcBorders>
              <w:top w:val="nil"/>
            </w:tcBorders>
          </w:tcPr>
          <w:p>
            <w:pPr>
              <w:rPr>
                <w:sz w:val="2"/>
                <w:szCs w:val="2"/>
              </w:rPr>
            </w:pPr>
          </w:p>
        </w:tc>
        <w:tc>
          <w:tcPr>
            <w:tcW w:w="795" w:type="dxa"/>
            <w:vMerge/>
            <w:tcBorders>
              <w:top w:val="nil"/>
            </w:tcBorders>
          </w:tcPr>
          <w:p>
            <w:pPr>
              <w:rPr>
                <w:sz w:val="2"/>
                <w:szCs w:val="2"/>
              </w:rPr>
            </w:pPr>
          </w:p>
        </w:tc>
        <w:tc>
          <w:tcPr>
            <w:tcW w:w="912" w:type="dxa"/>
          </w:tcPr>
          <w:p>
            <w:pPr>
              <w:pStyle w:val="TableParagraph"/>
              <w:spacing w:line="300" w:lineRule="atLeast"/>
              <w:ind w:left="141" w:right="129"/>
              <w:jc w:val="both"/>
              <w:rPr>
                <w:sz w:val="21"/>
              </w:rPr>
            </w:pPr>
            <w:r>
              <w:rPr>
                <w:sz w:val="21"/>
              </w:rPr>
              <w:t>环保工程运行费用</w:t>
            </w:r>
          </w:p>
        </w:tc>
        <w:tc>
          <w:tcPr>
            <w:tcW w:w="1112" w:type="dxa"/>
          </w:tcPr>
          <w:p>
            <w:pPr>
              <w:pStyle w:val="TableParagraph"/>
              <w:spacing w:before="11"/>
              <w:jc w:val="left"/>
              <w:rPr>
                <w:rFonts w:ascii="黑体"/>
                <w:b/>
                <w:sz w:val="26"/>
              </w:rPr>
            </w:pPr>
          </w:p>
          <w:p>
            <w:pPr>
              <w:pStyle w:val="TableParagraph"/>
              <w:spacing w:before="1"/>
              <w:ind w:left="299" w:right="289"/>
              <w:rPr>
                <w:rFonts w:ascii="Times New Roman"/>
                <w:sz w:val="21"/>
              </w:rPr>
            </w:pPr>
            <w:r>
              <w:rPr>
                <w:rFonts w:ascii="Times New Roman"/>
                <w:sz w:val="21"/>
              </w:rPr>
              <w:t>139</w:t>
            </w:r>
          </w:p>
        </w:tc>
        <w:tc>
          <w:tcPr>
            <w:tcW w:w="1449" w:type="dxa"/>
            <w:vMerge/>
            <w:tcBorders>
              <w:top w:val="nil"/>
            </w:tcBorders>
          </w:tcPr>
          <w:p>
            <w:pPr>
              <w:rPr>
                <w:sz w:val="2"/>
                <w:szCs w:val="2"/>
              </w:rPr>
            </w:pPr>
          </w:p>
        </w:tc>
        <w:tc>
          <w:tcPr>
            <w:tcW w:w="1166" w:type="dxa"/>
          </w:tcPr>
          <w:p>
            <w:pPr>
              <w:pStyle w:val="TableParagraph"/>
              <w:spacing w:before="11"/>
              <w:jc w:val="left"/>
              <w:rPr>
                <w:rFonts w:ascii="黑体"/>
                <w:b/>
                <w:sz w:val="26"/>
              </w:rPr>
            </w:pPr>
          </w:p>
          <w:p>
            <w:pPr>
              <w:pStyle w:val="TableParagraph"/>
              <w:spacing w:before="1"/>
              <w:ind w:left="37" w:right="28"/>
              <w:rPr>
                <w:rFonts w:ascii="Times New Roman"/>
                <w:sz w:val="21"/>
              </w:rPr>
            </w:pPr>
            <w:r>
              <w:rPr>
                <w:rFonts w:ascii="Times New Roman"/>
                <w:sz w:val="21"/>
              </w:rPr>
              <w:t>10</w:t>
            </w:r>
          </w:p>
        </w:tc>
        <w:tc>
          <w:tcPr>
            <w:tcW w:w="1338" w:type="dxa"/>
            <w:vMerge/>
            <w:tcBorders>
              <w:top w:val="nil"/>
            </w:tcBorders>
          </w:tcPr>
          <w:p>
            <w:pPr>
              <w:rPr>
                <w:sz w:val="2"/>
                <w:szCs w:val="2"/>
              </w:rPr>
            </w:pPr>
          </w:p>
        </w:tc>
        <w:tc>
          <w:tcPr>
            <w:tcW w:w="1325" w:type="dxa"/>
            <w:vMerge/>
            <w:tcBorders>
              <w:top w:val="nil"/>
            </w:tcBorders>
          </w:tcPr>
          <w:p>
            <w:pPr>
              <w:rPr>
                <w:sz w:val="2"/>
                <w:szCs w:val="2"/>
              </w:rPr>
            </w:pPr>
          </w:p>
        </w:tc>
      </w:tr>
      <w:tr>
        <w:trPr>
          <w:trHeight w:val="600" w:hRule="atLeast"/>
        </w:trPr>
        <w:tc>
          <w:tcPr>
            <w:tcW w:w="640" w:type="dxa"/>
            <w:vMerge/>
            <w:tcBorders>
              <w:top w:val="nil"/>
            </w:tcBorders>
          </w:tcPr>
          <w:p>
            <w:pPr>
              <w:rPr>
                <w:sz w:val="2"/>
                <w:szCs w:val="2"/>
              </w:rPr>
            </w:pPr>
          </w:p>
        </w:tc>
        <w:tc>
          <w:tcPr>
            <w:tcW w:w="782" w:type="dxa"/>
            <w:vMerge w:val="restart"/>
          </w:tcPr>
          <w:p>
            <w:pPr>
              <w:pStyle w:val="TableParagraph"/>
              <w:jc w:val="left"/>
              <w:rPr>
                <w:rFonts w:ascii="黑体"/>
                <w:b/>
                <w:sz w:val="20"/>
              </w:rPr>
            </w:pPr>
          </w:p>
          <w:p>
            <w:pPr>
              <w:pStyle w:val="TableParagraph"/>
              <w:spacing w:before="2"/>
              <w:jc w:val="left"/>
              <w:rPr>
                <w:rFonts w:ascii="黑体"/>
                <w:b/>
                <w:sz w:val="18"/>
              </w:rPr>
            </w:pPr>
          </w:p>
          <w:p>
            <w:pPr>
              <w:pStyle w:val="TableParagraph"/>
              <w:spacing w:line="266" w:lineRule="auto"/>
              <w:ind w:left="180" w:right="171"/>
              <w:jc w:val="both"/>
              <w:rPr>
                <w:sz w:val="21"/>
              </w:rPr>
            </w:pPr>
            <w:r>
              <w:rPr>
                <w:sz w:val="21"/>
              </w:rPr>
              <w:t>环境保护损失</w:t>
            </w:r>
          </w:p>
        </w:tc>
        <w:tc>
          <w:tcPr>
            <w:tcW w:w="1707" w:type="dxa"/>
            <w:gridSpan w:val="2"/>
          </w:tcPr>
          <w:p>
            <w:pPr>
              <w:pStyle w:val="TableParagraph"/>
              <w:spacing w:line="300" w:lineRule="exact"/>
              <w:ind w:left="747" w:right="107" w:hanging="629"/>
              <w:jc w:val="left"/>
              <w:rPr>
                <w:sz w:val="21"/>
              </w:rPr>
            </w:pPr>
            <w:r>
              <w:rPr>
                <w:sz w:val="21"/>
              </w:rPr>
              <w:t>煤炭资源流失价值</w:t>
            </w:r>
          </w:p>
        </w:tc>
        <w:tc>
          <w:tcPr>
            <w:tcW w:w="1112" w:type="dxa"/>
          </w:tcPr>
          <w:p>
            <w:pPr>
              <w:pStyle w:val="TableParagraph"/>
              <w:spacing w:before="193"/>
              <w:ind w:left="6"/>
              <w:rPr>
                <w:rFonts w:ascii="Times New Roman"/>
                <w:sz w:val="21"/>
              </w:rPr>
            </w:pPr>
            <w:r>
              <w:rPr>
                <w:rFonts w:ascii="Times New Roman"/>
                <w:w w:val="99"/>
                <w:sz w:val="21"/>
              </w:rPr>
              <w:t>0</w:t>
            </w:r>
          </w:p>
        </w:tc>
        <w:tc>
          <w:tcPr>
            <w:tcW w:w="1449" w:type="dxa"/>
            <w:vMerge w:val="restart"/>
          </w:tcPr>
          <w:p>
            <w:pPr>
              <w:pStyle w:val="TableParagraph"/>
              <w:jc w:val="left"/>
              <w:rPr>
                <w:rFonts w:ascii="黑体"/>
                <w:b/>
                <w:sz w:val="22"/>
              </w:rPr>
            </w:pPr>
          </w:p>
          <w:p>
            <w:pPr>
              <w:pStyle w:val="TableParagraph"/>
              <w:jc w:val="left"/>
              <w:rPr>
                <w:rFonts w:ascii="黑体"/>
                <w:b/>
                <w:sz w:val="22"/>
              </w:rPr>
            </w:pPr>
          </w:p>
          <w:p>
            <w:pPr>
              <w:pStyle w:val="TableParagraph"/>
              <w:spacing w:before="8"/>
              <w:jc w:val="left"/>
              <w:rPr>
                <w:rFonts w:ascii="黑体"/>
                <w:b/>
                <w:sz w:val="18"/>
              </w:rPr>
            </w:pPr>
          </w:p>
          <w:p>
            <w:pPr>
              <w:pStyle w:val="TableParagraph"/>
              <w:ind w:left="8"/>
              <w:rPr>
                <w:rFonts w:ascii="Times New Roman"/>
                <w:sz w:val="21"/>
              </w:rPr>
            </w:pPr>
            <w:r>
              <w:rPr>
                <w:rFonts w:ascii="Times New Roman"/>
                <w:w w:val="99"/>
                <w:sz w:val="21"/>
              </w:rPr>
              <w:t>5</w:t>
            </w:r>
          </w:p>
        </w:tc>
        <w:tc>
          <w:tcPr>
            <w:tcW w:w="1166" w:type="dxa"/>
            <w:vMerge w:val="restart"/>
          </w:tcPr>
          <w:p>
            <w:pPr>
              <w:pStyle w:val="TableParagraph"/>
              <w:jc w:val="left"/>
              <w:rPr>
                <w:rFonts w:ascii="黑体"/>
                <w:b/>
                <w:sz w:val="22"/>
              </w:rPr>
            </w:pPr>
          </w:p>
          <w:p>
            <w:pPr>
              <w:pStyle w:val="TableParagraph"/>
              <w:jc w:val="left"/>
              <w:rPr>
                <w:rFonts w:ascii="黑体"/>
                <w:b/>
                <w:sz w:val="22"/>
              </w:rPr>
            </w:pPr>
          </w:p>
          <w:p>
            <w:pPr>
              <w:pStyle w:val="TableParagraph"/>
              <w:spacing w:before="8"/>
              <w:jc w:val="left"/>
              <w:rPr>
                <w:rFonts w:ascii="黑体"/>
                <w:b/>
                <w:sz w:val="18"/>
              </w:rPr>
            </w:pPr>
          </w:p>
          <w:p>
            <w:pPr>
              <w:pStyle w:val="TableParagraph"/>
              <w:ind w:left="9"/>
              <w:rPr>
                <w:rFonts w:ascii="Times New Roman"/>
                <w:sz w:val="21"/>
              </w:rPr>
            </w:pPr>
            <w:r>
              <w:rPr>
                <w:rFonts w:ascii="Times New Roman"/>
                <w:w w:val="99"/>
                <w:sz w:val="21"/>
              </w:rPr>
              <w:t>5</w:t>
            </w:r>
          </w:p>
        </w:tc>
        <w:tc>
          <w:tcPr>
            <w:tcW w:w="1338" w:type="dxa"/>
            <w:vMerge w:val="restart"/>
          </w:tcPr>
          <w:p>
            <w:pPr>
              <w:pStyle w:val="TableParagraph"/>
              <w:jc w:val="left"/>
              <w:rPr>
                <w:rFonts w:ascii="黑体"/>
                <w:b/>
                <w:sz w:val="22"/>
              </w:rPr>
            </w:pPr>
          </w:p>
          <w:p>
            <w:pPr>
              <w:pStyle w:val="TableParagraph"/>
              <w:jc w:val="left"/>
              <w:rPr>
                <w:rFonts w:ascii="黑体"/>
                <w:b/>
                <w:sz w:val="22"/>
              </w:rPr>
            </w:pPr>
          </w:p>
          <w:p>
            <w:pPr>
              <w:pStyle w:val="TableParagraph"/>
              <w:spacing w:before="8"/>
              <w:jc w:val="left"/>
              <w:rPr>
                <w:rFonts w:ascii="黑体"/>
                <w:b/>
                <w:sz w:val="18"/>
              </w:rPr>
            </w:pPr>
          </w:p>
          <w:p>
            <w:pPr>
              <w:pStyle w:val="TableParagraph"/>
              <w:ind w:left="6"/>
              <w:rPr>
                <w:rFonts w:ascii="Times New Roman"/>
                <w:sz w:val="21"/>
              </w:rPr>
            </w:pPr>
            <w:r>
              <w:rPr>
                <w:rFonts w:ascii="Times New Roman"/>
                <w:w w:val="99"/>
                <w:sz w:val="21"/>
              </w:rPr>
              <w:t>5</w:t>
            </w:r>
          </w:p>
        </w:tc>
        <w:tc>
          <w:tcPr>
            <w:tcW w:w="1325" w:type="dxa"/>
            <w:vMerge/>
            <w:tcBorders>
              <w:top w:val="nil"/>
            </w:tcBorders>
          </w:tcPr>
          <w:p>
            <w:pPr>
              <w:rPr>
                <w:sz w:val="2"/>
                <w:szCs w:val="2"/>
              </w:rPr>
            </w:pPr>
          </w:p>
        </w:tc>
      </w:tr>
      <w:tr>
        <w:trPr>
          <w:trHeight w:val="300" w:hRule="atLeast"/>
        </w:trPr>
        <w:tc>
          <w:tcPr>
            <w:tcW w:w="640" w:type="dxa"/>
            <w:vMerge/>
            <w:tcBorders>
              <w:top w:val="nil"/>
            </w:tcBorders>
          </w:tcPr>
          <w:p>
            <w:pPr>
              <w:rPr>
                <w:sz w:val="2"/>
                <w:szCs w:val="2"/>
              </w:rPr>
            </w:pPr>
          </w:p>
        </w:tc>
        <w:tc>
          <w:tcPr>
            <w:tcW w:w="782" w:type="dxa"/>
            <w:vMerge/>
            <w:tcBorders>
              <w:top w:val="nil"/>
            </w:tcBorders>
          </w:tcPr>
          <w:p>
            <w:pPr>
              <w:rPr>
                <w:sz w:val="2"/>
                <w:szCs w:val="2"/>
              </w:rPr>
            </w:pPr>
          </w:p>
        </w:tc>
        <w:tc>
          <w:tcPr>
            <w:tcW w:w="1707" w:type="dxa"/>
            <w:gridSpan w:val="2"/>
          </w:tcPr>
          <w:p>
            <w:pPr>
              <w:pStyle w:val="TableParagraph"/>
              <w:spacing w:line="250" w:lineRule="exact" w:before="30"/>
              <w:ind w:left="118"/>
              <w:jc w:val="left"/>
              <w:rPr>
                <w:sz w:val="21"/>
              </w:rPr>
            </w:pPr>
            <w:r>
              <w:rPr>
                <w:sz w:val="21"/>
              </w:rPr>
              <w:t>水资源流失价值</w:t>
            </w:r>
          </w:p>
        </w:tc>
        <w:tc>
          <w:tcPr>
            <w:tcW w:w="1112" w:type="dxa"/>
          </w:tcPr>
          <w:p>
            <w:pPr>
              <w:pStyle w:val="TableParagraph"/>
              <w:spacing w:line="236" w:lineRule="exact" w:before="44"/>
              <w:ind w:left="6"/>
              <w:rPr>
                <w:rFonts w:ascii="Times New Roman"/>
                <w:sz w:val="21"/>
              </w:rPr>
            </w:pPr>
            <w:r>
              <w:rPr>
                <w:rFonts w:ascii="Times New Roman"/>
                <w:w w:val="99"/>
                <w:sz w:val="21"/>
              </w:rPr>
              <w:t>0</w:t>
            </w:r>
          </w:p>
        </w:tc>
        <w:tc>
          <w:tcPr>
            <w:tcW w:w="1449" w:type="dxa"/>
            <w:vMerge/>
            <w:tcBorders>
              <w:top w:val="nil"/>
            </w:tcBorders>
          </w:tcPr>
          <w:p>
            <w:pPr>
              <w:rPr>
                <w:sz w:val="2"/>
                <w:szCs w:val="2"/>
              </w:rPr>
            </w:pPr>
          </w:p>
        </w:tc>
        <w:tc>
          <w:tcPr>
            <w:tcW w:w="1166" w:type="dxa"/>
            <w:vMerge/>
            <w:tcBorders>
              <w:top w:val="nil"/>
            </w:tcBorders>
          </w:tcPr>
          <w:p>
            <w:pPr>
              <w:rPr>
                <w:sz w:val="2"/>
                <w:szCs w:val="2"/>
              </w:rPr>
            </w:pPr>
          </w:p>
        </w:tc>
        <w:tc>
          <w:tcPr>
            <w:tcW w:w="1338" w:type="dxa"/>
            <w:vMerge/>
            <w:tcBorders>
              <w:top w:val="nil"/>
            </w:tcBorders>
          </w:tcPr>
          <w:p>
            <w:pPr>
              <w:rPr>
                <w:sz w:val="2"/>
                <w:szCs w:val="2"/>
              </w:rPr>
            </w:pPr>
          </w:p>
        </w:tc>
        <w:tc>
          <w:tcPr>
            <w:tcW w:w="1325" w:type="dxa"/>
            <w:vMerge/>
            <w:tcBorders>
              <w:top w:val="nil"/>
            </w:tcBorders>
          </w:tcPr>
          <w:p>
            <w:pPr>
              <w:rPr>
                <w:sz w:val="2"/>
                <w:szCs w:val="2"/>
              </w:rPr>
            </w:pPr>
          </w:p>
        </w:tc>
      </w:tr>
      <w:tr>
        <w:trPr>
          <w:trHeight w:val="900" w:hRule="atLeast"/>
        </w:trPr>
        <w:tc>
          <w:tcPr>
            <w:tcW w:w="640" w:type="dxa"/>
            <w:vMerge/>
            <w:tcBorders>
              <w:top w:val="nil"/>
            </w:tcBorders>
          </w:tcPr>
          <w:p>
            <w:pPr>
              <w:rPr>
                <w:sz w:val="2"/>
                <w:szCs w:val="2"/>
              </w:rPr>
            </w:pPr>
          </w:p>
        </w:tc>
        <w:tc>
          <w:tcPr>
            <w:tcW w:w="782" w:type="dxa"/>
            <w:vMerge/>
            <w:tcBorders>
              <w:top w:val="nil"/>
            </w:tcBorders>
          </w:tcPr>
          <w:p>
            <w:pPr>
              <w:rPr>
                <w:sz w:val="2"/>
                <w:szCs w:val="2"/>
              </w:rPr>
            </w:pPr>
          </w:p>
        </w:tc>
        <w:tc>
          <w:tcPr>
            <w:tcW w:w="1707" w:type="dxa"/>
            <w:gridSpan w:val="2"/>
          </w:tcPr>
          <w:p>
            <w:pPr>
              <w:pStyle w:val="TableParagraph"/>
              <w:spacing w:line="300" w:lineRule="exact"/>
              <w:ind w:left="118" w:right="107"/>
              <w:rPr>
                <w:sz w:val="21"/>
              </w:rPr>
            </w:pPr>
            <w:r>
              <w:rPr>
                <w:rFonts w:ascii="Times New Roman" w:hAnsi="Times New Roman" w:eastAsia="Times New Roman"/>
                <w:sz w:val="21"/>
              </w:rPr>
              <w:t>“</w:t>
            </w:r>
            <w:r>
              <w:rPr>
                <w:sz w:val="21"/>
              </w:rPr>
              <w:t>三废</w:t>
            </w:r>
            <w:r>
              <w:rPr>
                <w:rFonts w:ascii="Times New Roman" w:hAnsi="Times New Roman" w:eastAsia="Times New Roman"/>
                <w:sz w:val="21"/>
              </w:rPr>
              <w:t>’</w:t>
            </w:r>
            <w:r>
              <w:rPr>
                <w:sz w:val="21"/>
              </w:rPr>
              <w:t>排放和噪声污染带来的损失</w:t>
            </w:r>
          </w:p>
        </w:tc>
        <w:tc>
          <w:tcPr>
            <w:tcW w:w="1112" w:type="dxa"/>
          </w:tcPr>
          <w:p>
            <w:pPr>
              <w:pStyle w:val="TableParagraph"/>
              <w:spacing w:before="10"/>
              <w:jc w:val="left"/>
              <w:rPr>
                <w:rFonts w:ascii="黑体"/>
                <w:b/>
                <w:sz w:val="26"/>
              </w:rPr>
            </w:pPr>
          </w:p>
          <w:p>
            <w:pPr>
              <w:pStyle w:val="TableParagraph"/>
              <w:ind w:left="6"/>
              <w:rPr>
                <w:rFonts w:ascii="Times New Roman"/>
                <w:sz w:val="21"/>
              </w:rPr>
            </w:pPr>
            <w:r>
              <w:rPr>
                <w:rFonts w:ascii="Times New Roman"/>
                <w:w w:val="99"/>
                <w:sz w:val="21"/>
              </w:rPr>
              <w:t>5</w:t>
            </w:r>
          </w:p>
        </w:tc>
        <w:tc>
          <w:tcPr>
            <w:tcW w:w="1449" w:type="dxa"/>
            <w:vMerge/>
            <w:tcBorders>
              <w:top w:val="nil"/>
            </w:tcBorders>
          </w:tcPr>
          <w:p>
            <w:pPr>
              <w:rPr>
                <w:sz w:val="2"/>
                <w:szCs w:val="2"/>
              </w:rPr>
            </w:pPr>
          </w:p>
        </w:tc>
        <w:tc>
          <w:tcPr>
            <w:tcW w:w="1166" w:type="dxa"/>
            <w:vMerge/>
            <w:tcBorders>
              <w:top w:val="nil"/>
            </w:tcBorders>
          </w:tcPr>
          <w:p>
            <w:pPr>
              <w:rPr>
                <w:sz w:val="2"/>
                <w:szCs w:val="2"/>
              </w:rPr>
            </w:pPr>
          </w:p>
        </w:tc>
        <w:tc>
          <w:tcPr>
            <w:tcW w:w="1338" w:type="dxa"/>
            <w:vMerge/>
            <w:tcBorders>
              <w:top w:val="nil"/>
            </w:tcBorders>
          </w:tcPr>
          <w:p>
            <w:pPr>
              <w:rPr>
                <w:sz w:val="2"/>
                <w:szCs w:val="2"/>
              </w:rPr>
            </w:pPr>
          </w:p>
        </w:tc>
        <w:tc>
          <w:tcPr>
            <w:tcW w:w="1325" w:type="dxa"/>
            <w:vMerge/>
            <w:tcBorders>
              <w:top w:val="nil"/>
            </w:tcBorders>
          </w:tcPr>
          <w:p>
            <w:pPr>
              <w:rPr>
                <w:sz w:val="2"/>
                <w:szCs w:val="2"/>
              </w:rPr>
            </w:pPr>
          </w:p>
        </w:tc>
      </w:tr>
      <w:tr>
        <w:trPr>
          <w:trHeight w:val="300" w:hRule="atLeast"/>
        </w:trPr>
        <w:tc>
          <w:tcPr>
            <w:tcW w:w="3129" w:type="dxa"/>
            <w:gridSpan w:val="4"/>
          </w:tcPr>
          <w:p>
            <w:pPr>
              <w:pStyle w:val="TableParagraph"/>
              <w:spacing w:line="251" w:lineRule="exact" w:before="29"/>
              <w:ind w:left="275"/>
              <w:jc w:val="left"/>
              <w:rPr>
                <w:sz w:val="21"/>
              </w:rPr>
            </w:pPr>
            <w:r>
              <w:rPr>
                <w:sz w:val="21"/>
              </w:rPr>
              <w:t>吨煤环境代价（元</w:t>
            </w:r>
            <w:r>
              <w:rPr>
                <w:rFonts w:ascii="Times New Roman" w:eastAsia="Times New Roman"/>
                <w:sz w:val="21"/>
              </w:rPr>
              <w:t>/</w:t>
            </w:r>
            <w:r>
              <w:rPr>
                <w:sz w:val="21"/>
              </w:rPr>
              <w:t>吨原煤）</w:t>
            </w:r>
          </w:p>
        </w:tc>
        <w:tc>
          <w:tcPr>
            <w:tcW w:w="6390" w:type="dxa"/>
            <w:gridSpan w:val="5"/>
          </w:tcPr>
          <w:p>
            <w:pPr>
              <w:pStyle w:val="TableParagraph"/>
              <w:spacing w:line="237" w:lineRule="exact" w:before="43"/>
              <w:ind w:left="2936" w:right="2928"/>
              <w:rPr>
                <w:rFonts w:ascii="Times New Roman"/>
                <w:sz w:val="21"/>
              </w:rPr>
            </w:pPr>
            <w:r>
              <w:rPr>
                <w:rFonts w:ascii="Times New Roman"/>
                <w:sz w:val="21"/>
              </w:rPr>
              <w:t>1.48</w:t>
            </w:r>
          </w:p>
        </w:tc>
      </w:tr>
      <w:tr>
        <w:trPr>
          <w:trHeight w:val="300" w:hRule="atLeast"/>
        </w:trPr>
        <w:tc>
          <w:tcPr>
            <w:tcW w:w="3129" w:type="dxa"/>
            <w:gridSpan w:val="4"/>
          </w:tcPr>
          <w:p>
            <w:pPr>
              <w:pStyle w:val="TableParagraph"/>
              <w:spacing w:line="251" w:lineRule="exact" w:before="29"/>
              <w:ind w:left="275"/>
              <w:jc w:val="left"/>
              <w:rPr>
                <w:sz w:val="21"/>
              </w:rPr>
            </w:pPr>
            <w:r>
              <w:rPr>
                <w:sz w:val="21"/>
              </w:rPr>
              <w:t>煤炭开采成本（元</w:t>
            </w:r>
            <w:r>
              <w:rPr>
                <w:rFonts w:ascii="Times New Roman" w:eastAsia="Times New Roman"/>
                <w:sz w:val="21"/>
              </w:rPr>
              <w:t>/</w:t>
            </w:r>
            <w:r>
              <w:rPr>
                <w:sz w:val="21"/>
              </w:rPr>
              <w:t>吨原煤）</w:t>
            </w:r>
          </w:p>
        </w:tc>
        <w:tc>
          <w:tcPr>
            <w:tcW w:w="6390" w:type="dxa"/>
            <w:gridSpan w:val="5"/>
          </w:tcPr>
          <w:p>
            <w:pPr>
              <w:pStyle w:val="TableParagraph"/>
              <w:spacing w:line="237" w:lineRule="exact" w:before="43"/>
              <w:ind w:left="2938" w:right="2928"/>
              <w:rPr>
                <w:rFonts w:ascii="Times New Roman"/>
                <w:sz w:val="21"/>
              </w:rPr>
            </w:pPr>
            <w:r>
              <w:rPr>
                <w:rFonts w:ascii="Times New Roman"/>
                <w:sz w:val="21"/>
              </w:rPr>
              <w:t>198.5</w:t>
            </w:r>
          </w:p>
        </w:tc>
      </w:tr>
      <w:tr>
        <w:trPr>
          <w:trHeight w:val="600" w:hRule="atLeast"/>
        </w:trPr>
        <w:tc>
          <w:tcPr>
            <w:tcW w:w="3129" w:type="dxa"/>
            <w:gridSpan w:val="4"/>
          </w:tcPr>
          <w:p>
            <w:pPr>
              <w:pStyle w:val="TableParagraph"/>
              <w:spacing w:line="300" w:lineRule="atLeast"/>
              <w:ind w:left="1161" w:right="189" w:hanging="963"/>
              <w:jc w:val="left"/>
              <w:rPr>
                <w:sz w:val="21"/>
              </w:rPr>
            </w:pPr>
            <w:r>
              <w:rPr>
                <w:sz w:val="21"/>
              </w:rPr>
              <w:t>环境代价占煤炭开采成本的比例（</w:t>
            </w:r>
            <w:r>
              <w:rPr>
                <w:rFonts w:ascii="Times New Roman" w:eastAsia="Times New Roman"/>
                <w:sz w:val="21"/>
              </w:rPr>
              <w:t>%</w:t>
            </w:r>
            <w:r>
              <w:rPr>
                <w:sz w:val="21"/>
              </w:rPr>
              <w:t>）</w:t>
            </w:r>
          </w:p>
        </w:tc>
        <w:tc>
          <w:tcPr>
            <w:tcW w:w="6390" w:type="dxa"/>
            <w:gridSpan w:val="5"/>
          </w:tcPr>
          <w:p>
            <w:pPr>
              <w:pStyle w:val="TableParagraph"/>
              <w:spacing w:before="193"/>
              <w:ind w:left="2936" w:right="2928"/>
              <w:rPr>
                <w:rFonts w:ascii="Times New Roman"/>
                <w:sz w:val="21"/>
              </w:rPr>
            </w:pPr>
            <w:r>
              <w:rPr>
                <w:rFonts w:ascii="Times New Roman"/>
                <w:sz w:val="21"/>
              </w:rPr>
              <w:t>0.74</w:t>
            </w:r>
          </w:p>
        </w:tc>
      </w:tr>
    </w:tbl>
    <w:p>
      <w:pPr>
        <w:pStyle w:val="BodyText"/>
        <w:rPr>
          <w:rFonts w:ascii="黑体"/>
          <w:b/>
          <w:sz w:val="19"/>
        </w:rPr>
      </w:pPr>
    </w:p>
    <w:p>
      <w:pPr>
        <w:pStyle w:val="ListParagraph"/>
        <w:numPr>
          <w:ilvl w:val="1"/>
          <w:numId w:val="102"/>
        </w:numPr>
        <w:tabs>
          <w:tab w:pos="780" w:val="left" w:leader="none"/>
        </w:tabs>
        <w:spacing w:line="240" w:lineRule="auto" w:before="0" w:after="0"/>
        <w:ind w:left="780" w:right="0" w:hanging="560"/>
        <w:jc w:val="left"/>
        <w:rPr>
          <w:b/>
          <w:sz w:val="28"/>
        </w:rPr>
      </w:pPr>
      <w:bookmarkStart w:name="16.4环境保护工程的经济效益分析" w:id="1152"/>
      <w:bookmarkEnd w:id="1152"/>
      <w:r>
        <w:rPr/>
      </w:r>
      <w:bookmarkStart w:name="_bookmark91" w:id="1153"/>
      <w:bookmarkEnd w:id="1153"/>
      <w:r>
        <w:rPr/>
      </w:r>
      <w:bookmarkStart w:name="_bookmark91" w:id="1154"/>
      <w:bookmarkEnd w:id="1154"/>
      <w:r>
        <w:rPr>
          <w:b/>
          <w:sz w:val="28"/>
        </w:rPr>
        <w:t>环境保护工程的经济效益分析</w:t>
      </w:r>
    </w:p>
    <w:p>
      <w:pPr>
        <w:pStyle w:val="ListParagraph"/>
        <w:numPr>
          <w:ilvl w:val="2"/>
          <w:numId w:val="102"/>
        </w:numPr>
        <w:tabs>
          <w:tab w:pos="881" w:val="left" w:leader="none"/>
        </w:tabs>
        <w:spacing w:line="240" w:lineRule="auto" w:before="186" w:after="0"/>
        <w:ind w:left="880" w:right="0" w:hanging="661"/>
        <w:jc w:val="left"/>
        <w:rPr>
          <w:rFonts w:ascii="Times New Roman" w:eastAsia="Times New Roman"/>
          <w:b/>
          <w:sz w:val="24"/>
        </w:rPr>
      </w:pPr>
      <w:bookmarkStart w:name="16.4.1环境污染控制措施的经济效益" w:id="1155"/>
      <w:bookmarkEnd w:id="1155"/>
      <w:r>
        <w:rPr/>
      </w:r>
      <w:bookmarkStart w:name="16.4.1环境污染控制措施的经济效益" w:id="1156"/>
      <w:bookmarkEnd w:id="1156"/>
      <w:r>
        <w:rPr>
          <w:b/>
          <w:sz w:val="24"/>
        </w:rPr>
        <w:t>环境污染控制措施的经济效益</w:t>
      </w:r>
    </w:p>
    <w:p>
      <w:pPr>
        <w:pStyle w:val="BodyText"/>
        <w:spacing w:line="360" w:lineRule="auto" w:before="157"/>
        <w:ind w:left="220" w:right="338" w:firstLine="480"/>
      </w:pPr>
      <w:r>
        <w:rPr>
          <w:position w:val="2"/>
        </w:rPr>
        <w:t>环境污染控制措施的经济效益包括两方面，一是直接经济效益（</w:t>
      </w:r>
      <w:r>
        <w:rPr>
          <w:rFonts w:ascii="Times New Roman" w:eastAsia="Times New Roman"/>
          <w:position w:val="2"/>
        </w:rPr>
        <w:t>R</w:t>
      </w:r>
      <w:r>
        <w:rPr>
          <w:rFonts w:ascii="Times New Roman" w:eastAsia="Times New Roman"/>
          <w:position w:val="2"/>
          <w:vertAlign w:val="subscript"/>
        </w:rPr>
        <w:t>1</w:t>
      </w:r>
      <w:r>
        <w:rPr>
          <w:position w:val="2"/>
          <w:vertAlign w:val="baseline"/>
        </w:rPr>
        <w:t>），二是间接经济效益（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pos="2706" w:val="left" w:leader="none"/>
          <w:tab w:pos="3358" w:val="left" w:leader="none"/>
        </w:tabs>
        <w:spacing w:line="51" w:lineRule="exact" w:before="24"/>
        <w:ind w:left="1979" w:right="0" w:firstLine="0"/>
        <w:jc w:val="left"/>
        <w:rPr>
          <w:rFonts w:ascii="Times New Roman"/>
          <w:i/>
          <w:sz w:val="11"/>
        </w:rPr>
      </w:pPr>
      <w:r>
        <w:rPr>
          <w:rFonts w:ascii="Times New Roman"/>
          <w:i/>
          <w:sz w:val="11"/>
        </w:rPr>
        <w:t>n</w:t>
        <w:tab/>
        <w:t>n</w:t>
        <w:tab/>
        <w:t>i</w:t>
      </w:r>
    </w:p>
    <w:p>
      <w:pPr>
        <w:spacing w:line="315" w:lineRule="exact" w:before="0"/>
        <w:ind w:left="1488"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w:t>
      </w:r>
      <w:r>
        <w:rPr>
          <w:rFonts w:ascii="Times New Roman" w:hAnsi="Times New Roman"/>
          <w:spacing w:val="-14"/>
          <w:sz w:val="11"/>
        </w:rPr>
        <w:t> </w:t>
      </w:r>
      <w:r>
        <w:rPr>
          <w:rFonts w:ascii="Symbol" w:hAnsi="Symbol"/>
          <w:w w:val="101"/>
          <w:position w:val="7"/>
          <w:sz w:val="19"/>
        </w:rPr>
        <w:t></w:t>
      </w:r>
      <w:r>
        <w:rPr>
          <w:rFonts w:ascii="Times New Roman" w:hAnsi="Times New Roman"/>
          <w:spacing w:val="-1"/>
          <w:position w:val="7"/>
          <w:sz w:val="19"/>
        </w:rPr>
        <w:t> </w:t>
      </w:r>
      <w:r>
        <w:rPr>
          <w:rFonts w:ascii="Symbol" w:hAnsi="Symbol"/>
          <w:w w:val="99"/>
          <w:position w:val="3"/>
          <w:sz w:val="29"/>
        </w:rPr>
        <w:t></w:t>
      </w:r>
      <w:r>
        <w:rPr>
          <w:rFonts w:ascii="Times New Roman" w:hAnsi="Times New Roman"/>
          <w:spacing w:val="-47"/>
          <w:position w:val="3"/>
          <w:sz w:val="29"/>
        </w:rPr>
        <w:t>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w:t>
      </w:r>
      <w:r>
        <w:rPr>
          <w:rFonts w:ascii="Times New Roman" w:hAnsi="Times New Roman"/>
          <w:i/>
          <w:spacing w:val="-13"/>
          <w:sz w:val="11"/>
        </w:rPr>
        <w:t> </w:t>
      </w:r>
      <w:r>
        <w:rPr>
          <w:rFonts w:ascii="Symbol" w:hAnsi="Symbol"/>
          <w:w w:val="101"/>
          <w:position w:val="7"/>
          <w:sz w:val="19"/>
        </w:rPr>
        <w:t></w:t>
      </w:r>
      <w:r>
        <w:rPr>
          <w:rFonts w:ascii="Times New Roman" w:hAnsi="Times New Roman"/>
          <w:spacing w:val="-9"/>
          <w:position w:val="7"/>
          <w:sz w:val="19"/>
        </w:rPr>
        <w:t>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w:t>
      </w:r>
      <w:r>
        <w:rPr>
          <w:rFonts w:ascii="Times New Roman" w:hAnsi="Times New Roman"/>
          <w:i/>
          <w:spacing w:val="-13"/>
          <w:sz w:val="11"/>
        </w:rPr>
        <w:t> </w:t>
      </w:r>
      <w:r>
        <w:rPr>
          <w:rFonts w:ascii="Symbol" w:hAnsi="Symbol"/>
          <w:w w:val="101"/>
          <w:position w:val="7"/>
          <w:sz w:val="19"/>
        </w:rPr>
        <w:t></w:t>
      </w:r>
      <w:r>
        <w:rPr>
          <w:rFonts w:ascii="Times New Roman" w:hAnsi="Times New Roman"/>
          <w:spacing w:val="-10"/>
          <w:position w:val="7"/>
          <w:sz w:val="19"/>
        </w:rPr>
        <w:t> </w:t>
      </w:r>
      <w:r>
        <w:rPr>
          <w:rFonts w:ascii="Symbol" w:hAnsi="Symbol"/>
          <w:w w:val="99"/>
          <w:position w:val="3"/>
          <w:sz w:val="29"/>
        </w:rPr>
        <w:t></w:t>
      </w:r>
      <w:r>
        <w:rPr>
          <w:rFonts w:ascii="Times New Roman" w:hAnsi="Times New Roman"/>
          <w:spacing w:val="-47"/>
          <w:position w:val="3"/>
          <w:sz w:val="29"/>
        </w:rPr>
        <w:t>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header="0" w:footer="947" w:top="1340" w:bottom="1220" w:left="1140" w:right="102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rP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rP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bottom="280" w:left="1140" w:right="1020"/>
          <w:cols w:num="3" w:equalWidth="0">
            <w:col w:w="2086" w:space="40"/>
            <w:col w:w="688" w:space="39"/>
            <w:col w:w="6897"/>
          </w:cols>
        </w:sectPr>
      </w:pPr>
    </w:p>
    <w:p>
      <w:pPr>
        <w:pStyle w:val="BodyText"/>
        <w:spacing w:before="152"/>
        <w:ind w:left="971"/>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rFonts w:ascii="Times New Roman" w:hAnsi="Times New Roman" w:eastAsia="Times New Roman"/>
          <w:position w:val="2"/>
          <w:vertAlign w:val="baseline"/>
        </w:rPr>
        <w:t> ——</w:t>
      </w:r>
      <w:r>
        <w:rPr>
          <w:position w:val="2"/>
          <w:vertAlign w:val="baseline"/>
        </w:rPr>
        <w:t>为水资源利用的经济效益</w:t>
      </w:r>
    </w:p>
    <w:p>
      <w:pPr>
        <w:spacing w:after="0"/>
        <w:sectPr>
          <w:type w:val="continuous"/>
          <w:pgSz w:w="11910" w:h="16840"/>
          <w:pgMar w:top="1580" w:bottom="280" w:left="1140" w:right="1020"/>
        </w:sectPr>
      </w:pPr>
    </w:p>
    <w:p>
      <w:pPr>
        <w:pStyle w:val="BodyText"/>
        <w:spacing w:line="360" w:lineRule="auto" w:before="58"/>
        <w:ind w:left="1768" w:right="5071" w:hanging="24"/>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r>
        <w:rPr>
          <w:rFonts w:ascii="Times New Roman" w:hAnsi="Times New Roman" w:eastAsia="Times New Roman"/>
          <w:position w:val="2"/>
          <w:vertAlign w:val="baseline"/>
        </w:rPr>
        <w:t>S</w:t>
      </w:r>
      <w:r>
        <w:rPr>
          <w:rFonts w:ascii="Times New Roman" w:hAnsi="Times New Roman" w:eastAsia="Times New Roman"/>
          <w:position w:val="2"/>
          <w:vertAlign w:val="subscript"/>
        </w:rPr>
        <w:t>i——</w:t>
      </w:r>
      <w:r>
        <w:rPr>
          <w:position w:val="2"/>
          <w:vertAlign w:val="baseline"/>
        </w:rPr>
        <w:t>为固废利用的经济效益</w:t>
      </w:r>
    </w:p>
    <w:p>
      <w:pPr>
        <w:tabs>
          <w:tab w:pos="2639" w:val="left" w:leader="none"/>
          <w:tab w:pos="3332" w:val="left" w:leader="none"/>
        </w:tabs>
        <w:spacing w:line="51" w:lineRule="exact" w:before="26"/>
        <w:ind w:left="2011" w:right="0" w:firstLine="0"/>
        <w:jc w:val="left"/>
        <w:rPr>
          <w:rFonts w:ascii="Times New Roman"/>
          <w:i/>
          <w:sz w:val="11"/>
        </w:rPr>
      </w:pPr>
      <w:r>
        <w:rPr>
          <w:rFonts w:ascii="Times New Roman"/>
          <w:i/>
          <w:sz w:val="11"/>
        </w:rPr>
        <w:t>n</w:t>
        <w:tab/>
        <w:t>n</w:t>
        <w:tab/>
        <w:t>i</w:t>
      </w:r>
    </w:p>
    <w:p>
      <w:pPr>
        <w:spacing w:line="315" w:lineRule="exact" w:before="0"/>
        <w:ind w:left="1488"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w:t>
      </w:r>
      <w:r>
        <w:rPr>
          <w:rFonts w:ascii="Times New Roman" w:hAnsi="Times New Roman"/>
          <w:spacing w:val="-3"/>
          <w:sz w:val="11"/>
        </w:rPr>
        <w:t> </w:t>
      </w:r>
      <w:r>
        <w:rPr>
          <w:rFonts w:ascii="Symbol" w:hAnsi="Symbol"/>
          <w:w w:val="101"/>
          <w:position w:val="7"/>
          <w:sz w:val="19"/>
        </w:rPr>
        <w:t></w:t>
      </w:r>
      <w:r>
        <w:rPr>
          <w:rFonts w:ascii="Times New Roman" w:hAnsi="Times New Roman"/>
          <w:spacing w:val="3"/>
          <w:position w:val="7"/>
          <w:sz w:val="19"/>
        </w:rPr>
        <w:t> </w:t>
      </w:r>
      <w:r>
        <w:rPr>
          <w:rFonts w:ascii="Symbol" w:hAnsi="Symbol"/>
          <w:w w:val="99"/>
          <w:position w:val="3"/>
          <w:sz w:val="29"/>
        </w:rPr>
        <w:t></w:t>
      </w:r>
      <w:r>
        <w:rPr>
          <w:rFonts w:ascii="Times New Roman" w:hAnsi="Times New Roman"/>
          <w:spacing w:val="-33"/>
          <w:position w:val="3"/>
          <w:sz w:val="29"/>
        </w:rPr>
        <w:t> </w:t>
      </w:r>
      <w:r>
        <w:rPr>
          <w:rFonts w:ascii="Times New Roman" w:hAnsi="Times New Roman"/>
          <w:i/>
          <w:w w:val="99"/>
          <w:position w:val="1"/>
          <w:sz w:val="29"/>
        </w:rPr>
        <w:t>J</w:t>
      </w:r>
      <w:r>
        <w:rPr>
          <w:rFonts w:ascii="Times New Roman" w:hAnsi="Times New Roman"/>
          <w:i/>
          <w:spacing w:val="-40"/>
          <w:position w:val="1"/>
          <w:sz w:val="29"/>
        </w:rPr>
        <w:t> </w:t>
      </w:r>
      <w:r>
        <w:rPr>
          <w:rFonts w:ascii="Times New Roman" w:hAnsi="Times New Roman"/>
          <w:i/>
          <w:w w:val="101"/>
          <w:sz w:val="11"/>
        </w:rPr>
        <w:t>i</w:t>
      </w:r>
      <w:r>
        <w:rPr>
          <w:rFonts w:ascii="Times New Roman" w:hAnsi="Times New Roman"/>
          <w:i/>
          <w:sz w:val="11"/>
        </w:rPr>
        <w:t> </w:t>
      </w:r>
      <w:r>
        <w:rPr>
          <w:rFonts w:ascii="Times New Roman" w:hAnsi="Times New Roman"/>
          <w:i/>
          <w:spacing w:val="-11"/>
          <w:sz w:val="11"/>
        </w:rPr>
        <w:t> </w:t>
      </w:r>
      <w:r>
        <w:rPr>
          <w:rFonts w:ascii="Symbol" w:hAnsi="Symbol"/>
          <w:w w:val="101"/>
          <w:position w:val="7"/>
          <w:sz w:val="19"/>
        </w:rPr>
        <w:t></w:t>
      </w:r>
      <w:r>
        <w:rPr>
          <w:rFonts w:ascii="Times New Roman" w:hAnsi="Times New Roman"/>
          <w:spacing w:val="-7"/>
          <w:position w:val="7"/>
          <w:sz w:val="19"/>
        </w:rPr>
        <w:t> </w:t>
      </w:r>
      <w:r>
        <w:rPr>
          <w:rFonts w:ascii="Symbol" w:hAnsi="Symbol"/>
          <w:w w:val="99"/>
          <w:position w:val="3"/>
          <w:sz w:val="29"/>
        </w:rPr>
        <w:t></w:t>
      </w:r>
      <w:r>
        <w:rPr>
          <w:rFonts w:ascii="Times New Roman" w:hAnsi="Times New Roman"/>
          <w:spacing w:val="-38"/>
          <w:position w:val="3"/>
          <w:sz w:val="29"/>
        </w:rPr>
        <w:t>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w:t>
      </w:r>
      <w:r>
        <w:rPr>
          <w:rFonts w:ascii="Times New Roman" w:hAnsi="Times New Roman"/>
          <w:i/>
          <w:spacing w:val="-11"/>
          <w:sz w:val="11"/>
        </w:rPr>
        <w:t> </w:t>
      </w:r>
      <w:r>
        <w:rPr>
          <w:rFonts w:ascii="Symbol" w:hAnsi="Symbol"/>
          <w:w w:val="101"/>
          <w:position w:val="7"/>
          <w:sz w:val="19"/>
        </w:rPr>
        <w:t></w:t>
      </w:r>
      <w:r>
        <w:rPr>
          <w:rFonts w:ascii="Times New Roman" w:hAnsi="Times New Roman"/>
          <w:spacing w:val="-7"/>
          <w:position w:val="7"/>
          <w:sz w:val="19"/>
        </w:rPr>
        <w:t> </w:t>
      </w:r>
      <w:r>
        <w:rPr>
          <w:rFonts w:ascii="Symbol" w:hAnsi="Symbol"/>
          <w:w w:val="99"/>
          <w:position w:val="3"/>
          <w:sz w:val="29"/>
        </w:rPr>
        <w:t></w:t>
      </w:r>
      <w:r>
        <w:rPr>
          <w:rFonts w:ascii="Times New Roman" w:hAnsi="Times New Roman"/>
          <w:spacing w:val="-37"/>
          <w:position w:val="3"/>
          <w:sz w:val="29"/>
        </w:rPr>
        <w:t>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header="0" w:footer="947" w:top="1340" w:bottom="1220" w:left="1140" w:right="102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rP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rP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bottom="280" w:left="1140" w:right="1020"/>
          <w:cols w:num="3" w:equalWidth="0">
            <w:col w:w="2120" w:space="40"/>
            <w:col w:w="589" w:space="39"/>
            <w:col w:w="6962"/>
          </w:cols>
        </w:sectPr>
      </w:pPr>
    </w:p>
    <w:p>
      <w:pPr>
        <w:pStyle w:val="BodyText"/>
        <w:spacing w:before="152"/>
        <w:ind w:left="971"/>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pStyle w:val="BodyText"/>
        <w:spacing w:before="154"/>
        <w:ind w:left="166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BodyText"/>
        <w:spacing w:before="156"/>
        <w:ind w:left="1692"/>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pStyle w:val="BodyText"/>
        <w:spacing w:before="157"/>
        <w:ind w:right="338"/>
        <w:jc w:val="right"/>
        <w:rPr>
          <w:rFonts w:ascii="Times New Roman" w:eastAsia="Times New Roman"/>
        </w:rPr>
      </w:pPr>
      <w:r>
        <w:rPr>
          <w:spacing w:val="-4"/>
        </w:rPr>
        <w:t>具体分析如下：每年处理后回用水 </w:t>
      </w:r>
      <w:r>
        <w:rPr>
          <w:rFonts w:ascii="Times New Roman" w:eastAsia="Times New Roman"/>
        </w:rPr>
        <w:t>15.84</w:t>
      </w:r>
      <w:r>
        <w:rPr>
          <w:rFonts w:ascii="Times New Roman" w:eastAsia="Times New Roman"/>
          <w:spacing w:val="8"/>
        </w:rPr>
        <w:t> </w:t>
      </w:r>
      <w:r>
        <w:rPr>
          <w:spacing w:val="-28"/>
        </w:rPr>
        <w:t>万 </w:t>
      </w:r>
      <w:r>
        <w:rPr>
          <w:rFonts w:ascii="Times New Roman" w:eastAsia="Times New Roman"/>
          <w:spacing w:val="3"/>
        </w:rPr>
        <w:t>t</w:t>
      </w:r>
      <w:r>
        <w:rPr>
          <w:spacing w:val="-10"/>
        </w:rPr>
        <w:t>，按单价 </w:t>
      </w:r>
      <w:r>
        <w:rPr>
          <w:rFonts w:ascii="Times New Roman" w:eastAsia="Times New Roman"/>
        </w:rPr>
        <w:t>2</w:t>
      </w:r>
      <w:r>
        <w:rPr>
          <w:rFonts w:ascii="Times New Roman" w:eastAsia="Times New Roman"/>
          <w:spacing w:val="8"/>
        </w:rPr>
        <w:t> </w:t>
      </w:r>
      <w:r>
        <w:rPr>
          <w:spacing w:val="-6"/>
        </w:rPr>
        <w:t>元计算，每年可节约 </w:t>
      </w:r>
      <w:r>
        <w:rPr>
          <w:rFonts w:ascii="Times New Roman" w:eastAsia="Times New Roman"/>
        </w:rPr>
        <w:t>31.68</w:t>
      </w:r>
    </w:p>
    <w:p>
      <w:pPr>
        <w:pStyle w:val="BodyText"/>
        <w:spacing w:before="160"/>
        <w:ind w:right="338"/>
        <w:jc w:val="right"/>
        <w:rPr>
          <w:rFonts w:ascii="Times New Roman" w:eastAsia="Times New Roman"/>
        </w:rPr>
      </w:pPr>
      <w:r>
        <w:rPr>
          <w:spacing w:val="-13"/>
        </w:rPr>
        <w:t>万元，同时对废水、废气、噪声和固废的治理每年可减少排污费 </w:t>
      </w:r>
      <w:r>
        <w:rPr>
          <w:rFonts w:ascii="Times New Roman" w:eastAsia="Times New Roman"/>
        </w:rPr>
        <w:t>20 </w:t>
      </w:r>
      <w:r>
        <w:rPr>
          <w:spacing w:val="-12"/>
        </w:rPr>
        <w:t>万元，减少赔偿费 </w:t>
      </w:r>
      <w:r>
        <w:rPr>
          <w:rFonts w:ascii="Times New Roman" w:eastAsia="Times New Roman"/>
        </w:rPr>
        <w:t>25</w:t>
      </w:r>
    </w:p>
    <w:p>
      <w:pPr>
        <w:pStyle w:val="BodyText"/>
        <w:spacing w:before="158"/>
        <w:ind w:left="220"/>
      </w:pPr>
      <w:r>
        <w:rPr/>
        <w:t>万元，合计 </w:t>
      </w:r>
      <w:r>
        <w:rPr>
          <w:rFonts w:ascii="Times New Roman" w:eastAsia="Times New Roman"/>
        </w:rPr>
        <w:t>76.68 </w:t>
      </w:r>
      <w:r>
        <w:rPr/>
        <w:t>万元。</w:t>
      </w:r>
    </w:p>
    <w:p>
      <w:pPr>
        <w:pStyle w:val="Heading4"/>
        <w:numPr>
          <w:ilvl w:val="2"/>
          <w:numId w:val="102"/>
        </w:numPr>
        <w:tabs>
          <w:tab w:pos="881" w:val="left" w:leader="none"/>
        </w:tabs>
        <w:spacing w:line="240" w:lineRule="auto" w:before="161" w:after="0"/>
        <w:ind w:left="880" w:right="0" w:hanging="661"/>
        <w:jc w:val="left"/>
        <w:rPr>
          <w:rFonts w:ascii="Times New Roman" w:eastAsia="Times New Roman"/>
        </w:rPr>
      </w:pPr>
      <w:bookmarkStart w:name="16.4.2费用效益比" w:id="1157"/>
      <w:bookmarkEnd w:id="1157"/>
      <w:r>
        <w:rPr>
          <w:b w:val="0"/>
        </w:rPr>
      </w:r>
      <w:bookmarkStart w:name="16.4.2费用效益比" w:id="1158"/>
      <w:bookmarkEnd w:id="1158"/>
      <w:r>
        <w:rPr/>
        <w:t>费用效益比</w:t>
      </w:r>
    </w:p>
    <w:p>
      <w:pPr>
        <w:pStyle w:val="BodyText"/>
        <w:spacing w:line="364" w:lineRule="auto" w:before="158"/>
        <w:ind w:left="220" w:right="338" w:firstLine="480"/>
      </w:pPr>
      <w:r>
        <w:rPr/>
        <w:t>费用效益比指因环境污染治理减少的经济损失与年环保费用的百分比，即单位环保费用所产生的经济价值。</w:t>
      </w:r>
    </w:p>
    <w:p>
      <w:pPr>
        <w:pStyle w:val="BodyText"/>
        <w:spacing w:line="306" w:lineRule="exact"/>
        <w:ind w:left="580"/>
      </w:pPr>
      <w:r>
        <w:rPr/>
        <w:pict>
          <v:shape style="position:absolute;margin-left:251.988998pt;margin-top:24.498079pt;width:3.5pt;height:7.7pt;mso-position-horizontal-relative:page;mso-position-vertical-relative:paragraph;z-index:-251490304;mso-wrap-distance-left:0;mso-wrap-distance-right:0" type="#_x0000_t202" filled="false" stroked="false">
            <v:textbox inset="0,0,0,0">
              <w:txbxContent>
                <w:p>
                  <w:pPr>
                    <w:spacing w:line="154" w:lineRule="exact" w:before="0"/>
                    <w:ind w:left="0" w:right="0" w:firstLine="0"/>
                    <w:jc w:val="left"/>
                    <w:rPr>
                      <w:rFonts w:ascii="Times New Roman"/>
                      <w:i/>
                      <w:sz w:val="14"/>
                    </w:rPr>
                  </w:pPr>
                  <w:r>
                    <w:rPr>
                      <w:rFonts w:ascii="Times New Roman"/>
                      <w:i/>
                      <w:w w:val="99"/>
                      <w:sz w:val="14"/>
                    </w:rPr>
                    <w:t>n</w:t>
                  </w:r>
                </w:p>
              </w:txbxContent>
            </v:textbox>
            <w10:wrap type="topAndBottom"/>
          </v:shape>
        </w:pict>
      </w:r>
      <w:r>
        <w:rPr/>
        <w:t>费用效益比按下式计算：</w:t>
      </w:r>
    </w:p>
    <w:p>
      <w:pPr>
        <w:pStyle w:val="BodyText"/>
        <w:spacing w:before="7"/>
        <w:rPr>
          <w:sz w:val="11"/>
        </w:rPr>
      </w:pPr>
    </w:p>
    <w:p>
      <w:pPr>
        <w:spacing w:line="310" w:lineRule="exact" w:before="0"/>
        <w:ind w:left="0" w:right="1621" w:firstLine="0"/>
        <w:jc w:val="center"/>
        <w:rPr>
          <w:rFonts w:ascii="Times New Roman" w:hAnsi="Times New Roman"/>
          <w:i/>
          <w:sz w:val="24"/>
        </w:rPr>
      </w:pPr>
      <w:r>
        <w:rPr>
          <w:rFonts w:ascii="Symbol" w:hAnsi="Symbol"/>
          <w:position w:val="-5"/>
          <w:sz w:val="35"/>
        </w:rPr>
        <w:t></w:t>
      </w:r>
      <w:r>
        <w:rPr>
          <w:rFonts w:ascii="Times New Roman" w:hAnsi="Times New Roman"/>
          <w:position w:val="-5"/>
          <w:sz w:val="35"/>
        </w:rPr>
        <w:t> </w:t>
      </w:r>
      <w:r>
        <w:rPr>
          <w:rFonts w:ascii="Times New Roman" w:hAnsi="Times New Roman"/>
          <w:i/>
          <w:sz w:val="24"/>
        </w:rPr>
        <w:t>Ri</w:t>
      </w:r>
    </w:p>
    <w:p>
      <w:pPr>
        <w:tabs>
          <w:tab w:pos="1072" w:val="left" w:leader="none"/>
        </w:tabs>
        <w:spacing w:line="225" w:lineRule="exact" w:before="0"/>
        <w:ind w:left="0" w:right="2149" w:firstLine="0"/>
        <w:jc w:val="center"/>
        <w:rPr>
          <w:rFonts w:ascii="Times New Roman" w:hAnsi="Times New Roman"/>
          <w:sz w:val="14"/>
        </w:rPr>
      </w:pPr>
      <w:r>
        <w:rPr>
          <w:rFonts w:ascii="Times New Roman" w:hAnsi="Times New Roman"/>
          <w:i/>
          <w:position w:val="-9"/>
          <w:sz w:val="24"/>
        </w:rPr>
        <w:t>ZJ  </w:t>
      </w:r>
      <w:r>
        <w:rPr>
          <w:rFonts w:ascii="Symbol" w:hAnsi="Symbol"/>
          <w:position w:val="-9"/>
          <w:sz w:val="24"/>
        </w:rPr>
        <w:t></w:t>
      </w:r>
      <w:r>
        <w:rPr>
          <w:rFonts w:ascii="Times New Roman" w:hAnsi="Times New Roman"/>
          <w:spacing w:val="33"/>
          <w:sz w:val="24"/>
          <w:u w:val="single"/>
        </w:rPr>
        <w:t>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tab/>
      </w:r>
    </w:p>
    <w:p>
      <w:pPr>
        <w:spacing w:line="231" w:lineRule="exact" w:before="0"/>
        <w:ind w:left="0" w:right="1619" w:firstLine="0"/>
        <w:jc w:val="center"/>
        <w:rPr>
          <w:rFonts w:ascii="Times New Roman"/>
          <w:i/>
          <w:sz w:val="24"/>
        </w:rPr>
      </w:pPr>
      <w:r>
        <w:rPr>
          <w:rFonts w:ascii="Times New Roman"/>
          <w:i/>
          <w:sz w:val="24"/>
        </w:rPr>
        <w:t>HE</w:t>
      </w:r>
    </w:p>
    <w:p>
      <w:pPr>
        <w:pStyle w:val="BodyText"/>
        <w:spacing w:before="138"/>
        <w:ind w:left="580"/>
      </w:pPr>
      <w:r>
        <w:rPr/>
        <w:t>式中：</w:t>
      </w:r>
      <w:r>
        <w:rPr>
          <w:rFonts w:ascii="Times New Roman" w:hAnsi="Times New Roman" w:eastAsia="Times New Roman"/>
        </w:rPr>
        <w:t>ZJ——</w:t>
      </w:r>
      <w:r>
        <w:rPr/>
        <w:t>费用效益比</w:t>
      </w:r>
    </w:p>
    <w:p>
      <w:pPr>
        <w:pStyle w:val="BodyText"/>
        <w:spacing w:line="364" w:lineRule="auto" w:before="160"/>
        <w:ind w:left="1300" w:right="3897"/>
      </w:pPr>
      <w:r>
        <w:rPr>
          <w:rFonts w:ascii="Times New Roman" w:hAnsi="Times New Roman" w:eastAsia="Times New Roman"/>
        </w:rPr>
        <w:t>Ri——</w:t>
      </w:r>
      <w:r>
        <w:rPr/>
        <w:t>因污染防治而减少的经济损失，万元</w:t>
      </w:r>
      <w:r>
        <w:rPr>
          <w:rFonts w:ascii="Times New Roman" w:hAnsi="Times New Roman" w:eastAsia="Times New Roman"/>
        </w:rPr>
        <w:t>HE——</w:t>
      </w:r>
      <w:r>
        <w:rPr/>
        <w:t>年环保费用，万元。</w:t>
      </w:r>
    </w:p>
    <w:p>
      <w:pPr>
        <w:pStyle w:val="BodyText"/>
        <w:spacing w:line="306" w:lineRule="exact"/>
        <w:ind w:left="700"/>
      </w:pPr>
      <w:r>
        <w:rPr/>
        <w:t>通过计算，费用效益比为 </w:t>
      </w:r>
      <w:r>
        <w:rPr>
          <w:rFonts w:ascii="Times New Roman" w:eastAsia="Times New Roman"/>
        </w:rPr>
        <w:t>1.94</w:t>
      </w:r>
      <w:r>
        <w:rPr/>
        <w:t>。说明此项目具有良好的环境效益。</w:t>
      </w:r>
    </w:p>
    <w:p>
      <w:pPr>
        <w:pStyle w:val="Heading3"/>
        <w:numPr>
          <w:ilvl w:val="1"/>
          <w:numId w:val="102"/>
        </w:numPr>
        <w:tabs>
          <w:tab w:pos="780" w:val="left" w:leader="none"/>
        </w:tabs>
        <w:spacing w:line="240" w:lineRule="auto" w:before="159" w:after="0"/>
        <w:ind w:left="780" w:right="0" w:hanging="560"/>
        <w:jc w:val="left"/>
      </w:pPr>
      <w:bookmarkStart w:name="16.5环境经济分析结论" w:id="1159"/>
      <w:bookmarkEnd w:id="1159"/>
      <w:r>
        <w:rPr>
          <w:b w:val="0"/>
        </w:rPr>
      </w:r>
      <w:bookmarkStart w:name="_bookmark92" w:id="1160"/>
      <w:bookmarkEnd w:id="1160"/>
      <w:r>
        <w:rPr>
          <w:b w:val="0"/>
        </w:rPr>
      </w:r>
      <w:bookmarkStart w:name="_bookmark92" w:id="1161"/>
      <w:bookmarkEnd w:id="1161"/>
      <w:r>
        <w:rPr/>
        <w:t>环境经济分析结论</w:t>
      </w:r>
    </w:p>
    <w:p>
      <w:pPr>
        <w:pStyle w:val="BodyText"/>
        <w:spacing w:line="364" w:lineRule="auto" w:before="185"/>
        <w:ind w:left="220" w:right="218" w:firstLine="559"/>
      </w:pPr>
      <w:r>
        <w:rPr>
          <w:spacing w:val="-2"/>
        </w:rPr>
        <w:t>通过以上对本工程建设的社会、经济和环境效益分析可知，本项目的建设能够达到</w:t>
      </w:r>
      <w:r>
        <w:rPr>
          <w:spacing w:val="-9"/>
        </w:rPr>
        <w:t>经济效益、社会效益和环境效益的统一。从环境经济角度论证该项目的可行性和合理性。</w:t>
      </w:r>
    </w:p>
    <w:p>
      <w:pPr>
        <w:spacing w:after="0" w:line="364" w:lineRule="auto"/>
        <w:sectPr>
          <w:type w:val="continuous"/>
          <w:pgSz w:w="11910" w:h="16840"/>
          <w:pgMar w:top="1580" w:bottom="280" w:left="1140" w:right="1020"/>
        </w:sectPr>
      </w:pPr>
    </w:p>
    <w:p>
      <w:pPr>
        <w:pStyle w:val="Heading1"/>
        <w:numPr>
          <w:ilvl w:val="1"/>
          <w:numId w:val="49"/>
        </w:numPr>
        <w:tabs>
          <w:tab w:pos="3324" w:val="left" w:leader="none"/>
        </w:tabs>
        <w:spacing w:line="240" w:lineRule="auto" w:before="155" w:after="0"/>
        <w:ind w:left="3324" w:right="0" w:hanging="632"/>
        <w:jc w:val="left"/>
      </w:pPr>
      <w:bookmarkStart w:name="17. 选址及规划符合性分析" w:id="1162"/>
      <w:bookmarkEnd w:id="1162"/>
      <w:r>
        <w:rPr>
          <w:b w:val="0"/>
        </w:rPr>
      </w:r>
      <w:bookmarkStart w:name="_bookmark93" w:id="1163"/>
      <w:bookmarkEnd w:id="1163"/>
      <w:r>
        <w:rPr>
          <w:b w:val="0"/>
        </w:rPr>
      </w:r>
      <w:bookmarkStart w:name="_bookmark93" w:id="1164"/>
      <w:bookmarkEnd w:id="1164"/>
      <w:r>
        <w:rPr/>
        <w:t>选址及规划符合性分析</w:t>
      </w:r>
    </w:p>
    <w:p>
      <w:pPr>
        <w:pStyle w:val="Heading2"/>
        <w:numPr>
          <w:ilvl w:val="1"/>
          <w:numId w:val="106"/>
        </w:numPr>
        <w:tabs>
          <w:tab w:pos="1260" w:val="left" w:leader="none"/>
        </w:tabs>
        <w:spacing w:line="240" w:lineRule="auto" w:before="357" w:after="0"/>
        <w:ind w:left="1260" w:right="0" w:hanging="600"/>
        <w:jc w:val="left"/>
      </w:pPr>
      <w:bookmarkStart w:name="17.1与国家产业政策符合性分析" w:id="1165"/>
      <w:bookmarkEnd w:id="1165"/>
      <w:r>
        <w:rPr>
          <w:b w:val="0"/>
        </w:rPr>
      </w:r>
      <w:bookmarkStart w:name="_bookmark94" w:id="1166"/>
      <w:bookmarkEnd w:id="1166"/>
      <w:r>
        <w:rPr>
          <w:b w:val="0"/>
        </w:rPr>
      </w:r>
      <w:bookmarkStart w:name="_bookmark94" w:id="1167"/>
      <w:bookmarkEnd w:id="1167"/>
      <w:r>
        <w:rPr/>
        <w:t>与国家产业政策符合性分析</w:t>
      </w:r>
    </w:p>
    <w:p>
      <w:pPr>
        <w:pStyle w:val="ListParagraph"/>
        <w:numPr>
          <w:ilvl w:val="2"/>
          <w:numId w:val="106"/>
        </w:numPr>
        <w:tabs>
          <w:tab w:pos="1748" w:val="left" w:leader="none"/>
        </w:tabs>
        <w:spacing w:line="364" w:lineRule="auto" w:before="122" w:after="0"/>
        <w:ind w:left="660" w:right="664" w:firstLine="480"/>
        <w:jc w:val="left"/>
        <w:rPr>
          <w:sz w:val="24"/>
        </w:rPr>
      </w:pPr>
      <w:r>
        <w:rPr>
          <w:spacing w:val="-6"/>
          <w:sz w:val="24"/>
        </w:rPr>
        <w:t>本项目生产规模为 </w:t>
      </w:r>
      <w:r>
        <w:rPr>
          <w:rFonts w:ascii="Times New Roman" w:eastAsia="Times New Roman"/>
          <w:sz w:val="24"/>
        </w:rPr>
        <w:t>30</w:t>
      </w:r>
      <w:r>
        <w:rPr>
          <w:rFonts w:ascii="Times New Roman" w:eastAsia="Times New Roman"/>
          <w:spacing w:val="14"/>
          <w:sz w:val="24"/>
        </w:rPr>
        <w:t> </w:t>
      </w:r>
      <w:r>
        <w:rPr>
          <w:spacing w:val="2"/>
          <w:sz w:val="24"/>
        </w:rPr>
        <w:t>万吨</w:t>
      </w:r>
      <w:r>
        <w:rPr>
          <w:rFonts w:ascii="Times New Roman" w:eastAsia="Times New Roman"/>
          <w:sz w:val="24"/>
        </w:rPr>
        <w:t>/</w:t>
      </w:r>
      <w:r>
        <w:rPr>
          <w:sz w:val="24"/>
        </w:rPr>
        <w:t>年的小型煤矿，根据煤层条件，确定采用</w:t>
      </w:r>
      <w:r>
        <w:rPr>
          <w:spacing w:val="-6"/>
          <w:sz w:val="24"/>
        </w:rPr>
        <w:t>走向长壁后退式普通机械化开采、自然冒落法管理顶板。装备先进，回采区回采</w:t>
      </w:r>
      <w:r>
        <w:rPr>
          <w:spacing w:val="-34"/>
          <w:sz w:val="24"/>
        </w:rPr>
        <w:t>率 </w:t>
      </w:r>
      <w:r>
        <w:rPr>
          <w:rFonts w:ascii="Times New Roman" w:eastAsia="Times New Roman"/>
          <w:sz w:val="24"/>
        </w:rPr>
        <w:t>97%</w:t>
      </w:r>
      <w:r>
        <w:rPr>
          <w:spacing w:val="-1"/>
          <w:sz w:val="24"/>
        </w:rPr>
        <w:t>。从国家的产业政策上看，本项目煤矿的建设规模、开采工艺符合高产、</w:t>
      </w:r>
      <w:r>
        <w:rPr>
          <w:sz w:val="24"/>
        </w:rPr>
        <w:t>高效、高技术含量的现代化生产煤矿的要求。</w:t>
      </w:r>
    </w:p>
    <w:p>
      <w:pPr>
        <w:pStyle w:val="ListParagraph"/>
        <w:numPr>
          <w:ilvl w:val="2"/>
          <w:numId w:val="106"/>
        </w:numPr>
        <w:tabs>
          <w:tab w:pos="1741" w:val="left" w:leader="none"/>
        </w:tabs>
        <w:spacing w:line="364" w:lineRule="auto" w:before="0" w:after="0"/>
        <w:ind w:left="660" w:right="777" w:firstLine="480"/>
        <w:jc w:val="both"/>
        <w:rPr>
          <w:sz w:val="24"/>
        </w:rPr>
      </w:pPr>
      <w:r>
        <w:rPr>
          <w:spacing w:val="-9"/>
          <w:sz w:val="24"/>
        </w:rPr>
        <w:t>本项目开采的 </w:t>
      </w:r>
      <w:r>
        <w:rPr>
          <w:rFonts w:ascii="Times New Roman" w:hAnsi="Times New Roman" w:eastAsia="Times New Roman"/>
          <w:sz w:val="24"/>
        </w:rPr>
        <w:t>10</w:t>
      </w:r>
      <w:r>
        <w:rPr>
          <w:spacing w:val="-32"/>
          <w:sz w:val="24"/>
        </w:rPr>
        <w:t>、</w:t>
      </w:r>
      <w:r>
        <w:rPr>
          <w:rFonts w:ascii="Times New Roman" w:hAnsi="Times New Roman" w:eastAsia="Times New Roman"/>
          <w:sz w:val="24"/>
        </w:rPr>
        <w:t>20 </w:t>
      </w:r>
      <w:r>
        <w:rPr>
          <w:spacing w:val="-6"/>
          <w:sz w:val="24"/>
        </w:rPr>
        <w:t>号煤层，东盛煤矿资源整合批准开采煤层煤种</w:t>
      </w:r>
      <w:r>
        <w:rPr>
          <w:spacing w:val="-12"/>
          <w:sz w:val="24"/>
        </w:rPr>
        <w:t>以弱粘煤为主。低硫，特低磷，低－高热值，经洗选后可用做炼焦配煤，也可用</w:t>
      </w:r>
      <w:r>
        <w:rPr>
          <w:spacing w:val="-3"/>
          <w:sz w:val="24"/>
        </w:rPr>
        <w:t>做动力用煤。符合国务院〔</w:t>
      </w:r>
      <w:r>
        <w:rPr>
          <w:rFonts w:ascii="Times New Roman" w:hAnsi="Times New Roman" w:eastAsia="Times New Roman"/>
          <w:sz w:val="24"/>
        </w:rPr>
        <w:t>1998</w:t>
      </w:r>
      <w:r>
        <w:rPr>
          <w:sz w:val="24"/>
        </w:rPr>
        <w:t>〕</w:t>
      </w:r>
      <w:r>
        <w:rPr>
          <w:rFonts w:ascii="Times New Roman" w:hAnsi="Times New Roman" w:eastAsia="Times New Roman"/>
          <w:sz w:val="24"/>
        </w:rPr>
        <w:t>5</w:t>
      </w:r>
      <w:r>
        <w:rPr>
          <w:rFonts w:ascii="Times New Roman" w:hAnsi="Times New Roman" w:eastAsia="Times New Roman"/>
          <w:spacing w:val="22"/>
          <w:sz w:val="24"/>
        </w:rPr>
        <w:t> </w:t>
      </w:r>
      <w:r>
        <w:rPr>
          <w:sz w:val="24"/>
        </w:rPr>
        <w:t>号文</w:t>
      </w:r>
      <w:r>
        <w:rPr>
          <w:rFonts w:ascii="Times New Roman" w:hAnsi="Times New Roman" w:eastAsia="Times New Roman"/>
          <w:spacing w:val="3"/>
          <w:sz w:val="24"/>
        </w:rPr>
        <w:t>“</w:t>
      </w:r>
      <w:r>
        <w:rPr>
          <w:spacing w:val="-4"/>
          <w:sz w:val="24"/>
        </w:rPr>
        <w:t>禁止新建煤层含硫量大于 </w:t>
      </w:r>
      <w:r>
        <w:rPr>
          <w:rFonts w:ascii="Times New Roman" w:hAnsi="Times New Roman" w:eastAsia="Times New Roman"/>
          <w:sz w:val="24"/>
        </w:rPr>
        <w:t>3%</w:t>
      </w:r>
      <w:r>
        <w:rPr>
          <w:spacing w:val="1"/>
          <w:sz w:val="24"/>
        </w:rPr>
        <w:t>的煤矿</w:t>
      </w:r>
      <w:r>
        <w:rPr>
          <w:rFonts w:ascii="Times New Roman" w:hAnsi="Times New Roman" w:eastAsia="Times New Roman"/>
          <w:sz w:val="24"/>
        </w:rPr>
        <w:t>” </w:t>
      </w:r>
      <w:r>
        <w:rPr>
          <w:sz w:val="24"/>
        </w:rPr>
        <w:t>的国家环境保护政策要求。</w:t>
      </w:r>
    </w:p>
    <w:p>
      <w:pPr>
        <w:pStyle w:val="ListParagraph"/>
        <w:numPr>
          <w:ilvl w:val="2"/>
          <w:numId w:val="106"/>
        </w:numPr>
        <w:tabs>
          <w:tab w:pos="1741" w:val="left" w:leader="none"/>
        </w:tabs>
        <w:spacing w:line="364" w:lineRule="auto" w:before="0" w:after="0"/>
        <w:ind w:left="660" w:right="780" w:firstLine="480"/>
        <w:jc w:val="left"/>
        <w:rPr>
          <w:sz w:val="24"/>
        </w:rPr>
      </w:pPr>
      <w:r>
        <w:rPr>
          <w:spacing w:val="-1"/>
          <w:sz w:val="24"/>
        </w:rPr>
        <w:t>建设期掘进矸石全部用于铺路及回填矿坑，符合《煤矸石综合利用管</w:t>
      </w:r>
      <w:r>
        <w:rPr>
          <w:sz w:val="24"/>
        </w:rPr>
        <w:t>理办法》</w:t>
      </w:r>
    </w:p>
    <w:p>
      <w:pPr>
        <w:pStyle w:val="ListParagraph"/>
        <w:numPr>
          <w:ilvl w:val="2"/>
          <w:numId w:val="106"/>
        </w:numPr>
        <w:tabs>
          <w:tab w:pos="1741" w:val="left" w:leader="none"/>
        </w:tabs>
        <w:spacing w:line="364" w:lineRule="auto" w:before="0" w:after="0"/>
        <w:ind w:left="660" w:right="777" w:firstLine="480"/>
        <w:jc w:val="left"/>
        <w:rPr>
          <w:sz w:val="24"/>
        </w:rPr>
      </w:pPr>
      <w:r>
        <w:rPr>
          <w:spacing w:val="-5"/>
          <w:sz w:val="24"/>
        </w:rPr>
        <w:t>根据《产业结构调整指导目录</w:t>
      </w:r>
      <w:r>
        <w:rPr>
          <w:sz w:val="24"/>
        </w:rPr>
        <w:t>（</w:t>
      </w:r>
      <w:r>
        <w:rPr>
          <w:rFonts w:ascii="Times New Roman" w:hAnsi="Times New Roman" w:eastAsia="Times New Roman"/>
          <w:sz w:val="24"/>
        </w:rPr>
        <w:t>2019</w:t>
      </w:r>
      <w:r>
        <w:rPr>
          <w:rFonts w:ascii="Times New Roman" w:hAnsi="Times New Roman" w:eastAsia="Times New Roman"/>
          <w:spacing w:val="60"/>
          <w:sz w:val="24"/>
        </w:rPr>
        <w:t> </w:t>
      </w:r>
      <w:r>
        <w:rPr>
          <w:sz w:val="24"/>
        </w:rPr>
        <w:t>年本</w:t>
      </w:r>
      <w:r>
        <w:rPr>
          <w:spacing w:val="-17"/>
          <w:sz w:val="24"/>
        </w:rPr>
        <w:t>）</w:t>
      </w:r>
      <w:r>
        <w:rPr>
          <w:spacing w:val="-7"/>
          <w:sz w:val="24"/>
        </w:rPr>
        <w:t>》，本项目不属于限制类</w:t>
      </w:r>
      <w:r>
        <w:rPr>
          <w:sz w:val="24"/>
        </w:rPr>
        <w:t>及淘汰类产业项目，为“允许类”。</w:t>
      </w:r>
    </w:p>
    <w:p>
      <w:pPr>
        <w:pStyle w:val="BodyText"/>
        <w:spacing w:line="364" w:lineRule="auto"/>
        <w:ind w:left="660" w:right="777" w:firstLine="480"/>
      </w:pPr>
      <w:r>
        <w:rPr>
          <w:spacing w:val="-10"/>
        </w:rPr>
        <w:t>综合上述分析，本项目的规模、工艺、产品及资源利用均符合相关产业政策</w:t>
      </w:r>
      <w:r>
        <w:rPr/>
        <w:t>要求。</w:t>
      </w:r>
    </w:p>
    <w:p>
      <w:pPr>
        <w:pStyle w:val="Heading2"/>
        <w:numPr>
          <w:ilvl w:val="1"/>
          <w:numId w:val="106"/>
        </w:numPr>
        <w:tabs>
          <w:tab w:pos="1186" w:val="left" w:leader="none"/>
        </w:tabs>
        <w:spacing w:line="240" w:lineRule="auto" w:before="0" w:after="0"/>
        <w:ind w:left="1185" w:right="0" w:hanging="526"/>
        <w:jc w:val="left"/>
      </w:pPr>
      <w:bookmarkStart w:name="17.2“三线一单”符合性" w:id="1168"/>
      <w:bookmarkEnd w:id="1168"/>
      <w:r>
        <w:rPr>
          <w:b w:val="0"/>
        </w:rPr>
      </w:r>
      <w:bookmarkStart w:name="17.2“三线一单”符合性" w:id="1169"/>
      <w:bookmarkEnd w:id="1169"/>
      <w:r>
        <w:rPr/>
        <w:t>“三线一单”符合性</w:t>
      </w:r>
    </w:p>
    <w:p>
      <w:pPr>
        <w:pStyle w:val="BodyText"/>
        <w:spacing w:before="193"/>
        <w:ind w:left="1140"/>
      </w:pPr>
      <w:r>
        <w:rPr/>
        <w:t>本项目与“三线一单”符合性分析见表 </w:t>
      </w:r>
      <w:r>
        <w:rPr>
          <w:rFonts w:ascii="Times New Roman" w:hAnsi="Times New Roman" w:eastAsia="Times New Roman"/>
        </w:rPr>
        <w:t>17.2-1</w:t>
      </w:r>
      <w:r>
        <w:rPr/>
        <w:t>。</w:t>
      </w:r>
    </w:p>
    <w:p>
      <w:pPr>
        <w:pStyle w:val="Heading4"/>
        <w:tabs>
          <w:tab w:pos="1101" w:val="left" w:leader="none"/>
        </w:tabs>
        <w:spacing w:before="160"/>
        <w:ind w:right="105"/>
        <w:jc w:val="center"/>
      </w:pPr>
      <w:r>
        <w:rPr/>
        <w:t>表</w:t>
      </w:r>
      <w:r>
        <w:rPr>
          <w:rFonts w:ascii="Times New Roman" w:hAnsi="Times New Roman" w:eastAsia="Times New Roman"/>
        </w:rPr>
        <w:t>17.2-1</w:t>
        <w:tab/>
      </w:r>
      <w:r>
        <w:rPr/>
        <w:t>本项目与</w:t>
      </w:r>
      <w:r>
        <w:rPr>
          <w:rFonts w:ascii="Times New Roman" w:hAnsi="Times New Roman" w:eastAsia="Times New Roman"/>
        </w:rPr>
        <w:t>“</w:t>
      </w:r>
      <w:r>
        <w:rPr/>
        <w:t>三线一单</w:t>
      </w:r>
      <w:r>
        <w:rPr>
          <w:rFonts w:ascii="Times New Roman" w:hAnsi="Times New Roman" w:eastAsia="Times New Roman"/>
        </w:rPr>
        <w:t>”</w:t>
      </w:r>
      <w:r>
        <w:rPr/>
        <w:t>符合性分析</w:t>
      </w: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5627"/>
        <w:gridCol w:w="1504"/>
      </w:tblGrid>
      <w:tr>
        <w:trPr>
          <w:trHeight w:val="272" w:hRule="atLeast"/>
        </w:trPr>
        <w:tc>
          <w:tcPr>
            <w:tcW w:w="1700" w:type="dxa"/>
          </w:tcPr>
          <w:p>
            <w:pPr>
              <w:pStyle w:val="TableParagraph"/>
              <w:spacing w:line="250" w:lineRule="exact" w:before="2"/>
              <w:ind w:left="94" w:right="83"/>
              <w:rPr>
                <w:b/>
                <w:sz w:val="21"/>
              </w:rPr>
            </w:pPr>
            <w:r>
              <w:rPr>
                <w:b/>
                <w:sz w:val="21"/>
              </w:rPr>
              <w:t>内容</w:t>
            </w:r>
          </w:p>
        </w:tc>
        <w:tc>
          <w:tcPr>
            <w:tcW w:w="5627" w:type="dxa"/>
          </w:tcPr>
          <w:p>
            <w:pPr>
              <w:pStyle w:val="TableParagraph"/>
              <w:spacing w:line="250" w:lineRule="exact" w:before="2"/>
              <w:ind w:left="2266" w:right="2255"/>
              <w:rPr>
                <w:b/>
                <w:sz w:val="21"/>
              </w:rPr>
            </w:pPr>
            <w:r>
              <w:rPr>
                <w:b/>
                <w:sz w:val="21"/>
              </w:rPr>
              <w:t>符合性分析</w:t>
            </w:r>
          </w:p>
        </w:tc>
        <w:tc>
          <w:tcPr>
            <w:tcW w:w="1504" w:type="dxa"/>
          </w:tcPr>
          <w:p>
            <w:pPr>
              <w:pStyle w:val="TableParagraph"/>
              <w:spacing w:line="250" w:lineRule="exact" w:before="2"/>
              <w:ind w:left="101" w:right="88"/>
              <w:rPr>
                <w:b/>
                <w:sz w:val="21"/>
              </w:rPr>
            </w:pPr>
            <w:r>
              <w:rPr>
                <w:b/>
                <w:sz w:val="21"/>
              </w:rPr>
              <w:t>整改措施建议</w:t>
            </w:r>
          </w:p>
        </w:tc>
      </w:tr>
      <w:tr>
        <w:trPr>
          <w:trHeight w:val="2178" w:hRule="atLeast"/>
        </w:trPr>
        <w:tc>
          <w:tcPr>
            <w:tcW w:w="170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ind w:left="94" w:right="86"/>
              <w:rPr>
                <w:sz w:val="21"/>
              </w:rPr>
            </w:pPr>
            <w:r>
              <w:rPr>
                <w:sz w:val="21"/>
              </w:rPr>
              <w:t>生态保护红线</w:t>
            </w:r>
          </w:p>
        </w:tc>
        <w:tc>
          <w:tcPr>
            <w:tcW w:w="5627" w:type="dxa"/>
          </w:tcPr>
          <w:p>
            <w:pPr>
              <w:pStyle w:val="TableParagraph"/>
              <w:spacing w:line="242" w:lineRule="auto" w:before="1"/>
              <w:ind w:left="106" w:right="47"/>
              <w:jc w:val="both"/>
              <w:rPr>
                <w:sz w:val="21"/>
              </w:rPr>
            </w:pPr>
            <w:r>
              <w:rPr>
                <w:spacing w:val="-3"/>
                <w:sz w:val="21"/>
              </w:rPr>
              <w:t>双鸭山市暂未完成生态保护红线划定工作，本项目位于双鸭</w:t>
            </w:r>
            <w:r>
              <w:rPr>
                <w:spacing w:val="-8"/>
                <w:sz w:val="21"/>
              </w:rPr>
              <w:t>山市岭东区，所在区域内无国家、省、市级自然保护区、风</w:t>
            </w:r>
            <w:r>
              <w:rPr>
                <w:spacing w:val="-9"/>
                <w:sz w:val="21"/>
              </w:rPr>
              <w:t>景名胜区、世界文化和自然遗产地、海洋特别保护区、基本</w:t>
            </w:r>
            <w:r>
              <w:rPr>
                <w:spacing w:val="-9"/>
                <w:w w:val="95"/>
                <w:sz w:val="21"/>
              </w:rPr>
              <w:t>农田保护区、基本草原、森林公园、地质公园、重要湿地、 </w:t>
            </w:r>
            <w:r>
              <w:rPr>
                <w:spacing w:val="-9"/>
                <w:sz w:val="21"/>
              </w:rPr>
              <w:t>天然林、野生动物重要栖息地、重点保护野生植物生长繁殖</w:t>
            </w:r>
            <w:r>
              <w:rPr>
                <w:spacing w:val="-7"/>
                <w:sz w:val="21"/>
              </w:rPr>
              <w:t>地、重要水生生物的自然产卵场、索饵场、越冬场和洄游通</w:t>
            </w:r>
          </w:p>
          <w:p>
            <w:pPr>
              <w:pStyle w:val="TableParagraph"/>
              <w:spacing w:line="270" w:lineRule="atLeast" w:before="3"/>
              <w:ind w:left="106" w:right="47"/>
              <w:jc w:val="left"/>
              <w:rPr>
                <w:sz w:val="21"/>
              </w:rPr>
            </w:pPr>
            <w:r>
              <w:rPr>
                <w:sz w:val="21"/>
              </w:rPr>
              <w:t>道、天然渔场、沙化土地封禁保护区、封闭及半封闭海域等</w:t>
            </w:r>
            <w:r>
              <w:rPr>
                <w:w w:val="95"/>
                <w:sz w:val="21"/>
              </w:rPr>
              <w:t>环境敏感区，因此，本项目拟选厂址不在生态保护红线内。</w:t>
            </w:r>
          </w:p>
        </w:tc>
        <w:tc>
          <w:tcPr>
            <w:tcW w:w="150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5"/>
              <w:jc w:val="left"/>
              <w:rPr>
                <w:b/>
                <w:sz w:val="14"/>
              </w:rPr>
            </w:pPr>
          </w:p>
          <w:p>
            <w:pPr>
              <w:pStyle w:val="TableParagraph"/>
              <w:ind w:left="6"/>
              <w:rPr>
                <w:sz w:val="21"/>
              </w:rPr>
            </w:pPr>
            <w:r>
              <w:rPr>
                <w:w w:val="99"/>
                <w:sz w:val="21"/>
              </w:rPr>
              <w:t>无</w:t>
            </w:r>
          </w:p>
        </w:tc>
      </w:tr>
      <w:tr>
        <w:trPr>
          <w:trHeight w:val="1362" w:hRule="atLeast"/>
        </w:trPr>
        <w:tc>
          <w:tcPr>
            <w:tcW w:w="1700" w:type="dxa"/>
          </w:tcPr>
          <w:p>
            <w:pPr>
              <w:pStyle w:val="TableParagraph"/>
              <w:jc w:val="left"/>
              <w:rPr>
                <w:b/>
                <w:sz w:val="20"/>
              </w:rPr>
            </w:pPr>
          </w:p>
          <w:p>
            <w:pPr>
              <w:pStyle w:val="TableParagraph"/>
              <w:spacing w:before="7"/>
              <w:jc w:val="left"/>
              <w:rPr>
                <w:b/>
                <w:sz w:val="22"/>
              </w:rPr>
            </w:pPr>
          </w:p>
          <w:p>
            <w:pPr>
              <w:pStyle w:val="TableParagraph"/>
              <w:ind w:left="94" w:right="86"/>
              <w:rPr>
                <w:sz w:val="21"/>
              </w:rPr>
            </w:pPr>
            <w:r>
              <w:rPr>
                <w:sz w:val="21"/>
              </w:rPr>
              <w:t>资源利用上线</w:t>
            </w:r>
          </w:p>
        </w:tc>
        <w:tc>
          <w:tcPr>
            <w:tcW w:w="5627" w:type="dxa"/>
          </w:tcPr>
          <w:p>
            <w:pPr>
              <w:pStyle w:val="TableParagraph"/>
              <w:spacing w:line="242" w:lineRule="auto"/>
              <w:ind w:left="106" w:right="47"/>
              <w:jc w:val="left"/>
              <w:rPr>
                <w:sz w:val="21"/>
              </w:rPr>
            </w:pPr>
            <w:r>
              <w:rPr>
                <w:sz w:val="21"/>
              </w:rPr>
              <w:t>①水资源：生产用水由本矿井涌水经过矿井水处理站处理 </w:t>
            </w:r>
            <w:r>
              <w:rPr>
                <w:spacing w:val="-7"/>
                <w:sz w:val="21"/>
              </w:rPr>
              <w:t>后，回用于矿井生产、消防等用水。生活用水由矿区内部水</w:t>
            </w:r>
            <w:r>
              <w:rPr>
                <w:spacing w:val="-7"/>
                <w:w w:val="95"/>
                <w:sz w:val="21"/>
              </w:rPr>
              <w:t>源井和矿井涌水，满足水资源利用上限要求；②土地资源：</w:t>
            </w:r>
          </w:p>
          <w:p>
            <w:pPr>
              <w:pStyle w:val="TableParagraph"/>
              <w:spacing w:line="270" w:lineRule="atLeast" w:before="3"/>
              <w:ind w:left="106" w:right="69"/>
              <w:jc w:val="left"/>
              <w:rPr>
                <w:sz w:val="21"/>
              </w:rPr>
            </w:pPr>
            <w:r>
              <w:rPr>
                <w:sz w:val="21"/>
              </w:rPr>
              <w:t>本项目工业广场总面积 </w:t>
            </w:r>
            <w:r>
              <w:rPr>
                <w:rFonts w:ascii="Times New Roman" w:eastAsia="Times New Roman"/>
                <w:sz w:val="21"/>
              </w:rPr>
              <w:t>2.34hm</w:t>
            </w:r>
            <w:r>
              <w:rPr>
                <w:rFonts w:ascii="Times New Roman" w:eastAsia="Times New Roman"/>
                <w:position w:val="7"/>
                <w:sz w:val="13"/>
              </w:rPr>
              <w:t>2</w:t>
            </w:r>
            <w:r>
              <w:rPr>
                <w:sz w:val="21"/>
              </w:rPr>
              <w:t>，占地为建设用地，满足资源利用上线要求</w:t>
            </w:r>
          </w:p>
        </w:tc>
        <w:tc>
          <w:tcPr>
            <w:tcW w:w="1504" w:type="dxa"/>
          </w:tcPr>
          <w:p>
            <w:pPr>
              <w:pStyle w:val="TableParagraph"/>
              <w:jc w:val="left"/>
              <w:rPr>
                <w:b/>
                <w:sz w:val="20"/>
              </w:rPr>
            </w:pPr>
          </w:p>
          <w:p>
            <w:pPr>
              <w:pStyle w:val="TableParagraph"/>
              <w:spacing w:before="7"/>
              <w:jc w:val="left"/>
              <w:rPr>
                <w:b/>
                <w:sz w:val="22"/>
              </w:rPr>
            </w:pPr>
          </w:p>
          <w:p>
            <w:pPr>
              <w:pStyle w:val="TableParagraph"/>
              <w:ind w:left="6"/>
              <w:rPr>
                <w:sz w:val="21"/>
              </w:rPr>
            </w:pPr>
            <w:r>
              <w:rPr>
                <w:w w:val="99"/>
                <w:sz w:val="21"/>
              </w:rPr>
              <w:t>无</w:t>
            </w:r>
          </w:p>
        </w:tc>
      </w:tr>
      <w:tr>
        <w:trPr>
          <w:trHeight w:val="542" w:hRule="atLeast"/>
        </w:trPr>
        <w:tc>
          <w:tcPr>
            <w:tcW w:w="1700" w:type="dxa"/>
          </w:tcPr>
          <w:p>
            <w:pPr>
              <w:pStyle w:val="TableParagraph"/>
              <w:spacing w:before="136"/>
              <w:ind w:left="94" w:right="86"/>
              <w:rPr>
                <w:sz w:val="21"/>
              </w:rPr>
            </w:pPr>
            <w:r>
              <w:rPr>
                <w:sz w:val="21"/>
              </w:rPr>
              <w:t>环境质量底线</w:t>
            </w:r>
          </w:p>
        </w:tc>
        <w:tc>
          <w:tcPr>
            <w:tcW w:w="5627" w:type="dxa"/>
          </w:tcPr>
          <w:p>
            <w:pPr>
              <w:pStyle w:val="TableParagraph"/>
              <w:spacing w:line="268" w:lineRule="exact"/>
              <w:ind w:left="106"/>
              <w:jc w:val="left"/>
              <w:rPr>
                <w:sz w:val="21"/>
              </w:rPr>
            </w:pPr>
            <w:r>
              <w:rPr>
                <w:sz w:val="21"/>
              </w:rPr>
              <w:t>①本项目地处双鸭山市岭东区，属于城市环境空气质量达标</w:t>
            </w:r>
          </w:p>
          <w:p>
            <w:pPr>
              <w:pStyle w:val="TableParagraph"/>
              <w:spacing w:line="250" w:lineRule="exact" w:before="4"/>
              <w:ind w:left="106"/>
              <w:jc w:val="left"/>
              <w:rPr>
                <w:sz w:val="21"/>
              </w:rPr>
            </w:pPr>
            <w:r>
              <w:rPr>
                <w:sz w:val="21"/>
              </w:rPr>
              <w:t>区。本项目大气污染物主要为锅炉及热风炉燃烧煤产生的</w:t>
            </w:r>
          </w:p>
        </w:tc>
        <w:tc>
          <w:tcPr>
            <w:tcW w:w="1504" w:type="dxa"/>
          </w:tcPr>
          <w:p>
            <w:pPr>
              <w:pStyle w:val="TableParagraph"/>
              <w:spacing w:before="136"/>
              <w:ind w:left="6"/>
              <w:rPr>
                <w:sz w:val="21"/>
              </w:rPr>
            </w:pPr>
            <w:r>
              <w:rPr>
                <w:w w:val="99"/>
                <w:sz w:val="21"/>
              </w:rPr>
              <w:t>无</w:t>
            </w:r>
          </w:p>
        </w:tc>
      </w:tr>
    </w:tbl>
    <w:p>
      <w:pPr>
        <w:spacing w:after="0"/>
        <w:rPr>
          <w:sz w:val="21"/>
        </w:rPr>
        <w:sectPr>
          <w:pgSz w:w="11910" w:h="16840"/>
          <w:pgMar w:header="0" w:footer="947" w:top="1580" w:bottom="1220" w:left="1140" w:right="1020"/>
        </w:sect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5627"/>
        <w:gridCol w:w="1504"/>
      </w:tblGrid>
      <w:tr>
        <w:trPr>
          <w:trHeight w:val="7626" w:hRule="atLeast"/>
        </w:trPr>
        <w:tc>
          <w:tcPr>
            <w:tcW w:w="1700" w:type="dxa"/>
          </w:tcPr>
          <w:p>
            <w:pPr>
              <w:pStyle w:val="TableParagraph"/>
              <w:jc w:val="left"/>
              <w:rPr>
                <w:rFonts w:ascii="Times New Roman"/>
                <w:sz w:val="20"/>
              </w:rPr>
            </w:pPr>
          </w:p>
        </w:tc>
        <w:tc>
          <w:tcPr>
            <w:tcW w:w="5627" w:type="dxa"/>
          </w:tcPr>
          <w:p>
            <w:pPr>
              <w:pStyle w:val="TableParagraph"/>
              <w:ind w:left="106" w:right="31"/>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rFonts w:ascii="Times New Roman" w:eastAsia="Times New Roman"/>
                <w:spacing w:val="-3"/>
                <w:position w:val="2"/>
                <w:sz w:val="21"/>
                <w:vertAlign w:val="baseline"/>
              </w:rPr>
              <w:t> </w:t>
            </w:r>
            <w:r>
              <w:rPr>
                <w:position w:val="2"/>
                <w:sz w:val="21"/>
                <w:vertAlign w:val="baseline"/>
              </w:rPr>
              <w:t>和颗粒物，根据估算模式结果，</w:t>
            </w:r>
            <w:r>
              <w:rPr>
                <w:rFonts w:ascii="Times New Roman" w:eastAsia="Times New Roman"/>
                <w:position w:val="2"/>
                <w:sz w:val="21"/>
                <w:vertAlign w:val="baseline"/>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rFonts w:ascii="Times New Roman" w:eastAsia="Times New Roman"/>
                <w:spacing w:val="-2"/>
                <w:position w:val="2"/>
                <w:sz w:val="21"/>
                <w:vertAlign w:val="baseline"/>
              </w:rPr>
              <w:t> </w:t>
            </w:r>
            <w:r>
              <w:rPr>
                <w:position w:val="2"/>
                <w:sz w:val="21"/>
                <w:vertAlign w:val="baseline"/>
              </w:rPr>
              <w:t>和颗</w:t>
            </w:r>
            <w:r>
              <w:rPr>
                <w:spacing w:val="-7"/>
                <w:sz w:val="21"/>
                <w:vertAlign w:val="baseline"/>
              </w:rPr>
              <w:t>粒物的占标率均低于 </w:t>
            </w:r>
            <w:r>
              <w:rPr>
                <w:rFonts w:ascii="Times New Roman" w:eastAsia="Times New Roman"/>
                <w:sz w:val="21"/>
                <w:vertAlign w:val="baseline"/>
              </w:rPr>
              <w:t>10%</w:t>
            </w:r>
            <w:r>
              <w:rPr>
                <w:sz w:val="21"/>
                <w:vertAlign w:val="baseline"/>
              </w:rPr>
              <w:t>，对环境空气影响可接受；同时， </w:t>
            </w:r>
            <w:r>
              <w:rPr>
                <w:spacing w:val="2"/>
                <w:sz w:val="21"/>
                <w:vertAlign w:val="baseline"/>
              </w:rPr>
              <w:t>本次环境空气现状监测布设了</w:t>
            </w:r>
            <w:r>
              <w:rPr>
                <w:rFonts w:ascii="Times New Roman" w:eastAsia="Times New Roman"/>
                <w:sz w:val="21"/>
                <w:vertAlign w:val="baseline"/>
              </w:rPr>
              <w:t>2</w:t>
            </w:r>
            <w:r>
              <w:rPr>
                <w:rFonts w:ascii="Times New Roman" w:eastAsia="Times New Roman"/>
                <w:spacing w:val="-28"/>
                <w:sz w:val="21"/>
                <w:vertAlign w:val="baseline"/>
              </w:rPr>
              <w:t> </w:t>
            </w:r>
            <w:r>
              <w:rPr>
                <w:sz w:val="21"/>
                <w:vertAlign w:val="baseline"/>
              </w:rPr>
              <w:t>个监测点位针对其他污染物</w:t>
            </w:r>
          </w:p>
          <w:p>
            <w:pPr>
              <w:pStyle w:val="TableParagraph"/>
              <w:spacing w:line="242" w:lineRule="auto" w:before="4"/>
              <w:ind w:left="106" w:right="97"/>
              <w:jc w:val="both"/>
              <w:rPr>
                <w:rFonts w:ascii="Times New Roman" w:hAnsi="Times New Roman" w:eastAsia="Times New Roman"/>
                <w:sz w:val="21"/>
              </w:rPr>
            </w:pPr>
            <w:r>
              <w:rPr>
                <w:spacing w:val="-4"/>
                <w:sz w:val="21"/>
              </w:rPr>
              <w:t>（</w:t>
            </w:r>
            <w:r>
              <w:rPr>
                <w:rFonts w:ascii="Times New Roman" w:hAnsi="Times New Roman" w:eastAsia="Times New Roman"/>
                <w:spacing w:val="-4"/>
                <w:sz w:val="21"/>
              </w:rPr>
              <w:t>TSP</w:t>
            </w:r>
            <w:r>
              <w:rPr>
                <w:spacing w:val="-4"/>
                <w:sz w:val="21"/>
              </w:rPr>
              <w:t>）</w:t>
            </w:r>
            <w:r>
              <w:rPr>
                <w:spacing w:val="-8"/>
                <w:sz w:val="21"/>
              </w:rPr>
              <w:t>进行监测，根据黑龙江康和检测有限公司 </w:t>
            </w:r>
            <w:r>
              <w:rPr>
                <w:rFonts w:ascii="Times New Roman" w:hAnsi="Times New Roman" w:eastAsia="Times New Roman"/>
                <w:sz w:val="21"/>
              </w:rPr>
              <w:t>2020</w:t>
            </w:r>
            <w:r>
              <w:rPr>
                <w:rFonts w:ascii="Times New Roman" w:hAnsi="Times New Roman" w:eastAsia="Times New Roman"/>
                <w:spacing w:val="-5"/>
                <w:sz w:val="21"/>
              </w:rPr>
              <w:t> </w:t>
            </w:r>
            <w:r>
              <w:rPr>
                <w:spacing w:val="-29"/>
                <w:sz w:val="21"/>
              </w:rPr>
              <w:t>年 </w:t>
            </w:r>
            <w:r>
              <w:rPr>
                <w:rFonts w:ascii="Times New Roman" w:hAnsi="Times New Roman" w:eastAsia="Times New Roman"/>
                <w:sz w:val="21"/>
              </w:rPr>
              <w:t>6 </w:t>
            </w:r>
            <w:r>
              <w:rPr>
                <w:spacing w:val="-29"/>
                <w:sz w:val="21"/>
              </w:rPr>
              <w:t>月 </w:t>
            </w:r>
            <w:r>
              <w:rPr>
                <w:rFonts w:ascii="Times New Roman" w:hAnsi="Times New Roman" w:eastAsia="Times New Roman"/>
                <w:sz w:val="21"/>
              </w:rPr>
              <w:t>20</w:t>
            </w:r>
            <w:r>
              <w:rPr>
                <w:rFonts w:ascii="Times New Roman" w:hAnsi="Times New Roman" w:eastAsia="Times New Roman"/>
                <w:spacing w:val="-3"/>
                <w:sz w:val="21"/>
              </w:rPr>
              <w:t> </w:t>
            </w:r>
            <w:r>
              <w:rPr>
                <w:spacing w:val="-4"/>
                <w:sz w:val="21"/>
              </w:rPr>
              <w:t>日出具的监测结果可知，其他污染物 </w:t>
            </w:r>
            <w:r>
              <w:rPr>
                <w:rFonts w:ascii="Times New Roman" w:hAnsi="Times New Roman" w:eastAsia="Times New Roman"/>
                <w:sz w:val="21"/>
              </w:rPr>
              <w:t>TSP</w:t>
            </w:r>
            <w:r>
              <w:rPr>
                <w:rFonts w:ascii="Times New Roman" w:hAnsi="Times New Roman" w:eastAsia="Times New Roman"/>
                <w:spacing w:val="-3"/>
                <w:sz w:val="21"/>
              </w:rPr>
              <w:t> </w:t>
            </w:r>
            <w:r>
              <w:rPr>
                <w:sz w:val="21"/>
              </w:rPr>
              <w:t>浓度值均满足《环境空气质量标准》（</w:t>
            </w:r>
            <w:r>
              <w:rPr>
                <w:rFonts w:ascii="Times New Roman" w:hAnsi="Times New Roman" w:eastAsia="Times New Roman"/>
                <w:sz w:val="21"/>
              </w:rPr>
              <w:t>GB3095-2012</w:t>
            </w:r>
            <w:r>
              <w:rPr>
                <w:sz w:val="21"/>
              </w:rPr>
              <w:t>）中二级标准和限</w:t>
            </w:r>
            <w:r>
              <w:rPr>
                <w:spacing w:val="-3"/>
                <w:sz w:val="21"/>
              </w:rPr>
              <w:t>值要求；②本次声环境现状监测在工业广场四周各布设了 </w:t>
            </w:r>
            <w:r>
              <w:rPr>
                <w:rFonts w:ascii="Times New Roman" w:hAnsi="Times New Roman" w:eastAsia="Times New Roman"/>
                <w:sz w:val="21"/>
              </w:rPr>
              <w:t>1</w:t>
            </w:r>
          </w:p>
          <w:p>
            <w:pPr>
              <w:pStyle w:val="TableParagraph"/>
              <w:spacing w:line="242" w:lineRule="auto" w:before="3"/>
              <w:ind w:left="106" w:right="47"/>
              <w:jc w:val="both"/>
              <w:rPr>
                <w:sz w:val="21"/>
              </w:rPr>
            </w:pPr>
            <w:r>
              <w:rPr>
                <w:spacing w:val="-4"/>
                <w:sz w:val="21"/>
              </w:rPr>
              <w:t>个点位，根据黑龙江康和检测有限公司 </w:t>
            </w:r>
            <w:r>
              <w:rPr>
                <w:rFonts w:ascii="Times New Roman" w:eastAsia="Times New Roman"/>
                <w:sz w:val="21"/>
              </w:rPr>
              <w:t>2020 </w:t>
            </w:r>
            <w:r>
              <w:rPr>
                <w:spacing w:val="-27"/>
                <w:sz w:val="21"/>
              </w:rPr>
              <w:t>年 </w:t>
            </w:r>
            <w:r>
              <w:rPr>
                <w:rFonts w:ascii="Times New Roman" w:eastAsia="Times New Roman"/>
                <w:sz w:val="21"/>
              </w:rPr>
              <w:t>06 </w:t>
            </w:r>
            <w:r>
              <w:rPr>
                <w:spacing w:val="-27"/>
                <w:sz w:val="21"/>
              </w:rPr>
              <w:t>月 </w:t>
            </w:r>
            <w:r>
              <w:rPr>
                <w:rFonts w:ascii="Times New Roman" w:eastAsia="Times New Roman"/>
                <w:sz w:val="21"/>
              </w:rPr>
              <w:t>20 </w:t>
            </w:r>
            <w:r>
              <w:rPr>
                <w:sz w:val="21"/>
              </w:rPr>
              <w:t>日</w:t>
            </w:r>
            <w:r>
              <w:rPr>
                <w:w w:val="95"/>
                <w:sz w:val="21"/>
              </w:rPr>
              <w:t>出具的监测结果可知，四周厂界均满足《声环境质量标准》</w:t>
            </w:r>
          </w:p>
          <w:p>
            <w:pPr>
              <w:pStyle w:val="TableParagraph"/>
              <w:spacing w:line="242" w:lineRule="auto" w:before="1"/>
              <w:ind w:left="106" w:right="98"/>
              <w:jc w:val="both"/>
              <w:rPr>
                <w:sz w:val="21"/>
              </w:rPr>
            </w:pPr>
            <w:r>
              <w:rPr>
                <w:sz w:val="21"/>
              </w:rPr>
              <w:t>（</w:t>
            </w:r>
            <w:r>
              <w:rPr>
                <w:rFonts w:ascii="Times New Roman" w:hAnsi="Times New Roman" w:eastAsia="Times New Roman"/>
                <w:sz w:val="21"/>
              </w:rPr>
              <w:t>GB3096-2008</w:t>
            </w:r>
            <w:r>
              <w:rPr>
                <w:sz w:val="21"/>
              </w:rPr>
              <w:t>）</w:t>
            </w:r>
            <w:r>
              <w:rPr>
                <w:rFonts w:ascii="Times New Roman" w:hAnsi="Times New Roman" w:eastAsia="Times New Roman"/>
                <w:sz w:val="21"/>
              </w:rPr>
              <w:t>2 </w:t>
            </w:r>
            <w:r>
              <w:rPr>
                <w:sz w:val="21"/>
              </w:rPr>
              <w:t>类区标准要求；③本次地下水环境现状</w:t>
            </w:r>
            <w:r>
              <w:rPr>
                <w:spacing w:val="-11"/>
                <w:sz w:val="21"/>
              </w:rPr>
              <w:t>监测布设 </w:t>
            </w:r>
            <w:r>
              <w:rPr>
                <w:rFonts w:ascii="Times New Roman" w:hAnsi="Times New Roman" w:eastAsia="Times New Roman"/>
                <w:sz w:val="21"/>
              </w:rPr>
              <w:t>3 </w:t>
            </w:r>
            <w:r>
              <w:rPr>
                <w:spacing w:val="-9"/>
                <w:sz w:val="21"/>
              </w:rPr>
              <w:t>个水质监测点 </w:t>
            </w:r>
            <w:r>
              <w:rPr>
                <w:rFonts w:ascii="Times New Roman" w:hAnsi="Times New Roman" w:eastAsia="Times New Roman"/>
                <w:sz w:val="21"/>
              </w:rPr>
              <w:t>3 </w:t>
            </w:r>
            <w:r>
              <w:rPr>
                <w:spacing w:val="-7"/>
                <w:sz w:val="21"/>
              </w:rPr>
              <w:t>个水位监测点，根据黑龙江康和</w:t>
            </w:r>
          </w:p>
          <w:p>
            <w:pPr>
              <w:pStyle w:val="TableParagraph"/>
              <w:spacing w:line="242" w:lineRule="auto" w:before="1"/>
              <w:ind w:left="106" w:right="98"/>
              <w:jc w:val="both"/>
              <w:rPr>
                <w:sz w:val="21"/>
              </w:rPr>
            </w:pPr>
            <w:r>
              <w:rPr>
                <w:spacing w:val="-8"/>
                <w:sz w:val="21"/>
              </w:rPr>
              <w:t>检测有限公司 </w:t>
            </w:r>
            <w:r>
              <w:rPr>
                <w:rFonts w:ascii="Times New Roman" w:hAnsi="Times New Roman" w:eastAsia="Times New Roman"/>
                <w:sz w:val="21"/>
              </w:rPr>
              <w:t>2020 </w:t>
            </w:r>
            <w:r>
              <w:rPr>
                <w:spacing w:val="-28"/>
                <w:sz w:val="21"/>
              </w:rPr>
              <w:t>年 </w:t>
            </w:r>
            <w:r>
              <w:rPr>
                <w:rFonts w:ascii="Times New Roman" w:hAnsi="Times New Roman" w:eastAsia="Times New Roman"/>
                <w:sz w:val="21"/>
              </w:rPr>
              <w:t>07 </w:t>
            </w:r>
            <w:r>
              <w:rPr>
                <w:spacing w:val="-28"/>
                <w:sz w:val="21"/>
              </w:rPr>
              <w:t>月 </w:t>
            </w:r>
            <w:r>
              <w:rPr>
                <w:rFonts w:ascii="Times New Roman" w:hAnsi="Times New Roman" w:eastAsia="Times New Roman"/>
                <w:sz w:val="21"/>
              </w:rPr>
              <w:t>06 </w:t>
            </w:r>
            <w:r>
              <w:rPr>
                <w:sz w:val="21"/>
              </w:rPr>
              <w:t>日出具的监测结果可知，监</w:t>
            </w:r>
            <w:r>
              <w:rPr>
                <w:spacing w:val="-6"/>
                <w:w w:val="95"/>
                <w:sz w:val="21"/>
              </w:rPr>
              <w:t>测点水质良好，监测因子均未超标；④本次地表水环境现状 </w:t>
            </w:r>
            <w:r>
              <w:rPr>
                <w:spacing w:val="-15"/>
                <w:sz w:val="21"/>
              </w:rPr>
              <w:t>监测布设了 </w:t>
            </w:r>
            <w:r>
              <w:rPr>
                <w:rFonts w:ascii="Times New Roman" w:hAnsi="Times New Roman" w:eastAsia="Times New Roman"/>
                <w:sz w:val="21"/>
              </w:rPr>
              <w:t>3 </w:t>
            </w:r>
            <w:r>
              <w:rPr>
                <w:sz w:val="21"/>
              </w:rPr>
              <w:t>个监测点位，根据黑龙江康和检测有限公司</w:t>
            </w:r>
          </w:p>
          <w:p>
            <w:pPr>
              <w:pStyle w:val="TableParagraph"/>
              <w:spacing w:line="244" w:lineRule="auto" w:before="1"/>
              <w:ind w:left="106" w:right="79"/>
              <w:jc w:val="both"/>
              <w:rPr>
                <w:sz w:val="21"/>
              </w:rPr>
            </w:pPr>
            <w:r>
              <w:rPr>
                <w:rFonts w:ascii="Times New Roman" w:eastAsia="Times New Roman"/>
                <w:sz w:val="21"/>
              </w:rPr>
              <w:t>2020</w:t>
            </w:r>
            <w:r>
              <w:rPr>
                <w:rFonts w:ascii="Times New Roman" w:eastAsia="Times New Roman"/>
                <w:spacing w:val="-3"/>
                <w:sz w:val="21"/>
              </w:rPr>
              <w:t> </w:t>
            </w:r>
            <w:r>
              <w:rPr>
                <w:spacing w:val="-26"/>
                <w:sz w:val="21"/>
              </w:rPr>
              <w:t>年 </w:t>
            </w:r>
            <w:r>
              <w:rPr>
                <w:rFonts w:ascii="Times New Roman" w:eastAsia="Times New Roman"/>
                <w:sz w:val="21"/>
              </w:rPr>
              <w:t>07</w:t>
            </w:r>
            <w:r>
              <w:rPr>
                <w:rFonts w:ascii="Times New Roman" w:eastAsia="Times New Roman"/>
                <w:spacing w:val="-2"/>
                <w:sz w:val="21"/>
              </w:rPr>
              <w:t> </w:t>
            </w:r>
            <w:r>
              <w:rPr>
                <w:spacing w:val="-28"/>
                <w:sz w:val="21"/>
              </w:rPr>
              <w:t>月 </w:t>
            </w:r>
            <w:r>
              <w:rPr>
                <w:rFonts w:ascii="Times New Roman" w:eastAsia="Times New Roman"/>
                <w:sz w:val="21"/>
              </w:rPr>
              <w:t>06</w:t>
            </w:r>
            <w:r>
              <w:rPr>
                <w:rFonts w:ascii="Times New Roman" w:eastAsia="Times New Roman"/>
                <w:spacing w:val="-2"/>
                <w:sz w:val="21"/>
              </w:rPr>
              <w:t> </w:t>
            </w:r>
            <w:r>
              <w:rPr>
                <w:spacing w:val="-4"/>
                <w:sz w:val="21"/>
              </w:rPr>
              <w:t>日出具的监测结果可知，地表水除 </w:t>
            </w:r>
            <w:r>
              <w:rPr>
                <w:rFonts w:ascii="Times New Roman" w:eastAsia="Times New Roman"/>
                <w:sz w:val="21"/>
              </w:rPr>
              <w:t>COD</w:t>
            </w:r>
            <w:r>
              <w:rPr>
                <w:sz w:val="21"/>
              </w:rPr>
              <w:t>、</w:t>
            </w:r>
            <w:r>
              <w:rPr>
                <w:rFonts w:ascii="Times New Roman" w:eastAsia="Times New Roman"/>
                <w:sz w:val="21"/>
              </w:rPr>
              <w:t>BOD5</w:t>
            </w:r>
            <w:r>
              <w:rPr>
                <w:rFonts w:ascii="Times New Roman" w:eastAsia="Times New Roman"/>
                <w:spacing w:val="-15"/>
                <w:sz w:val="21"/>
              </w:rPr>
              <w:t> </w:t>
            </w:r>
            <w:r>
              <w:rPr>
                <w:sz w:val="21"/>
              </w:rPr>
              <w:t>以外的监测因子均能够满足《地表水环境质量标准》</w:t>
            </w:r>
          </w:p>
          <w:p>
            <w:pPr>
              <w:pStyle w:val="TableParagraph"/>
              <w:spacing w:line="242" w:lineRule="auto"/>
              <w:ind w:left="106" w:right="98"/>
              <w:jc w:val="both"/>
              <w:rPr>
                <w:sz w:val="21"/>
              </w:rPr>
            </w:pPr>
            <w:r>
              <w:rPr>
                <w:sz w:val="21"/>
              </w:rPr>
              <w:t>（</w:t>
            </w:r>
            <w:r>
              <w:rPr>
                <w:rFonts w:ascii="Times New Roman" w:hAnsi="Times New Roman" w:eastAsia="Times New Roman"/>
                <w:sz w:val="21"/>
              </w:rPr>
              <w:t>GB3838-2002</w:t>
            </w:r>
            <w:r>
              <w:rPr>
                <w:sz w:val="21"/>
              </w:rPr>
              <w:t>）</w:t>
            </w:r>
            <w:r>
              <w:rPr>
                <w:spacing w:val="-4"/>
                <w:sz w:val="21"/>
              </w:rPr>
              <w:t>Ⅲ类标准；⑤本项目工业广场范围内 </w:t>
            </w:r>
            <w:r>
              <w:rPr>
                <w:rFonts w:ascii="Times New Roman" w:hAnsi="Times New Roman" w:eastAsia="Times New Roman"/>
                <w:sz w:val="21"/>
              </w:rPr>
              <w:t>1</w:t>
            </w:r>
            <w:r>
              <w:rPr>
                <w:rFonts w:ascii="Times New Roman" w:hAnsi="Times New Roman" w:eastAsia="Times New Roman"/>
                <w:spacing w:val="-7"/>
                <w:sz w:val="21"/>
              </w:rPr>
              <w:t> </w:t>
            </w:r>
            <w:r>
              <w:rPr>
                <w:sz w:val="21"/>
              </w:rPr>
              <w:t>个表层样土壤监测点，</w:t>
            </w:r>
            <w:r>
              <w:rPr>
                <w:rFonts w:ascii="Times New Roman" w:hAnsi="Times New Roman" w:eastAsia="Times New Roman"/>
                <w:sz w:val="21"/>
              </w:rPr>
              <w:t>3</w:t>
            </w:r>
            <w:r>
              <w:rPr>
                <w:rFonts w:ascii="Times New Roman" w:hAnsi="Times New Roman" w:eastAsia="Times New Roman"/>
                <w:spacing w:val="-11"/>
                <w:sz w:val="21"/>
              </w:rPr>
              <w:t> </w:t>
            </w:r>
            <w:r>
              <w:rPr>
                <w:sz w:val="21"/>
              </w:rPr>
              <w:t>个柱状样土壤监测点；工业场地占地</w:t>
            </w:r>
            <w:r>
              <w:rPr>
                <w:spacing w:val="-16"/>
                <w:sz w:val="21"/>
              </w:rPr>
              <w:t>范围外 </w:t>
            </w:r>
            <w:r>
              <w:rPr>
                <w:rFonts w:ascii="Times New Roman" w:hAnsi="Times New Roman" w:eastAsia="Times New Roman"/>
                <w:sz w:val="21"/>
              </w:rPr>
              <w:t>2</w:t>
            </w:r>
            <w:r>
              <w:rPr>
                <w:rFonts w:ascii="Times New Roman" w:hAnsi="Times New Roman" w:eastAsia="Times New Roman"/>
                <w:spacing w:val="-6"/>
                <w:sz w:val="21"/>
              </w:rPr>
              <w:t> </w:t>
            </w:r>
            <w:r>
              <w:rPr>
                <w:spacing w:val="-5"/>
                <w:sz w:val="21"/>
              </w:rPr>
              <w:t>个表层样土壤监测点，根据黑龙江康和检测有限公</w:t>
            </w:r>
          </w:p>
          <w:p>
            <w:pPr>
              <w:pStyle w:val="TableParagraph"/>
              <w:spacing w:line="242" w:lineRule="auto"/>
              <w:ind w:left="106" w:right="-15"/>
              <w:jc w:val="left"/>
              <w:rPr>
                <w:sz w:val="21"/>
              </w:rPr>
            </w:pPr>
            <w:r>
              <w:rPr>
                <w:spacing w:val="-28"/>
                <w:sz w:val="21"/>
              </w:rPr>
              <w:t>司 </w:t>
            </w:r>
            <w:r>
              <w:rPr>
                <w:rFonts w:ascii="Times New Roman" w:eastAsia="Times New Roman"/>
                <w:sz w:val="21"/>
              </w:rPr>
              <w:t>2020 </w:t>
            </w:r>
            <w:r>
              <w:rPr>
                <w:spacing w:val="-27"/>
                <w:sz w:val="21"/>
              </w:rPr>
              <w:t>年 </w:t>
            </w:r>
            <w:r>
              <w:rPr>
                <w:rFonts w:ascii="Times New Roman" w:eastAsia="Times New Roman"/>
                <w:sz w:val="21"/>
              </w:rPr>
              <w:t>07</w:t>
            </w:r>
            <w:r>
              <w:rPr>
                <w:rFonts w:ascii="Times New Roman" w:eastAsia="Times New Roman"/>
                <w:spacing w:val="-3"/>
                <w:sz w:val="21"/>
              </w:rPr>
              <w:t> </w:t>
            </w:r>
            <w:r>
              <w:rPr>
                <w:spacing w:val="-27"/>
                <w:sz w:val="21"/>
              </w:rPr>
              <w:t>月 </w:t>
            </w:r>
            <w:r>
              <w:rPr>
                <w:rFonts w:ascii="Times New Roman" w:eastAsia="Times New Roman"/>
                <w:sz w:val="21"/>
              </w:rPr>
              <w:t>06 </w:t>
            </w:r>
            <w:r>
              <w:rPr>
                <w:sz w:val="21"/>
              </w:rPr>
              <w:t>日出具的监测结果可知，建设项目场地</w:t>
            </w:r>
            <w:r>
              <w:rPr>
                <w:spacing w:val="-1"/>
                <w:sz w:val="21"/>
              </w:rPr>
              <w:t>范围内土壤质量均满足《土壤环境质量 建设用地土壤污染</w:t>
            </w:r>
            <w:r>
              <w:rPr>
                <w:spacing w:val="-4"/>
                <w:sz w:val="21"/>
              </w:rPr>
              <w:t>风险管控标准</w:t>
            </w:r>
            <w:r>
              <w:rPr>
                <w:sz w:val="21"/>
              </w:rPr>
              <w:t>（试行</w:t>
            </w:r>
            <w:r>
              <w:rPr>
                <w:spacing w:val="-17"/>
                <w:sz w:val="21"/>
              </w:rPr>
              <w:t>）</w:t>
            </w:r>
            <w:r>
              <w:rPr>
                <w:spacing w:val="-37"/>
                <w:sz w:val="21"/>
              </w:rPr>
              <w:t>》</w:t>
            </w:r>
            <w:r>
              <w:rPr>
                <w:sz w:val="21"/>
              </w:rPr>
              <w:t>（</w:t>
            </w:r>
            <w:r>
              <w:rPr>
                <w:rFonts w:ascii="Times New Roman" w:eastAsia="Times New Roman"/>
                <w:sz w:val="21"/>
              </w:rPr>
              <w:t>GB36600-2018</w:t>
            </w:r>
            <w:r>
              <w:rPr>
                <w:sz w:val="21"/>
              </w:rPr>
              <w:t>）中的第二类用地</w:t>
            </w:r>
            <w:r>
              <w:rPr>
                <w:spacing w:val="-6"/>
                <w:sz w:val="21"/>
              </w:rPr>
              <w:t>标准要求，工业场地占地范围外土壤质量满足《土壤环境质</w:t>
            </w:r>
            <w:r>
              <w:rPr>
                <w:spacing w:val="-10"/>
                <w:w w:val="95"/>
                <w:sz w:val="21"/>
              </w:rPr>
              <w:t>量农用地土壤污染风险管控标准</w:t>
            </w:r>
            <w:r>
              <w:rPr>
                <w:w w:val="95"/>
                <w:sz w:val="21"/>
              </w:rPr>
              <w:t>（试行</w:t>
            </w:r>
            <w:r>
              <w:rPr>
                <w:spacing w:val="-65"/>
                <w:w w:val="95"/>
                <w:sz w:val="21"/>
              </w:rPr>
              <w:t>）</w:t>
            </w:r>
            <w:r>
              <w:rPr>
                <w:spacing w:val="-128"/>
                <w:w w:val="95"/>
                <w:sz w:val="21"/>
              </w:rPr>
              <w:t>》</w:t>
            </w:r>
            <w:r>
              <w:rPr>
                <w:w w:val="95"/>
                <w:sz w:val="21"/>
              </w:rPr>
              <w:t>（</w:t>
            </w:r>
            <w:r>
              <w:rPr>
                <w:rFonts w:ascii="Times New Roman" w:eastAsia="Times New Roman"/>
                <w:w w:val="95"/>
                <w:sz w:val="21"/>
              </w:rPr>
              <w:t>GB/15618-2018</w:t>
            </w:r>
            <w:r>
              <w:rPr>
                <w:w w:val="95"/>
                <w:sz w:val="21"/>
              </w:rPr>
              <w:t>） </w:t>
            </w:r>
            <w:r>
              <w:rPr>
                <w:spacing w:val="-6"/>
                <w:sz w:val="21"/>
              </w:rPr>
              <w:t>标准要求；综上所述，本项目实施过程中，通过严格落实污</w:t>
            </w:r>
            <w:r>
              <w:rPr>
                <w:spacing w:val="-9"/>
                <w:sz w:val="21"/>
              </w:rPr>
              <w:t>染防治措施，可实现达标排放，且不会改变周边环境以及敏</w:t>
            </w:r>
          </w:p>
          <w:p>
            <w:pPr>
              <w:pStyle w:val="TableParagraph"/>
              <w:spacing w:line="270" w:lineRule="atLeast" w:before="2"/>
              <w:ind w:left="106" w:right="98"/>
              <w:jc w:val="left"/>
              <w:rPr>
                <w:sz w:val="21"/>
              </w:rPr>
            </w:pPr>
            <w:r>
              <w:rPr>
                <w:spacing w:val="-3"/>
                <w:w w:val="95"/>
                <w:sz w:val="21"/>
              </w:rPr>
              <w:t>感目标处的各环境要素环境质量现状，符合在区域的环境空 </w:t>
            </w:r>
            <w:r>
              <w:rPr>
                <w:spacing w:val="-3"/>
                <w:sz w:val="21"/>
              </w:rPr>
              <w:t>气、地表水、地下水和土壤符合环境质量底线要求。</w:t>
            </w:r>
          </w:p>
        </w:tc>
        <w:tc>
          <w:tcPr>
            <w:tcW w:w="1504" w:type="dxa"/>
          </w:tcPr>
          <w:p>
            <w:pPr>
              <w:pStyle w:val="TableParagraph"/>
              <w:jc w:val="left"/>
              <w:rPr>
                <w:rFonts w:ascii="Times New Roman"/>
                <w:sz w:val="20"/>
              </w:rPr>
            </w:pPr>
          </w:p>
        </w:tc>
      </w:tr>
      <w:tr>
        <w:trPr>
          <w:trHeight w:val="543" w:hRule="atLeast"/>
        </w:trPr>
        <w:tc>
          <w:tcPr>
            <w:tcW w:w="1700" w:type="dxa"/>
          </w:tcPr>
          <w:p>
            <w:pPr>
              <w:pStyle w:val="TableParagraph"/>
              <w:ind w:left="94" w:right="86"/>
              <w:rPr>
                <w:sz w:val="21"/>
              </w:rPr>
            </w:pPr>
            <w:r>
              <w:rPr>
                <w:sz w:val="21"/>
              </w:rPr>
              <w:t>环境准入负面清</w:t>
            </w:r>
          </w:p>
          <w:p>
            <w:pPr>
              <w:pStyle w:val="TableParagraph"/>
              <w:spacing w:line="252" w:lineRule="exact" w:before="2"/>
              <w:ind w:left="6"/>
              <w:rPr>
                <w:sz w:val="21"/>
              </w:rPr>
            </w:pPr>
            <w:r>
              <w:rPr>
                <w:w w:val="99"/>
                <w:sz w:val="21"/>
              </w:rPr>
              <w:t>单</w:t>
            </w:r>
          </w:p>
        </w:tc>
        <w:tc>
          <w:tcPr>
            <w:tcW w:w="5627" w:type="dxa"/>
          </w:tcPr>
          <w:p>
            <w:pPr>
              <w:pStyle w:val="TableParagraph"/>
              <w:ind w:left="106"/>
              <w:jc w:val="left"/>
              <w:rPr>
                <w:sz w:val="21"/>
              </w:rPr>
            </w:pPr>
            <w:r>
              <w:rPr>
                <w:sz w:val="21"/>
              </w:rPr>
              <w:t>项目所在区域不属于《黑龙江省重点生态功能区产业准入负</w:t>
            </w:r>
          </w:p>
          <w:p>
            <w:pPr>
              <w:pStyle w:val="TableParagraph"/>
              <w:spacing w:line="252" w:lineRule="exact" w:before="2"/>
              <w:ind w:left="106"/>
              <w:jc w:val="left"/>
              <w:rPr>
                <w:sz w:val="21"/>
              </w:rPr>
            </w:pPr>
            <w:r>
              <w:rPr>
                <w:sz w:val="21"/>
              </w:rPr>
              <w:t>面清单（试行版）》中列出的有产业准入负面清单的区域。</w:t>
            </w:r>
          </w:p>
        </w:tc>
        <w:tc>
          <w:tcPr>
            <w:tcW w:w="1504" w:type="dxa"/>
          </w:tcPr>
          <w:p>
            <w:pPr>
              <w:pStyle w:val="TableParagraph"/>
              <w:spacing w:before="135"/>
              <w:ind w:left="6"/>
              <w:rPr>
                <w:sz w:val="21"/>
              </w:rPr>
            </w:pPr>
            <w:r>
              <w:rPr>
                <w:w w:val="99"/>
                <w:sz w:val="21"/>
              </w:rPr>
              <w:t>无</w:t>
            </w:r>
          </w:p>
        </w:tc>
      </w:tr>
    </w:tbl>
    <w:p>
      <w:pPr>
        <w:pStyle w:val="ListParagraph"/>
        <w:numPr>
          <w:ilvl w:val="1"/>
          <w:numId w:val="106"/>
        </w:numPr>
        <w:tabs>
          <w:tab w:pos="1260" w:val="left" w:leader="none"/>
        </w:tabs>
        <w:spacing w:line="240" w:lineRule="auto" w:before="2" w:after="0"/>
        <w:ind w:left="1260" w:right="0" w:hanging="600"/>
        <w:jc w:val="left"/>
        <w:rPr>
          <w:b/>
          <w:sz w:val="30"/>
        </w:rPr>
      </w:pPr>
      <w:bookmarkStart w:name="17.3与黑龙江省相关政策、规划符合性" w:id="1170"/>
      <w:bookmarkEnd w:id="1170"/>
      <w:r>
        <w:rPr/>
      </w:r>
      <w:bookmarkStart w:name="17.3与黑龙江省相关政策、规划符合性" w:id="1171"/>
      <w:bookmarkEnd w:id="1171"/>
      <w:r>
        <w:rPr>
          <w:b/>
          <w:sz w:val="30"/>
        </w:rPr>
        <w:t>与黑龙江省相关政策、规划符合性</w:t>
      </w:r>
    </w:p>
    <w:p>
      <w:pPr>
        <w:tabs>
          <w:tab w:pos="1536" w:val="left" w:leader="none"/>
        </w:tabs>
        <w:spacing w:before="199" w:after="4"/>
        <w:ind w:left="377" w:right="0" w:firstLine="0"/>
        <w:jc w:val="center"/>
        <w:rPr>
          <w:b/>
          <w:sz w:val="24"/>
        </w:rPr>
      </w:pPr>
      <w:r>
        <w:rPr>
          <w:b/>
          <w:sz w:val="24"/>
        </w:rPr>
        <w:t>表</w:t>
      </w:r>
      <w:r>
        <w:rPr>
          <w:b/>
          <w:spacing w:val="-62"/>
          <w:sz w:val="24"/>
        </w:rPr>
        <w:t> </w:t>
      </w:r>
      <w:r>
        <w:rPr>
          <w:rFonts w:ascii="Times New Roman" w:eastAsia="Times New Roman"/>
          <w:b/>
          <w:sz w:val="24"/>
        </w:rPr>
        <w:t>17.3-1</w:t>
        <w:tab/>
      </w:r>
      <w:r>
        <w:rPr>
          <w:b/>
          <w:sz w:val="24"/>
        </w:rPr>
        <w:t>与相关规划、政策、条例、规范符合性分析</w:t>
      </w: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3686"/>
        <w:gridCol w:w="2591"/>
        <w:gridCol w:w="719"/>
      </w:tblGrid>
      <w:tr>
        <w:trPr>
          <w:trHeight w:val="624" w:hRule="atLeast"/>
        </w:trPr>
        <w:tc>
          <w:tcPr>
            <w:tcW w:w="1384" w:type="dxa"/>
          </w:tcPr>
          <w:p>
            <w:pPr>
              <w:pStyle w:val="TableParagraph"/>
              <w:spacing w:before="21"/>
              <w:ind w:left="42" w:right="32"/>
              <w:rPr>
                <w:sz w:val="21"/>
              </w:rPr>
            </w:pPr>
            <w:r>
              <w:rPr>
                <w:sz w:val="21"/>
              </w:rPr>
              <w:t>相关政策、条</w:t>
            </w:r>
          </w:p>
          <w:p>
            <w:pPr>
              <w:pStyle w:val="TableParagraph"/>
              <w:spacing w:before="43"/>
              <w:ind w:left="39" w:right="32"/>
              <w:rPr>
                <w:sz w:val="21"/>
              </w:rPr>
            </w:pPr>
            <w:r>
              <w:rPr>
                <w:sz w:val="21"/>
              </w:rPr>
              <w:t>例、规范</w:t>
            </w:r>
          </w:p>
        </w:tc>
        <w:tc>
          <w:tcPr>
            <w:tcW w:w="3686" w:type="dxa"/>
          </w:tcPr>
          <w:p>
            <w:pPr>
              <w:pStyle w:val="TableParagraph"/>
              <w:spacing w:before="177"/>
              <w:ind w:left="1612" w:right="1604"/>
              <w:rPr>
                <w:sz w:val="21"/>
              </w:rPr>
            </w:pPr>
            <w:r>
              <w:rPr>
                <w:sz w:val="21"/>
              </w:rPr>
              <w:t>要求</w:t>
            </w:r>
          </w:p>
        </w:tc>
        <w:tc>
          <w:tcPr>
            <w:tcW w:w="2591" w:type="dxa"/>
          </w:tcPr>
          <w:p>
            <w:pPr>
              <w:pStyle w:val="TableParagraph"/>
              <w:spacing w:before="177"/>
              <w:ind w:left="769"/>
              <w:jc w:val="left"/>
              <w:rPr>
                <w:sz w:val="21"/>
              </w:rPr>
            </w:pPr>
            <w:r>
              <w:rPr>
                <w:sz w:val="21"/>
              </w:rPr>
              <w:t>符合性分析</w:t>
            </w:r>
          </w:p>
        </w:tc>
        <w:tc>
          <w:tcPr>
            <w:tcW w:w="719" w:type="dxa"/>
          </w:tcPr>
          <w:p>
            <w:pPr>
              <w:pStyle w:val="TableParagraph"/>
              <w:spacing w:before="21"/>
              <w:ind w:left="149"/>
              <w:jc w:val="left"/>
              <w:rPr>
                <w:sz w:val="21"/>
              </w:rPr>
            </w:pPr>
            <w:r>
              <w:rPr>
                <w:spacing w:val="-1"/>
                <w:w w:val="95"/>
                <w:sz w:val="21"/>
              </w:rPr>
              <w:t>是否</w:t>
            </w:r>
          </w:p>
          <w:p>
            <w:pPr>
              <w:pStyle w:val="TableParagraph"/>
              <w:spacing w:before="43"/>
              <w:ind w:left="149"/>
              <w:jc w:val="left"/>
              <w:rPr>
                <w:sz w:val="21"/>
              </w:rPr>
            </w:pPr>
            <w:r>
              <w:rPr>
                <w:spacing w:val="-1"/>
                <w:w w:val="95"/>
                <w:sz w:val="21"/>
              </w:rPr>
              <w:t>符合</w:t>
            </w:r>
          </w:p>
        </w:tc>
      </w:tr>
      <w:tr>
        <w:trPr>
          <w:trHeight w:val="4054" w:hRule="atLeast"/>
        </w:trPr>
        <w:tc>
          <w:tcPr>
            <w:tcW w:w="138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3"/>
              </w:rPr>
            </w:pPr>
          </w:p>
          <w:p>
            <w:pPr>
              <w:pStyle w:val="TableParagraph"/>
              <w:spacing w:line="278" w:lineRule="auto" w:before="1"/>
              <w:ind w:left="166" w:right="156"/>
              <w:rPr>
                <w:sz w:val="21"/>
              </w:rPr>
            </w:pPr>
            <w:r>
              <w:rPr>
                <w:sz w:val="21"/>
              </w:rPr>
              <w:t>《黑龙江省主体功能区规划》</w:t>
            </w:r>
          </w:p>
        </w:tc>
        <w:tc>
          <w:tcPr>
            <w:tcW w:w="3686" w:type="dxa"/>
          </w:tcPr>
          <w:p>
            <w:pPr>
              <w:pStyle w:val="TableParagraph"/>
              <w:spacing w:line="278" w:lineRule="auto" w:before="21"/>
              <w:ind w:left="587" w:right="149"/>
              <w:jc w:val="left"/>
              <w:rPr>
                <w:sz w:val="21"/>
              </w:rPr>
            </w:pPr>
            <w:r>
              <w:rPr>
                <w:sz w:val="21"/>
              </w:rPr>
              <w:t>第四章第三节省级重点开发区域一、东部煤电化基地</w:t>
            </w:r>
          </w:p>
          <w:p>
            <w:pPr>
              <w:pStyle w:val="TableParagraph"/>
              <w:spacing w:line="278" w:lineRule="auto"/>
              <w:ind w:left="107" w:right="-15" w:firstLine="480"/>
              <w:jc w:val="left"/>
              <w:rPr>
                <w:sz w:val="21"/>
              </w:rPr>
            </w:pPr>
            <w:r>
              <w:rPr>
                <w:spacing w:val="-7"/>
                <w:sz w:val="21"/>
              </w:rPr>
              <w:t>以佳木斯、鸡西、双鸭山、鹤岗、</w:t>
            </w:r>
            <w:r>
              <w:rPr>
                <w:spacing w:val="-13"/>
                <w:sz w:val="21"/>
              </w:rPr>
              <w:t>七台河为区域中心城市，以能源与煤化</w:t>
            </w:r>
            <w:r>
              <w:rPr>
                <w:spacing w:val="-16"/>
                <w:sz w:val="21"/>
              </w:rPr>
              <w:t>工及其相关产业为主导，建设我省东部重要经济增长极。</w:t>
            </w:r>
          </w:p>
          <w:p>
            <w:pPr>
              <w:pStyle w:val="TableParagraph"/>
              <w:spacing w:line="269" w:lineRule="exact"/>
              <w:ind w:left="587"/>
              <w:jc w:val="left"/>
              <w:rPr>
                <w:sz w:val="21"/>
              </w:rPr>
            </w:pPr>
            <w:r>
              <w:rPr>
                <w:sz w:val="21"/>
              </w:rPr>
              <w:t>（三）双鸭山。</w:t>
            </w:r>
          </w:p>
          <w:p>
            <w:pPr>
              <w:pStyle w:val="TableParagraph"/>
              <w:spacing w:line="278" w:lineRule="auto" w:before="42"/>
              <w:ind w:left="107" w:right="98" w:firstLine="480"/>
              <w:jc w:val="left"/>
              <w:rPr>
                <w:sz w:val="21"/>
              </w:rPr>
            </w:pPr>
            <w:r>
              <w:rPr>
                <w:w w:val="95"/>
                <w:sz w:val="21"/>
              </w:rPr>
              <w:t>主要指双鸭山市辖区，包括尖山</w:t>
            </w:r>
            <w:r>
              <w:rPr>
                <w:sz w:val="21"/>
              </w:rPr>
              <w:t>区、岭东区、四方台区和宝山区。</w:t>
            </w:r>
          </w:p>
          <w:p>
            <w:pPr>
              <w:pStyle w:val="TableParagraph"/>
              <w:spacing w:line="278" w:lineRule="auto"/>
              <w:ind w:left="107" w:right="96" w:firstLine="480"/>
              <w:jc w:val="both"/>
              <w:rPr>
                <w:sz w:val="21"/>
              </w:rPr>
            </w:pPr>
            <w:r>
              <w:rPr>
                <w:spacing w:val="3"/>
                <w:w w:val="95"/>
                <w:sz w:val="21"/>
              </w:rPr>
              <w:t>功能定位：全省重要的能源、煤</w:t>
            </w:r>
            <w:r>
              <w:rPr>
                <w:spacing w:val="-7"/>
                <w:sz w:val="21"/>
              </w:rPr>
              <w:t>电化基地和钢铁生产基地，安全优质农</w:t>
            </w:r>
            <w:r>
              <w:rPr>
                <w:sz w:val="21"/>
              </w:rPr>
              <w:t>畜产品生产加工基地。</w:t>
            </w:r>
          </w:p>
          <w:p>
            <w:pPr>
              <w:pStyle w:val="TableParagraph"/>
              <w:spacing w:line="269" w:lineRule="exact"/>
              <w:ind w:left="587" w:right="-15"/>
              <w:jc w:val="left"/>
              <w:rPr>
                <w:sz w:val="21"/>
              </w:rPr>
            </w:pPr>
            <w:r>
              <w:rPr>
                <w:spacing w:val="-6"/>
                <w:sz w:val="21"/>
              </w:rPr>
              <w:t>产业发展方向及布局：发展煤炭、</w:t>
            </w:r>
          </w:p>
        </w:tc>
        <w:tc>
          <w:tcPr>
            <w:tcW w:w="2591" w:type="dxa"/>
          </w:tcPr>
          <w:p>
            <w:pPr>
              <w:pStyle w:val="TableParagraph"/>
              <w:spacing w:line="276" w:lineRule="auto" w:before="21"/>
              <w:ind w:left="107" w:right="-15" w:firstLine="420"/>
              <w:jc w:val="left"/>
              <w:rPr>
                <w:sz w:val="21"/>
              </w:rPr>
            </w:pPr>
            <w:r>
              <w:rPr>
                <w:spacing w:val="7"/>
                <w:sz w:val="21"/>
              </w:rPr>
              <w:t>本项目位于双鸭山市</w:t>
            </w:r>
            <w:r>
              <w:rPr>
                <w:spacing w:val="27"/>
                <w:sz w:val="21"/>
              </w:rPr>
              <w:t>岭东区长胜乡东兴村南</w:t>
            </w:r>
            <w:r>
              <w:rPr>
                <w:rFonts w:ascii="Times New Roman" w:eastAsia="Times New Roman"/>
                <w:spacing w:val="-7"/>
                <w:sz w:val="21"/>
              </w:rPr>
              <w:t>2.5km</w:t>
            </w:r>
            <w:r>
              <w:rPr>
                <w:spacing w:val="-7"/>
                <w:sz w:val="24"/>
              </w:rPr>
              <w:t>，</w:t>
            </w:r>
            <w:r>
              <w:rPr>
                <w:spacing w:val="-6"/>
                <w:sz w:val="21"/>
              </w:rPr>
              <w:t>为《黑龙江省主体</w:t>
            </w:r>
            <w:r>
              <w:rPr>
                <w:spacing w:val="6"/>
                <w:sz w:val="21"/>
              </w:rPr>
              <w:t>功能区规划》中省级重点开发区域。并且本项目为煤炭开采和洗选业，双鸭山市东盛矿业集团有限公</w:t>
            </w:r>
            <w:r>
              <w:rPr>
                <w:spacing w:val="5"/>
                <w:sz w:val="21"/>
              </w:rPr>
              <w:t>司进行资源整合，是接续</w:t>
            </w:r>
            <w:r>
              <w:rPr>
                <w:spacing w:val="6"/>
                <w:sz w:val="21"/>
              </w:rPr>
              <w:t>衰老报废矿井的需要。通</w:t>
            </w:r>
            <w:r>
              <w:rPr>
                <w:spacing w:val="-3"/>
                <w:sz w:val="21"/>
              </w:rPr>
              <w:t>过改扩建，提高生产效率， </w:t>
            </w:r>
            <w:r>
              <w:rPr>
                <w:spacing w:val="6"/>
                <w:sz w:val="21"/>
              </w:rPr>
              <w:t>增加企业的经济效益，满足了企业自身经济发展的</w:t>
            </w:r>
          </w:p>
          <w:p>
            <w:pPr>
              <w:pStyle w:val="TableParagraph"/>
              <w:spacing w:line="256" w:lineRule="exact"/>
              <w:ind w:left="107"/>
              <w:jc w:val="left"/>
              <w:rPr>
                <w:sz w:val="21"/>
              </w:rPr>
            </w:pPr>
            <w:r>
              <w:rPr>
                <w:spacing w:val="6"/>
                <w:w w:val="95"/>
                <w:sz w:val="21"/>
              </w:rPr>
              <w:t>需要。因此项目建设符合</w:t>
            </w:r>
          </w:p>
        </w:tc>
        <w:tc>
          <w:tcPr>
            <w:tcW w:w="71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9"/>
              <w:jc w:val="left"/>
              <w:rPr>
                <w:b/>
                <w:sz w:val="27"/>
              </w:rPr>
            </w:pPr>
          </w:p>
          <w:p>
            <w:pPr>
              <w:pStyle w:val="TableParagraph"/>
              <w:ind w:left="149"/>
              <w:jc w:val="left"/>
              <w:rPr>
                <w:sz w:val="21"/>
              </w:rPr>
            </w:pPr>
            <w:r>
              <w:rPr>
                <w:sz w:val="21"/>
              </w:rPr>
              <w:t>符合</w:t>
            </w:r>
          </w:p>
        </w:tc>
      </w:tr>
    </w:tbl>
    <w:p>
      <w:pPr>
        <w:spacing w:after="0"/>
        <w:jc w:val="left"/>
        <w:rPr>
          <w:sz w:val="21"/>
        </w:rPr>
        <w:sectPr>
          <w:pgSz w:w="11910" w:h="16840"/>
          <w:pgMar w:header="0" w:footer="947" w:top="1420" w:bottom="1220" w:left="1140" w:right="1020"/>
        </w:sectPr>
      </w:pP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3686"/>
        <w:gridCol w:w="2591"/>
        <w:gridCol w:w="719"/>
      </w:tblGrid>
      <w:tr>
        <w:trPr>
          <w:trHeight w:val="623" w:hRule="atLeast"/>
        </w:trPr>
        <w:tc>
          <w:tcPr>
            <w:tcW w:w="1384" w:type="dxa"/>
          </w:tcPr>
          <w:p>
            <w:pPr>
              <w:pStyle w:val="TableParagraph"/>
              <w:spacing w:before="21"/>
              <w:ind w:left="42" w:right="32"/>
              <w:rPr>
                <w:sz w:val="21"/>
              </w:rPr>
            </w:pPr>
            <w:r>
              <w:rPr>
                <w:sz w:val="21"/>
              </w:rPr>
              <w:t>相关政策、条</w:t>
            </w:r>
          </w:p>
          <w:p>
            <w:pPr>
              <w:pStyle w:val="TableParagraph"/>
              <w:spacing w:before="43"/>
              <w:ind w:left="39" w:right="32"/>
              <w:rPr>
                <w:sz w:val="21"/>
              </w:rPr>
            </w:pPr>
            <w:r>
              <w:rPr>
                <w:sz w:val="21"/>
              </w:rPr>
              <w:t>例、规范</w:t>
            </w:r>
          </w:p>
        </w:tc>
        <w:tc>
          <w:tcPr>
            <w:tcW w:w="3686" w:type="dxa"/>
          </w:tcPr>
          <w:p>
            <w:pPr>
              <w:pStyle w:val="TableParagraph"/>
              <w:spacing w:before="177"/>
              <w:ind w:left="1612" w:right="1604"/>
              <w:rPr>
                <w:sz w:val="21"/>
              </w:rPr>
            </w:pPr>
            <w:r>
              <w:rPr>
                <w:sz w:val="21"/>
              </w:rPr>
              <w:t>要求</w:t>
            </w:r>
          </w:p>
        </w:tc>
        <w:tc>
          <w:tcPr>
            <w:tcW w:w="2591" w:type="dxa"/>
          </w:tcPr>
          <w:p>
            <w:pPr>
              <w:pStyle w:val="TableParagraph"/>
              <w:spacing w:before="177"/>
              <w:ind w:left="769"/>
              <w:jc w:val="left"/>
              <w:rPr>
                <w:sz w:val="21"/>
              </w:rPr>
            </w:pPr>
            <w:r>
              <w:rPr>
                <w:sz w:val="21"/>
              </w:rPr>
              <w:t>符合性分析</w:t>
            </w:r>
          </w:p>
        </w:tc>
        <w:tc>
          <w:tcPr>
            <w:tcW w:w="719" w:type="dxa"/>
          </w:tcPr>
          <w:p>
            <w:pPr>
              <w:pStyle w:val="TableParagraph"/>
              <w:spacing w:before="21"/>
              <w:ind w:left="149"/>
              <w:jc w:val="left"/>
              <w:rPr>
                <w:sz w:val="21"/>
              </w:rPr>
            </w:pPr>
            <w:r>
              <w:rPr>
                <w:spacing w:val="-1"/>
                <w:w w:val="95"/>
                <w:sz w:val="21"/>
              </w:rPr>
              <w:t>是否</w:t>
            </w:r>
          </w:p>
          <w:p>
            <w:pPr>
              <w:pStyle w:val="TableParagraph"/>
              <w:spacing w:before="43"/>
              <w:ind w:left="149"/>
              <w:jc w:val="left"/>
              <w:rPr>
                <w:sz w:val="21"/>
              </w:rPr>
            </w:pPr>
            <w:r>
              <w:rPr>
                <w:spacing w:val="-1"/>
                <w:w w:val="95"/>
                <w:sz w:val="21"/>
              </w:rPr>
              <w:t>符合</w:t>
            </w:r>
          </w:p>
        </w:tc>
      </w:tr>
      <w:tr>
        <w:trPr>
          <w:trHeight w:val="8112" w:hRule="atLeast"/>
        </w:trPr>
        <w:tc>
          <w:tcPr>
            <w:tcW w:w="1384" w:type="dxa"/>
          </w:tcPr>
          <w:p>
            <w:pPr>
              <w:pStyle w:val="TableParagraph"/>
              <w:jc w:val="left"/>
              <w:rPr>
                <w:rFonts w:ascii="Times New Roman"/>
                <w:sz w:val="20"/>
              </w:rPr>
            </w:pPr>
          </w:p>
        </w:tc>
        <w:tc>
          <w:tcPr>
            <w:tcW w:w="3686" w:type="dxa"/>
          </w:tcPr>
          <w:p>
            <w:pPr>
              <w:pStyle w:val="TableParagraph"/>
              <w:spacing w:line="278" w:lineRule="auto" w:before="21"/>
              <w:ind w:left="107" w:right="-15"/>
              <w:jc w:val="left"/>
              <w:rPr>
                <w:sz w:val="21"/>
              </w:rPr>
            </w:pPr>
            <w:r>
              <w:rPr>
                <w:sz w:val="21"/>
              </w:rPr>
              <w:t>电力、煤化工、钢铁、农畜产品加工、</w:t>
            </w:r>
            <w:r>
              <w:rPr>
                <w:spacing w:val="-11"/>
                <w:sz w:val="21"/>
              </w:rPr>
              <w:t>新建材、新能源等七大主导产业。煤化</w:t>
            </w:r>
            <w:r>
              <w:rPr>
                <w:spacing w:val="-15"/>
                <w:sz w:val="21"/>
              </w:rPr>
              <w:t>工产业重点发展煤炭气化、液化为路径</w:t>
            </w:r>
            <w:r>
              <w:rPr>
                <w:spacing w:val="-13"/>
                <w:sz w:val="21"/>
              </w:rPr>
              <w:t>的甲醇、合成氨、尿素等石化替代产业</w:t>
            </w:r>
            <w:r>
              <w:rPr>
                <w:spacing w:val="-15"/>
                <w:sz w:val="21"/>
              </w:rPr>
              <w:t>及其下游产品开发、石油和天然气的开</w:t>
            </w:r>
            <w:r>
              <w:rPr>
                <w:spacing w:val="-13"/>
                <w:sz w:val="21"/>
              </w:rPr>
              <w:t>发利用。钢铁产业重点发展优质特种钢和铸造、机械加工等产业。发展绿色食</w:t>
            </w:r>
            <w:r>
              <w:rPr>
                <w:spacing w:val="-14"/>
                <w:sz w:val="21"/>
              </w:rPr>
              <w:t>品精深加工、生物质能、生物化工、新</w:t>
            </w:r>
            <w:r>
              <w:rPr>
                <w:spacing w:val="-12"/>
                <w:sz w:val="21"/>
              </w:rPr>
              <w:t>建材、新能源等产业。尖山区重点发展</w:t>
            </w:r>
            <w:r>
              <w:rPr>
                <w:spacing w:val="-14"/>
                <w:sz w:val="21"/>
              </w:rPr>
              <w:t>现代服务业；岭东区重点发展煤炭、煤</w:t>
            </w:r>
            <w:r>
              <w:rPr>
                <w:spacing w:val="-12"/>
                <w:sz w:val="21"/>
              </w:rPr>
              <w:t>化工、冶金、建材产业；四方台区重点</w:t>
            </w:r>
            <w:r>
              <w:rPr>
                <w:spacing w:val="-13"/>
                <w:sz w:val="21"/>
              </w:rPr>
              <w:t>发展煤炭、煤炭深加工、建材、特种物</w:t>
            </w:r>
            <w:r>
              <w:rPr>
                <w:spacing w:val="-17"/>
                <w:sz w:val="21"/>
              </w:rPr>
              <w:t>流业以及煤化工产业配套行业；宝山区</w:t>
            </w:r>
            <w:r>
              <w:rPr>
                <w:spacing w:val="-15"/>
                <w:sz w:val="21"/>
              </w:rPr>
              <w:t>重点发展煤炭、电力以及能源综合利用产业。</w:t>
            </w:r>
          </w:p>
          <w:p>
            <w:pPr>
              <w:pStyle w:val="TableParagraph"/>
              <w:spacing w:line="278" w:lineRule="auto"/>
              <w:ind w:left="107" w:right="-15" w:firstLine="480"/>
              <w:jc w:val="left"/>
              <w:rPr>
                <w:sz w:val="21"/>
              </w:rPr>
            </w:pPr>
            <w:r>
              <w:rPr>
                <w:spacing w:val="3"/>
                <w:sz w:val="21"/>
              </w:rPr>
              <w:t>生态建设：加强水土流失预防和</w:t>
            </w:r>
            <w:r>
              <w:rPr>
                <w:spacing w:val="-10"/>
                <w:sz w:val="21"/>
              </w:rPr>
              <w:t>治理。开展重点矿区生态修复、环境治</w:t>
            </w:r>
            <w:r>
              <w:rPr>
                <w:spacing w:val="-18"/>
                <w:sz w:val="21"/>
              </w:rPr>
              <w:t>理和水资源保护，加强煤矸石、粉煤灰、钢渣等废弃物和采煤沉陷区综合治理， </w:t>
            </w:r>
            <w:r>
              <w:rPr>
                <w:spacing w:val="6"/>
                <w:sz w:val="21"/>
              </w:rPr>
              <w:t>提高矿区土地复垦和矿井水回收利用率。</w:t>
            </w:r>
          </w:p>
          <w:p>
            <w:pPr>
              <w:pStyle w:val="TableParagraph"/>
              <w:spacing w:line="278" w:lineRule="auto"/>
              <w:ind w:left="107" w:right="96" w:firstLine="480"/>
              <w:jc w:val="both"/>
              <w:rPr>
                <w:sz w:val="21"/>
              </w:rPr>
            </w:pPr>
            <w:r>
              <w:rPr>
                <w:spacing w:val="3"/>
                <w:w w:val="95"/>
                <w:sz w:val="21"/>
              </w:rPr>
              <w:t>基础设施建设：提升城市总体功</w:t>
            </w:r>
            <w:r>
              <w:rPr>
                <w:spacing w:val="-11"/>
                <w:sz w:val="21"/>
              </w:rPr>
              <w:t>能，完善各类产业园区的外部配套基础设施，加快东部煤、粮、钢等大宗物品</w:t>
            </w:r>
            <w:r>
              <w:rPr>
                <w:spacing w:val="-9"/>
                <w:sz w:val="21"/>
              </w:rPr>
              <w:t>的仓储物流以及运输通道建设，逐步实</w:t>
            </w:r>
          </w:p>
          <w:p>
            <w:pPr>
              <w:pStyle w:val="TableParagraph"/>
              <w:spacing w:line="269" w:lineRule="exact"/>
              <w:ind w:left="107"/>
              <w:jc w:val="left"/>
              <w:rPr>
                <w:sz w:val="21"/>
              </w:rPr>
            </w:pPr>
            <w:r>
              <w:rPr>
                <w:sz w:val="21"/>
              </w:rPr>
              <w:t>施城市中心区扩大工程。</w:t>
            </w:r>
          </w:p>
        </w:tc>
        <w:tc>
          <w:tcPr>
            <w:tcW w:w="2591" w:type="dxa"/>
          </w:tcPr>
          <w:p>
            <w:pPr>
              <w:pStyle w:val="TableParagraph"/>
              <w:spacing w:line="278" w:lineRule="auto" w:before="21"/>
              <w:ind w:left="107" w:right="97"/>
              <w:jc w:val="left"/>
              <w:rPr>
                <w:sz w:val="21"/>
              </w:rPr>
            </w:pPr>
            <w:r>
              <w:rPr>
                <w:sz w:val="21"/>
              </w:rPr>
              <w:t>《黑龙江省主体功能区规划》。</w:t>
            </w:r>
          </w:p>
        </w:tc>
        <w:tc>
          <w:tcPr>
            <w:tcW w:w="719" w:type="dxa"/>
          </w:tcPr>
          <w:p>
            <w:pPr>
              <w:pStyle w:val="TableParagraph"/>
              <w:jc w:val="left"/>
              <w:rPr>
                <w:rFonts w:ascii="Times New Roman"/>
                <w:sz w:val="20"/>
              </w:rPr>
            </w:pPr>
          </w:p>
        </w:tc>
      </w:tr>
      <w:tr>
        <w:trPr>
          <w:trHeight w:val="3431" w:hRule="atLeast"/>
        </w:trPr>
        <w:tc>
          <w:tcPr>
            <w:tcW w:w="138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2"/>
              <w:jc w:val="left"/>
              <w:rPr>
                <w:b/>
                <w:sz w:val="18"/>
              </w:rPr>
            </w:pPr>
          </w:p>
          <w:p>
            <w:pPr>
              <w:pStyle w:val="TableParagraph"/>
              <w:spacing w:line="278" w:lineRule="auto"/>
              <w:ind w:left="166" w:right="156"/>
              <w:rPr>
                <w:sz w:val="21"/>
              </w:rPr>
            </w:pPr>
            <w:r>
              <w:rPr>
                <w:sz w:val="21"/>
              </w:rPr>
              <w:t>《黑龙江省生态功能区划》</w:t>
            </w:r>
          </w:p>
        </w:tc>
        <w:tc>
          <w:tcPr>
            <w:tcW w:w="3686" w:type="dxa"/>
          </w:tcPr>
          <w:p>
            <w:pPr>
              <w:pStyle w:val="TableParagraph"/>
              <w:spacing w:line="278" w:lineRule="auto" w:before="20"/>
              <w:ind w:left="107" w:right="-15" w:firstLine="420"/>
              <w:jc w:val="left"/>
              <w:rPr>
                <w:sz w:val="21"/>
              </w:rPr>
            </w:pPr>
            <w:r>
              <w:rPr>
                <w:sz w:val="21"/>
              </w:rPr>
              <w:t>根据《黑龙江省生态功能区划》， </w:t>
            </w:r>
            <w:r>
              <w:rPr>
                <w:spacing w:val="16"/>
                <w:sz w:val="21"/>
              </w:rPr>
              <w:t>双鸭山市属于</w:t>
            </w:r>
            <w:r>
              <w:rPr>
                <w:b/>
                <w:sz w:val="21"/>
              </w:rPr>
              <w:t>Ⅰ</w:t>
            </w:r>
            <w:r>
              <w:rPr>
                <w:rFonts w:ascii="Times New Roman" w:hAnsi="Times New Roman" w:eastAsia="Times New Roman"/>
                <w:b/>
                <w:sz w:val="21"/>
              </w:rPr>
              <w:t>—3—2—3</w:t>
            </w:r>
            <w:r>
              <w:rPr>
                <w:rFonts w:ascii="Times New Roman" w:hAnsi="Times New Roman" w:eastAsia="Times New Roman"/>
                <w:b/>
                <w:spacing w:val="9"/>
                <w:sz w:val="21"/>
              </w:rPr>
              <w:t> </w:t>
            </w:r>
            <w:r>
              <w:rPr>
                <w:b/>
                <w:spacing w:val="17"/>
                <w:sz w:val="21"/>
              </w:rPr>
              <w:t>双鸭山</w:t>
            </w:r>
            <w:r>
              <w:rPr>
                <w:rFonts w:ascii="Times New Roman" w:hAnsi="Times New Roman" w:eastAsia="Times New Roman"/>
                <w:b/>
                <w:sz w:val="21"/>
              </w:rPr>
              <w:t>— </w:t>
            </w:r>
            <w:r>
              <w:rPr>
                <w:b/>
                <w:spacing w:val="8"/>
                <w:sz w:val="21"/>
              </w:rPr>
              <w:t>集贤矿业与林业、农业生态功能区</w:t>
            </w:r>
            <w:r>
              <w:rPr>
                <w:sz w:val="21"/>
              </w:rPr>
              <w:t>， </w:t>
            </w:r>
            <w:r>
              <w:rPr>
                <w:spacing w:val="-10"/>
                <w:sz w:val="21"/>
              </w:rPr>
              <w:t>主要生态环境问题：矿山开采导致生态</w:t>
            </w:r>
            <w:r>
              <w:rPr>
                <w:spacing w:val="-14"/>
                <w:sz w:val="21"/>
              </w:rPr>
              <w:t>环境极为脆弱；资源超采严重；产业结</w:t>
            </w:r>
            <w:r>
              <w:rPr>
                <w:spacing w:val="-13"/>
                <w:sz w:val="21"/>
              </w:rPr>
              <w:t>构不合理，物能消耗高，产生较大的环境压力。主要生态系统服务功能：土地</w:t>
            </w:r>
            <w:r>
              <w:rPr>
                <w:spacing w:val="-14"/>
                <w:sz w:val="21"/>
              </w:rPr>
              <w:t>沙漠化控制、土壤保持、矿、林、农业</w:t>
            </w:r>
            <w:r>
              <w:rPr>
                <w:spacing w:val="-13"/>
                <w:sz w:val="21"/>
              </w:rPr>
              <w:t>生产。保护措施与发展方向：加大对开</w:t>
            </w:r>
            <w:r>
              <w:rPr>
                <w:spacing w:val="-16"/>
                <w:sz w:val="21"/>
              </w:rPr>
              <w:t>采迹地的恢复工作，调整产业结构，加</w:t>
            </w:r>
          </w:p>
          <w:p>
            <w:pPr>
              <w:pStyle w:val="TableParagraph"/>
              <w:spacing w:line="268" w:lineRule="exact"/>
              <w:ind w:left="107"/>
              <w:jc w:val="left"/>
              <w:rPr>
                <w:sz w:val="21"/>
              </w:rPr>
            </w:pPr>
            <w:r>
              <w:rPr>
                <w:sz w:val="21"/>
              </w:rPr>
              <w:t>大城市环境基础设施建设。</w:t>
            </w:r>
          </w:p>
        </w:tc>
        <w:tc>
          <w:tcPr>
            <w:tcW w:w="2591" w:type="dxa"/>
          </w:tcPr>
          <w:p>
            <w:pPr>
              <w:pStyle w:val="TableParagraph"/>
              <w:jc w:val="left"/>
              <w:rPr>
                <w:b/>
                <w:sz w:val="20"/>
              </w:rPr>
            </w:pPr>
          </w:p>
          <w:p>
            <w:pPr>
              <w:pStyle w:val="TableParagraph"/>
              <w:spacing w:before="1"/>
              <w:jc w:val="left"/>
              <w:rPr>
                <w:b/>
                <w:sz w:val="18"/>
              </w:rPr>
            </w:pPr>
          </w:p>
          <w:p>
            <w:pPr>
              <w:pStyle w:val="TableParagraph"/>
              <w:spacing w:line="278" w:lineRule="auto"/>
              <w:ind w:left="107" w:right="95" w:firstLine="420"/>
              <w:jc w:val="both"/>
              <w:rPr>
                <w:sz w:val="21"/>
              </w:rPr>
            </w:pPr>
            <w:r>
              <w:rPr>
                <w:spacing w:val="5"/>
                <w:sz w:val="21"/>
              </w:rPr>
              <w:t>本项目位于双鸭山市</w:t>
            </w:r>
            <w:r>
              <w:rPr>
                <w:spacing w:val="26"/>
                <w:sz w:val="21"/>
              </w:rPr>
              <w:t>岭东区长胜乡东兴村南</w:t>
            </w:r>
            <w:r>
              <w:rPr>
                <w:rFonts w:ascii="Times New Roman" w:eastAsia="Times New Roman"/>
                <w:sz w:val="21"/>
              </w:rPr>
              <w:t>2.5km </w:t>
            </w:r>
            <w:r>
              <w:rPr>
                <w:spacing w:val="-14"/>
                <w:sz w:val="21"/>
              </w:rPr>
              <w:t>处，所占用土地为建</w:t>
            </w:r>
            <w:r>
              <w:rPr>
                <w:spacing w:val="5"/>
                <w:sz w:val="21"/>
              </w:rPr>
              <w:t>设用地，确保在施工期、运营期采取相应有效的生态环境保护措施，因此， 本项目建设不违背《黑龙</w:t>
            </w:r>
            <w:r>
              <w:rPr>
                <w:sz w:val="21"/>
              </w:rPr>
              <w:t>江省生态功能区划》。</w:t>
            </w:r>
          </w:p>
        </w:tc>
        <w:tc>
          <w:tcPr>
            <w:tcW w:w="71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3"/>
              </w:rPr>
            </w:pPr>
          </w:p>
          <w:p>
            <w:pPr>
              <w:pStyle w:val="TableParagraph"/>
              <w:ind w:left="128" w:right="121"/>
              <w:rPr>
                <w:sz w:val="21"/>
              </w:rPr>
            </w:pPr>
            <w:r>
              <w:rPr>
                <w:sz w:val="21"/>
              </w:rPr>
              <w:t>符合</w:t>
            </w:r>
          </w:p>
        </w:tc>
      </w:tr>
      <w:tr>
        <w:trPr>
          <w:trHeight w:val="1557" w:hRule="atLeast"/>
        </w:trPr>
        <w:tc>
          <w:tcPr>
            <w:tcW w:w="1384" w:type="dxa"/>
          </w:tcPr>
          <w:p>
            <w:pPr>
              <w:pStyle w:val="TableParagraph"/>
              <w:spacing w:line="278" w:lineRule="auto" w:before="176"/>
              <w:ind w:left="108" w:right="5" w:hanging="94"/>
              <w:rPr>
                <w:sz w:val="21"/>
              </w:rPr>
            </w:pPr>
            <w:r>
              <w:rPr>
                <w:sz w:val="21"/>
              </w:rPr>
              <w:t>《黑龙江省 生态环境保 </w:t>
            </w:r>
            <w:r>
              <w:rPr>
                <w:spacing w:val="-3"/>
                <w:sz w:val="21"/>
              </w:rPr>
              <w:t>护“十三五” </w:t>
            </w:r>
            <w:r>
              <w:rPr>
                <w:sz w:val="21"/>
              </w:rPr>
              <w:t>规划》</w:t>
            </w:r>
          </w:p>
        </w:tc>
        <w:tc>
          <w:tcPr>
            <w:tcW w:w="3686" w:type="dxa"/>
          </w:tcPr>
          <w:p>
            <w:pPr>
              <w:pStyle w:val="TableParagraph"/>
              <w:spacing w:line="278" w:lineRule="auto" w:before="20"/>
              <w:ind w:left="107" w:right="96" w:firstLine="420"/>
              <w:jc w:val="both"/>
              <w:rPr>
                <w:sz w:val="21"/>
              </w:rPr>
            </w:pPr>
            <w:r>
              <w:rPr>
                <w:spacing w:val="7"/>
                <w:w w:val="95"/>
                <w:sz w:val="21"/>
              </w:rPr>
              <w:t>《黑龙江省生态环境保护“十三</w:t>
            </w:r>
            <w:r>
              <w:rPr>
                <w:spacing w:val="-5"/>
                <w:sz w:val="21"/>
              </w:rPr>
              <w:t>五”规划》总体目标：到 </w:t>
            </w:r>
            <w:r>
              <w:rPr>
                <w:rFonts w:ascii="Times New Roman" w:hAnsi="Times New Roman" w:eastAsia="Times New Roman"/>
                <w:sz w:val="21"/>
              </w:rPr>
              <w:t>2020 </w:t>
            </w:r>
            <w:r>
              <w:rPr>
                <w:spacing w:val="-4"/>
                <w:sz w:val="21"/>
              </w:rPr>
              <w:t>年，全</w:t>
            </w:r>
            <w:r>
              <w:rPr>
                <w:spacing w:val="-10"/>
                <w:sz w:val="21"/>
              </w:rPr>
              <w:t>省生态环境质量总体改善。地表水水环</w:t>
            </w:r>
            <w:r>
              <w:rPr>
                <w:spacing w:val="5"/>
                <w:w w:val="95"/>
                <w:sz w:val="21"/>
              </w:rPr>
              <w:t>境质量在总体稳定的基础上进一步改</w:t>
            </w:r>
          </w:p>
          <w:p>
            <w:pPr>
              <w:pStyle w:val="TableParagraph"/>
              <w:spacing w:line="269" w:lineRule="exact"/>
              <w:ind w:left="107"/>
              <w:jc w:val="left"/>
              <w:rPr>
                <w:sz w:val="21"/>
              </w:rPr>
            </w:pPr>
            <w:r>
              <w:rPr>
                <w:spacing w:val="-11"/>
                <w:w w:val="95"/>
                <w:sz w:val="21"/>
              </w:rPr>
              <w:t>善，污染严重水体得到有效治理，饮用</w:t>
            </w:r>
          </w:p>
        </w:tc>
        <w:tc>
          <w:tcPr>
            <w:tcW w:w="2591" w:type="dxa"/>
          </w:tcPr>
          <w:p>
            <w:pPr>
              <w:pStyle w:val="TableParagraph"/>
              <w:spacing w:line="278" w:lineRule="auto" w:before="20"/>
              <w:ind w:left="107" w:right="97" w:firstLine="420"/>
              <w:jc w:val="both"/>
              <w:rPr>
                <w:sz w:val="21"/>
              </w:rPr>
            </w:pPr>
            <w:r>
              <w:rPr>
                <w:sz w:val="21"/>
              </w:rPr>
              <w:t>本项目对矿井涌水、矸石、土地复垦等采取了合理的环境治理和生态保护措施本项目与《黑龙江</w:t>
            </w:r>
          </w:p>
          <w:p>
            <w:pPr>
              <w:pStyle w:val="TableParagraph"/>
              <w:spacing w:line="269" w:lineRule="exact"/>
              <w:ind w:left="107" w:right="-15"/>
              <w:jc w:val="left"/>
              <w:rPr>
                <w:sz w:val="21"/>
              </w:rPr>
            </w:pPr>
            <w:r>
              <w:rPr>
                <w:spacing w:val="-6"/>
                <w:sz w:val="21"/>
              </w:rPr>
              <w:t>省生态环境保护“十三五”</w:t>
            </w:r>
          </w:p>
        </w:tc>
        <w:tc>
          <w:tcPr>
            <w:tcW w:w="719" w:type="dxa"/>
          </w:tcPr>
          <w:p>
            <w:pPr>
              <w:pStyle w:val="TableParagraph"/>
              <w:jc w:val="left"/>
              <w:rPr>
                <w:b/>
                <w:sz w:val="20"/>
              </w:rPr>
            </w:pPr>
          </w:p>
          <w:p>
            <w:pPr>
              <w:pStyle w:val="TableParagraph"/>
              <w:jc w:val="left"/>
              <w:rPr>
                <w:b/>
                <w:sz w:val="20"/>
              </w:rPr>
            </w:pPr>
          </w:p>
          <w:p>
            <w:pPr>
              <w:pStyle w:val="TableParagraph"/>
              <w:spacing w:before="131"/>
              <w:ind w:left="128" w:right="121"/>
              <w:rPr>
                <w:sz w:val="21"/>
              </w:rPr>
            </w:pPr>
            <w:r>
              <w:rPr>
                <w:sz w:val="21"/>
              </w:rPr>
              <w:t>符合</w:t>
            </w:r>
          </w:p>
        </w:tc>
      </w:tr>
    </w:tbl>
    <w:p>
      <w:pPr>
        <w:spacing w:after="0"/>
        <w:rPr>
          <w:sz w:val="21"/>
        </w:rPr>
        <w:sectPr>
          <w:pgSz w:w="11910" w:h="16840"/>
          <w:pgMar w:header="0" w:footer="947" w:top="1420" w:bottom="1140" w:left="1140" w:right="1020"/>
        </w:sectPr>
      </w:pP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3686"/>
        <w:gridCol w:w="2591"/>
        <w:gridCol w:w="719"/>
      </w:tblGrid>
      <w:tr>
        <w:trPr>
          <w:trHeight w:val="623" w:hRule="atLeast"/>
        </w:trPr>
        <w:tc>
          <w:tcPr>
            <w:tcW w:w="1384" w:type="dxa"/>
          </w:tcPr>
          <w:p>
            <w:pPr>
              <w:pStyle w:val="TableParagraph"/>
              <w:spacing w:before="21"/>
              <w:ind w:left="42" w:right="32"/>
              <w:rPr>
                <w:sz w:val="21"/>
              </w:rPr>
            </w:pPr>
            <w:r>
              <w:rPr>
                <w:sz w:val="21"/>
              </w:rPr>
              <w:t>相关政策、条</w:t>
            </w:r>
          </w:p>
          <w:p>
            <w:pPr>
              <w:pStyle w:val="TableParagraph"/>
              <w:spacing w:before="43"/>
              <w:ind w:left="39" w:right="32"/>
              <w:rPr>
                <w:sz w:val="21"/>
              </w:rPr>
            </w:pPr>
            <w:r>
              <w:rPr>
                <w:sz w:val="21"/>
              </w:rPr>
              <w:t>例、规范</w:t>
            </w:r>
          </w:p>
        </w:tc>
        <w:tc>
          <w:tcPr>
            <w:tcW w:w="3686" w:type="dxa"/>
          </w:tcPr>
          <w:p>
            <w:pPr>
              <w:pStyle w:val="TableParagraph"/>
              <w:spacing w:before="177"/>
              <w:ind w:left="1612" w:right="1604"/>
              <w:rPr>
                <w:sz w:val="21"/>
              </w:rPr>
            </w:pPr>
            <w:r>
              <w:rPr>
                <w:sz w:val="21"/>
              </w:rPr>
              <w:t>要求</w:t>
            </w:r>
          </w:p>
        </w:tc>
        <w:tc>
          <w:tcPr>
            <w:tcW w:w="2591" w:type="dxa"/>
          </w:tcPr>
          <w:p>
            <w:pPr>
              <w:pStyle w:val="TableParagraph"/>
              <w:spacing w:before="177"/>
              <w:ind w:left="769"/>
              <w:jc w:val="left"/>
              <w:rPr>
                <w:sz w:val="21"/>
              </w:rPr>
            </w:pPr>
            <w:r>
              <w:rPr>
                <w:sz w:val="21"/>
              </w:rPr>
              <w:t>符合性分析</w:t>
            </w:r>
          </w:p>
        </w:tc>
        <w:tc>
          <w:tcPr>
            <w:tcW w:w="719" w:type="dxa"/>
          </w:tcPr>
          <w:p>
            <w:pPr>
              <w:pStyle w:val="TableParagraph"/>
              <w:spacing w:before="21"/>
              <w:ind w:left="149"/>
              <w:jc w:val="left"/>
              <w:rPr>
                <w:sz w:val="21"/>
              </w:rPr>
            </w:pPr>
            <w:r>
              <w:rPr>
                <w:spacing w:val="-1"/>
                <w:w w:val="95"/>
                <w:sz w:val="21"/>
              </w:rPr>
              <w:t>是否</w:t>
            </w:r>
          </w:p>
          <w:p>
            <w:pPr>
              <w:pStyle w:val="TableParagraph"/>
              <w:spacing w:before="43"/>
              <w:ind w:left="149"/>
              <w:jc w:val="left"/>
              <w:rPr>
                <w:sz w:val="21"/>
              </w:rPr>
            </w:pPr>
            <w:r>
              <w:rPr>
                <w:spacing w:val="-1"/>
                <w:w w:val="95"/>
                <w:sz w:val="21"/>
              </w:rPr>
              <w:t>符合</w:t>
            </w:r>
          </w:p>
        </w:tc>
      </w:tr>
      <w:tr>
        <w:trPr>
          <w:trHeight w:val="3120" w:hRule="atLeast"/>
        </w:trPr>
        <w:tc>
          <w:tcPr>
            <w:tcW w:w="1384" w:type="dxa"/>
          </w:tcPr>
          <w:p>
            <w:pPr>
              <w:pStyle w:val="TableParagraph"/>
              <w:jc w:val="left"/>
              <w:rPr>
                <w:rFonts w:ascii="Times New Roman"/>
                <w:sz w:val="22"/>
              </w:rPr>
            </w:pPr>
          </w:p>
        </w:tc>
        <w:tc>
          <w:tcPr>
            <w:tcW w:w="3686" w:type="dxa"/>
          </w:tcPr>
          <w:p>
            <w:pPr>
              <w:pStyle w:val="TableParagraph"/>
              <w:spacing w:line="278" w:lineRule="auto" w:before="21"/>
              <w:ind w:left="107" w:right="-15"/>
              <w:jc w:val="left"/>
              <w:rPr>
                <w:sz w:val="21"/>
              </w:rPr>
            </w:pPr>
            <w:r>
              <w:rPr>
                <w:spacing w:val="-10"/>
                <w:sz w:val="21"/>
              </w:rPr>
              <w:t>水安全得到有效保障；城市大气环境质</w:t>
            </w:r>
            <w:r>
              <w:rPr>
                <w:spacing w:val="-13"/>
                <w:sz w:val="21"/>
              </w:rPr>
              <w:t>量持续改善，重点行业和重点区域大气</w:t>
            </w:r>
            <w:r>
              <w:rPr>
                <w:spacing w:val="-15"/>
                <w:sz w:val="21"/>
              </w:rPr>
              <w:t>污染治理成效明显；土壤环境质量保持稳定；主要污染物排放总量显著减少； </w:t>
            </w:r>
            <w:r>
              <w:rPr>
                <w:spacing w:val="-17"/>
                <w:sz w:val="21"/>
              </w:rPr>
              <w:t>生态系统稳定性明显增强，农村环境质量初步改善；环境风险得到有效管控； </w:t>
            </w:r>
            <w:r>
              <w:rPr>
                <w:spacing w:val="6"/>
                <w:sz w:val="21"/>
              </w:rPr>
              <w:t>生态环境治理体系与治理能力现代化</w:t>
            </w:r>
            <w:r>
              <w:rPr>
                <w:spacing w:val="-10"/>
                <w:sz w:val="21"/>
              </w:rPr>
              <w:t>取得进展，筑牢“美丽龙江”的环境基</w:t>
            </w:r>
            <w:r>
              <w:rPr>
                <w:spacing w:val="-12"/>
                <w:sz w:val="21"/>
              </w:rPr>
              <w:t>础，使生态文明建设水平与全面建成小</w:t>
            </w:r>
          </w:p>
          <w:p>
            <w:pPr>
              <w:pStyle w:val="TableParagraph"/>
              <w:spacing w:line="268" w:lineRule="exact"/>
              <w:ind w:left="107"/>
              <w:jc w:val="left"/>
              <w:rPr>
                <w:sz w:val="21"/>
              </w:rPr>
            </w:pPr>
            <w:r>
              <w:rPr>
                <w:sz w:val="21"/>
              </w:rPr>
              <w:t>康社会相适应。</w:t>
            </w:r>
          </w:p>
        </w:tc>
        <w:tc>
          <w:tcPr>
            <w:tcW w:w="2591" w:type="dxa"/>
          </w:tcPr>
          <w:p>
            <w:pPr>
              <w:pStyle w:val="TableParagraph"/>
              <w:spacing w:before="21"/>
              <w:ind w:left="107"/>
              <w:jc w:val="left"/>
              <w:rPr>
                <w:sz w:val="21"/>
              </w:rPr>
            </w:pPr>
            <w:r>
              <w:rPr>
                <w:sz w:val="21"/>
              </w:rPr>
              <w:t>规划》相符合。</w:t>
            </w:r>
          </w:p>
        </w:tc>
        <w:tc>
          <w:tcPr>
            <w:tcW w:w="719" w:type="dxa"/>
          </w:tcPr>
          <w:p>
            <w:pPr>
              <w:pStyle w:val="TableParagraph"/>
              <w:jc w:val="left"/>
              <w:rPr>
                <w:rFonts w:ascii="Times New Roman"/>
                <w:sz w:val="22"/>
              </w:rPr>
            </w:pPr>
          </w:p>
        </w:tc>
      </w:tr>
      <w:tr>
        <w:trPr>
          <w:trHeight w:val="3744" w:hRule="atLeast"/>
        </w:trPr>
        <w:tc>
          <w:tcPr>
            <w:tcW w:w="138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0"/>
              <w:jc w:val="left"/>
              <w:rPr>
                <w:b/>
                <w:sz w:val="26"/>
              </w:rPr>
            </w:pPr>
          </w:p>
          <w:p>
            <w:pPr>
              <w:pStyle w:val="TableParagraph"/>
              <w:spacing w:line="278" w:lineRule="auto"/>
              <w:ind w:left="166" w:right="156"/>
              <w:rPr>
                <w:sz w:val="21"/>
              </w:rPr>
            </w:pPr>
            <w:r>
              <w:rPr>
                <w:sz w:val="21"/>
              </w:rPr>
              <w:t>《黑龙江省水土保持规划</w:t>
            </w:r>
          </w:p>
          <w:p>
            <w:pPr>
              <w:pStyle w:val="TableParagraph"/>
              <w:spacing w:line="269" w:lineRule="exact"/>
              <w:ind w:left="42" w:right="79"/>
              <w:rPr>
                <w:rFonts w:ascii="Times New Roman" w:eastAsia="Times New Roman"/>
                <w:sz w:val="21"/>
              </w:rPr>
            </w:pPr>
            <w:r>
              <w:rPr>
                <w:sz w:val="21"/>
              </w:rPr>
              <w:t>（</w:t>
            </w:r>
            <w:r>
              <w:rPr>
                <w:rFonts w:ascii="Times New Roman" w:eastAsia="Times New Roman"/>
                <w:sz w:val="21"/>
              </w:rPr>
              <w:t>2015-2030</w:t>
            </w:r>
          </w:p>
          <w:p>
            <w:pPr>
              <w:pStyle w:val="TableParagraph"/>
              <w:spacing w:before="43"/>
              <w:ind w:left="42" w:right="32"/>
              <w:rPr>
                <w:sz w:val="21"/>
              </w:rPr>
            </w:pPr>
            <w:r>
              <w:rPr>
                <w:sz w:val="21"/>
              </w:rPr>
              <w:t>年）》</w:t>
            </w:r>
          </w:p>
        </w:tc>
        <w:tc>
          <w:tcPr>
            <w:tcW w:w="3686" w:type="dxa"/>
          </w:tcPr>
          <w:p>
            <w:pPr>
              <w:pStyle w:val="TableParagraph"/>
              <w:spacing w:line="278" w:lineRule="auto" w:before="176"/>
              <w:ind w:left="107" w:right="81" w:firstLine="420"/>
              <w:jc w:val="right"/>
              <w:rPr>
                <w:sz w:val="21"/>
              </w:rPr>
            </w:pPr>
            <w:r>
              <w:rPr>
                <w:spacing w:val="8"/>
                <w:w w:val="95"/>
                <w:sz w:val="21"/>
              </w:rPr>
              <w:t>双鸭山市属于东南部山地丘陵水</w:t>
            </w:r>
            <w:r>
              <w:rPr>
                <w:spacing w:val="-3"/>
                <w:w w:val="95"/>
                <w:sz w:val="21"/>
              </w:rPr>
              <w:t>质维护保土区</w:t>
            </w:r>
            <w:r>
              <w:rPr>
                <w:spacing w:val="-1"/>
                <w:w w:val="95"/>
                <w:sz w:val="21"/>
              </w:rPr>
              <w:t>（</w:t>
            </w:r>
            <w:r>
              <w:rPr>
                <w:rFonts w:ascii="Times New Roman" w:eastAsia="Times New Roman"/>
                <w:spacing w:val="-1"/>
                <w:w w:val="95"/>
                <w:sz w:val="21"/>
              </w:rPr>
              <w:t>I-2-3st</w:t>
            </w:r>
            <w:r>
              <w:rPr>
                <w:spacing w:val="-1"/>
                <w:w w:val="95"/>
                <w:sz w:val="21"/>
              </w:rPr>
              <w:t>），</w:t>
            </w:r>
            <w:r>
              <w:rPr>
                <w:w w:val="95"/>
                <w:sz w:val="21"/>
              </w:rPr>
              <w:t>本区包括五</w:t>
            </w:r>
            <w:r>
              <w:rPr>
                <w:spacing w:val="-11"/>
                <w:w w:val="95"/>
                <w:sz w:val="21"/>
              </w:rPr>
              <w:t>常市、尚志市、佳木斯市、双鸭山市和</w:t>
            </w:r>
            <w:r>
              <w:rPr>
                <w:spacing w:val="-15"/>
                <w:sz w:val="21"/>
              </w:rPr>
              <w:t>依兰县等 </w:t>
            </w:r>
            <w:r>
              <w:rPr>
                <w:rFonts w:ascii="Times New Roman" w:eastAsia="Times New Roman"/>
                <w:sz w:val="21"/>
              </w:rPr>
              <w:t>14 </w:t>
            </w:r>
            <w:r>
              <w:rPr>
                <w:sz w:val="21"/>
              </w:rPr>
              <w:t>市</w:t>
            </w:r>
            <w:r>
              <w:rPr>
                <w:rFonts w:ascii="Times New Roman" w:eastAsia="Times New Roman"/>
                <w:sz w:val="21"/>
              </w:rPr>
              <w:t>(</w:t>
            </w:r>
            <w:r>
              <w:rPr>
                <w:sz w:val="21"/>
              </w:rPr>
              <w:t>县</w:t>
            </w:r>
            <w:r>
              <w:rPr>
                <w:rFonts w:ascii="Times New Roman" w:eastAsia="Times New Roman"/>
                <w:sz w:val="21"/>
              </w:rPr>
              <w:t>)</w:t>
            </w:r>
            <w:r>
              <w:rPr>
                <w:spacing w:val="-7"/>
                <w:sz w:val="21"/>
              </w:rPr>
              <w:t>，区域总面积 </w:t>
            </w:r>
            <w:r>
              <w:rPr>
                <w:rFonts w:ascii="Times New Roman" w:eastAsia="Times New Roman"/>
                <w:sz w:val="21"/>
              </w:rPr>
              <w:t>4448</w:t>
            </w:r>
            <w:r>
              <w:rPr>
                <w:rFonts w:ascii="Times New Roman" w:eastAsia="Times New Roman"/>
                <w:w w:val="99"/>
                <w:sz w:val="21"/>
              </w:rPr>
              <w:t> </w:t>
            </w:r>
            <w:r>
              <w:rPr>
                <w:rFonts w:ascii="Times New Roman" w:eastAsia="Times New Roman"/>
                <w:w w:val="95"/>
                <w:sz w:val="21"/>
              </w:rPr>
              <w:t>km</w:t>
            </w:r>
            <w:r>
              <w:rPr>
                <w:rFonts w:ascii="Times New Roman" w:eastAsia="Times New Roman"/>
                <w:w w:val="95"/>
                <w:position w:val="7"/>
                <w:sz w:val="13"/>
              </w:rPr>
              <w:t>2</w:t>
            </w:r>
            <w:r>
              <w:rPr>
                <w:w w:val="95"/>
                <w:sz w:val="21"/>
              </w:rPr>
              <w:t>，本区水土流失类型为水力侵蚀。</w:t>
            </w:r>
            <w:r>
              <w:rPr>
                <w:spacing w:val="8"/>
                <w:w w:val="95"/>
                <w:sz w:val="21"/>
              </w:rPr>
              <w:t>主导基础功能及社会经济功能本</w:t>
            </w:r>
          </w:p>
          <w:p>
            <w:pPr>
              <w:pStyle w:val="TableParagraph"/>
              <w:spacing w:line="278" w:lineRule="auto"/>
              <w:ind w:left="107" w:right="-15"/>
              <w:jc w:val="left"/>
              <w:rPr>
                <w:sz w:val="21"/>
              </w:rPr>
            </w:pPr>
            <w:r>
              <w:rPr>
                <w:sz w:val="21"/>
              </w:rPr>
              <w:t>区水土保持主导基础功能为水质维护、</w:t>
            </w:r>
            <w:r>
              <w:rPr>
                <w:spacing w:val="2"/>
                <w:sz w:val="21"/>
              </w:rPr>
              <w:t>水源涵养、农田防护、拦沙减沙</w:t>
            </w:r>
            <w:r>
              <w:rPr>
                <w:rFonts w:ascii="Times New Roman" w:eastAsia="Times New Roman"/>
                <w:spacing w:val="4"/>
                <w:sz w:val="21"/>
              </w:rPr>
              <w:t>;</w:t>
            </w:r>
            <w:r>
              <w:rPr>
                <w:spacing w:val="2"/>
                <w:sz w:val="21"/>
              </w:rPr>
              <w:t>社会经济功能为农业林业生产、粮食生产、</w:t>
            </w:r>
            <w:r>
              <w:rPr>
                <w:spacing w:val="-10"/>
                <w:sz w:val="21"/>
              </w:rPr>
              <w:t>水源地保护、土地生产力保护、饮水安全保护。</w:t>
            </w:r>
          </w:p>
        </w:tc>
        <w:tc>
          <w:tcPr>
            <w:tcW w:w="2591" w:type="dxa"/>
          </w:tcPr>
          <w:p>
            <w:pPr>
              <w:pStyle w:val="TableParagraph"/>
              <w:spacing w:line="278" w:lineRule="auto" w:before="20"/>
              <w:ind w:left="107" w:right="97" w:firstLine="420"/>
              <w:jc w:val="both"/>
              <w:rPr>
                <w:sz w:val="21"/>
              </w:rPr>
            </w:pPr>
            <w:r>
              <w:rPr>
                <w:sz w:val="21"/>
              </w:rPr>
              <w:t>本项目在施工及运营期间，企业应采取预防保护措施，保持区域生态功能，维持水源涵养和水质维护功能，按照《水土保持法》及其配套的法律法规，保护天然植被，防止乱砍滥伐，同时加强生产建设项目监督管理，预防水土流失。因此，本项目建设不违背《黑龙江省水</w:t>
            </w:r>
          </w:p>
          <w:p>
            <w:pPr>
              <w:pStyle w:val="TableParagraph"/>
              <w:spacing w:line="268" w:lineRule="exact"/>
              <w:ind w:left="107"/>
              <w:jc w:val="left"/>
              <w:rPr>
                <w:sz w:val="21"/>
              </w:rPr>
            </w:pPr>
            <w:r>
              <w:rPr>
                <w:sz w:val="21"/>
              </w:rPr>
              <w:t>土保持规划》。</w:t>
            </w:r>
          </w:p>
        </w:tc>
        <w:tc>
          <w:tcPr>
            <w:tcW w:w="71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6"/>
              <w:jc w:val="left"/>
              <w:rPr>
                <w:b/>
                <w:sz w:val="15"/>
              </w:rPr>
            </w:pPr>
          </w:p>
          <w:p>
            <w:pPr>
              <w:pStyle w:val="TableParagraph"/>
              <w:ind w:left="149"/>
              <w:jc w:val="left"/>
              <w:rPr>
                <w:sz w:val="21"/>
              </w:rPr>
            </w:pPr>
            <w:r>
              <w:rPr>
                <w:sz w:val="21"/>
              </w:rPr>
              <w:t>符合</w:t>
            </w:r>
          </w:p>
        </w:tc>
      </w:tr>
    </w:tbl>
    <w:p>
      <w:pPr>
        <w:pStyle w:val="BodyText"/>
        <w:spacing w:line="364" w:lineRule="auto" w:before="81"/>
        <w:ind w:left="660" w:right="777" w:firstLine="480"/>
      </w:pPr>
      <w:r>
        <w:rPr/>
        <w:t>本项目选址位于双鸭山市岭东区长胜乡东兴村南 </w:t>
      </w:r>
      <w:r>
        <w:rPr>
          <w:rFonts w:ascii="Times New Roman" w:eastAsia="Times New Roman"/>
        </w:rPr>
        <w:t>2.5km </w:t>
      </w:r>
      <w:r>
        <w:rPr/>
        <w:t>处的建设用地。因此，本项目符合当地土地利用总体规划。</w:t>
      </w:r>
    </w:p>
    <w:p>
      <w:pPr>
        <w:pStyle w:val="Heading2"/>
        <w:numPr>
          <w:ilvl w:val="1"/>
          <w:numId w:val="106"/>
        </w:numPr>
        <w:tabs>
          <w:tab w:pos="1260" w:val="left" w:leader="none"/>
        </w:tabs>
        <w:spacing w:line="240" w:lineRule="auto" w:before="40" w:after="0"/>
        <w:ind w:left="1260" w:right="0" w:hanging="600"/>
        <w:jc w:val="left"/>
      </w:pPr>
      <w:bookmarkStart w:name="_TOC_250001" w:id="1172"/>
      <w:bookmarkStart w:name="17.4与双鸭山市城市总体规划符合性分析 " w:id="1173"/>
      <w:r>
        <w:rPr>
          <w:b w:val="0"/>
        </w:rPr>
      </w:r>
      <w:bookmarkEnd w:id="1173"/>
      <w:bookmarkEnd w:id="1172"/>
      <w:r>
        <w:rPr/>
        <w:t>与双鸭山市城市总体规划符合性分析</w:t>
      </w:r>
    </w:p>
    <w:p>
      <w:pPr>
        <w:pStyle w:val="BodyText"/>
        <w:spacing w:line="364" w:lineRule="auto" w:before="201"/>
        <w:ind w:left="660" w:right="565" w:firstLine="480"/>
      </w:pPr>
      <w:r>
        <w:rPr>
          <w:spacing w:val="-11"/>
        </w:rPr>
        <w:t>本项目位于双鸭山市岭东区，根据《双鸭山市城市总体规划</w:t>
      </w:r>
      <w:r>
        <w:rPr>
          <w:spacing w:val="-6"/>
        </w:rPr>
        <w:t>（</w:t>
      </w:r>
      <w:r>
        <w:rPr>
          <w:rFonts w:ascii="Times New Roman" w:eastAsia="Times New Roman"/>
          <w:spacing w:val="-6"/>
        </w:rPr>
        <w:t>2010</w:t>
      </w:r>
      <w:r>
        <w:rPr>
          <w:spacing w:val="-6"/>
        </w:rPr>
        <w:t>～</w:t>
      </w:r>
      <w:r>
        <w:rPr>
          <w:rFonts w:ascii="Times New Roman" w:eastAsia="Times New Roman"/>
          <w:spacing w:val="-6"/>
        </w:rPr>
        <w:t>2030</w:t>
      </w:r>
      <w:r>
        <w:rPr>
          <w:spacing w:val="-6"/>
        </w:rPr>
        <w:t>）</w:t>
      </w:r>
      <w:r>
        <w:rPr>
          <w:spacing w:val="-70"/>
        </w:rPr>
        <w:t>》， </w:t>
      </w:r>
      <w:r>
        <w:rPr>
          <w:spacing w:val="-4"/>
        </w:rPr>
        <w:t>双鸭山市总体功能布局将岭东片区作为区域性冶金中心，市区旅游服务基地，以</w:t>
      </w:r>
      <w:r>
        <w:rPr>
          <w:spacing w:val="-10"/>
        </w:rPr>
        <w:t>冶金、煤焦化、休闲旅游服务基地，以冶金、焦煤化等产业发展为主。本项目是煤炭开采改扩建项目，属于煤焦化及冶金配套产业，符合规划要求。</w:t>
      </w:r>
    </w:p>
    <w:p>
      <w:pPr>
        <w:pStyle w:val="BodyText"/>
        <w:spacing w:before="2"/>
        <w:ind w:left="1140"/>
      </w:pPr>
      <w:r>
        <w:rPr/>
        <w:t>所以，本项目符合《双鸭山市城市总体规划（</w:t>
      </w:r>
      <w:r>
        <w:rPr>
          <w:rFonts w:ascii="Times New Roman" w:eastAsia="Times New Roman"/>
        </w:rPr>
        <w:t>2010</w:t>
      </w:r>
      <w:r>
        <w:rPr/>
        <w:t>～</w:t>
      </w:r>
      <w:r>
        <w:rPr>
          <w:rFonts w:ascii="Times New Roman" w:eastAsia="Times New Roman"/>
        </w:rPr>
        <w:t>2030</w:t>
      </w:r>
      <w:r>
        <w:rPr/>
        <w:t>）》。</w:t>
      </w:r>
    </w:p>
    <w:p>
      <w:pPr>
        <w:pStyle w:val="Heading2"/>
        <w:numPr>
          <w:ilvl w:val="1"/>
          <w:numId w:val="106"/>
        </w:numPr>
        <w:tabs>
          <w:tab w:pos="1335" w:val="left" w:leader="none"/>
        </w:tabs>
        <w:spacing w:line="240" w:lineRule="auto" w:before="82" w:after="0"/>
        <w:ind w:left="1334" w:right="0" w:hanging="675"/>
        <w:jc w:val="left"/>
      </w:pPr>
      <w:bookmarkStart w:name="_TOC_250000" w:id="1174"/>
      <w:bookmarkStart w:name="17.5 选址环境合理性分析" w:id="1175"/>
      <w:r>
        <w:rPr>
          <w:b w:val="0"/>
        </w:rPr>
      </w:r>
      <w:bookmarkEnd w:id="1175"/>
      <w:bookmarkEnd w:id="1174"/>
      <w:r>
        <w:rPr/>
        <w:t>选址环境合理性分析</w:t>
      </w:r>
    </w:p>
    <w:p>
      <w:pPr>
        <w:pStyle w:val="BodyText"/>
        <w:spacing w:line="364" w:lineRule="auto" w:before="278"/>
        <w:ind w:left="660" w:right="777" w:firstLine="480"/>
        <w:jc w:val="both"/>
      </w:pPr>
      <w:r>
        <w:rPr>
          <w:spacing w:val="2"/>
        </w:rPr>
        <w:t>双鸭山市东盛矿业集团有限公司整合矿区范围位于双鸭山市岭东区长胜乡</w:t>
      </w:r>
      <w:r>
        <w:rPr>
          <w:spacing w:val="-13"/>
        </w:rPr>
        <w:t>东兴村 </w:t>
      </w:r>
      <w:r>
        <w:rPr>
          <w:rFonts w:ascii="Times New Roman" w:eastAsia="Times New Roman"/>
          <w:spacing w:val="-4"/>
        </w:rPr>
        <w:t>2.5km</w:t>
      </w:r>
      <w:r>
        <w:rPr>
          <w:spacing w:val="-5"/>
        </w:rPr>
        <w:t>，政区隶属于双鸭山市岭东区，地表林地划属双鸭山林业局定国山</w:t>
      </w:r>
      <w:r>
        <w:rPr/>
        <w:t>林场。</w:t>
      </w:r>
    </w:p>
    <w:p>
      <w:pPr>
        <w:pStyle w:val="BodyText"/>
        <w:spacing w:before="1"/>
        <w:ind w:left="1140"/>
        <w:jc w:val="both"/>
      </w:pPr>
      <w:r>
        <w:rPr/>
        <w:t>矿区有简易砂石路通往矿区西侧的环城柏油公路，距双鸭山火车站 </w:t>
      </w:r>
      <w:r>
        <w:rPr>
          <w:rFonts w:ascii="Times New Roman" w:eastAsia="Times New Roman"/>
        </w:rPr>
        <w:t>6.5km</w:t>
      </w:r>
      <w:r>
        <w:rPr/>
        <w:t>，</w:t>
      </w:r>
    </w:p>
    <w:p>
      <w:pPr>
        <w:spacing w:after="0"/>
        <w:jc w:val="both"/>
        <w:sectPr>
          <w:pgSz w:w="11910" w:h="16840"/>
          <w:pgMar w:header="0" w:footer="947" w:top="1420" w:bottom="1140" w:left="1140" w:right="1020"/>
        </w:sectPr>
      </w:pPr>
    </w:p>
    <w:p>
      <w:pPr>
        <w:pStyle w:val="BodyText"/>
        <w:spacing w:before="42"/>
        <w:ind w:left="660"/>
      </w:pPr>
      <w:r>
        <w:rPr/>
        <w:t>交通条件便利。</w:t>
      </w:r>
    </w:p>
    <w:p>
      <w:pPr>
        <w:pStyle w:val="BodyText"/>
        <w:spacing w:line="364" w:lineRule="auto" w:before="160"/>
        <w:ind w:left="660" w:right="657" w:firstLine="480"/>
      </w:pPr>
      <w:r>
        <w:rPr>
          <w:spacing w:val="-13"/>
        </w:rPr>
        <w:t>项目所占用土地为建设用地，符合相关用地规划要求，交通便利，项目用水、</w:t>
      </w:r>
      <w:r>
        <w:rPr/>
        <w:t>用电、交通、能源均有保障。</w:t>
      </w:r>
    </w:p>
    <w:p>
      <w:pPr>
        <w:pStyle w:val="BodyText"/>
        <w:spacing w:line="364" w:lineRule="auto" w:before="2"/>
        <w:ind w:left="660" w:right="777" w:firstLine="480"/>
        <w:jc w:val="both"/>
      </w:pPr>
      <w:r>
        <w:rPr>
          <w:spacing w:val="-6"/>
        </w:rPr>
        <w:t>项目采取相应的防治措施后对周围影响较小，外环境对本项目建设没有较大</w:t>
      </w:r>
      <w:r>
        <w:rPr>
          <w:spacing w:val="-10"/>
        </w:rPr>
        <w:t>限制，本项目建设后也不会对周围环境产生较大的影响。综上所述，本项目选址</w:t>
      </w:r>
      <w:r>
        <w:rPr/>
        <w:t>是合理的。</w:t>
      </w:r>
    </w:p>
    <w:p>
      <w:pPr>
        <w:spacing w:after="0" w:line="364" w:lineRule="auto"/>
        <w:jc w:val="both"/>
        <w:sectPr>
          <w:footerReference w:type="default" r:id="rId70"/>
          <w:pgSz w:w="11910" w:h="16840"/>
          <w:pgMar w:footer="1027" w:header="0" w:top="1460" w:bottom="1220" w:left="1140" w:right="1020"/>
          <w:pgNumType w:start="200"/>
        </w:sectPr>
      </w:pPr>
    </w:p>
    <w:p>
      <w:pPr>
        <w:pStyle w:val="Heading1"/>
        <w:numPr>
          <w:ilvl w:val="1"/>
          <w:numId w:val="49"/>
        </w:numPr>
        <w:tabs>
          <w:tab w:pos="4224" w:val="left" w:leader="none"/>
        </w:tabs>
        <w:spacing w:line="240" w:lineRule="auto" w:before="155" w:after="0"/>
        <w:ind w:left="4224" w:right="0" w:hanging="629"/>
        <w:jc w:val="left"/>
      </w:pPr>
      <w:bookmarkStart w:name="18. 结论与建议" w:id="1176"/>
      <w:bookmarkEnd w:id="1176"/>
      <w:r>
        <w:rPr>
          <w:b w:val="0"/>
        </w:rPr>
      </w:r>
      <w:bookmarkStart w:name="_bookmark95" w:id="1177"/>
      <w:bookmarkEnd w:id="1177"/>
      <w:r>
        <w:rPr>
          <w:b w:val="0"/>
        </w:rPr>
      </w:r>
      <w:bookmarkStart w:name="_bookmark95" w:id="1178"/>
      <w:bookmarkEnd w:id="1178"/>
      <w:r>
        <w:rPr/>
        <w:t>结论与建议</w:t>
      </w:r>
    </w:p>
    <w:p>
      <w:pPr>
        <w:pStyle w:val="BodyText"/>
        <w:spacing w:before="7"/>
        <w:rPr>
          <w:b/>
          <w:sz w:val="22"/>
        </w:rPr>
      </w:pPr>
    </w:p>
    <w:p>
      <w:pPr>
        <w:pStyle w:val="Heading2"/>
        <w:numPr>
          <w:ilvl w:val="1"/>
          <w:numId w:val="107"/>
        </w:numPr>
        <w:tabs>
          <w:tab w:pos="1260" w:val="left" w:leader="none"/>
        </w:tabs>
        <w:spacing w:line="240" w:lineRule="auto" w:before="68" w:after="0"/>
        <w:ind w:left="1260" w:right="0" w:hanging="600"/>
        <w:jc w:val="left"/>
      </w:pPr>
      <w:bookmarkStart w:name="18.1项目概况" w:id="1179"/>
      <w:bookmarkEnd w:id="1179"/>
      <w:r>
        <w:rPr>
          <w:b w:val="0"/>
        </w:rPr>
      </w:r>
      <w:bookmarkStart w:name="_bookmark96" w:id="1180"/>
      <w:bookmarkEnd w:id="1180"/>
      <w:r>
        <w:rPr>
          <w:b w:val="0"/>
        </w:rPr>
      </w:r>
      <w:bookmarkStart w:name="_bookmark96" w:id="1181"/>
      <w:bookmarkEnd w:id="1181"/>
      <w:r>
        <w:rPr/>
        <w:t>项目概况</w:t>
      </w:r>
    </w:p>
    <w:p>
      <w:pPr>
        <w:pStyle w:val="BodyText"/>
        <w:spacing w:line="364" w:lineRule="auto" w:before="201"/>
        <w:ind w:left="660" w:right="657" w:firstLine="480"/>
      </w:pPr>
      <w:r>
        <w:rPr>
          <w:spacing w:val="2"/>
        </w:rPr>
        <w:t>双鸭山市东盛矿业集团有限公司整合矿区范围位于双鸭山市岭东区长胜乡</w:t>
      </w:r>
      <w:r>
        <w:rPr>
          <w:spacing w:val="-14"/>
        </w:rPr>
        <w:t>东兴村 </w:t>
      </w:r>
      <w:r>
        <w:rPr>
          <w:rFonts w:ascii="Times New Roman" w:eastAsia="Times New Roman"/>
          <w:spacing w:val="-4"/>
        </w:rPr>
        <w:t>2.5km</w:t>
      </w:r>
      <w:r>
        <w:rPr>
          <w:spacing w:val="-4"/>
        </w:rPr>
        <w:t>，政区隶属于双鸭山市岭东区，地表林地划属双鸭山林业局定国山</w:t>
      </w:r>
      <w:r>
        <w:rPr>
          <w:spacing w:val="-15"/>
        </w:rPr>
        <w:t>林场。矿区有简易砂石路通往矿区西侧的环城柏油公路，距双鸭山火车站 </w:t>
      </w:r>
      <w:r>
        <w:rPr>
          <w:rFonts w:ascii="Times New Roman" w:eastAsia="Times New Roman"/>
          <w:spacing w:val="-4"/>
        </w:rPr>
        <w:t>6.5km</w:t>
      </w:r>
      <w:r>
        <w:rPr>
          <w:spacing w:val="-4"/>
        </w:rPr>
        <w:t>， </w:t>
      </w:r>
      <w:r>
        <w:rPr/>
        <w:t>交通条件便利。</w:t>
      </w:r>
    </w:p>
    <w:p>
      <w:pPr>
        <w:pStyle w:val="BodyText"/>
        <w:spacing w:line="231" w:lineRule="exact"/>
        <w:ind w:left="1140"/>
      </w:pPr>
      <w:r>
        <w:rPr/>
        <w:t>批准开采</w:t>
      </w:r>
      <w:r>
        <w:rPr>
          <w:rFonts w:ascii="Times New Roman" w:eastAsia="Times New Roman"/>
        </w:rPr>
        <w:t>10#</w:t>
      </w:r>
      <w:r>
        <w:rPr/>
        <w:t>、</w:t>
      </w:r>
      <w:r>
        <w:rPr>
          <w:rFonts w:ascii="Times New Roman" w:eastAsia="Times New Roman"/>
        </w:rPr>
        <w:t>20#</w:t>
      </w:r>
      <w:r>
        <w:rPr/>
        <w:t>共</w:t>
      </w:r>
      <w:r>
        <w:rPr>
          <w:rFonts w:ascii="Times New Roman" w:eastAsia="Times New Roman"/>
        </w:rPr>
        <w:t>2</w:t>
      </w:r>
      <w:r>
        <w:rPr/>
        <w:t>个煤层。双鸭山市东盛矿业集团有限公司矿井井田范</w:t>
      </w:r>
    </w:p>
    <w:p>
      <w:pPr>
        <w:pStyle w:val="BodyText"/>
        <w:spacing w:line="362" w:lineRule="auto" w:before="161"/>
        <w:ind w:left="660" w:right="775"/>
        <w:jc w:val="both"/>
      </w:pPr>
      <w:r>
        <w:rPr/>
        <w:t>围内拥有地质储量</w:t>
      </w:r>
      <w:r>
        <w:rPr>
          <w:rFonts w:ascii="Times New Roman" w:eastAsia="Times New Roman"/>
        </w:rPr>
        <w:t>941.15</w:t>
      </w:r>
      <w:r>
        <w:rPr>
          <w:spacing w:val="-6"/>
        </w:rPr>
        <w:t>万吨，可采储量为</w:t>
      </w:r>
      <w:r>
        <w:rPr>
          <w:rFonts w:ascii="Times New Roman" w:eastAsia="Times New Roman"/>
        </w:rPr>
        <w:t>584.05</w:t>
      </w:r>
      <w:r>
        <w:rPr/>
        <w:t>万</w:t>
      </w:r>
      <w:r>
        <w:rPr>
          <w:rFonts w:ascii="Times New Roman" w:eastAsia="Times New Roman"/>
          <w:spacing w:val="-15"/>
        </w:rPr>
        <w:t>t</w:t>
      </w:r>
      <w:r>
        <w:rPr>
          <w:spacing w:val="-4"/>
        </w:rPr>
        <w:t>，矿井服务年限为</w:t>
      </w:r>
      <w:r>
        <w:rPr>
          <w:rFonts w:ascii="Times New Roman" w:eastAsia="Times New Roman"/>
          <w:spacing w:val="-5"/>
        </w:rPr>
        <w:t>13.9a</w:t>
      </w:r>
      <w:r>
        <w:rPr>
          <w:spacing w:val="-11"/>
        </w:rPr>
        <w:t>，矿</w:t>
      </w:r>
      <w:r>
        <w:rPr>
          <w:spacing w:val="-8"/>
        </w:rPr>
        <w:t>井改扩建后服务年限满足《煤炭工业矿井设计规范》中关于改扩建矿井服务年限</w:t>
      </w:r>
      <w:r>
        <w:rPr/>
        <w:t>的规定。本项目建设总投资</w:t>
      </w:r>
      <w:r>
        <w:rPr>
          <w:rFonts w:ascii="Times New Roman" w:eastAsia="Times New Roman"/>
        </w:rPr>
        <w:t>11358.62</w:t>
      </w:r>
      <w:r>
        <w:rPr/>
        <w:t>万元。</w:t>
      </w:r>
    </w:p>
    <w:p>
      <w:pPr>
        <w:pStyle w:val="Heading2"/>
        <w:numPr>
          <w:ilvl w:val="1"/>
          <w:numId w:val="107"/>
        </w:numPr>
        <w:tabs>
          <w:tab w:pos="1335" w:val="left" w:leader="none"/>
        </w:tabs>
        <w:spacing w:line="240" w:lineRule="auto" w:before="124" w:after="0"/>
        <w:ind w:left="1334" w:right="0" w:hanging="675"/>
        <w:jc w:val="left"/>
      </w:pPr>
      <w:bookmarkStart w:name="18.2 项目环境影响结论" w:id="1182"/>
      <w:bookmarkEnd w:id="1182"/>
      <w:r>
        <w:rPr>
          <w:b w:val="0"/>
        </w:rPr>
      </w:r>
      <w:bookmarkStart w:name="_bookmark97" w:id="1183"/>
      <w:bookmarkEnd w:id="1183"/>
      <w:r>
        <w:rPr>
          <w:b w:val="0"/>
        </w:rPr>
      </w:r>
      <w:bookmarkStart w:name="_bookmark97" w:id="1184"/>
      <w:bookmarkEnd w:id="1184"/>
      <w:r>
        <w:rPr/>
        <w:t>项目环境影响结论</w:t>
      </w:r>
    </w:p>
    <w:p>
      <w:pPr>
        <w:pStyle w:val="Heading3"/>
        <w:numPr>
          <w:ilvl w:val="2"/>
          <w:numId w:val="107"/>
        </w:numPr>
        <w:tabs>
          <w:tab w:pos="1431" w:val="left" w:leader="none"/>
        </w:tabs>
        <w:spacing w:line="240" w:lineRule="auto" w:before="122" w:after="0"/>
        <w:ind w:left="1430" w:right="0" w:hanging="771"/>
        <w:jc w:val="left"/>
      </w:pPr>
      <w:bookmarkStart w:name="18.2.1工程污染防治措施结论" w:id="1185"/>
      <w:bookmarkEnd w:id="1185"/>
      <w:r>
        <w:rPr>
          <w:b w:val="0"/>
        </w:rPr>
      </w:r>
      <w:bookmarkStart w:name="18.2.1工程污染防治措施结论" w:id="1186"/>
      <w:bookmarkEnd w:id="1186"/>
      <w:r>
        <w:rPr/>
        <w:t>工程污染防治措施结论</w:t>
      </w:r>
    </w:p>
    <w:p>
      <w:pPr>
        <w:pStyle w:val="BodyText"/>
        <w:spacing w:line="364" w:lineRule="auto" w:before="186"/>
        <w:ind w:left="660" w:right="777" w:firstLine="480"/>
        <w:jc w:val="both"/>
      </w:pPr>
      <w:r>
        <w:rPr>
          <w:spacing w:val="-6"/>
        </w:rPr>
        <w:t>本工程在污染防治措施上加强了污染物全过程控制，从设计本身入手减少了</w:t>
      </w:r>
      <w:r>
        <w:rPr>
          <w:spacing w:val="-9"/>
        </w:rPr>
        <w:t>污染物的产生。为了进一步降减污染，使发展经济与保护环境协调统一，本评价</w:t>
      </w:r>
      <w:r>
        <w:rPr/>
        <w:t>借鉴国内煤炭行业的先进技术，对污染治理方案提出了进一步改进意见。</w:t>
      </w:r>
    </w:p>
    <w:p>
      <w:pPr>
        <w:pStyle w:val="BodyText"/>
        <w:spacing w:line="307" w:lineRule="exact"/>
        <w:ind w:left="1140"/>
        <w:rPr>
          <w:sz w:val="21"/>
        </w:rPr>
      </w:pPr>
      <w:r>
        <w:rPr/>
        <w:t>通过采取报告书中提出的污染防治措施，各种污染物均能作到达标排放</w:t>
      </w:r>
      <w:r>
        <w:rPr>
          <w:sz w:val="21"/>
        </w:rPr>
        <w:t>。</w:t>
      </w:r>
    </w:p>
    <w:p>
      <w:pPr>
        <w:pStyle w:val="Heading3"/>
        <w:numPr>
          <w:ilvl w:val="2"/>
          <w:numId w:val="107"/>
        </w:numPr>
        <w:tabs>
          <w:tab w:pos="1431" w:val="left" w:leader="none"/>
        </w:tabs>
        <w:spacing w:line="240" w:lineRule="auto" w:before="159" w:after="0"/>
        <w:ind w:left="1430" w:right="0" w:hanging="771"/>
        <w:jc w:val="left"/>
      </w:pPr>
      <w:bookmarkStart w:name="18.2.2项目环境影响预测结果" w:id="1187"/>
      <w:bookmarkEnd w:id="1187"/>
      <w:r>
        <w:rPr>
          <w:b w:val="0"/>
        </w:rPr>
      </w:r>
      <w:bookmarkStart w:name="18.2.2项目环境影响预测结果" w:id="1188"/>
      <w:bookmarkEnd w:id="1188"/>
      <w:r>
        <w:rPr/>
        <w:t>项目环境影响预测结果</w:t>
      </w:r>
    </w:p>
    <w:p>
      <w:pPr>
        <w:pStyle w:val="BodyText"/>
        <w:spacing w:line="362" w:lineRule="auto" w:before="182"/>
        <w:ind w:left="660" w:right="65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w:t>
      </w:r>
      <w:r>
        <w:rPr>
          <w:spacing w:val="-30"/>
          <w:position w:val="2"/>
          <w:vertAlign w:val="baseline"/>
        </w:rPr>
        <w:t>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中表 </w:t>
      </w:r>
      <w:r>
        <w:rPr>
          <w:rFonts w:ascii="Times New Roman" w:eastAsia="Times New Roman"/>
          <w:vertAlign w:val="baseline"/>
        </w:rPr>
        <w:t>2 </w:t>
      </w:r>
      <w:r>
        <w:rPr>
          <w:spacing w:val="-20"/>
          <w:vertAlign w:val="baseline"/>
        </w:rPr>
        <w:t>及表 </w:t>
      </w:r>
      <w:r>
        <w:rPr>
          <w:rFonts w:ascii="Times New Roman" w:eastAsia="Times New Roman"/>
          <w:vertAlign w:val="baseline"/>
        </w:rPr>
        <w:t>4 </w:t>
      </w:r>
      <w:r>
        <w:rPr>
          <w:spacing w:val="-16"/>
          <w:vertAlign w:val="baseline"/>
        </w:rPr>
        <w:t>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w:t>
      </w:r>
      <w:r>
        <w:rPr>
          <w:spacing w:val="-7"/>
          <w:position w:val="2"/>
          <w:vertAlign w:val="baseline"/>
        </w:rPr>
        <w:t>的标准限值要求；筛分车间设置一套布袋除尘器，经布袋除尘器收</w:t>
      </w:r>
      <w:r>
        <w:rPr>
          <w:spacing w:val="-13"/>
          <w:vertAlign w:val="baseline"/>
        </w:rPr>
        <w:t>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表 </w:t>
      </w:r>
      <w:r>
        <w:rPr>
          <w:rFonts w:ascii="Times New Roman" w:eastAsia="Times New Roman"/>
          <w:vertAlign w:val="baseline"/>
        </w:rPr>
        <w:t>4 </w:t>
      </w:r>
      <w:r>
        <w:rPr>
          <w:vertAlign w:val="baseline"/>
        </w:rPr>
        <w:t>及标准限值，在采取本评价提出的严格抑尘措</w:t>
      </w:r>
      <w:r>
        <w:rPr>
          <w:spacing w:val="23"/>
          <w:vertAlign w:val="baseline"/>
        </w:rPr>
        <w:t>施后， 本项目扬尘较小。油烟排放浓度满足《饮食业油烟排放标准》</w:t>
      </w:r>
    </w:p>
    <w:p>
      <w:pPr>
        <w:pStyle w:val="BodyText"/>
        <w:spacing w:line="364" w:lineRule="auto" w:before="9"/>
        <w:ind w:left="660" w:right="652"/>
      </w:pPr>
      <w:r>
        <w:rPr>
          <w:spacing w:val="-3"/>
        </w:rPr>
        <w:t>（</w:t>
      </w:r>
      <w:r>
        <w:rPr>
          <w:rFonts w:ascii="Times New Roman" w:eastAsia="Times New Roman"/>
          <w:spacing w:val="-3"/>
        </w:rPr>
        <w:t>GB18483-2001</w:t>
      </w:r>
      <w:r>
        <w:rPr>
          <w:spacing w:val="-3"/>
        </w:rPr>
        <w:t>）</w:t>
      </w:r>
      <w:r>
        <w:rPr>
          <w:spacing w:val="-5"/>
        </w:rPr>
        <w:t>最高允许排放浓度 </w:t>
      </w:r>
      <w:r>
        <w:rPr>
          <w:rFonts w:ascii="Times New Roman" w:eastAsia="Times New Roman"/>
          <w:spacing w:val="-5"/>
        </w:rPr>
        <w:t>2.0mg/m</w:t>
      </w:r>
      <w:r>
        <w:rPr>
          <w:rFonts w:ascii="Times New Roman" w:eastAsia="Times New Roman"/>
          <w:spacing w:val="-5"/>
          <w:position w:val="8"/>
          <w:sz w:val="15"/>
        </w:rPr>
        <w:t>3</w:t>
      </w:r>
      <w:r>
        <w:rPr>
          <w:spacing w:val="-2"/>
        </w:rPr>
        <w:t>，减少了对周围环境空气的影响。</w:t>
      </w:r>
      <w:r>
        <w:rPr>
          <w:spacing w:val="-10"/>
        </w:rPr>
        <w:t>总体来说，本项目对评价区域环境空气质量影响很小，排放的大气污染物可被现有环境所接受。</w:t>
      </w:r>
    </w:p>
    <w:p>
      <w:pPr>
        <w:spacing w:after="0" w:line="364" w:lineRule="auto"/>
        <w:sectPr>
          <w:pgSz w:w="11910" w:h="16840"/>
          <w:pgMar w:header="0" w:footer="1027" w:top="1580" w:bottom="1220" w:left="1140" w:right="1020"/>
        </w:sectPr>
      </w:pPr>
    </w:p>
    <w:p>
      <w:pPr>
        <w:pStyle w:val="ListParagraph"/>
        <w:numPr>
          <w:ilvl w:val="1"/>
          <w:numId w:val="103"/>
        </w:numPr>
        <w:tabs>
          <w:tab w:pos="1741" w:val="left" w:leader="none"/>
        </w:tabs>
        <w:spacing w:line="240" w:lineRule="auto" w:before="63" w:after="0"/>
        <w:ind w:left="1741" w:right="0" w:hanging="601"/>
        <w:jc w:val="left"/>
        <w:rPr>
          <w:sz w:val="24"/>
        </w:rPr>
      </w:pPr>
      <w:r>
        <w:rPr>
          <w:sz w:val="24"/>
        </w:rPr>
        <w:t>地表水</w:t>
      </w:r>
    </w:p>
    <w:p>
      <w:pPr>
        <w:pStyle w:val="BodyText"/>
        <w:spacing w:line="364" w:lineRule="auto" w:before="160"/>
        <w:ind w:left="660" w:right="775" w:firstLine="480"/>
        <w:jc w:val="both"/>
      </w:pPr>
      <w:r>
        <w:rPr>
          <w:spacing w:val="-4"/>
        </w:rPr>
        <w:t>本工程矿井正常涌水量为 </w:t>
      </w:r>
      <w:r>
        <w:rPr>
          <w:rFonts w:ascii="Times New Roman" w:eastAsia="Times New Roman"/>
        </w:rPr>
        <w:t>20m</w:t>
      </w:r>
      <w:r>
        <w:rPr>
          <w:rFonts w:ascii="Times New Roman" w:eastAsia="Times New Roman"/>
          <w:position w:val="8"/>
          <w:sz w:val="15"/>
        </w:rPr>
        <w:t>3</w:t>
      </w:r>
      <w:r>
        <w:rPr>
          <w:rFonts w:ascii="Times New Roman" w:eastAsia="Times New Roman"/>
        </w:rPr>
        <w:t>/h</w:t>
      </w:r>
      <w:r>
        <w:rPr>
          <w:spacing w:val="-6"/>
        </w:rPr>
        <w:t>，最大涌水量为 </w:t>
      </w:r>
      <w:r>
        <w:rPr>
          <w:rFonts w:ascii="Times New Roman" w:eastAsia="Times New Roman"/>
        </w:rPr>
        <w:t>50m</w:t>
      </w:r>
      <w:r>
        <w:rPr>
          <w:rFonts w:ascii="Times New Roman" w:eastAsia="Times New Roman"/>
          <w:position w:val="8"/>
          <w:sz w:val="15"/>
        </w:rPr>
        <w:t>3</w:t>
      </w:r>
      <w:r>
        <w:rPr>
          <w:rFonts w:ascii="Times New Roman" w:eastAsia="Times New Roman"/>
        </w:rPr>
        <w:t>/h</w:t>
      </w:r>
      <w:r>
        <w:rPr/>
        <w:t>，经矿井水处理站</w:t>
      </w:r>
      <w:r>
        <w:rPr>
          <w:spacing w:val="-12"/>
        </w:rPr>
        <w:t>混合、反应、混凝、沉淀、过滤、消毒处理后部分用于生产用水，部分外排至附</w:t>
      </w:r>
      <w:r>
        <w:rPr/>
        <w:t>近自建鱼塘，处理后的矿井水水质满足回用要求。</w:t>
      </w:r>
    </w:p>
    <w:p>
      <w:pPr>
        <w:pStyle w:val="BodyText"/>
        <w:spacing w:line="364" w:lineRule="auto"/>
        <w:ind w:left="660" w:right="657" w:firstLine="480"/>
        <w:jc w:val="both"/>
      </w:pPr>
      <w:r>
        <w:rPr>
          <w:spacing w:val="17"/>
        </w:rPr>
        <w:t>本项目生活污水产生量为 </w:t>
      </w:r>
      <w:r>
        <w:rPr>
          <w:rFonts w:ascii="Times New Roman" w:eastAsia="Times New Roman"/>
        </w:rPr>
        <w:t>115.88m</w:t>
      </w:r>
      <w:r>
        <w:rPr>
          <w:rFonts w:ascii="Times New Roman" w:eastAsia="Times New Roman"/>
          <w:position w:val="8"/>
          <w:sz w:val="15"/>
        </w:rPr>
        <w:t>3</w:t>
      </w:r>
      <w:r>
        <w:rPr>
          <w:rFonts w:ascii="Times New Roman" w:eastAsia="Times New Roman"/>
        </w:rPr>
        <w:t>/d</w:t>
      </w:r>
      <w:r>
        <w:rPr>
          <w:spacing w:val="12"/>
        </w:rPr>
        <w:t>， 在工业广场设一座处理规模为</w:t>
      </w:r>
      <w:r>
        <w:rPr>
          <w:rFonts w:ascii="Times New Roman" w:eastAsia="Times New Roman"/>
          <w:spacing w:val="12"/>
        </w:rPr>
        <w:t>120m</w:t>
      </w:r>
      <w:r>
        <w:rPr>
          <w:rFonts w:ascii="Times New Roman" w:eastAsia="Times New Roman"/>
          <w:spacing w:val="12"/>
          <w:position w:val="8"/>
          <w:sz w:val="15"/>
        </w:rPr>
        <w:t>3</w:t>
      </w:r>
      <w:r>
        <w:rPr>
          <w:rFonts w:ascii="Times New Roman" w:eastAsia="Times New Roman"/>
          <w:spacing w:val="12"/>
        </w:rPr>
        <w:t>/d </w:t>
      </w:r>
      <w:r>
        <w:rPr>
          <w:spacing w:val="-2"/>
        </w:rPr>
        <w:t>的污水处理站，对工业广场所有生活污水进行集中处理。污水处理站设计采用二级生物法</w:t>
      </w:r>
      <w:r>
        <w:rPr>
          <w:rFonts w:ascii="Times New Roman" w:eastAsia="Times New Roman"/>
          <w:spacing w:val="-2"/>
        </w:rPr>
        <w:t>+</w:t>
      </w:r>
      <w:r>
        <w:rPr>
          <w:spacing w:val="-12"/>
        </w:rPr>
        <w:t>超滤处理工艺。处理后回用于生产、工业场地绿化洒水用水。</w:t>
      </w:r>
    </w:p>
    <w:p>
      <w:pPr>
        <w:pStyle w:val="BodyText"/>
        <w:spacing w:line="364" w:lineRule="auto"/>
        <w:ind w:left="660" w:right="777" w:firstLine="480"/>
        <w:jc w:val="both"/>
      </w:pPr>
      <w:r>
        <w:rPr>
          <w:spacing w:val="-10"/>
        </w:rPr>
        <w:t>综上所述，本项目生活污水处理后全部回用，矿井水处理后部分回用，部分外排至附近自建鱼塘，因此，对地表水体影响不大，按煤炭企业设计相应规范要求，在运营期严禁污水直排现象发生。从地表水环境的角度分析，本项目在该厂</w:t>
      </w:r>
      <w:r>
        <w:rPr/>
        <w:t>址建设是可行的。</w:t>
      </w:r>
    </w:p>
    <w:p>
      <w:pPr>
        <w:pStyle w:val="ListParagraph"/>
        <w:numPr>
          <w:ilvl w:val="1"/>
          <w:numId w:val="103"/>
        </w:numPr>
        <w:tabs>
          <w:tab w:pos="1741" w:val="left" w:leader="none"/>
        </w:tabs>
        <w:spacing w:line="305" w:lineRule="exact" w:before="0" w:after="0"/>
        <w:ind w:left="1741" w:right="0" w:hanging="601"/>
        <w:jc w:val="left"/>
        <w:rPr>
          <w:sz w:val="24"/>
        </w:rPr>
      </w:pPr>
      <w:r>
        <w:rPr>
          <w:sz w:val="24"/>
        </w:rPr>
        <w:t>地下水</w:t>
      </w:r>
    </w:p>
    <w:p>
      <w:pPr>
        <w:pStyle w:val="BodyText"/>
        <w:spacing w:line="364" w:lineRule="auto" w:before="157"/>
        <w:ind w:left="660" w:right="65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管理，严防污染物的跑、冒、滴、漏，将污染物渗漏的环境风险事故降到最低限， </w:t>
      </w:r>
      <w:r>
        <w:rPr/>
        <w:t>通过预测结果可以看出本工程污染物渗漏对地下水水质影响较小。</w:t>
      </w:r>
    </w:p>
    <w:p>
      <w:pPr>
        <w:pStyle w:val="ListParagraph"/>
        <w:numPr>
          <w:ilvl w:val="1"/>
          <w:numId w:val="103"/>
        </w:numPr>
        <w:tabs>
          <w:tab w:pos="1741" w:val="left" w:leader="none"/>
        </w:tabs>
        <w:spacing w:line="305" w:lineRule="exact" w:before="0" w:after="0"/>
        <w:ind w:left="1741" w:right="0" w:hanging="601"/>
        <w:jc w:val="left"/>
        <w:rPr>
          <w:sz w:val="24"/>
        </w:rPr>
      </w:pPr>
      <w:r>
        <w:rPr>
          <w:sz w:val="24"/>
        </w:rPr>
        <w:t>噪声</w:t>
      </w:r>
    </w:p>
    <w:p>
      <w:pPr>
        <w:pStyle w:val="BodyText"/>
        <w:spacing w:line="364" w:lineRule="auto" w:before="158"/>
        <w:ind w:left="660" w:right="736" w:firstLine="480"/>
        <w:jc w:val="both"/>
      </w:pPr>
      <w:r>
        <w:rPr>
          <w:spacing w:val="-4"/>
        </w:rPr>
        <w:t>本项目主要噪声源相对较集中，周围 </w:t>
      </w:r>
      <w:r>
        <w:rPr>
          <w:rFonts w:ascii="Times New Roman" w:eastAsia="Times New Roman"/>
        </w:rPr>
        <w:t>200m </w:t>
      </w:r>
      <w:r>
        <w:rPr>
          <w:spacing w:val="-2"/>
        </w:rPr>
        <w:t>内没有居民分布，本评价认为， </w:t>
      </w:r>
      <w:r>
        <w:rPr>
          <w:spacing w:val="-5"/>
        </w:rPr>
        <w:t>在严格执行评价提出的防治措施前提下，从声环境角度而言，本项目在该厂址建设可行。</w:t>
      </w:r>
    </w:p>
    <w:p>
      <w:pPr>
        <w:pStyle w:val="ListParagraph"/>
        <w:numPr>
          <w:ilvl w:val="1"/>
          <w:numId w:val="103"/>
        </w:numPr>
        <w:tabs>
          <w:tab w:pos="1741" w:val="left" w:leader="none"/>
        </w:tabs>
        <w:spacing w:line="307" w:lineRule="exact" w:before="0" w:after="0"/>
        <w:ind w:left="1741" w:right="0" w:hanging="601"/>
        <w:jc w:val="left"/>
        <w:rPr>
          <w:sz w:val="24"/>
        </w:rPr>
      </w:pPr>
      <w:r>
        <w:rPr>
          <w:sz w:val="24"/>
        </w:rPr>
        <w:t>固体废弃物</w:t>
      </w:r>
    </w:p>
    <w:p>
      <w:pPr>
        <w:pStyle w:val="BodyText"/>
        <w:spacing w:line="364" w:lineRule="auto" w:before="158"/>
        <w:ind w:left="660" w:right="777" w:firstLine="480"/>
        <w:jc w:val="both"/>
      </w:pPr>
      <w:r>
        <w:rPr>
          <w:spacing w:val="-6"/>
        </w:rPr>
        <w:t>本项目矸石场内暂存后用来平整工业场地；用作公路的路基石料；用于填沟</w:t>
      </w:r>
      <w:r>
        <w:rPr>
          <w:spacing w:val="-10"/>
        </w:rPr>
        <w:t>造地；生活垃圾与污泥委托市政环卫清运；灰渣用作农肥原料外售；废机油委托</w:t>
      </w:r>
      <w:r>
        <w:rPr/>
        <w:t>有资质单位处理；对环境影响较小。</w:t>
      </w:r>
    </w:p>
    <w:p>
      <w:pPr>
        <w:pStyle w:val="ListParagraph"/>
        <w:numPr>
          <w:ilvl w:val="1"/>
          <w:numId w:val="103"/>
        </w:numPr>
        <w:tabs>
          <w:tab w:pos="1741" w:val="left" w:leader="none"/>
        </w:tabs>
        <w:spacing w:line="307" w:lineRule="exact" w:before="0" w:after="0"/>
        <w:ind w:left="1741" w:right="0" w:hanging="601"/>
        <w:jc w:val="left"/>
        <w:rPr>
          <w:sz w:val="24"/>
        </w:rPr>
      </w:pPr>
      <w:r>
        <w:rPr>
          <w:sz w:val="24"/>
        </w:rPr>
        <w:t>地表沉陷预测与生态环境影响</w:t>
      </w:r>
    </w:p>
    <w:p>
      <w:pPr>
        <w:pStyle w:val="BodyText"/>
        <w:spacing w:line="364" w:lineRule="auto" w:before="158"/>
        <w:ind w:left="660" w:right="777" w:firstLine="480"/>
        <w:jc w:val="both"/>
      </w:pPr>
      <w:r>
        <w:rPr>
          <w:spacing w:val="-11"/>
        </w:rPr>
        <w:t>全井田开采后，沉陷土地主要为林地。双鸭山大顺矿业有限公司改扩建项目</w:t>
      </w:r>
      <w:r>
        <w:rPr>
          <w:spacing w:val="-5"/>
        </w:rPr>
        <w:t>建设与开采沉陷对井田内林地的影响随着沉陷区生态的进行，大部分受影响的林</w:t>
      </w:r>
      <w:r>
        <w:rPr/>
        <w:t>地都能得到恢复。</w:t>
      </w:r>
    </w:p>
    <w:p>
      <w:pPr>
        <w:spacing w:after="0" w:line="364" w:lineRule="auto"/>
        <w:jc w:val="both"/>
        <w:sectPr>
          <w:pgSz w:w="11910" w:h="16840"/>
          <w:pgMar w:header="0" w:footer="1027" w:top="1360" w:bottom="1220" w:left="1140" w:right="1020"/>
        </w:sectPr>
      </w:pPr>
    </w:p>
    <w:p>
      <w:pPr>
        <w:pStyle w:val="Heading2"/>
        <w:numPr>
          <w:ilvl w:val="1"/>
          <w:numId w:val="107"/>
        </w:numPr>
        <w:tabs>
          <w:tab w:pos="1335" w:val="left" w:leader="none"/>
        </w:tabs>
        <w:spacing w:line="240" w:lineRule="auto" w:before="43" w:after="0"/>
        <w:ind w:left="1334" w:right="0" w:hanging="675"/>
        <w:jc w:val="left"/>
      </w:pPr>
      <w:bookmarkStart w:name="18.3 建设项目的环境可行性总结" w:id="1189"/>
      <w:bookmarkEnd w:id="1189"/>
      <w:r>
        <w:rPr>
          <w:b w:val="0"/>
        </w:rPr>
      </w:r>
      <w:bookmarkStart w:name="_bookmark98" w:id="1190"/>
      <w:bookmarkEnd w:id="1190"/>
      <w:r>
        <w:rPr>
          <w:b w:val="0"/>
        </w:rPr>
      </w:r>
      <w:bookmarkStart w:name="_bookmark98" w:id="1191"/>
      <w:bookmarkEnd w:id="1191"/>
      <w:r>
        <w:rPr/>
        <w:t>建设项目的环境可行性总结</w:t>
      </w:r>
    </w:p>
    <w:p>
      <w:pPr>
        <w:pStyle w:val="BodyText"/>
        <w:spacing w:line="364" w:lineRule="auto" w:before="119"/>
        <w:ind w:left="660" w:right="685" w:firstLine="480"/>
      </w:pPr>
      <w:r>
        <w:rPr>
          <w:spacing w:val="-5"/>
        </w:rPr>
        <w:t>综合环境影响预测结论及公众参与、厂址合理性分析、环境经济损益分析结</w:t>
      </w:r>
      <w:r>
        <w:rPr>
          <w:spacing w:val="-10"/>
        </w:rPr>
        <w:t>论，本工程在确保清洁生产工艺正常运行、全面严格落实本报告书所提各项污染</w:t>
      </w:r>
      <w:r>
        <w:rPr>
          <w:spacing w:val="-11"/>
        </w:rPr>
        <w:t>防治措施并正常运行的前提下，通过加强环境管理和环境监测，杜绝事故排放， </w:t>
      </w:r>
      <w:r>
        <w:rPr>
          <w:spacing w:val="-6"/>
        </w:rPr>
        <w:t>所排污染物均能做到达标排放，对周围环境影响较小，可被周围环境所接受，从环境角度分析，本项目建设是可行的。</w:t>
      </w:r>
    </w:p>
    <w:sectPr>
      <w:pgSz w:w="11910" w:h="16840"/>
      <w:pgMar w:header="0" w:footer="1027" w:top="1500" w:bottom="1220" w:left="114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宋体">
    <w:altName w:val="宋体"/>
    <w:charset w:val="86"/>
    <w:family w:val="auto"/>
    <w:pitch w:val="variable"/>
  </w:font>
  <w:font w:name="Symbol">
    <w:altName w:val="Symbol"/>
    <w:charset w:val="2"/>
    <w:family w:val="roman"/>
    <w:pitch w:val="variable"/>
  </w:font>
  <w:font w:name="MT Extra">
    <w:altName w:val="MT Extra"/>
    <w:charset w:val="2"/>
    <w:family w:val="roman"/>
    <w:pitch w:val="variable"/>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440002pt;margin-top:781.22998pt;width:8.5pt;height:12pt;mso-position-horizontal-relative:page;mso-position-vertical-relative:page;z-index:-28604928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006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70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3904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80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380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90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781.22998pt;width:17.5pt;height:12pt;mso-position-horizontal-relative:page;mso-position-vertical-relative:page;z-index:-2860369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781.22998pt;width:17.3pt;height:12pt;mso-position-horizontal-relative:page;mso-position-vertical-relative:page;z-index:-2860359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440002pt;margin-top:772.470032pt;width:17.3pt;height:12pt;mso-position-horizontal-relative:page;mso-position-vertical-relative:page;z-index:-2860349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20007pt;margin-top:772.470032pt;width:17.5pt;height:12pt;mso-position-horizontal-relative:page;mso-position-vertical-relative:page;z-index:-2860339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20007pt;margin-top:772.470032pt;width:17.5pt;height:12pt;mso-position-horizontal-relative:page;mso-position-vertical-relative:page;z-index:-2860328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0.320007pt;margin-top:772.470032pt;width:17.5pt;height:12pt;mso-position-horizontal-relative:page;mso-position-vertical-relative:page;z-index:-28603187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23999pt;margin-top:525.869995pt;width:17.5pt;height:12pt;mso-position-horizontal-relative:page;mso-position-vertical-relative:page;z-index:-28603084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150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82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20007pt;margin-top:772.470032pt;width:17.5pt;height:12pt;mso-position-horizontal-relative:page;mso-position-vertical-relative:page;z-index:-2860298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154</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23999pt;margin-top:525.869995pt;width:17.5pt;height:12pt;mso-position-horizontal-relative:page;mso-position-vertical-relative:page;z-index:-28602880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159</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12.23999pt;margin-top:525.869995pt;width:17.5pt;height:12pt;mso-position-horizontal-relative:page;mso-position-vertical-relative:page;z-index:-28602777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162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20007pt;margin-top:772.470032pt;width:17.5pt;height:12pt;mso-position-horizontal-relative:page;mso-position-vertical-relative:page;z-index:-28602675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166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0.320007pt;margin-top:772.470032pt;width:17.5pt;height:12pt;mso-position-horizontal-relative:page;mso-position-vertical-relative:page;z-index:-2860257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174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23999pt;margin-top:525.869995pt;width:17.5pt;height:12pt;mso-position-horizontal-relative:page;mso-position-vertical-relative:page;z-index:-28602470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176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779.549011pt;width:17.5pt;height:12pt;mso-position-horizontal-relative:page;mso-position-vertical-relative:page;z-index:-28602368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178</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779.549011pt;width:17.5pt;height:12pt;mso-position-horizontal-relative:page;mso-position-vertical-relative:page;z-index:-2860226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180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779.549011pt;width:17.5pt;height:12pt;mso-position-horizontal-relative:page;mso-position-vertical-relative:page;z-index:-2860216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190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880005pt;margin-top:779.549011pt;width:17.5pt;height:12pt;mso-position-horizontal-relative:page;mso-position-vertical-relative:page;z-index:-2860206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1.158997pt;margin-top:781.22998pt;width:13.1pt;height:12pt;mso-position-horizontal-relative:page;mso-position-vertical-relative:page;z-index:-2860472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1.158997pt;margin-top:781.22998pt;width:13.1pt;height:12pt;mso-position-horizontal-relative:page;mso-position-vertical-relative:page;z-index:-2860462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518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40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416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399994pt;margin-top:534.629944pt;width:13.1pt;height:12pt;mso-position-horizontal-relative:page;mso-position-vertical-relative:page;z-index:-2860431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21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58997pt;margin-top:781.22998pt;width:13.1pt;height:12pt;mso-position-horizontal-relative:page;mso-position-vertical-relative:page;z-index:-2860410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60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6">
    <w:multiLevelType w:val="hybridMultilevel"/>
    <w:lvl w:ilvl="0">
      <w:start w:val="18"/>
      <w:numFmt w:val="decimal"/>
      <w:lvlText w:val="%1"/>
      <w:lvlJc w:val="left"/>
      <w:pPr>
        <w:ind w:left="1260" w:hanging="600"/>
        <w:jc w:val="left"/>
      </w:pPr>
      <w:rPr>
        <w:rFonts w:hint="default"/>
        <w:lang w:val="zh-CN" w:eastAsia="zh-CN" w:bidi="zh-CN"/>
      </w:rPr>
    </w:lvl>
    <w:lvl w:ilvl="1">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start w:val="1"/>
      <w:numFmt w:val="decimal"/>
      <w:lvlText w:val="%1.%2.%3"/>
      <w:lvlJc w:val="left"/>
      <w:pPr>
        <w:ind w:left="1430" w:hanging="771"/>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285" w:hanging="771"/>
      </w:pPr>
      <w:rPr>
        <w:rFonts w:hint="default"/>
        <w:lang w:val="zh-CN" w:eastAsia="zh-CN" w:bidi="zh-CN"/>
      </w:rPr>
    </w:lvl>
    <w:lvl w:ilvl="4">
      <w:start w:val="0"/>
      <w:numFmt w:val="bullet"/>
      <w:lvlText w:val="•"/>
      <w:lvlJc w:val="left"/>
      <w:pPr>
        <w:ind w:left="4208" w:hanging="771"/>
      </w:pPr>
      <w:rPr>
        <w:rFonts w:hint="default"/>
        <w:lang w:val="zh-CN" w:eastAsia="zh-CN" w:bidi="zh-CN"/>
      </w:rPr>
    </w:lvl>
    <w:lvl w:ilvl="5">
      <w:start w:val="0"/>
      <w:numFmt w:val="bullet"/>
      <w:lvlText w:val="•"/>
      <w:lvlJc w:val="left"/>
      <w:pPr>
        <w:ind w:left="5131" w:hanging="771"/>
      </w:pPr>
      <w:rPr>
        <w:rFonts w:hint="default"/>
        <w:lang w:val="zh-CN" w:eastAsia="zh-CN" w:bidi="zh-CN"/>
      </w:rPr>
    </w:lvl>
    <w:lvl w:ilvl="6">
      <w:start w:val="0"/>
      <w:numFmt w:val="bullet"/>
      <w:lvlText w:val="•"/>
      <w:lvlJc w:val="left"/>
      <w:pPr>
        <w:ind w:left="6054" w:hanging="771"/>
      </w:pPr>
      <w:rPr>
        <w:rFonts w:hint="default"/>
        <w:lang w:val="zh-CN" w:eastAsia="zh-CN" w:bidi="zh-CN"/>
      </w:rPr>
    </w:lvl>
    <w:lvl w:ilvl="7">
      <w:start w:val="0"/>
      <w:numFmt w:val="bullet"/>
      <w:lvlText w:val="•"/>
      <w:lvlJc w:val="left"/>
      <w:pPr>
        <w:ind w:left="6977" w:hanging="771"/>
      </w:pPr>
      <w:rPr>
        <w:rFonts w:hint="default"/>
        <w:lang w:val="zh-CN" w:eastAsia="zh-CN" w:bidi="zh-CN"/>
      </w:rPr>
    </w:lvl>
    <w:lvl w:ilvl="8">
      <w:start w:val="0"/>
      <w:numFmt w:val="bullet"/>
      <w:lvlText w:val="•"/>
      <w:lvlJc w:val="left"/>
      <w:pPr>
        <w:ind w:left="7900" w:hanging="771"/>
      </w:pPr>
      <w:rPr>
        <w:rFonts w:hint="default"/>
        <w:lang w:val="zh-CN" w:eastAsia="zh-CN" w:bidi="zh-CN"/>
      </w:rPr>
    </w:lvl>
  </w:abstractNum>
  <w:abstractNum w:abstractNumId="105">
    <w:multiLevelType w:val="hybridMultilevel"/>
    <w:lvl w:ilvl="0">
      <w:start w:val="17"/>
      <w:numFmt w:val="decimal"/>
      <w:lvlText w:val="%1"/>
      <w:lvlJc w:val="left"/>
      <w:pPr>
        <w:ind w:left="1260" w:hanging="600"/>
        <w:jc w:val="left"/>
      </w:pPr>
      <w:rPr>
        <w:rFonts w:hint="default"/>
        <w:lang w:val="zh-CN" w:eastAsia="zh-CN" w:bidi="zh-CN"/>
      </w:rPr>
    </w:lvl>
    <w:lvl w:ilvl="1">
      <w:start w:val="1"/>
      <w:numFmt w:val="decimal"/>
      <w:lvlText w:val="%1.%2"/>
      <w:lvlJc w:val="left"/>
      <w:pPr>
        <w:ind w:left="1260" w:hanging="600"/>
        <w:jc w:val="left"/>
      </w:pPr>
      <w:rPr>
        <w:rFonts w:hint="default" w:ascii="Times New Roman" w:hAnsi="Times New Roman" w:eastAsia="Times New Roman" w:cs="Times New Roman"/>
        <w:b/>
        <w:bCs/>
        <w:spacing w:val="-2"/>
        <w:w w:val="99"/>
        <w:sz w:val="30"/>
        <w:szCs w:val="30"/>
        <w:lang w:val="zh-CN" w:eastAsia="zh-CN" w:bidi="zh-CN"/>
      </w:rPr>
    </w:lvl>
    <w:lvl w:ilvl="2">
      <w:start w:val="1"/>
      <w:numFmt w:val="decimal"/>
      <w:lvlText w:val="（%3）"/>
      <w:lvlJc w:val="left"/>
      <w:pPr>
        <w:ind w:left="660" w:hanging="608"/>
        <w:jc w:val="left"/>
      </w:pPr>
      <w:rPr>
        <w:rFonts w:hint="default" w:ascii="宋体" w:hAnsi="宋体" w:eastAsia="宋体" w:cs="宋体"/>
        <w:spacing w:val="2"/>
        <w:w w:val="100"/>
        <w:sz w:val="22"/>
        <w:szCs w:val="22"/>
        <w:lang w:val="zh-CN" w:eastAsia="zh-CN" w:bidi="zh-CN"/>
      </w:rPr>
    </w:lvl>
    <w:lvl w:ilvl="3">
      <w:start w:val="0"/>
      <w:numFmt w:val="bullet"/>
      <w:lvlText w:val="•"/>
      <w:lvlJc w:val="left"/>
      <w:pPr>
        <w:ind w:left="3145" w:hanging="608"/>
      </w:pPr>
      <w:rPr>
        <w:rFonts w:hint="default"/>
        <w:lang w:val="zh-CN" w:eastAsia="zh-CN" w:bidi="zh-CN"/>
      </w:rPr>
    </w:lvl>
    <w:lvl w:ilvl="4">
      <w:start w:val="0"/>
      <w:numFmt w:val="bullet"/>
      <w:lvlText w:val="•"/>
      <w:lvlJc w:val="left"/>
      <w:pPr>
        <w:ind w:left="4088" w:hanging="608"/>
      </w:pPr>
      <w:rPr>
        <w:rFonts w:hint="default"/>
        <w:lang w:val="zh-CN" w:eastAsia="zh-CN" w:bidi="zh-CN"/>
      </w:rPr>
    </w:lvl>
    <w:lvl w:ilvl="5">
      <w:start w:val="0"/>
      <w:numFmt w:val="bullet"/>
      <w:lvlText w:val="•"/>
      <w:lvlJc w:val="left"/>
      <w:pPr>
        <w:ind w:left="5031" w:hanging="608"/>
      </w:pPr>
      <w:rPr>
        <w:rFonts w:hint="default"/>
        <w:lang w:val="zh-CN" w:eastAsia="zh-CN" w:bidi="zh-CN"/>
      </w:rPr>
    </w:lvl>
    <w:lvl w:ilvl="6">
      <w:start w:val="0"/>
      <w:numFmt w:val="bullet"/>
      <w:lvlText w:val="•"/>
      <w:lvlJc w:val="left"/>
      <w:pPr>
        <w:ind w:left="5974" w:hanging="608"/>
      </w:pPr>
      <w:rPr>
        <w:rFonts w:hint="default"/>
        <w:lang w:val="zh-CN" w:eastAsia="zh-CN" w:bidi="zh-CN"/>
      </w:rPr>
    </w:lvl>
    <w:lvl w:ilvl="7">
      <w:start w:val="0"/>
      <w:numFmt w:val="bullet"/>
      <w:lvlText w:val="•"/>
      <w:lvlJc w:val="left"/>
      <w:pPr>
        <w:ind w:left="6917" w:hanging="608"/>
      </w:pPr>
      <w:rPr>
        <w:rFonts w:hint="default"/>
        <w:lang w:val="zh-CN" w:eastAsia="zh-CN" w:bidi="zh-CN"/>
      </w:rPr>
    </w:lvl>
    <w:lvl w:ilvl="8">
      <w:start w:val="0"/>
      <w:numFmt w:val="bullet"/>
      <w:lvlText w:val="•"/>
      <w:lvlJc w:val="left"/>
      <w:pPr>
        <w:ind w:left="7860" w:hanging="608"/>
      </w:pPr>
      <w:rPr>
        <w:rFonts w:hint="default"/>
        <w:lang w:val="zh-CN" w:eastAsia="zh-CN" w:bidi="zh-CN"/>
      </w:rPr>
    </w:lvl>
  </w:abstractNum>
  <w:abstractNum w:abstractNumId="104">
    <w:multiLevelType w:val="hybridMultilevel"/>
    <w:lvl w:ilvl="0">
      <w:start w:val="1"/>
      <w:numFmt w:val="decimal"/>
      <w:lvlText w:val="(%1)"/>
      <w:lvlJc w:val="left"/>
      <w:pPr>
        <w:ind w:left="1100" w:hanging="281"/>
        <w:jc w:val="righ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1964" w:hanging="281"/>
      </w:pPr>
      <w:rPr>
        <w:rFonts w:hint="default"/>
        <w:lang w:val="zh-CN" w:eastAsia="zh-CN" w:bidi="zh-CN"/>
      </w:rPr>
    </w:lvl>
    <w:lvl w:ilvl="2">
      <w:start w:val="0"/>
      <w:numFmt w:val="bullet"/>
      <w:lvlText w:val="•"/>
      <w:lvlJc w:val="left"/>
      <w:pPr>
        <w:ind w:left="2829" w:hanging="281"/>
      </w:pPr>
      <w:rPr>
        <w:rFonts w:hint="default"/>
        <w:lang w:val="zh-CN" w:eastAsia="zh-CN" w:bidi="zh-CN"/>
      </w:rPr>
    </w:lvl>
    <w:lvl w:ilvl="3">
      <w:start w:val="0"/>
      <w:numFmt w:val="bullet"/>
      <w:lvlText w:val="•"/>
      <w:lvlJc w:val="left"/>
      <w:pPr>
        <w:ind w:left="3693" w:hanging="281"/>
      </w:pPr>
      <w:rPr>
        <w:rFonts w:hint="default"/>
        <w:lang w:val="zh-CN" w:eastAsia="zh-CN" w:bidi="zh-CN"/>
      </w:rPr>
    </w:lvl>
    <w:lvl w:ilvl="4">
      <w:start w:val="0"/>
      <w:numFmt w:val="bullet"/>
      <w:lvlText w:val="•"/>
      <w:lvlJc w:val="left"/>
      <w:pPr>
        <w:ind w:left="4558" w:hanging="281"/>
      </w:pPr>
      <w:rPr>
        <w:rFonts w:hint="default"/>
        <w:lang w:val="zh-CN" w:eastAsia="zh-CN" w:bidi="zh-CN"/>
      </w:rPr>
    </w:lvl>
    <w:lvl w:ilvl="5">
      <w:start w:val="0"/>
      <w:numFmt w:val="bullet"/>
      <w:lvlText w:val="•"/>
      <w:lvlJc w:val="left"/>
      <w:pPr>
        <w:ind w:left="5423" w:hanging="281"/>
      </w:pPr>
      <w:rPr>
        <w:rFonts w:hint="default"/>
        <w:lang w:val="zh-CN" w:eastAsia="zh-CN" w:bidi="zh-CN"/>
      </w:rPr>
    </w:lvl>
    <w:lvl w:ilvl="6">
      <w:start w:val="0"/>
      <w:numFmt w:val="bullet"/>
      <w:lvlText w:val="•"/>
      <w:lvlJc w:val="left"/>
      <w:pPr>
        <w:ind w:left="6287" w:hanging="281"/>
      </w:pPr>
      <w:rPr>
        <w:rFonts w:hint="default"/>
        <w:lang w:val="zh-CN" w:eastAsia="zh-CN" w:bidi="zh-CN"/>
      </w:rPr>
    </w:lvl>
    <w:lvl w:ilvl="7">
      <w:start w:val="0"/>
      <w:numFmt w:val="bullet"/>
      <w:lvlText w:val="•"/>
      <w:lvlJc w:val="left"/>
      <w:pPr>
        <w:ind w:left="7152" w:hanging="281"/>
      </w:pPr>
      <w:rPr>
        <w:rFonts w:hint="default"/>
        <w:lang w:val="zh-CN" w:eastAsia="zh-CN" w:bidi="zh-CN"/>
      </w:rPr>
    </w:lvl>
    <w:lvl w:ilvl="8">
      <w:start w:val="0"/>
      <w:numFmt w:val="bullet"/>
      <w:lvlText w:val="•"/>
      <w:lvlJc w:val="left"/>
      <w:pPr>
        <w:ind w:left="8016" w:hanging="281"/>
      </w:pPr>
      <w:rPr>
        <w:rFonts w:hint="default"/>
        <w:lang w:val="zh-CN" w:eastAsia="zh-CN" w:bidi="zh-CN"/>
      </w:rPr>
    </w:lvl>
  </w:abstractNum>
  <w:abstractNum w:abstractNumId="103">
    <w:multiLevelType w:val="hybridMultilevel"/>
    <w:lvl w:ilvl="0">
      <w:start w:val="1"/>
      <w:numFmt w:val="decimal"/>
      <w:lvlText w:val="(%1)"/>
      <w:lvlJc w:val="left"/>
      <w:pPr>
        <w:ind w:left="980" w:hanging="28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1856" w:hanging="281"/>
      </w:pPr>
      <w:rPr>
        <w:rFonts w:hint="default"/>
        <w:lang w:val="zh-CN" w:eastAsia="zh-CN" w:bidi="zh-CN"/>
      </w:rPr>
    </w:lvl>
    <w:lvl w:ilvl="2">
      <w:start w:val="0"/>
      <w:numFmt w:val="bullet"/>
      <w:lvlText w:val="•"/>
      <w:lvlJc w:val="left"/>
      <w:pPr>
        <w:ind w:left="2733" w:hanging="281"/>
      </w:pPr>
      <w:rPr>
        <w:rFonts w:hint="default"/>
        <w:lang w:val="zh-CN" w:eastAsia="zh-CN" w:bidi="zh-CN"/>
      </w:rPr>
    </w:lvl>
    <w:lvl w:ilvl="3">
      <w:start w:val="0"/>
      <w:numFmt w:val="bullet"/>
      <w:lvlText w:val="•"/>
      <w:lvlJc w:val="left"/>
      <w:pPr>
        <w:ind w:left="3609" w:hanging="281"/>
      </w:pPr>
      <w:rPr>
        <w:rFonts w:hint="default"/>
        <w:lang w:val="zh-CN" w:eastAsia="zh-CN" w:bidi="zh-CN"/>
      </w:rPr>
    </w:lvl>
    <w:lvl w:ilvl="4">
      <w:start w:val="0"/>
      <w:numFmt w:val="bullet"/>
      <w:lvlText w:val="•"/>
      <w:lvlJc w:val="left"/>
      <w:pPr>
        <w:ind w:left="4486" w:hanging="281"/>
      </w:pPr>
      <w:rPr>
        <w:rFonts w:hint="default"/>
        <w:lang w:val="zh-CN" w:eastAsia="zh-CN" w:bidi="zh-CN"/>
      </w:rPr>
    </w:lvl>
    <w:lvl w:ilvl="5">
      <w:start w:val="0"/>
      <w:numFmt w:val="bullet"/>
      <w:lvlText w:val="•"/>
      <w:lvlJc w:val="left"/>
      <w:pPr>
        <w:ind w:left="5363" w:hanging="281"/>
      </w:pPr>
      <w:rPr>
        <w:rFonts w:hint="default"/>
        <w:lang w:val="zh-CN" w:eastAsia="zh-CN" w:bidi="zh-CN"/>
      </w:rPr>
    </w:lvl>
    <w:lvl w:ilvl="6">
      <w:start w:val="0"/>
      <w:numFmt w:val="bullet"/>
      <w:lvlText w:val="•"/>
      <w:lvlJc w:val="left"/>
      <w:pPr>
        <w:ind w:left="6239" w:hanging="281"/>
      </w:pPr>
      <w:rPr>
        <w:rFonts w:hint="default"/>
        <w:lang w:val="zh-CN" w:eastAsia="zh-CN" w:bidi="zh-CN"/>
      </w:rPr>
    </w:lvl>
    <w:lvl w:ilvl="7">
      <w:start w:val="0"/>
      <w:numFmt w:val="bullet"/>
      <w:lvlText w:val="•"/>
      <w:lvlJc w:val="left"/>
      <w:pPr>
        <w:ind w:left="7116" w:hanging="281"/>
      </w:pPr>
      <w:rPr>
        <w:rFonts w:hint="default"/>
        <w:lang w:val="zh-CN" w:eastAsia="zh-CN" w:bidi="zh-CN"/>
      </w:rPr>
    </w:lvl>
    <w:lvl w:ilvl="8">
      <w:start w:val="0"/>
      <w:numFmt w:val="bullet"/>
      <w:lvlText w:val="•"/>
      <w:lvlJc w:val="left"/>
      <w:pPr>
        <w:ind w:left="7992" w:hanging="281"/>
      </w:pPr>
      <w:rPr>
        <w:rFonts w:hint="default"/>
        <w:lang w:val="zh-CN" w:eastAsia="zh-CN" w:bidi="zh-CN"/>
      </w:rPr>
    </w:lvl>
  </w:abstractNum>
  <w:abstractNum w:abstractNumId="102">
    <w:multiLevelType w:val="hybridMultilevel"/>
    <w:lvl w:ilvl="0">
      <w:start w:val="3"/>
      <w:numFmt w:val="decimal"/>
      <w:lvlText w:val="（%1）"/>
      <w:lvlJc w:val="left"/>
      <w:pPr>
        <w:ind w:left="1292" w:hanging="601"/>
        <w:jc w:val="left"/>
      </w:pPr>
      <w:rPr>
        <w:rFonts w:hint="default" w:ascii="宋体" w:hAnsi="宋体" w:eastAsia="宋体" w:cs="宋体"/>
        <w:w w:val="100"/>
        <w:sz w:val="22"/>
        <w:szCs w:val="22"/>
        <w:lang w:val="zh-CN" w:eastAsia="zh-CN" w:bidi="zh-CN"/>
      </w:rPr>
    </w:lvl>
    <w:lvl w:ilvl="1">
      <w:start w:val="2"/>
      <w:numFmt w:val="decimal"/>
      <w:lvlText w:val="（%2）"/>
      <w:lvlJc w:val="left"/>
      <w:pPr>
        <w:ind w:left="1741" w:hanging="601"/>
        <w:jc w:val="left"/>
      </w:pPr>
      <w:rPr>
        <w:rFonts w:hint="default" w:ascii="宋体" w:hAnsi="宋体" w:eastAsia="宋体" w:cs="宋体"/>
        <w:w w:val="100"/>
        <w:sz w:val="22"/>
        <w:szCs w:val="22"/>
        <w:lang w:val="zh-CN" w:eastAsia="zh-CN" w:bidi="zh-CN"/>
      </w:rPr>
    </w:lvl>
    <w:lvl w:ilvl="2">
      <w:start w:val="0"/>
      <w:numFmt w:val="bullet"/>
      <w:lvlText w:val="•"/>
      <w:lvlJc w:val="left"/>
      <w:pPr>
        <w:ind w:left="2629" w:hanging="601"/>
      </w:pPr>
      <w:rPr>
        <w:rFonts w:hint="default"/>
        <w:lang w:val="zh-CN" w:eastAsia="zh-CN" w:bidi="zh-CN"/>
      </w:rPr>
    </w:lvl>
    <w:lvl w:ilvl="3">
      <w:start w:val="0"/>
      <w:numFmt w:val="bullet"/>
      <w:lvlText w:val="•"/>
      <w:lvlJc w:val="left"/>
      <w:pPr>
        <w:ind w:left="3519" w:hanging="601"/>
      </w:pPr>
      <w:rPr>
        <w:rFonts w:hint="default"/>
        <w:lang w:val="zh-CN" w:eastAsia="zh-CN" w:bidi="zh-CN"/>
      </w:rPr>
    </w:lvl>
    <w:lvl w:ilvl="4">
      <w:start w:val="0"/>
      <w:numFmt w:val="bullet"/>
      <w:lvlText w:val="•"/>
      <w:lvlJc w:val="left"/>
      <w:pPr>
        <w:ind w:left="4408" w:hanging="601"/>
      </w:pPr>
      <w:rPr>
        <w:rFonts w:hint="default"/>
        <w:lang w:val="zh-CN" w:eastAsia="zh-CN" w:bidi="zh-CN"/>
      </w:rPr>
    </w:lvl>
    <w:lvl w:ilvl="5">
      <w:start w:val="0"/>
      <w:numFmt w:val="bullet"/>
      <w:lvlText w:val="•"/>
      <w:lvlJc w:val="left"/>
      <w:pPr>
        <w:ind w:left="5298"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7077" w:hanging="601"/>
      </w:pPr>
      <w:rPr>
        <w:rFonts w:hint="default"/>
        <w:lang w:val="zh-CN" w:eastAsia="zh-CN" w:bidi="zh-CN"/>
      </w:rPr>
    </w:lvl>
    <w:lvl w:ilvl="8">
      <w:start w:val="0"/>
      <w:numFmt w:val="bullet"/>
      <w:lvlText w:val="•"/>
      <w:lvlJc w:val="left"/>
      <w:pPr>
        <w:ind w:left="7966" w:hanging="601"/>
      </w:pPr>
      <w:rPr>
        <w:rFonts w:hint="default"/>
        <w:lang w:val="zh-CN" w:eastAsia="zh-CN" w:bidi="zh-CN"/>
      </w:rPr>
    </w:lvl>
  </w:abstractNum>
  <w:abstractNum w:abstractNumId="101">
    <w:multiLevelType w:val="hybridMultilevel"/>
    <w:lvl w:ilvl="0">
      <w:start w:val="16"/>
      <w:numFmt w:val="decimal"/>
      <w:lvlText w:val="%1"/>
      <w:lvlJc w:val="left"/>
      <w:pPr>
        <w:ind w:left="780" w:hanging="560"/>
        <w:jc w:val="left"/>
      </w:pPr>
      <w:rPr>
        <w:rFonts w:hint="default"/>
        <w:lang w:val="zh-CN" w:eastAsia="zh-CN" w:bidi="zh-CN"/>
      </w:rPr>
    </w:lvl>
    <w:lvl w:ilvl="1">
      <w:start w:val="1"/>
      <w:numFmt w:val="decimal"/>
      <w:lvlText w:val="%1.%2"/>
      <w:lvlJc w:val="left"/>
      <w:pPr>
        <w:ind w:left="780" w:hanging="560"/>
        <w:jc w:val="left"/>
      </w:pPr>
      <w:rPr>
        <w:rFonts w:hint="default" w:ascii="Times New Roman" w:hAnsi="Times New Roman" w:eastAsia="Times New Roman" w:cs="Times New Roman"/>
        <w:b/>
        <w:bCs/>
        <w:spacing w:val="-2"/>
        <w:w w:val="100"/>
        <w:sz w:val="28"/>
        <w:szCs w:val="28"/>
        <w:lang w:val="zh-CN" w:eastAsia="zh-CN" w:bidi="zh-CN"/>
      </w:rPr>
    </w:lvl>
    <w:lvl w:ilvl="2">
      <w:start w:val="1"/>
      <w:numFmt w:val="decimal"/>
      <w:lvlText w:val="%1.%2.%3"/>
      <w:lvlJc w:val="left"/>
      <w:pPr>
        <w:ind w:left="880" w:hanging="660"/>
        <w:jc w:val="left"/>
      </w:pPr>
      <w:rPr>
        <w:rFonts w:hint="default"/>
        <w:b/>
        <w:bCs/>
        <w:w w:val="99"/>
        <w:lang w:val="zh-CN" w:eastAsia="zh-CN" w:bidi="zh-CN"/>
      </w:rPr>
    </w:lvl>
    <w:lvl w:ilvl="3">
      <w:start w:val="1"/>
      <w:numFmt w:val="decimal"/>
      <w:lvlText w:val="（%4）"/>
      <w:lvlJc w:val="left"/>
      <w:pPr>
        <w:ind w:left="1301" w:hanging="660"/>
        <w:jc w:val="left"/>
      </w:pPr>
      <w:rPr>
        <w:rFonts w:hint="default" w:ascii="宋体" w:hAnsi="宋体" w:eastAsia="宋体" w:cs="宋体"/>
        <w:w w:val="100"/>
        <w:sz w:val="22"/>
        <w:szCs w:val="22"/>
        <w:lang w:val="zh-CN" w:eastAsia="zh-CN" w:bidi="zh-CN"/>
      </w:rPr>
    </w:lvl>
    <w:lvl w:ilvl="4">
      <w:start w:val="0"/>
      <w:numFmt w:val="bullet"/>
      <w:lvlText w:val="•"/>
      <w:lvlJc w:val="left"/>
      <w:pPr>
        <w:ind w:left="3411" w:hanging="660"/>
      </w:pPr>
      <w:rPr>
        <w:rFonts w:hint="default"/>
        <w:lang w:val="zh-CN" w:eastAsia="zh-CN" w:bidi="zh-CN"/>
      </w:rPr>
    </w:lvl>
    <w:lvl w:ilvl="5">
      <w:start w:val="0"/>
      <w:numFmt w:val="bullet"/>
      <w:lvlText w:val="•"/>
      <w:lvlJc w:val="left"/>
      <w:pPr>
        <w:ind w:left="4467" w:hanging="660"/>
      </w:pPr>
      <w:rPr>
        <w:rFonts w:hint="default"/>
        <w:lang w:val="zh-CN" w:eastAsia="zh-CN" w:bidi="zh-CN"/>
      </w:rPr>
    </w:lvl>
    <w:lvl w:ilvl="6">
      <w:start w:val="0"/>
      <w:numFmt w:val="bullet"/>
      <w:lvlText w:val="•"/>
      <w:lvlJc w:val="left"/>
      <w:pPr>
        <w:ind w:left="5523" w:hanging="660"/>
      </w:pPr>
      <w:rPr>
        <w:rFonts w:hint="default"/>
        <w:lang w:val="zh-CN" w:eastAsia="zh-CN" w:bidi="zh-CN"/>
      </w:rPr>
    </w:lvl>
    <w:lvl w:ilvl="7">
      <w:start w:val="0"/>
      <w:numFmt w:val="bullet"/>
      <w:lvlText w:val="•"/>
      <w:lvlJc w:val="left"/>
      <w:pPr>
        <w:ind w:left="6578" w:hanging="660"/>
      </w:pPr>
      <w:rPr>
        <w:rFonts w:hint="default"/>
        <w:lang w:val="zh-CN" w:eastAsia="zh-CN" w:bidi="zh-CN"/>
      </w:rPr>
    </w:lvl>
    <w:lvl w:ilvl="8">
      <w:start w:val="0"/>
      <w:numFmt w:val="bullet"/>
      <w:lvlText w:val="•"/>
      <w:lvlJc w:val="left"/>
      <w:pPr>
        <w:ind w:left="7634" w:hanging="660"/>
      </w:pPr>
      <w:rPr>
        <w:rFonts w:hint="default"/>
        <w:lang w:val="zh-CN" w:eastAsia="zh-CN" w:bidi="zh-CN"/>
      </w:rPr>
    </w:lvl>
  </w:abstractNum>
  <w:abstractNum w:abstractNumId="100">
    <w:multiLevelType w:val="hybridMultilevel"/>
    <w:lvl w:ilvl="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44" w:hanging="601"/>
      </w:pPr>
      <w:rPr>
        <w:rFonts w:hint="default"/>
        <w:lang w:val="zh-CN" w:eastAsia="zh-CN" w:bidi="zh-CN"/>
      </w:rPr>
    </w:lvl>
    <w:lvl w:ilvl="2">
      <w:start w:val="0"/>
      <w:numFmt w:val="bullet"/>
      <w:lvlText w:val="•"/>
      <w:lvlJc w:val="left"/>
      <w:pPr>
        <w:ind w:left="2989" w:hanging="601"/>
      </w:pPr>
      <w:rPr>
        <w:rFonts w:hint="default"/>
        <w:lang w:val="zh-CN" w:eastAsia="zh-CN" w:bidi="zh-CN"/>
      </w:rPr>
    </w:lvl>
    <w:lvl w:ilvl="3">
      <w:start w:val="0"/>
      <w:numFmt w:val="bullet"/>
      <w:lvlText w:val="•"/>
      <w:lvlJc w:val="left"/>
      <w:pPr>
        <w:ind w:left="3833" w:hanging="601"/>
      </w:pPr>
      <w:rPr>
        <w:rFonts w:hint="default"/>
        <w:lang w:val="zh-CN" w:eastAsia="zh-CN" w:bidi="zh-CN"/>
      </w:rPr>
    </w:lvl>
    <w:lvl w:ilvl="4">
      <w:start w:val="0"/>
      <w:numFmt w:val="bullet"/>
      <w:lvlText w:val="•"/>
      <w:lvlJc w:val="left"/>
      <w:pPr>
        <w:ind w:left="4678" w:hanging="601"/>
      </w:pPr>
      <w:rPr>
        <w:rFonts w:hint="default"/>
        <w:lang w:val="zh-CN" w:eastAsia="zh-CN" w:bidi="zh-CN"/>
      </w:rPr>
    </w:lvl>
    <w:lvl w:ilvl="5">
      <w:start w:val="0"/>
      <w:numFmt w:val="bullet"/>
      <w:lvlText w:val="•"/>
      <w:lvlJc w:val="left"/>
      <w:pPr>
        <w:ind w:left="5523" w:hanging="601"/>
      </w:pPr>
      <w:rPr>
        <w:rFonts w:hint="default"/>
        <w:lang w:val="zh-CN" w:eastAsia="zh-CN" w:bidi="zh-CN"/>
      </w:rPr>
    </w:lvl>
    <w:lvl w:ilvl="6">
      <w:start w:val="0"/>
      <w:numFmt w:val="bullet"/>
      <w:lvlText w:val="•"/>
      <w:lvlJc w:val="left"/>
      <w:pPr>
        <w:ind w:left="6367" w:hanging="601"/>
      </w:pPr>
      <w:rPr>
        <w:rFonts w:hint="default"/>
        <w:lang w:val="zh-CN" w:eastAsia="zh-CN" w:bidi="zh-CN"/>
      </w:rPr>
    </w:lvl>
    <w:lvl w:ilvl="7">
      <w:start w:val="0"/>
      <w:numFmt w:val="bullet"/>
      <w:lvlText w:val="•"/>
      <w:lvlJc w:val="left"/>
      <w:pPr>
        <w:ind w:left="7212" w:hanging="601"/>
      </w:pPr>
      <w:rPr>
        <w:rFonts w:hint="default"/>
        <w:lang w:val="zh-CN" w:eastAsia="zh-CN" w:bidi="zh-CN"/>
      </w:rPr>
    </w:lvl>
    <w:lvl w:ilvl="8">
      <w:start w:val="0"/>
      <w:numFmt w:val="bullet"/>
      <w:lvlText w:val="•"/>
      <w:lvlJc w:val="left"/>
      <w:pPr>
        <w:ind w:left="8056" w:hanging="601"/>
      </w:pPr>
      <w:rPr>
        <w:rFonts w:hint="default"/>
        <w:lang w:val="zh-CN" w:eastAsia="zh-CN" w:bidi="zh-CN"/>
      </w:rPr>
    </w:lvl>
  </w:abstractNum>
  <w:abstractNum w:abstractNumId="99">
    <w:multiLevelType w:val="hybridMultilevel"/>
    <w:lvl w:ilvl="0">
      <w:start w:val="1"/>
      <w:numFmt w:val="decimal"/>
      <w:lvlText w:val="（%1）"/>
      <w:lvlJc w:val="left"/>
      <w:pPr>
        <w:ind w:left="220" w:hanging="601"/>
        <w:jc w:val="left"/>
      </w:pPr>
      <w:rPr>
        <w:rFonts w:hint="default" w:ascii="宋体" w:hAnsi="宋体" w:eastAsia="宋体" w:cs="宋体"/>
        <w:spacing w:val="-10"/>
        <w:w w:val="100"/>
        <w:sz w:val="22"/>
        <w:szCs w:val="22"/>
        <w:lang w:val="zh-CN" w:eastAsia="zh-CN" w:bidi="zh-CN"/>
      </w:rPr>
    </w:lvl>
    <w:lvl w:ilvl="1">
      <w:start w:val="0"/>
      <w:numFmt w:val="bullet"/>
      <w:lvlText w:val="•"/>
      <w:lvlJc w:val="left"/>
      <w:pPr>
        <w:ind w:left="1172" w:hanging="601"/>
      </w:pPr>
      <w:rPr>
        <w:rFonts w:hint="default"/>
        <w:lang w:val="zh-CN" w:eastAsia="zh-CN" w:bidi="zh-CN"/>
      </w:rPr>
    </w:lvl>
    <w:lvl w:ilvl="2">
      <w:start w:val="0"/>
      <w:numFmt w:val="bullet"/>
      <w:lvlText w:val="•"/>
      <w:lvlJc w:val="left"/>
      <w:pPr>
        <w:ind w:left="2125" w:hanging="601"/>
      </w:pPr>
      <w:rPr>
        <w:rFonts w:hint="default"/>
        <w:lang w:val="zh-CN" w:eastAsia="zh-CN" w:bidi="zh-CN"/>
      </w:rPr>
    </w:lvl>
    <w:lvl w:ilvl="3">
      <w:start w:val="0"/>
      <w:numFmt w:val="bullet"/>
      <w:lvlText w:val="•"/>
      <w:lvlJc w:val="left"/>
      <w:pPr>
        <w:ind w:left="3077" w:hanging="601"/>
      </w:pPr>
      <w:rPr>
        <w:rFonts w:hint="default"/>
        <w:lang w:val="zh-CN" w:eastAsia="zh-CN" w:bidi="zh-CN"/>
      </w:rPr>
    </w:lvl>
    <w:lvl w:ilvl="4">
      <w:start w:val="0"/>
      <w:numFmt w:val="bullet"/>
      <w:lvlText w:val="•"/>
      <w:lvlJc w:val="left"/>
      <w:pPr>
        <w:ind w:left="4030" w:hanging="601"/>
      </w:pPr>
      <w:rPr>
        <w:rFonts w:hint="default"/>
        <w:lang w:val="zh-CN" w:eastAsia="zh-CN" w:bidi="zh-CN"/>
      </w:rPr>
    </w:lvl>
    <w:lvl w:ilvl="5">
      <w:start w:val="0"/>
      <w:numFmt w:val="bullet"/>
      <w:lvlText w:val="•"/>
      <w:lvlJc w:val="left"/>
      <w:pPr>
        <w:ind w:left="49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888" w:hanging="601"/>
      </w:pPr>
      <w:rPr>
        <w:rFonts w:hint="default"/>
        <w:lang w:val="zh-CN" w:eastAsia="zh-CN" w:bidi="zh-CN"/>
      </w:rPr>
    </w:lvl>
    <w:lvl w:ilvl="8">
      <w:start w:val="0"/>
      <w:numFmt w:val="bullet"/>
      <w:lvlText w:val="•"/>
      <w:lvlJc w:val="left"/>
      <w:pPr>
        <w:ind w:left="7840" w:hanging="601"/>
      </w:pPr>
      <w:rPr>
        <w:rFonts w:hint="default"/>
        <w:lang w:val="zh-CN" w:eastAsia="zh-CN" w:bidi="zh-CN"/>
      </w:rPr>
    </w:lvl>
  </w:abstractNum>
  <w:abstractNum w:abstractNumId="98">
    <w:multiLevelType w:val="hybridMultilevel"/>
    <w:lvl w:ilvl="0">
      <w:start w:val="1"/>
      <w:numFmt w:val="decimal"/>
      <w:lvlText w:val="（%1）"/>
      <w:lvlJc w:val="left"/>
      <w:pPr>
        <w:ind w:left="220" w:hanging="60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1172" w:hanging="601"/>
      </w:pPr>
      <w:rPr>
        <w:rFonts w:hint="default"/>
        <w:lang w:val="zh-CN" w:eastAsia="zh-CN" w:bidi="zh-CN"/>
      </w:rPr>
    </w:lvl>
    <w:lvl w:ilvl="2">
      <w:start w:val="0"/>
      <w:numFmt w:val="bullet"/>
      <w:lvlText w:val="•"/>
      <w:lvlJc w:val="left"/>
      <w:pPr>
        <w:ind w:left="2125" w:hanging="601"/>
      </w:pPr>
      <w:rPr>
        <w:rFonts w:hint="default"/>
        <w:lang w:val="zh-CN" w:eastAsia="zh-CN" w:bidi="zh-CN"/>
      </w:rPr>
    </w:lvl>
    <w:lvl w:ilvl="3">
      <w:start w:val="0"/>
      <w:numFmt w:val="bullet"/>
      <w:lvlText w:val="•"/>
      <w:lvlJc w:val="left"/>
      <w:pPr>
        <w:ind w:left="3077" w:hanging="601"/>
      </w:pPr>
      <w:rPr>
        <w:rFonts w:hint="default"/>
        <w:lang w:val="zh-CN" w:eastAsia="zh-CN" w:bidi="zh-CN"/>
      </w:rPr>
    </w:lvl>
    <w:lvl w:ilvl="4">
      <w:start w:val="0"/>
      <w:numFmt w:val="bullet"/>
      <w:lvlText w:val="•"/>
      <w:lvlJc w:val="left"/>
      <w:pPr>
        <w:ind w:left="4030" w:hanging="601"/>
      </w:pPr>
      <w:rPr>
        <w:rFonts w:hint="default"/>
        <w:lang w:val="zh-CN" w:eastAsia="zh-CN" w:bidi="zh-CN"/>
      </w:rPr>
    </w:lvl>
    <w:lvl w:ilvl="5">
      <w:start w:val="0"/>
      <w:numFmt w:val="bullet"/>
      <w:lvlText w:val="•"/>
      <w:lvlJc w:val="left"/>
      <w:pPr>
        <w:ind w:left="49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888" w:hanging="601"/>
      </w:pPr>
      <w:rPr>
        <w:rFonts w:hint="default"/>
        <w:lang w:val="zh-CN" w:eastAsia="zh-CN" w:bidi="zh-CN"/>
      </w:rPr>
    </w:lvl>
    <w:lvl w:ilvl="8">
      <w:start w:val="0"/>
      <w:numFmt w:val="bullet"/>
      <w:lvlText w:val="•"/>
      <w:lvlJc w:val="left"/>
      <w:pPr>
        <w:ind w:left="7840" w:hanging="601"/>
      </w:pPr>
      <w:rPr>
        <w:rFonts w:hint="default"/>
        <w:lang w:val="zh-CN" w:eastAsia="zh-CN" w:bidi="zh-CN"/>
      </w:rPr>
    </w:lvl>
  </w:abstractNum>
  <w:abstractNum w:abstractNumId="97">
    <w:multiLevelType w:val="hybridMultilevel"/>
    <w:lvl w:ilvl="0">
      <w:start w:val="15"/>
      <w:numFmt w:val="decimal"/>
      <w:lvlText w:val="%1"/>
      <w:lvlJc w:val="left"/>
      <w:pPr>
        <w:ind w:left="895" w:hanging="675"/>
        <w:jc w:val="left"/>
      </w:pPr>
      <w:rPr>
        <w:rFonts w:hint="default"/>
        <w:lang w:val="zh-CN" w:eastAsia="zh-CN" w:bidi="zh-CN"/>
      </w:rPr>
    </w:lvl>
    <w:lvl w:ilvl="1">
      <w:start w:val="1"/>
      <w:numFmt w:val="decimal"/>
      <w:lvlText w:val="%1.%2"/>
      <w:lvlJc w:val="left"/>
      <w:pPr>
        <w:ind w:left="895" w:hanging="675"/>
        <w:jc w:val="left"/>
      </w:pPr>
      <w:rPr>
        <w:rFonts w:hint="default" w:ascii="Times New Roman" w:hAnsi="Times New Roman" w:eastAsia="Times New Roman" w:cs="Times New Roman"/>
        <w:b/>
        <w:bCs/>
        <w:spacing w:val="-2"/>
        <w:w w:val="99"/>
        <w:sz w:val="30"/>
        <w:szCs w:val="30"/>
        <w:lang w:val="zh-CN" w:eastAsia="zh-CN" w:bidi="zh-CN"/>
      </w:rPr>
    </w:lvl>
    <w:lvl w:ilvl="2">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1509" w:hanging="601"/>
      </w:pPr>
      <w:rPr>
        <w:rFonts w:hint="default"/>
        <w:lang w:val="zh-CN" w:eastAsia="zh-CN" w:bidi="zh-CN"/>
      </w:rPr>
    </w:lvl>
    <w:lvl w:ilvl="5">
      <w:start w:val="0"/>
      <w:numFmt w:val="bullet"/>
      <w:lvlText w:val="•"/>
      <w:lvlJc w:val="left"/>
      <w:pPr>
        <w:ind w:left="1614" w:hanging="601"/>
      </w:pPr>
      <w:rPr>
        <w:rFonts w:hint="default"/>
        <w:lang w:val="zh-CN" w:eastAsia="zh-CN" w:bidi="zh-CN"/>
      </w:rPr>
    </w:lvl>
    <w:lvl w:ilvl="6">
      <w:start w:val="0"/>
      <w:numFmt w:val="bullet"/>
      <w:lvlText w:val="•"/>
      <w:lvlJc w:val="left"/>
      <w:pPr>
        <w:ind w:left="1718" w:hanging="601"/>
      </w:pPr>
      <w:rPr>
        <w:rFonts w:hint="default"/>
        <w:lang w:val="zh-CN" w:eastAsia="zh-CN" w:bidi="zh-CN"/>
      </w:rPr>
    </w:lvl>
    <w:lvl w:ilvl="7">
      <w:start w:val="0"/>
      <w:numFmt w:val="bullet"/>
      <w:lvlText w:val="•"/>
      <w:lvlJc w:val="left"/>
      <w:pPr>
        <w:ind w:left="1823" w:hanging="601"/>
      </w:pPr>
      <w:rPr>
        <w:rFonts w:hint="default"/>
        <w:lang w:val="zh-CN" w:eastAsia="zh-CN" w:bidi="zh-CN"/>
      </w:rPr>
    </w:lvl>
    <w:lvl w:ilvl="8">
      <w:start w:val="0"/>
      <w:numFmt w:val="bullet"/>
      <w:lvlText w:val="•"/>
      <w:lvlJc w:val="left"/>
      <w:pPr>
        <w:ind w:left="1928" w:hanging="601"/>
      </w:pPr>
      <w:rPr>
        <w:rFonts w:hint="default"/>
        <w:lang w:val="zh-CN" w:eastAsia="zh-CN" w:bidi="zh-CN"/>
      </w:rPr>
    </w:lvl>
  </w:abstractNum>
  <w:abstractNum w:abstractNumId="96">
    <w:multiLevelType w:val="hybridMultilevel"/>
    <w:lvl w:ilvl="0">
      <w:start w:val="1"/>
      <w:numFmt w:val="decimal"/>
      <w:lvlText w:val="（%1）"/>
      <w:lvlJc w:val="left"/>
      <w:pPr>
        <w:ind w:left="220" w:hanging="601"/>
        <w:jc w:val="left"/>
      </w:pPr>
      <w:rPr>
        <w:rFonts w:hint="default" w:ascii="宋体" w:hAnsi="宋体" w:eastAsia="宋体" w:cs="宋体"/>
        <w:spacing w:val="-20"/>
        <w:w w:val="100"/>
        <w:sz w:val="22"/>
        <w:szCs w:val="22"/>
        <w:lang w:val="zh-CN" w:eastAsia="zh-CN" w:bidi="zh-CN"/>
      </w:rPr>
    </w:lvl>
    <w:lvl w:ilvl="1">
      <w:start w:val="0"/>
      <w:numFmt w:val="bullet"/>
      <w:lvlText w:val="•"/>
      <w:lvlJc w:val="left"/>
      <w:pPr>
        <w:ind w:left="1172" w:hanging="601"/>
      </w:pPr>
      <w:rPr>
        <w:rFonts w:hint="default"/>
        <w:lang w:val="zh-CN" w:eastAsia="zh-CN" w:bidi="zh-CN"/>
      </w:rPr>
    </w:lvl>
    <w:lvl w:ilvl="2">
      <w:start w:val="0"/>
      <w:numFmt w:val="bullet"/>
      <w:lvlText w:val="•"/>
      <w:lvlJc w:val="left"/>
      <w:pPr>
        <w:ind w:left="2125" w:hanging="601"/>
      </w:pPr>
      <w:rPr>
        <w:rFonts w:hint="default"/>
        <w:lang w:val="zh-CN" w:eastAsia="zh-CN" w:bidi="zh-CN"/>
      </w:rPr>
    </w:lvl>
    <w:lvl w:ilvl="3">
      <w:start w:val="0"/>
      <w:numFmt w:val="bullet"/>
      <w:lvlText w:val="•"/>
      <w:lvlJc w:val="left"/>
      <w:pPr>
        <w:ind w:left="3077" w:hanging="601"/>
      </w:pPr>
      <w:rPr>
        <w:rFonts w:hint="default"/>
        <w:lang w:val="zh-CN" w:eastAsia="zh-CN" w:bidi="zh-CN"/>
      </w:rPr>
    </w:lvl>
    <w:lvl w:ilvl="4">
      <w:start w:val="0"/>
      <w:numFmt w:val="bullet"/>
      <w:lvlText w:val="•"/>
      <w:lvlJc w:val="left"/>
      <w:pPr>
        <w:ind w:left="4030" w:hanging="601"/>
      </w:pPr>
      <w:rPr>
        <w:rFonts w:hint="default"/>
        <w:lang w:val="zh-CN" w:eastAsia="zh-CN" w:bidi="zh-CN"/>
      </w:rPr>
    </w:lvl>
    <w:lvl w:ilvl="5">
      <w:start w:val="0"/>
      <w:numFmt w:val="bullet"/>
      <w:lvlText w:val="•"/>
      <w:lvlJc w:val="left"/>
      <w:pPr>
        <w:ind w:left="49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888" w:hanging="601"/>
      </w:pPr>
      <w:rPr>
        <w:rFonts w:hint="default"/>
        <w:lang w:val="zh-CN" w:eastAsia="zh-CN" w:bidi="zh-CN"/>
      </w:rPr>
    </w:lvl>
    <w:lvl w:ilvl="8">
      <w:start w:val="0"/>
      <w:numFmt w:val="bullet"/>
      <w:lvlText w:val="•"/>
      <w:lvlJc w:val="left"/>
      <w:pPr>
        <w:ind w:left="7840" w:hanging="601"/>
      </w:pPr>
      <w:rPr>
        <w:rFonts w:hint="default"/>
        <w:lang w:val="zh-CN" w:eastAsia="zh-CN" w:bidi="zh-CN"/>
      </w:rPr>
    </w:lvl>
  </w:abstractNum>
  <w:abstractNum w:abstractNumId="95">
    <w:multiLevelType w:val="hybridMultilevel"/>
    <w:lvl w:ilvl="0">
      <w:start w:val="14"/>
      <w:numFmt w:val="decimal"/>
      <w:lvlText w:val="%1"/>
      <w:lvlJc w:val="left"/>
      <w:pPr>
        <w:ind w:left="852" w:hanging="632"/>
        <w:jc w:val="left"/>
      </w:pPr>
      <w:rPr>
        <w:rFonts w:hint="default"/>
        <w:lang w:val="zh-CN" w:eastAsia="zh-CN" w:bidi="zh-CN"/>
      </w:rPr>
    </w:lvl>
    <w:lvl w:ilvl="1">
      <w:start w:val="2"/>
      <w:numFmt w:val="decimal"/>
      <w:lvlText w:val="%1.%2"/>
      <w:lvlJc w:val="left"/>
      <w:pPr>
        <w:ind w:left="852" w:hanging="632"/>
        <w:jc w:val="left"/>
      </w:pPr>
      <w:rPr>
        <w:rFonts w:hint="default"/>
        <w:b/>
        <w:bCs/>
        <w:spacing w:val="-2"/>
        <w:w w:val="100"/>
        <w:lang w:val="zh-CN" w:eastAsia="zh-CN" w:bidi="zh-CN"/>
      </w:rPr>
    </w:lvl>
    <w:lvl w:ilvl="2">
      <w:start w:val="1"/>
      <w:numFmt w:val="decimal"/>
      <w:lvlText w:val="%1.%2.%3"/>
      <w:lvlJc w:val="left"/>
      <w:pPr>
        <w:ind w:left="1060" w:hanging="840"/>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3411" w:hanging="601"/>
      </w:pPr>
      <w:rPr>
        <w:rFonts w:hint="default"/>
        <w:lang w:val="zh-CN" w:eastAsia="zh-CN" w:bidi="zh-CN"/>
      </w:rPr>
    </w:lvl>
    <w:lvl w:ilvl="5">
      <w:start w:val="0"/>
      <w:numFmt w:val="bullet"/>
      <w:lvlText w:val="•"/>
      <w:lvlJc w:val="left"/>
      <w:pPr>
        <w:ind w:left="4467" w:hanging="601"/>
      </w:pPr>
      <w:rPr>
        <w:rFonts w:hint="default"/>
        <w:lang w:val="zh-CN" w:eastAsia="zh-CN" w:bidi="zh-CN"/>
      </w:rPr>
    </w:lvl>
    <w:lvl w:ilvl="6">
      <w:start w:val="0"/>
      <w:numFmt w:val="bullet"/>
      <w:lvlText w:val="•"/>
      <w:lvlJc w:val="left"/>
      <w:pPr>
        <w:ind w:left="5523" w:hanging="601"/>
      </w:pPr>
      <w:rPr>
        <w:rFonts w:hint="default"/>
        <w:lang w:val="zh-CN" w:eastAsia="zh-CN" w:bidi="zh-CN"/>
      </w:rPr>
    </w:lvl>
    <w:lvl w:ilvl="7">
      <w:start w:val="0"/>
      <w:numFmt w:val="bullet"/>
      <w:lvlText w:val="•"/>
      <w:lvlJc w:val="left"/>
      <w:pPr>
        <w:ind w:left="6578" w:hanging="601"/>
      </w:pPr>
      <w:rPr>
        <w:rFonts w:hint="default"/>
        <w:lang w:val="zh-CN" w:eastAsia="zh-CN" w:bidi="zh-CN"/>
      </w:rPr>
    </w:lvl>
    <w:lvl w:ilvl="8">
      <w:start w:val="0"/>
      <w:numFmt w:val="bullet"/>
      <w:lvlText w:val="•"/>
      <w:lvlJc w:val="left"/>
      <w:pPr>
        <w:ind w:left="7634" w:hanging="601"/>
      </w:pPr>
      <w:rPr>
        <w:rFonts w:hint="default"/>
        <w:lang w:val="zh-CN" w:eastAsia="zh-CN" w:bidi="zh-CN"/>
      </w:rPr>
    </w:lvl>
  </w:abstractNum>
  <w:abstractNum w:abstractNumId="94">
    <w:multiLevelType w:val="hybridMultilevel"/>
    <w:lvl w:ilvl="0">
      <w:start w:val="1"/>
      <w:numFmt w:val="decimal"/>
      <w:lvlText w:val="（%1）"/>
      <w:lvlJc w:val="left"/>
      <w:pPr>
        <w:ind w:left="220" w:hanging="601"/>
        <w:jc w:val="left"/>
      </w:pPr>
      <w:rPr>
        <w:rFonts w:hint="default" w:ascii="宋体" w:hAnsi="宋体" w:eastAsia="宋体" w:cs="宋体"/>
        <w:spacing w:val="-41"/>
        <w:w w:val="100"/>
        <w:sz w:val="22"/>
        <w:szCs w:val="22"/>
        <w:lang w:val="zh-CN" w:eastAsia="zh-CN" w:bidi="zh-CN"/>
      </w:rPr>
    </w:lvl>
    <w:lvl w:ilvl="1">
      <w:start w:val="0"/>
      <w:numFmt w:val="bullet"/>
      <w:lvlText w:val="•"/>
      <w:lvlJc w:val="left"/>
      <w:pPr>
        <w:ind w:left="1172" w:hanging="601"/>
      </w:pPr>
      <w:rPr>
        <w:rFonts w:hint="default"/>
        <w:lang w:val="zh-CN" w:eastAsia="zh-CN" w:bidi="zh-CN"/>
      </w:rPr>
    </w:lvl>
    <w:lvl w:ilvl="2">
      <w:start w:val="0"/>
      <w:numFmt w:val="bullet"/>
      <w:lvlText w:val="•"/>
      <w:lvlJc w:val="left"/>
      <w:pPr>
        <w:ind w:left="2125" w:hanging="601"/>
      </w:pPr>
      <w:rPr>
        <w:rFonts w:hint="default"/>
        <w:lang w:val="zh-CN" w:eastAsia="zh-CN" w:bidi="zh-CN"/>
      </w:rPr>
    </w:lvl>
    <w:lvl w:ilvl="3">
      <w:start w:val="0"/>
      <w:numFmt w:val="bullet"/>
      <w:lvlText w:val="•"/>
      <w:lvlJc w:val="left"/>
      <w:pPr>
        <w:ind w:left="3077" w:hanging="601"/>
      </w:pPr>
      <w:rPr>
        <w:rFonts w:hint="default"/>
        <w:lang w:val="zh-CN" w:eastAsia="zh-CN" w:bidi="zh-CN"/>
      </w:rPr>
    </w:lvl>
    <w:lvl w:ilvl="4">
      <w:start w:val="0"/>
      <w:numFmt w:val="bullet"/>
      <w:lvlText w:val="•"/>
      <w:lvlJc w:val="left"/>
      <w:pPr>
        <w:ind w:left="4030" w:hanging="601"/>
      </w:pPr>
      <w:rPr>
        <w:rFonts w:hint="default"/>
        <w:lang w:val="zh-CN" w:eastAsia="zh-CN" w:bidi="zh-CN"/>
      </w:rPr>
    </w:lvl>
    <w:lvl w:ilvl="5">
      <w:start w:val="0"/>
      <w:numFmt w:val="bullet"/>
      <w:lvlText w:val="•"/>
      <w:lvlJc w:val="left"/>
      <w:pPr>
        <w:ind w:left="4983" w:hanging="601"/>
      </w:pPr>
      <w:rPr>
        <w:rFonts w:hint="default"/>
        <w:lang w:val="zh-CN" w:eastAsia="zh-CN" w:bidi="zh-CN"/>
      </w:rPr>
    </w:lvl>
    <w:lvl w:ilvl="6">
      <w:start w:val="0"/>
      <w:numFmt w:val="bullet"/>
      <w:lvlText w:val="•"/>
      <w:lvlJc w:val="left"/>
      <w:pPr>
        <w:ind w:left="5935" w:hanging="601"/>
      </w:pPr>
      <w:rPr>
        <w:rFonts w:hint="default"/>
        <w:lang w:val="zh-CN" w:eastAsia="zh-CN" w:bidi="zh-CN"/>
      </w:rPr>
    </w:lvl>
    <w:lvl w:ilvl="7">
      <w:start w:val="0"/>
      <w:numFmt w:val="bullet"/>
      <w:lvlText w:val="•"/>
      <w:lvlJc w:val="left"/>
      <w:pPr>
        <w:ind w:left="6888" w:hanging="601"/>
      </w:pPr>
      <w:rPr>
        <w:rFonts w:hint="default"/>
        <w:lang w:val="zh-CN" w:eastAsia="zh-CN" w:bidi="zh-CN"/>
      </w:rPr>
    </w:lvl>
    <w:lvl w:ilvl="8">
      <w:start w:val="0"/>
      <w:numFmt w:val="bullet"/>
      <w:lvlText w:val="•"/>
      <w:lvlJc w:val="left"/>
      <w:pPr>
        <w:ind w:left="7840" w:hanging="601"/>
      </w:pPr>
      <w:rPr>
        <w:rFonts w:hint="default"/>
        <w:lang w:val="zh-CN" w:eastAsia="zh-CN" w:bidi="zh-CN"/>
      </w:rPr>
    </w:lvl>
  </w:abstractNum>
  <w:abstractNum w:abstractNumId="93">
    <w:multiLevelType w:val="hybridMultilevel"/>
    <w:lvl w:ilvl="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44" w:hanging="601"/>
      </w:pPr>
      <w:rPr>
        <w:rFonts w:hint="default"/>
        <w:lang w:val="zh-CN" w:eastAsia="zh-CN" w:bidi="zh-CN"/>
      </w:rPr>
    </w:lvl>
    <w:lvl w:ilvl="2">
      <w:start w:val="0"/>
      <w:numFmt w:val="bullet"/>
      <w:lvlText w:val="•"/>
      <w:lvlJc w:val="left"/>
      <w:pPr>
        <w:ind w:left="2989" w:hanging="601"/>
      </w:pPr>
      <w:rPr>
        <w:rFonts w:hint="default"/>
        <w:lang w:val="zh-CN" w:eastAsia="zh-CN" w:bidi="zh-CN"/>
      </w:rPr>
    </w:lvl>
    <w:lvl w:ilvl="3">
      <w:start w:val="0"/>
      <w:numFmt w:val="bullet"/>
      <w:lvlText w:val="•"/>
      <w:lvlJc w:val="left"/>
      <w:pPr>
        <w:ind w:left="3833" w:hanging="601"/>
      </w:pPr>
      <w:rPr>
        <w:rFonts w:hint="default"/>
        <w:lang w:val="zh-CN" w:eastAsia="zh-CN" w:bidi="zh-CN"/>
      </w:rPr>
    </w:lvl>
    <w:lvl w:ilvl="4">
      <w:start w:val="0"/>
      <w:numFmt w:val="bullet"/>
      <w:lvlText w:val="•"/>
      <w:lvlJc w:val="left"/>
      <w:pPr>
        <w:ind w:left="4678" w:hanging="601"/>
      </w:pPr>
      <w:rPr>
        <w:rFonts w:hint="default"/>
        <w:lang w:val="zh-CN" w:eastAsia="zh-CN" w:bidi="zh-CN"/>
      </w:rPr>
    </w:lvl>
    <w:lvl w:ilvl="5">
      <w:start w:val="0"/>
      <w:numFmt w:val="bullet"/>
      <w:lvlText w:val="•"/>
      <w:lvlJc w:val="left"/>
      <w:pPr>
        <w:ind w:left="5523" w:hanging="601"/>
      </w:pPr>
      <w:rPr>
        <w:rFonts w:hint="default"/>
        <w:lang w:val="zh-CN" w:eastAsia="zh-CN" w:bidi="zh-CN"/>
      </w:rPr>
    </w:lvl>
    <w:lvl w:ilvl="6">
      <w:start w:val="0"/>
      <w:numFmt w:val="bullet"/>
      <w:lvlText w:val="•"/>
      <w:lvlJc w:val="left"/>
      <w:pPr>
        <w:ind w:left="6367" w:hanging="601"/>
      </w:pPr>
      <w:rPr>
        <w:rFonts w:hint="default"/>
        <w:lang w:val="zh-CN" w:eastAsia="zh-CN" w:bidi="zh-CN"/>
      </w:rPr>
    </w:lvl>
    <w:lvl w:ilvl="7">
      <w:start w:val="0"/>
      <w:numFmt w:val="bullet"/>
      <w:lvlText w:val="•"/>
      <w:lvlJc w:val="left"/>
      <w:pPr>
        <w:ind w:left="7212" w:hanging="601"/>
      </w:pPr>
      <w:rPr>
        <w:rFonts w:hint="default"/>
        <w:lang w:val="zh-CN" w:eastAsia="zh-CN" w:bidi="zh-CN"/>
      </w:rPr>
    </w:lvl>
    <w:lvl w:ilvl="8">
      <w:start w:val="0"/>
      <w:numFmt w:val="bullet"/>
      <w:lvlText w:val="•"/>
      <w:lvlJc w:val="left"/>
      <w:pPr>
        <w:ind w:left="8056" w:hanging="601"/>
      </w:pPr>
      <w:rPr>
        <w:rFonts w:hint="default"/>
        <w:lang w:val="zh-CN" w:eastAsia="zh-CN" w:bidi="zh-CN"/>
      </w:rPr>
    </w:lvl>
  </w:abstractNum>
  <w:abstractNum w:abstractNumId="92">
    <w:multiLevelType w:val="hybridMultilevel"/>
    <w:lvl w:ilvl="0">
      <w:start w:val="1"/>
      <w:numFmt w:val="decimal"/>
      <w:lvlText w:val="（%1）"/>
      <w:lvlJc w:val="left"/>
      <w:pPr>
        <w:ind w:left="1301" w:hanging="601"/>
        <w:jc w:val="left"/>
      </w:pPr>
      <w:rPr>
        <w:rFonts w:hint="default" w:ascii="宋体" w:hAnsi="宋体" w:eastAsia="宋体" w:cs="宋体"/>
        <w:spacing w:val="-15"/>
        <w:w w:val="100"/>
        <w:sz w:val="22"/>
        <w:szCs w:val="22"/>
        <w:lang w:val="zh-CN" w:eastAsia="zh-CN" w:bidi="zh-CN"/>
      </w:rPr>
    </w:lvl>
    <w:lvl w:ilvl="1">
      <w:start w:val="0"/>
      <w:numFmt w:val="bullet"/>
      <w:lvlText w:val="•"/>
      <w:lvlJc w:val="left"/>
      <w:pPr>
        <w:ind w:left="2144" w:hanging="601"/>
      </w:pPr>
      <w:rPr>
        <w:rFonts w:hint="default"/>
        <w:lang w:val="zh-CN" w:eastAsia="zh-CN" w:bidi="zh-CN"/>
      </w:rPr>
    </w:lvl>
    <w:lvl w:ilvl="2">
      <w:start w:val="0"/>
      <w:numFmt w:val="bullet"/>
      <w:lvlText w:val="•"/>
      <w:lvlJc w:val="left"/>
      <w:pPr>
        <w:ind w:left="2989" w:hanging="601"/>
      </w:pPr>
      <w:rPr>
        <w:rFonts w:hint="default"/>
        <w:lang w:val="zh-CN" w:eastAsia="zh-CN" w:bidi="zh-CN"/>
      </w:rPr>
    </w:lvl>
    <w:lvl w:ilvl="3">
      <w:start w:val="0"/>
      <w:numFmt w:val="bullet"/>
      <w:lvlText w:val="•"/>
      <w:lvlJc w:val="left"/>
      <w:pPr>
        <w:ind w:left="3833" w:hanging="601"/>
      </w:pPr>
      <w:rPr>
        <w:rFonts w:hint="default"/>
        <w:lang w:val="zh-CN" w:eastAsia="zh-CN" w:bidi="zh-CN"/>
      </w:rPr>
    </w:lvl>
    <w:lvl w:ilvl="4">
      <w:start w:val="0"/>
      <w:numFmt w:val="bullet"/>
      <w:lvlText w:val="•"/>
      <w:lvlJc w:val="left"/>
      <w:pPr>
        <w:ind w:left="4678" w:hanging="601"/>
      </w:pPr>
      <w:rPr>
        <w:rFonts w:hint="default"/>
        <w:lang w:val="zh-CN" w:eastAsia="zh-CN" w:bidi="zh-CN"/>
      </w:rPr>
    </w:lvl>
    <w:lvl w:ilvl="5">
      <w:start w:val="0"/>
      <w:numFmt w:val="bullet"/>
      <w:lvlText w:val="•"/>
      <w:lvlJc w:val="left"/>
      <w:pPr>
        <w:ind w:left="5523" w:hanging="601"/>
      </w:pPr>
      <w:rPr>
        <w:rFonts w:hint="default"/>
        <w:lang w:val="zh-CN" w:eastAsia="zh-CN" w:bidi="zh-CN"/>
      </w:rPr>
    </w:lvl>
    <w:lvl w:ilvl="6">
      <w:start w:val="0"/>
      <w:numFmt w:val="bullet"/>
      <w:lvlText w:val="•"/>
      <w:lvlJc w:val="left"/>
      <w:pPr>
        <w:ind w:left="6367" w:hanging="601"/>
      </w:pPr>
      <w:rPr>
        <w:rFonts w:hint="default"/>
        <w:lang w:val="zh-CN" w:eastAsia="zh-CN" w:bidi="zh-CN"/>
      </w:rPr>
    </w:lvl>
    <w:lvl w:ilvl="7">
      <w:start w:val="0"/>
      <w:numFmt w:val="bullet"/>
      <w:lvlText w:val="•"/>
      <w:lvlJc w:val="left"/>
      <w:pPr>
        <w:ind w:left="7212" w:hanging="601"/>
      </w:pPr>
      <w:rPr>
        <w:rFonts w:hint="default"/>
        <w:lang w:val="zh-CN" w:eastAsia="zh-CN" w:bidi="zh-CN"/>
      </w:rPr>
    </w:lvl>
    <w:lvl w:ilvl="8">
      <w:start w:val="0"/>
      <w:numFmt w:val="bullet"/>
      <w:lvlText w:val="•"/>
      <w:lvlJc w:val="left"/>
      <w:pPr>
        <w:ind w:left="8056" w:hanging="601"/>
      </w:pPr>
      <w:rPr>
        <w:rFonts w:hint="default"/>
        <w:lang w:val="zh-CN" w:eastAsia="zh-CN" w:bidi="zh-CN"/>
      </w:rPr>
    </w:lvl>
  </w:abstractNum>
  <w:abstractNum w:abstractNumId="91">
    <w:multiLevelType w:val="hybridMultilevel"/>
    <w:lvl w:ilvl="0">
      <w:start w:val="13"/>
      <w:numFmt w:val="decimal"/>
      <w:lvlText w:val="%1"/>
      <w:lvlJc w:val="left"/>
      <w:pPr>
        <w:ind w:left="1060" w:hanging="840"/>
        <w:jc w:val="left"/>
      </w:pPr>
      <w:rPr>
        <w:rFonts w:hint="default"/>
        <w:lang w:val="zh-CN" w:eastAsia="zh-CN" w:bidi="zh-CN"/>
      </w:rPr>
    </w:lvl>
    <w:lvl w:ilvl="1">
      <w:start w:val="5"/>
      <w:numFmt w:val="decimal"/>
      <w:lvlText w:val="%1.%2"/>
      <w:lvlJc w:val="left"/>
      <w:pPr>
        <w:ind w:left="1060" w:hanging="840"/>
        <w:jc w:val="left"/>
      </w:pPr>
      <w:rPr>
        <w:rFonts w:hint="default"/>
        <w:lang w:val="zh-CN" w:eastAsia="zh-CN" w:bidi="zh-CN"/>
      </w:rPr>
    </w:lvl>
    <w:lvl w:ilvl="2">
      <w:start w:val="1"/>
      <w:numFmt w:val="decimal"/>
      <w:lvlText w:val="%1.%2.%3"/>
      <w:lvlJc w:val="left"/>
      <w:pPr>
        <w:ind w:left="1060" w:hanging="840"/>
        <w:jc w:val="left"/>
      </w:pPr>
      <w:rPr>
        <w:rFonts w:hint="default"/>
        <w:b/>
        <w:bCs/>
        <w:spacing w:val="-2"/>
        <w:w w:val="100"/>
        <w:lang w:val="zh-CN" w:eastAsia="zh-CN" w:bidi="zh-CN"/>
      </w:rPr>
    </w:lvl>
    <w:lvl w:ilvl="3">
      <w:start w:val="1"/>
      <w:numFmt w:val="decimal"/>
      <w:lvlText w:val="（%4）"/>
      <w:lvlJc w:val="left"/>
      <w:pPr>
        <w:ind w:left="1301"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4115" w:hanging="601"/>
      </w:pPr>
      <w:rPr>
        <w:rFonts w:hint="default"/>
        <w:lang w:val="zh-CN" w:eastAsia="zh-CN" w:bidi="zh-CN"/>
      </w:rPr>
    </w:lvl>
    <w:lvl w:ilvl="5">
      <w:start w:val="0"/>
      <w:numFmt w:val="bullet"/>
      <w:lvlText w:val="•"/>
      <w:lvlJc w:val="left"/>
      <w:pPr>
        <w:ind w:left="5053" w:hanging="601"/>
      </w:pPr>
      <w:rPr>
        <w:rFonts w:hint="default"/>
        <w:lang w:val="zh-CN" w:eastAsia="zh-CN" w:bidi="zh-CN"/>
      </w:rPr>
    </w:lvl>
    <w:lvl w:ilvl="6">
      <w:start w:val="0"/>
      <w:numFmt w:val="bullet"/>
      <w:lvlText w:val="•"/>
      <w:lvlJc w:val="left"/>
      <w:pPr>
        <w:ind w:left="5992" w:hanging="601"/>
      </w:pPr>
      <w:rPr>
        <w:rFonts w:hint="default"/>
        <w:lang w:val="zh-CN" w:eastAsia="zh-CN" w:bidi="zh-CN"/>
      </w:rPr>
    </w:lvl>
    <w:lvl w:ilvl="7">
      <w:start w:val="0"/>
      <w:numFmt w:val="bullet"/>
      <w:lvlText w:val="•"/>
      <w:lvlJc w:val="left"/>
      <w:pPr>
        <w:ind w:left="6930" w:hanging="601"/>
      </w:pPr>
      <w:rPr>
        <w:rFonts w:hint="default"/>
        <w:lang w:val="zh-CN" w:eastAsia="zh-CN" w:bidi="zh-CN"/>
      </w:rPr>
    </w:lvl>
    <w:lvl w:ilvl="8">
      <w:start w:val="0"/>
      <w:numFmt w:val="bullet"/>
      <w:lvlText w:val="•"/>
      <w:lvlJc w:val="left"/>
      <w:pPr>
        <w:ind w:left="7869" w:hanging="601"/>
      </w:pPr>
      <w:rPr>
        <w:rFonts w:hint="default"/>
        <w:lang w:val="zh-CN" w:eastAsia="zh-CN" w:bidi="zh-CN"/>
      </w:rPr>
    </w:lvl>
  </w:abstractNum>
  <w:abstractNum w:abstractNumId="90">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9">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8">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7">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6">
    <w:multiLevelType w:val="hybridMultilevel"/>
    <w:lvl w:ilvl="0">
      <w:start w:val="1"/>
      <w:numFmt w:val="decimal"/>
      <w:lvlText w:val="%1."/>
      <w:lvlJc w:val="left"/>
      <w:pPr>
        <w:ind w:left="106" w:hanging="161"/>
        <w:jc w:val="left"/>
      </w:pPr>
      <w:rPr>
        <w:rFonts w:hint="default" w:ascii="Times New Roman" w:hAnsi="Times New Roman" w:eastAsia="Times New Roman" w:cs="Times New Roman"/>
        <w:spacing w:val="1"/>
        <w:w w:val="99"/>
        <w:position w:val="2"/>
        <w:sz w:val="19"/>
        <w:szCs w:val="19"/>
        <w:lang w:val="zh-CN" w:eastAsia="zh-CN" w:bidi="zh-CN"/>
      </w:rPr>
    </w:lvl>
    <w:lvl w:ilvl="1">
      <w:start w:val="0"/>
      <w:numFmt w:val="bullet"/>
      <w:lvlText w:val="•"/>
      <w:lvlJc w:val="left"/>
      <w:pPr>
        <w:ind w:left="671" w:hanging="161"/>
      </w:pPr>
      <w:rPr>
        <w:rFonts w:hint="default"/>
        <w:lang w:val="zh-CN" w:eastAsia="zh-CN" w:bidi="zh-CN"/>
      </w:rPr>
    </w:lvl>
    <w:lvl w:ilvl="2">
      <w:start w:val="0"/>
      <w:numFmt w:val="bullet"/>
      <w:lvlText w:val="•"/>
      <w:lvlJc w:val="left"/>
      <w:pPr>
        <w:ind w:left="1243" w:hanging="161"/>
      </w:pPr>
      <w:rPr>
        <w:rFonts w:hint="default"/>
        <w:lang w:val="zh-CN" w:eastAsia="zh-CN" w:bidi="zh-CN"/>
      </w:rPr>
    </w:lvl>
    <w:lvl w:ilvl="3">
      <w:start w:val="0"/>
      <w:numFmt w:val="bullet"/>
      <w:lvlText w:val="•"/>
      <w:lvlJc w:val="left"/>
      <w:pPr>
        <w:ind w:left="1815" w:hanging="161"/>
      </w:pPr>
      <w:rPr>
        <w:rFonts w:hint="default"/>
        <w:lang w:val="zh-CN" w:eastAsia="zh-CN" w:bidi="zh-CN"/>
      </w:rPr>
    </w:lvl>
    <w:lvl w:ilvl="4">
      <w:start w:val="0"/>
      <w:numFmt w:val="bullet"/>
      <w:lvlText w:val="•"/>
      <w:lvlJc w:val="left"/>
      <w:pPr>
        <w:ind w:left="2386" w:hanging="161"/>
      </w:pPr>
      <w:rPr>
        <w:rFonts w:hint="default"/>
        <w:lang w:val="zh-CN" w:eastAsia="zh-CN" w:bidi="zh-CN"/>
      </w:rPr>
    </w:lvl>
    <w:lvl w:ilvl="5">
      <w:start w:val="0"/>
      <w:numFmt w:val="bullet"/>
      <w:lvlText w:val="•"/>
      <w:lvlJc w:val="left"/>
      <w:pPr>
        <w:ind w:left="2958" w:hanging="161"/>
      </w:pPr>
      <w:rPr>
        <w:rFonts w:hint="default"/>
        <w:lang w:val="zh-CN" w:eastAsia="zh-CN" w:bidi="zh-CN"/>
      </w:rPr>
    </w:lvl>
    <w:lvl w:ilvl="6">
      <w:start w:val="0"/>
      <w:numFmt w:val="bullet"/>
      <w:lvlText w:val="•"/>
      <w:lvlJc w:val="left"/>
      <w:pPr>
        <w:ind w:left="3530" w:hanging="161"/>
      </w:pPr>
      <w:rPr>
        <w:rFonts w:hint="default"/>
        <w:lang w:val="zh-CN" w:eastAsia="zh-CN" w:bidi="zh-CN"/>
      </w:rPr>
    </w:lvl>
    <w:lvl w:ilvl="7">
      <w:start w:val="0"/>
      <w:numFmt w:val="bullet"/>
      <w:lvlText w:val="•"/>
      <w:lvlJc w:val="left"/>
      <w:pPr>
        <w:ind w:left="4101" w:hanging="161"/>
      </w:pPr>
      <w:rPr>
        <w:rFonts w:hint="default"/>
        <w:lang w:val="zh-CN" w:eastAsia="zh-CN" w:bidi="zh-CN"/>
      </w:rPr>
    </w:lvl>
    <w:lvl w:ilvl="8">
      <w:start w:val="0"/>
      <w:numFmt w:val="bullet"/>
      <w:lvlText w:val="•"/>
      <w:lvlJc w:val="left"/>
      <w:pPr>
        <w:ind w:left="4673" w:hanging="161"/>
      </w:pPr>
      <w:rPr>
        <w:rFonts w:hint="default"/>
        <w:lang w:val="zh-CN" w:eastAsia="zh-CN" w:bidi="zh-CN"/>
      </w:rPr>
    </w:lvl>
  </w:abstractNum>
  <w:abstractNum w:abstractNumId="85">
    <w:multiLevelType w:val="hybridMultilevel"/>
    <w:lvl w:ilvl="0">
      <w:start w:val="1"/>
      <w:numFmt w:val="decimal"/>
      <w:lvlText w:val="%1."/>
      <w:lvlJc w:val="left"/>
      <w:pPr>
        <w:ind w:left="106" w:hanging="161"/>
        <w:jc w:val="left"/>
      </w:pPr>
      <w:rPr>
        <w:rFonts w:hint="default" w:ascii="Times New Roman" w:hAnsi="Times New Roman" w:eastAsia="Times New Roman" w:cs="Times New Roman"/>
        <w:spacing w:val="1"/>
        <w:w w:val="99"/>
        <w:position w:val="2"/>
        <w:sz w:val="19"/>
        <w:szCs w:val="19"/>
        <w:lang w:val="zh-CN" w:eastAsia="zh-CN" w:bidi="zh-CN"/>
      </w:rPr>
    </w:lvl>
    <w:lvl w:ilvl="1">
      <w:start w:val="0"/>
      <w:numFmt w:val="bullet"/>
      <w:lvlText w:val="•"/>
      <w:lvlJc w:val="left"/>
      <w:pPr>
        <w:ind w:left="671" w:hanging="161"/>
      </w:pPr>
      <w:rPr>
        <w:rFonts w:hint="default"/>
        <w:lang w:val="zh-CN" w:eastAsia="zh-CN" w:bidi="zh-CN"/>
      </w:rPr>
    </w:lvl>
    <w:lvl w:ilvl="2">
      <w:start w:val="0"/>
      <w:numFmt w:val="bullet"/>
      <w:lvlText w:val="•"/>
      <w:lvlJc w:val="left"/>
      <w:pPr>
        <w:ind w:left="1243" w:hanging="161"/>
      </w:pPr>
      <w:rPr>
        <w:rFonts w:hint="default"/>
        <w:lang w:val="zh-CN" w:eastAsia="zh-CN" w:bidi="zh-CN"/>
      </w:rPr>
    </w:lvl>
    <w:lvl w:ilvl="3">
      <w:start w:val="0"/>
      <w:numFmt w:val="bullet"/>
      <w:lvlText w:val="•"/>
      <w:lvlJc w:val="left"/>
      <w:pPr>
        <w:ind w:left="1815" w:hanging="161"/>
      </w:pPr>
      <w:rPr>
        <w:rFonts w:hint="default"/>
        <w:lang w:val="zh-CN" w:eastAsia="zh-CN" w:bidi="zh-CN"/>
      </w:rPr>
    </w:lvl>
    <w:lvl w:ilvl="4">
      <w:start w:val="0"/>
      <w:numFmt w:val="bullet"/>
      <w:lvlText w:val="•"/>
      <w:lvlJc w:val="left"/>
      <w:pPr>
        <w:ind w:left="2386" w:hanging="161"/>
      </w:pPr>
      <w:rPr>
        <w:rFonts w:hint="default"/>
        <w:lang w:val="zh-CN" w:eastAsia="zh-CN" w:bidi="zh-CN"/>
      </w:rPr>
    </w:lvl>
    <w:lvl w:ilvl="5">
      <w:start w:val="0"/>
      <w:numFmt w:val="bullet"/>
      <w:lvlText w:val="•"/>
      <w:lvlJc w:val="left"/>
      <w:pPr>
        <w:ind w:left="2958" w:hanging="161"/>
      </w:pPr>
      <w:rPr>
        <w:rFonts w:hint="default"/>
        <w:lang w:val="zh-CN" w:eastAsia="zh-CN" w:bidi="zh-CN"/>
      </w:rPr>
    </w:lvl>
    <w:lvl w:ilvl="6">
      <w:start w:val="0"/>
      <w:numFmt w:val="bullet"/>
      <w:lvlText w:val="•"/>
      <w:lvlJc w:val="left"/>
      <w:pPr>
        <w:ind w:left="3530" w:hanging="161"/>
      </w:pPr>
      <w:rPr>
        <w:rFonts w:hint="default"/>
        <w:lang w:val="zh-CN" w:eastAsia="zh-CN" w:bidi="zh-CN"/>
      </w:rPr>
    </w:lvl>
    <w:lvl w:ilvl="7">
      <w:start w:val="0"/>
      <w:numFmt w:val="bullet"/>
      <w:lvlText w:val="•"/>
      <w:lvlJc w:val="left"/>
      <w:pPr>
        <w:ind w:left="4101" w:hanging="161"/>
      </w:pPr>
      <w:rPr>
        <w:rFonts w:hint="default"/>
        <w:lang w:val="zh-CN" w:eastAsia="zh-CN" w:bidi="zh-CN"/>
      </w:rPr>
    </w:lvl>
    <w:lvl w:ilvl="8">
      <w:start w:val="0"/>
      <w:numFmt w:val="bullet"/>
      <w:lvlText w:val="•"/>
      <w:lvlJc w:val="left"/>
      <w:pPr>
        <w:ind w:left="4673" w:hanging="161"/>
      </w:pPr>
      <w:rPr>
        <w:rFonts w:hint="default"/>
        <w:lang w:val="zh-CN" w:eastAsia="zh-CN" w:bidi="zh-CN"/>
      </w:rPr>
    </w:lvl>
  </w:abstractNum>
  <w:abstractNum w:abstractNumId="84">
    <w:multiLevelType w:val="hybridMultilevel"/>
    <w:lvl w:ilvl="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671" w:hanging="159"/>
      </w:pPr>
      <w:rPr>
        <w:rFonts w:hint="default"/>
        <w:lang w:val="zh-CN" w:eastAsia="zh-CN" w:bidi="zh-CN"/>
      </w:rPr>
    </w:lvl>
    <w:lvl w:ilvl="2">
      <w:start w:val="0"/>
      <w:numFmt w:val="bullet"/>
      <w:lvlText w:val="•"/>
      <w:lvlJc w:val="left"/>
      <w:pPr>
        <w:ind w:left="1243" w:hanging="159"/>
      </w:pPr>
      <w:rPr>
        <w:rFonts w:hint="default"/>
        <w:lang w:val="zh-CN" w:eastAsia="zh-CN" w:bidi="zh-CN"/>
      </w:rPr>
    </w:lvl>
    <w:lvl w:ilvl="3">
      <w:start w:val="0"/>
      <w:numFmt w:val="bullet"/>
      <w:lvlText w:val="•"/>
      <w:lvlJc w:val="left"/>
      <w:pPr>
        <w:ind w:left="1815" w:hanging="159"/>
      </w:pPr>
      <w:rPr>
        <w:rFonts w:hint="default"/>
        <w:lang w:val="zh-CN" w:eastAsia="zh-CN" w:bidi="zh-CN"/>
      </w:rPr>
    </w:lvl>
    <w:lvl w:ilvl="4">
      <w:start w:val="0"/>
      <w:numFmt w:val="bullet"/>
      <w:lvlText w:val="•"/>
      <w:lvlJc w:val="left"/>
      <w:pPr>
        <w:ind w:left="2386" w:hanging="159"/>
      </w:pPr>
      <w:rPr>
        <w:rFonts w:hint="default"/>
        <w:lang w:val="zh-CN" w:eastAsia="zh-CN" w:bidi="zh-CN"/>
      </w:rPr>
    </w:lvl>
    <w:lvl w:ilvl="5">
      <w:start w:val="0"/>
      <w:numFmt w:val="bullet"/>
      <w:lvlText w:val="•"/>
      <w:lvlJc w:val="left"/>
      <w:pPr>
        <w:ind w:left="2958" w:hanging="159"/>
      </w:pPr>
      <w:rPr>
        <w:rFonts w:hint="default"/>
        <w:lang w:val="zh-CN" w:eastAsia="zh-CN" w:bidi="zh-CN"/>
      </w:rPr>
    </w:lvl>
    <w:lvl w:ilvl="6">
      <w:start w:val="0"/>
      <w:numFmt w:val="bullet"/>
      <w:lvlText w:val="•"/>
      <w:lvlJc w:val="left"/>
      <w:pPr>
        <w:ind w:left="3530" w:hanging="159"/>
      </w:pPr>
      <w:rPr>
        <w:rFonts w:hint="default"/>
        <w:lang w:val="zh-CN" w:eastAsia="zh-CN" w:bidi="zh-CN"/>
      </w:rPr>
    </w:lvl>
    <w:lvl w:ilvl="7">
      <w:start w:val="0"/>
      <w:numFmt w:val="bullet"/>
      <w:lvlText w:val="•"/>
      <w:lvlJc w:val="left"/>
      <w:pPr>
        <w:ind w:left="4101" w:hanging="159"/>
      </w:pPr>
      <w:rPr>
        <w:rFonts w:hint="default"/>
        <w:lang w:val="zh-CN" w:eastAsia="zh-CN" w:bidi="zh-CN"/>
      </w:rPr>
    </w:lvl>
    <w:lvl w:ilvl="8">
      <w:start w:val="0"/>
      <w:numFmt w:val="bullet"/>
      <w:lvlText w:val="•"/>
      <w:lvlJc w:val="left"/>
      <w:pPr>
        <w:ind w:left="4673" w:hanging="159"/>
      </w:pPr>
      <w:rPr>
        <w:rFonts w:hint="default"/>
        <w:lang w:val="zh-CN" w:eastAsia="zh-CN" w:bidi="zh-CN"/>
      </w:rPr>
    </w:lvl>
  </w:abstractNum>
  <w:abstractNum w:abstractNumId="83">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2">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position w:val="2"/>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1">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80">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position w:val="2"/>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79">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78">
    <w:multiLevelType w:val="hybridMultilevel"/>
    <w:lvl w:ilvl="0">
      <w:start w:val="2"/>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77">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76">
    <w:multiLevelType w:val="hybridMultilevel"/>
    <w:lvl w:ilvl="0">
      <w:start w:val="1"/>
      <w:numFmt w:val="decimal"/>
      <w:lvlText w:val="%1."/>
      <w:lvlJc w:val="left"/>
      <w:pPr>
        <w:ind w:left="265"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815" w:hanging="159"/>
      </w:pPr>
      <w:rPr>
        <w:rFonts w:hint="default"/>
        <w:lang w:val="zh-CN" w:eastAsia="zh-CN" w:bidi="zh-CN"/>
      </w:rPr>
    </w:lvl>
    <w:lvl w:ilvl="2">
      <w:start w:val="0"/>
      <w:numFmt w:val="bullet"/>
      <w:lvlText w:val="•"/>
      <w:lvlJc w:val="left"/>
      <w:pPr>
        <w:ind w:left="1371" w:hanging="159"/>
      </w:pPr>
      <w:rPr>
        <w:rFonts w:hint="default"/>
        <w:lang w:val="zh-CN" w:eastAsia="zh-CN" w:bidi="zh-CN"/>
      </w:rPr>
    </w:lvl>
    <w:lvl w:ilvl="3">
      <w:start w:val="0"/>
      <w:numFmt w:val="bullet"/>
      <w:lvlText w:val="•"/>
      <w:lvlJc w:val="left"/>
      <w:pPr>
        <w:ind w:left="1927" w:hanging="159"/>
      </w:pPr>
      <w:rPr>
        <w:rFonts w:hint="default"/>
        <w:lang w:val="zh-CN" w:eastAsia="zh-CN" w:bidi="zh-CN"/>
      </w:rPr>
    </w:lvl>
    <w:lvl w:ilvl="4">
      <w:start w:val="0"/>
      <w:numFmt w:val="bullet"/>
      <w:lvlText w:val="•"/>
      <w:lvlJc w:val="left"/>
      <w:pPr>
        <w:ind w:left="2482" w:hanging="159"/>
      </w:pPr>
      <w:rPr>
        <w:rFonts w:hint="default"/>
        <w:lang w:val="zh-CN" w:eastAsia="zh-CN" w:bidi="zh-CN"/>
      </w:rPr>
    </w:lvl>
    <w:lvl w:ilvl="5">
      <w:start w:val="0"/>
      <w:numFmt w:val="bullet"/>
      <w:lvlText w:val="•"/>
      <w:lvlJc w:val="left"/>
      <w:pPr>
        <w:ind w:left="3038" w:hanging="159"/>
      </w:pPr>
      <w:rPr>
        <w:rFonts w:hint="default"/>
        <w:lang w:val="zh-CN" w:eastAsia="zh-CN" w:bidi="zh-CN"/>
      </w:rPr>
    </w:lvl>
    <w:lvl w:ilvl="6">
      <w:start w:val="0"/>
      <w:numFmt w:val="bullet"/>
      <w:lvlText w:val="•"/>
      <w:lvlJc w:val="left"/>
      <w:pPr>
        <w:ind w:left="3594" w:hanging="159"/>
      </w:pPr>
      <w:rPr>
        <w:rFonts w:hint="default"/>
        <w:lang w:val="zh-CN" w:eastAsia="zh-CN" w:bidi="zh-CN"/>
      </w:rPr>
    </w:lvl>
    <w:lvl w:ilvl="7">
      <w:start w:val="0"/>
      <w:numFmt w:val="bullet"/>
      <w:lvlText w:val="•"/>
      <w:lvlJc w:val="left"/>
      <w:pPr>
        <w:ind w:left="4149" w:hanging="159"/>
      </w:pPr>
      <w:rPr>
        <w:rFonts w:hint="default"/>
        <w:lang w:val="zh-CN" w:eastAsia="zh-CN" w:bidi="zh-CN"/>
      </w:rPr>
    </w:lvl>
    <w:lvl w:ilvl="8">
      <w:start w:val="0"/>
      <w:numFmt w:val="bullet"/>
      <w:lvlText w:val="•"/>
      <w:lvlJc w:val="left"/>
      <w:pPr>
        <w:ind w:left="4705" w:hanging="159"/>
      </w:pPr>
      <w:rPr>
        <w:rFonts w:hint="default"/>
        <w:lang w:val="zh-CN" w:eastAsia="zh-CN" w:bidi="zh-CN"/>
      </w:rPr>
    </w:lvl>
  </w:abstractNum>
  <w:abstractNum w:abstractNumId="75">
    <w:multiLevelType w:val="hybridMultilevel"/>
    <w:lvl w:ilvl="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zh-CN" w:eastAsia="zh-CN" w:bidi="zh-CN"/>
      </w:rPr>
    </w:lvl>
    <w:lvl w:ilvl="1">
      <w:start w:val="0"/>
      <w:numFmt w:val="bullet"/>
      <w:lvlText w:val="•"/>
      <w:lvlJc w:val="left"/>
      <w:pPr>
        <w:ind w:left="671" w:hanging="159"/>
      </w:pPr>
      <w:rPr>
        <w:rFonts w:hint="default"/>
        <w:lang w:val="zh-CN" w:eastAsia="zh-CN" w:bidi="zh-CN"/>
      </w:rPr>
    </w:lvl>
    <w:lvl w:ilvl="2">
      <w:start w:val="0"/>
      <w:numFmt w:val="bullet"/>
      <w:lvlText w:val="•"/>
      <w:lvlJc w:val="left"/>
      <w:pPr>
        <w:ind w:left="1243" w:hanging="159"/>
      </w:pPr>
      <w:rPr>
        <w:rFonts w:hint="default"/>
        <w:lang w:val="zh-CN" w:eastAsia="zh-CN" w:bidi="zh-CN"/>
      </w:rPr>
    </w:lvl>
    <w:lvl w:ilvl="3">
      <w:start w:val="0"/>
      <w:numFmt w:val="bullet"/>
      <w:lvlText w:val="•"/>
      <w:lvlJc w:val="left"/>
      <w:pPr>
        <w:ind w:left="1815" w:hanging="159"/>
      </w:pPr>
      <w:rPr>
        <w:rFonts w:hint="default"/>
        <w:lang w:val="zh-CN" w:eastAsia="zh-CN" w:bidi="zh-CN"/>
      </w:rPr>
    </w:lvl>
    <w:lvl w:ilvl="4">
      <w:start w:val="0"/>
      <w:numFmt w:val="bullet"/>
      <w:lvlText w:val="•"/>
      <w:lvlJc w:val="left"/>
      <w:pPr>
        <w:ind w:left="2386" w:hanging="159"/>
      </w:pPr>
      <w:rPr>
        <w:rFonts w:hint="default"/>
        <w:lang w:val="zh-CN" w:eastAsia="zh-CN" w:bidi="zh-CN"/>
      </w:rPr>
    </w:lvl>
    <w:lvl w:ilvl="5">
      <w:start w:val="0"/>
      <w:numFmt w:val="bullet"/>
      <w:lvlText w:val="•"/>
      <w:lvlJc w:val="left"/>
      <w:pPr>
        <w:ind w:left="2958" w:hanging="159"/>
      </w:pPr>
      <w:rPr>
        <w:rFonts w:hint="default"/>
        <w:lang w:val="zh-CN" w:eastAsia="zh-CN" w:bidi="zh-CN"/>
      </w:rPr>
    </w:lvl>
    <w:lvl w:ilvl="6">
      <w:start w:val="0"/>
      <w:numFmt w:val="bullet"/>
      <w:lvlText w:val="•"/>
      <w:lvlJc w:val="left"/>
      <w:pPr>
        <w:ind w:left="3530" w:hanging="159"/>
      </w:pPr>
      <w:rPr>
        <w:rFonts w:hint="default"/>
        <w:lang w:val="zh-CN" w:eastAsia="zh-CN" w:bidi="zh-CN"/>
      </w:rPr>
    </w:lvl>
    <w:lvl w:ilvl="7">
      <w:start w:val="0"/>
      <w:numFmt w:val="bullet"/>
      <w:lvlText w:val="•"/>
      <w:lvlJc w:val="left"/>
      <w:pPr>
        <w:ind w:left="4101" w:hanging="159"/>
      </w:pPr>
      <w:rPr>
        <w:rFonts w:hint="default"/>
        <w:lang w:val="zh-CN" w:eastAsia="zh-CN" w:bidi="zh-CN"/>
      </w:rPr>
    </w:lvl>
    <w:lvl w:ilvl="8">
      <w:start w:val="0"/>
      <w:numFmt w:val="bullet"/>
      <w:lvlText w:val="•"/>
      <w:lvlJc w:val="left"/>
      <w:pPr>
        <w:ind w:left="4673" w:hanging="159"/>
      </w:pPr>
      <w:rPr>
        <w:rFonts w:hint="default"/>
        <w:lang w:val="zh-CN" w:eastAsia="zh-CN" w:bidi="zh-CN"/>
      </w:rPr>
    </w:lvl>
  </w:abstractNum>
  <w:abstractNum w:abstractNumId="74">
    <w:multiLevelType w:val="hybridMultilevel"/>
    <w:lvl w:ilvl="0">
      <w:start w:val="1"/>
      <w:numFmt w:val="decimal"/>
      <w:lvlText w:val="（%1）"/>
      <w:lvlJc w:val="left"/>
      <w:pPr>
        <w:ind w:left="1297" w:hanging="601"/>
        <w:jc w:val="left"/>
      </w:pPr>
      <w:rPr>
        <w:rFonts w:hint="default" w:ascii="宋体" w:hAnsi="宋体" w:eastAsia="宋体" w:cs="宋体"/>
        <w:spacing w:val="-2"/>
        <w:w w:val="100"/>
        <w:position w:val="2"/>
        <w:sz w:val="22"/>
        <w:szCs w:val="22"/>
        <w:lang w:val="zh-CN" w:eastAsia="zh-CN" w:bidi="zh-CN"/>
      </w:rPr>
    </w:lvl>
    <w:lvl w:ilvl="1">
      <w:start w:val="0"/>
      <w:numFmt w:val="bullet"/>
      <w:lvlText w:val="•"/>
      <w:lvlJc w:val="left"/>
      <w:pPr>
        <w:ind w:left="2128" w:hanging="601"/>
      </w:pPr>
      <w:rPr>
        <w:rFonts w:hint="default"/>
        <w:lang w:val="zh-CN" w:eastAsia="zh-CN" w:bidi="zh-CN"/>
      </w:rPr>
    </w:lvl>
    <w:lvl w:ilvl="2">
      <w:start w:val="0"/>
      <w:numFmt w:val="bullet"/>
      <w:lvlText w:val="•"/>
      <w:lvlJc w:val="left"/>
      <w:pPr>
        <w:ind w:left="2957" w:hanging="601"/>
      </w:pPr>
      <w:rPr>
        <w:rFonts w:hint="default"/>
        <w:lang w:val="zh-CN" w:eastAsia="zh-CN" w:bidi="zh-CN"/>
      </w:rPr>
    </w:lvl>
    <w:lvl w:ilvl="3">
      <w:start w:val="0"/>
      <w:numFmt w:val="bullet"/>
      <w:lvlText w:val="•"/>
      <w:lvlJc w:val="left"/>
      <w:pPr>
        <w:ind w:left="3785" w:hanging="601"/>
      </w:pPr>
      <w:rPr>
        <w:rFonts w:hint="default"/>
        <w:lang w:val="zh-CN" w:eastAsia="zh-CN" w:bidi="zh-CN"/>
      </w:rPr>
    </w:lvl>
    <w:lvl w:ilvl="4">
      <w:start w:val="0"/>
      <w:numFmt w:val="bullet"/>
      <w:lvlText w:val="•"/>
      <w:lvlJc w:val="left"/>
      <w:pPr>
        <w:ind w:left="4614" w:hanging="601"/>
      </w:pPr>
      <w:rPr>
        <w:rFonts w:hint="default"/>
        <w:lang w:val="zh-CN" w:eastAsia="zh-CN" w:bidi="zh-CN"/>
      </w:rPr>
    </w:lvl>
    <w:lvl w:ilvl="5">
      <w:start w:val="0"/>
      <w:numFmt w:val="bullet"/>
      <w:lvlText w:val="•"/>
      <w:lvlJc w:val="left"/>
      <w:pPr>
        <w:ind w:left="5443" w:hanging="601"/>
      </w:pPr>
      <w:rPr>
        <w:rFonts w:hint="default"/>
        <w:lang w:val="zh-CN" w:eastAsia="zh-CN" w:bidi="zh-CN"/>
      </w:rPr>
    </w:lvl>
    <w:lvl w:ilvl="6">
      <w:start w:val="0"/>
      <w:numFmt w:val="bullet"/>
      <w:lvlText w:val="•"/>
      <w:lvlJc w:val="left"/>
      <w:pPr>
        <w:ind w:left="6271" w:hanging="601"/>
      </w:pPr>
      <w:rPr>
        <w:rFonts w:hint="default"/>
        <w:lang w:val="zh-CN" w:eastAsia="zh-CN" w:bidi="zh-CN"/>
      </w:rPr>
    </w:lvl>
    <w:lvl w:ilvl="7">
      <w:start w:val="0"/>
      <w:numFmt w:val="bullet"/>
      <w:lvlText w:val="•"/>
      <w:lvlJc w:val="left"/>
      <w:pPr>
        <w:ind w:left="7100" w:hanging="601"/>
      </w:pPr>
      <w:rPr>
        <w:rFonts w:hint="default"/>
        <w:lang w:val="zh-CN" w:eastAsia="zh-CN" w:bidi="zh-CN"/>
      </w:rPr>
    </w:lvl>
    <w:lvl w:ilvl="8">
      <w:start w:val="0"/>
      <w:numFmt w:val="bullet"/>
      <w:lvlText w:val="•"/>
      <w:lvlJc w:val="left"/>
      <w:pPr>
        <w:ind w:left="7928" w:hanging="601"/>
      </w:pPr>
      <w:rPr>
        <w:rFonts w:hint="default"/>
        <w:lang w:val="zh-CN" w:eastAsia="zh-CN" w:bidi="zh-CN"/>
      </w:rPr>
    </w:lvl>
  </w:abstractNum>
  <w:abstractNum w:abstractNumId="73">
    <w:multiLevelType w:val="hybridMultilevel"/>
    <w:lvl w:ilvl="0">
      <w:start w:val="1"/>
      <w:numFmt w:val="decimal"/>
      <w:lvlText w:val="（%1）"/>
      <w:lvlJc w:val="left"/>
      <w:pPr>
        <w:ind w:left="1297"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28" w:hanging="601"/>
      </w:pPr>
      <w:rPr>
        <w:rFonts w:hint="default"/>
        <w:lang w:val="zh-CN" w:eastAsia="zh-CN" w:bidi="zh-CN"/>
      </w:rPr>
    </w:lvl>
    <w:lvl w:ilvl="2">
      <w:start w:val="0"/>
      <w:numFmt w:val="bullet"/>
      <w:lvlText w:val="•"/>
      <w:lvlJc w:val="left"/>
      <w:pPr>
        <w:ind w:left="2957" w:hanging="601"/>
      </w:pPr>
      <w:rPr>
        <w:rFonts w:hint="default"/>
        <w:lang w:val="zh-CN" w:eastAsia="zh-CN" w:bidi="zh-CN"/>
      </w:rPr>
    </w:lvl>
    <w:lvl w:ilvl="3">
      <w:start w:val="0"/>
      <w:numFmt w:val="bullet"/>
      <w:lvlText w:val="•"/>
      <w:lvlJc w:val="left"/>
      <w:pPr>
        <w:ind w:left="3785" w:hanging="601"/>
      </w:pPr>
      <w:rPr>
        <w:rFonts w:hint="default"/>
        <w:lang w:val="zh-CN" w:eastAsia="zh-CN" w:bidi="zh-CN"/>
      </w:rPr>
    </w:lvl>
    <w:lvl w:ilvl="4">
      <w:start w:val="0"/>
      <w:numFmt w:val="bullet"/>
      <w:lvlText w:val="•"/>
      <w:lvlJc w:val="left"/>
      <w:pPr>
        <w:ind w:left="4614" w:hanging="601"/>
      </w:pPr>
      <w:rPr>
        <w:rFonts w:hint="default"/>
        <w:lang w:val="zh-CN" w:eastAsia="zh-CN" w:bidi="zh-CN"/>
      </w:rPr>
    </w:lvl>
    <w:lvl w:ilvl="5">
      <w:start w:val="0"/>
      <w:numFmt w:val="bullet"/>
      <w:lvlText w:val="•"/>
      <w:lvlJc w:val="left"/>
      <w:pPr>
        <w:ind w:left="5443" w:hanging="601"/>
      </w:pPr>
      <w:rPr>
        <w:rFonts w:hint="default"/>
        <w:lang w:val="zh-CN" w:eastAsia="zh-CN" w:bidi="zh-CN"/>
      </w:rPr>
    </w:lvl>
    <w:lvl w:ilvl="6">
      <w:start w:val="0"/>
      <w:numFmt w:val="bullet"/>
      <w:lvlText w:val="•"/>
      <w:lvlJc w:val="left"/>
      <w:pPr>
        <w:ind w:left="6271" w:hanging="601"/>
      </w:pPr>
      <w:rPr>
        <w:rFonts w:hint="default"/>
        <w:lang w:val="zh-CN" w:eastAsia="zh-CN" w:bidi="zh-CN"/>
      </w:rPr>
    </w:lvl>
    <w:lvl w:ilvl="7">
      <w:start w:val="0"/>
      <w:numFmt w:val="bullet"/>
      <w:lvlText w:val="•"/>
      <w:lvlJc w:val="left"/>
      <w:pPr>
        <w:ind w:left="7100" w:hanging="601"/>
      </w:pPr>
      <w:rPr>
        <w:rFonts w:hint="default"/>
        <w:lang w:val="zh-CN" w:eastAsia="zh-CN" w:bidi="zh-CN"/>
      </w:rPr>
    </w:lvl>
    <w:lvl w:ilvl="8">
      <w:start w:val="0"/>
      <w:numFmt w:val="bullet"/>
      <w:lvlText w:val="•"/>
      <w:lvlJc w:val="left"/>
      <w:pPr>
        <w:ind w:left="7928" w:hanging="601"/>
      </w:pPr>
      <w:rPr>
        <w:rFonts w:hint="default"/>
        <w:lang w:val="zh-CN" w:eastAsia="zh-CN" w:bidi="zh-CN"/>
      </w:rPr>
    </w:lvl>
  </w:abstractNum>
  <w:abstractNum w:abstractNumId="72">
    <w:multiLevelType w:val="hybridMultilevel"/>
    <w:lvl w:ilvl="0">
      <w:start w:val="13"/>
      <w:numFmt w:val="decimal"/>
      <w:lvlText w:val="%1"/>
      <w:lvlJc w:val="left"/>
      <w:pPr>
        <w:ind w:left="876" w:hanging="660"/>
        <w:jc w:val="left"/>
      </w:pPr>
      <w:rPr>
        <w:rFonts w:hint="default"/>
        <w:lang w:val="zh-CN" w:eastAsia="zh-CN" w:bidi="zh-CN"/>
      </w:rPr>
    </w:lvl>
    <w:lvl w:ilvl="1">
      <w:start w:val="2"/>
      <w:numFmt w:val="decimal"/>
      <w:lvlText w:val="%1.%2"/>
      <w:lvlJc w:val="left"/>
      <w:pPr>
        <w:ind w:left="876" w:hanging="660"/>
        <w:jc w:val="left"/>
      </w:pPr>
      <w:rPr>
        <w:rFonts w:hint="default"/>
        <w:lang w:val="zh-CN" w:eastAsia="zh-CN" w:bidi="zh-CN"/>
      </w:rPr>
    </w:lvl>
    <w:lvl w:ilvl="2">
      <w:start w:val="1"/>
      <w:numFmt w:val="decimal"/>
      <w:lvlText w:val="%1.%2.%3"/>
      <w:lvlJc w:val="left"/>
      <w:pPr>
        <w:ind w:left="876" w:hanging="66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297"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4062" w:hanging="601"/>
      </w:pPr>
      <w:rPr>
        <w:rFonts w:hint="default"/>
        <w:lang w:val="zh-CN" w:eastAsia="zh-CN" w:bidi="zh-CN"/>
      </w:rPr>
    </w:lvl>
    <w:lvl w:ilvl="5">
      <w:start w:val="0"/>
      <w:numFmt w:val="bullet"/>
      <w:lvlText w:val="•"/>
      <w:lvlJc w:val="left"/>
      <w:pPr>
        <w:ind w:left="4982" w:hanging="601"/>
      </w:pPr>
      <w:rPr>
        <w:rFonts w:hint="default"/>
        <w:lang w:val="zh-CN" w:eastAsia="zh-CN" w:bidi="zh-CN"/>
      </w:rPr>
    </w:lvl>
    <w:lvl w:ilvl="6">
      <w:start w:val="0"/>
      <w:numFmt w:val="bullet"/>
      <w:lvlText w:val="•"/>
      <w:lvlJc w:val="left"/>
      <w:pPr>
        <w:ind w:left="5903" w:hanging="601"/>
      </w:pPr>
      <w:rPr>
        <w:rFonts w:hint="default"/>
        <w:lang w:val="zh-CN" w:eastAsia="zh-CN" w:bidi="zh-CN"/>
      </w:rPr>
    </w:lvl>
    <w:lvl w:ilvl="7">
      <w:start w:val="0"/>
      <w:numFmt w:val="bullet"/>
      <w:lvlText w:val="•"/>
      <w:lvlJc w:val="left"/>
      <w:pPr>
        <w:ind w:left="6824" w:hanging="601"/>
      </w:pPr>
      <w:rPr>
        <w:rFonts w:hint="default"/>
        <w:lang w:val="zh-CN" w:eastAsia="zh-CN" w:bidi="zh-CN"/>
      </w:rPr>
    </w:lvl>
    <w:lvl w:ilvl="8">
      <w:start w:val="0"/>
      <w:numFmt w:val="bullet"/>
      <w:lvlText w:val="•"/>
      <w:lvlJc w:val="left"/>
      <w:pPr>
        <w:ind w:left="7744" w:hanging="601"/>
      </w:pPr>
      <w:rPr>
        <w:rFonts w:hint="default"/>
        <w:lang w:val="zh-CN" w:eastAsia="zh-CN" w:bidi="zh-CN"/>
      </w:rPr>
    </w:lvl>
  </w:abstractNum>
  <w:abstractNum w:abstractNumId="71">
    <w:multiLevelType w:val="hybridMultilevel"/>
    <w:lvl w:ilvl="0">
      <w:start w:val="13"/>
      <w:numFmt w:val="decimal"/>
      <w:lvlText w:val="%1"/>
      <w:lvlJc w:val="left"/>
      <w:pPr>
        <w:ind w:left="847" w:hanging="632"/>
        <w:jc w:val="left"/>
      </w:pPr>
      <w:rPr>
        <w:rFonts w:hint="default"/>
        <w:lang w:val="zh-CN" w:eastAsia="zh-CN" w:bidi="zh-CN"/>
      </w:rPr>
    </w:lvl>
    <w:lvl w:ilvl="1">
      <w:start w:val="1"/>
      <w:numFmt w:val="decimal"/>
      <w:lvlText w:val="%1.%2"/>
      <w:lvlJc w:val="left"/>
      <w:pPr>
        <w:ind w:left="847" w:hanging="632"/>
        <w:jc w:val="left"/>
      </w:pPr>
      <w:rPr>
        <w:rFonts w:hint="default"/>
        <w:b/>
        <w:bCs/>
        <w:spacing w:val="-2"/>
        <w:w w:val="100"/>
        <w:lang w:val="zh-CN" w:eastAsia="zh-CN" w:bidi="zh-CN"/>
      </w:rPr>
    </w:lvl>
    <w:lvl w:ilvl="2">
      <w:start w:val="1"/>
      <w:numFmt w:val="decimal"/>
      <w:lvlText w:val="（%3）"/>
      <w:lvlJc w:val="left"/>
      <w:pPr>
        <w:ind w:left="216" w:hanging="601"/>
        <w:jc w:val="left"/>
      </w:pPr>
      <w:rPr>
        <w:rFonts w:hint="default" w:ascii="宋体" w:hAnsi="宋体" w:eastAsia="宋体" w:cs="宋体"/>
        <w:spacing w:val="-12"/>
        <w:w w:val="100"/>
        <w:sz w:val="22"/>
        <w:szCs w:val="22"/>
        <w:lang w:val="zh-CN" w:eastAsia="zh-CN" w:bidi="zh-CN"/>
      </w:rPr>
    </w:lvl>
    <w:lvl w:ilvl="3">
      <w:start w:val="0"/>
      <w:numFmt w:val="bullet"/>
      <w:lvlText w:val="•"/>
      <w:lvlJc w:val="left"/>
      <w:pPr>
        <w:ind w:left="2783" w:hanging="601"/>
      </w:pPr>
      <w:rPr>
        <w:rFonts w:hint="default"/>
        <w:lang w:val="zh-CN" w:eastAsia="zh-CN" w:bidi="zh-CN"/>
      </w:rPr>
    </w:lvl>
    <w:lvl w:ilvl="4">
      <w:start w:val="0"/>
      <w:numFmt w:val="bullet"/>
      <w:lvlText w:val="•"/>
      <w:lvlJc w:val="left"/>
      <w:pPr>
        <w:ind w:left="3755" w:hanging="601"/>
      </w:pPr>
      <w:rPr>
        <w:rFonts w:hint="default"/>
        <w:lang w:val="zh-CN" w:eastAsia="zh-CN" w:bidi="zh-CN"/>
      </w:rPr>
    </w:lvl>
    <w:lvl w:ilvl="5">
      <w:start w:val="0"/>
      <w:numFmt w:val="bullet"/>
      <w:lvlText w:val="•"/>
      <w:lvlJc w:val="left"/>
      <w:pPr>
        <w:ind w:left="4727" w:hanging="601"/>
      </w:pPr>
      <w:rPr>
        <w:rFonts w:hint="default"/>
        <w:lang w:val="zh-CN" w:eastAsia="zh-CN" w:bidi="zh-CN"/>
      </w:rPr>
    </w:lvl>
    <w:lvl w:ilvl="6">
      <w:start w:val="0"/>
      <w:numFmt w:val="bullet"/>
      <w:lvlText w:val="•"/>
      <w:lvlJc w:val="left"/>
      <w:pPr>
        <w:ind w:left="5698" w:hanging="601"/>
      </w:pPr>
      <w:rPr>
        <w:rFonts w:hint="default"/>
        <w:lang w:val="zh-CN" w:eastAsia="zh-CN" w:bidi="zh-CN"/>
      </w:rPr>
    </w:lvl>
    <w:lvl w:ilvl="7">
      <w:start w:val="0"/>
      <w:numFmt w:val="bullet"/>
      <w:lvlText w:val="•"/>
      <w:lvlJc w:val="left"/>
      <w:pPr>
        <w:ind w:left="6670" w:hanging="601"/>
      </w:pPr>
      <w:rPr>
        <w:rFonts w:hint="default"/>
        <w:lang w:val="zh-CN" w:eastAsia="zh-CN" w:bidi="zh-CN"/>
      </w:rPr>
    </w:lvl>
    <w:lvl w:ilvl="8">
      <w:start w:val="0"/>
      <w:numFmt w:val="bullet"/>
      <w:lvlText w:val="•"/>
      <w:lvlJc w:val="left"/>
      <w:pPr>
        <w:ind w:left="7642" w:hanging="601"/>
      </w:pPr>
      <w:rPr>
        <w:rFonts w:hint="default"/>
        <w:lang w:val="zh-CN" w:eastAsia="zh-CN" w:bidi="zh-CN"/>
      </w:rPr>
    </w:lvl>
  </w:abstractNum>
  <w:abstractNum w:abstractNumId="70">
    <w:multiLevelType w:val="hybridMultilevel"/>
    <w:lvl w:ilvl="0">
      <w:start w:val="12"/>
      <w:numFmt w:val="decimal"/>
      <w:lvlText w:val="%1"/>
      <w:lvlJc w:val="left"/>
      <w:pPr>
        <w:ind w:left="816" w:hanging="600"/>
        <w:jc w:val="left"/>
      </w:pPr>
      <w:rPr>
        <w:rFonts w:hint="default"/>
        <w:lang w:val="zh-CN" w:eastAsia="zh-CN" w:bidi="zh-CN"/>
      </w:rPr>
    </w:lvl>
    <w:lvl w:ilvl="1">
      <w:start w:val="3"/>
      <w:numFmt w:val="decimal"/>
      <w:lvlText w:val="%1.%2"/>
      <w:lvlJc w:val="left"/>
      <w:pPr>
        <w:ind w:left="816" w:hanging="600"/>
        <w:jc w:val="left"/>
      </w:pPr>
      <w:rPr>
        <w:rFonts w:hint="default" w:ascii="Times New Roman" w:hAnsi="Times New Roman" w:eastAsia="Times New Roman" w:cs="Times New Roman"/>
        <w:b/>
        <w:bCs/>
        <w:spacing w:val="-2"/>
        <w:w w:val="100"/>
        <w:sz w:val="30"/>
        <w:szCs w:val="30"/>
        <w:lang w:val="zh-CN" w:eastAsia="zh-CN" w:bidi="zh-CN"/>
      </w:rPr>
    </w:lvl>
    <w:lvl w:ilvl="2">
      <w:start w:val="1"/>
      <w:numFmt w:val="decimal"/>
      <w:lvlText w:val="（%3）"/>
      <w:lvlJc w:val="left"/>
      <w:pPr>
        <w:ind w:left="216" w:hanging="601"/>
        <w:jc w:val="left"/>
      </w:pPr>
      <w:rPr>
        <w:rFonts w:hint="default" w:ascii="宋体" w:hAnsi="宋体" w:eastAsia="宋体" w:cs="宋体"/>
        <w:spacing w:val="-18"/>
        <w:w w:val="100"/>
        <w:sz w:val="22"/>
        <w:szCs w:val="22"/>
        <w:lang w:val="zh-CN" w:eastAsia="zh-CN" w:bidi="zh-CN"/>
      </w:rPr>
    </w:lvl>
    <w:lvl w:ilvl="3">
      <w:start w:val="0"/>
      <w:numFmt w:val="bullet"/>
      <w:lvlText w:val="•"/>
      <w:lvlJc w:val="left"/>
      <w:pPr>
        <w:ind w:left="2768" w:hanging="601"/>
      </w:pPr>
      <w:rPr>
        <w:rFonts w:hint="default"/>
        <w:lang w:val="zh-CN" w:eastAsia="zh-CN" w:bidi="zh-CN"/>
      </w:rPr>
    </w:lvl>
    <w:lvl w:ilvl="4">
      <w:start w:val="0"/>
      <w:numFmt w:val="bullet"/>
      <w:lvlText w:val="•"/>
      <w:lvlJc w:val="left"/>
      <w:pPr>
        <w:ind w:left="3742" w:hanging="601"/>
      </w:pPr>
      <w:rPr>
        <w:rFonts w:hint="default"/>
        <w:lang w:val="zh-CN" w:eastAsia="zh-CN" w:bidi="zh-CN"/>
      </w:rPr>
    </w:lvl>
    <w:lvl w:ilvl="5">
      <w:start w:val="0"/>
      <w:numFmt w:val="bullet"/>
      <w:lvlText w:val="•"/>
      <w:lvlJc w:val="left"/>
      <w:pPr>
        <w:ind w:left="4716" w:hanging="601"/>
      </w:pPr>
      <w:rPr>
        <w:rFonts w:hint="default"/>
        <w:lang w:val="zh-CN" w:eastAsia="zh-CN" w:bidi="zh-CN"/>
      </w:rPr>
    </w:lvl>
    <w:lvl w:ilvl="6">
      <w:start w:val="0"/>
      <w:numFmt w:val="bullet"/>
      <w:lvlText w:val="•"/>
      <w:lvlJc w:val="left"/>
      <w:pPr>
        <w:ind w:left="5690" w:hanging="601"/>
      </w:pPr>
      <w:rPr>
        <w:rFonts w:hint="default"/>
        <w:lang w:val="zh-CN" w:eastAsia="zh-CN" w:bidi="zh-CN"/>
      </w:rPr>
    </w:lvl>
    <w:lvl w:ilvl="7">
      <w:start w:val="0"/>
      <w:numFmt w:val="bullet"/>
      <w:lvlText w:val="•"/>
      <w:lvlJc w:val="left"/>
      <w:pPr>
        <w:ind w:left="6664" w:hanging="601"/>
      </w:pPr>
      <w:rPr>
        <w:rFonts w:hint="default"/>
        <w:lang w:val="zh-CN" w:eastAsia="zh-CN" w:bidi="zh-CN"/>
      </w:rPr>
    </w:lvl>
    <w:lvl w:ilvl="8">
      <w:start w:val="0"/>
      <w:numFmt w:val="bullet"/>
      <w:lvlText w:val="•"/>
      <w:lvlJc w:val="left"/>
      <w:pPr>
        <w:ind w:left="7638" w:hanging="601"/>
      </w:pPr>
      <w:rPr>
        <w:rFonts w:hint="default"/>
        <w:lang w:val="zh-CN" w:eastAsia="zh-CN" w:bidi="zh-CN"/>
      </w:rPr>
    </w:lvl>
  </w:abstractNum>
  <w:abstractNum w:abstractNumId="69">
    <w:multiLevelType w:val="hybridMultilevel"/>
    <w:lvl w:ilvl="0">
      <w:start w:val="9"/>
      <w:numFmt w:val="decimal"/>
      <w:lvlText w:val="%1"/>
      <w:lvlJc w:val="left"/>
      <w:pPr>
        <w:ind w:left="3325" w:hanging="2986"/>
        <w:jc w:val="left"/>
      </w:pPr>
      <w:rPr>
        <w:rFonts w:hint="default" w:ascii="Times New Roman" w:hAnsi="Times New Roman" w:eastAsia="Times New Roman" w:cs="Times New Roman"/>
        <w:w w:val="99"/>
        <w:sz w:val="21"/>
        <w:szCs w:val="21"/>
        <w:lang w:val="zh-CN" w:eastAsia="zh-CN" w:bidi="zh-CN"/>
      </w:rPr>
    </w:lvl>
    <w:lvl w:ilvl="1">
      <w:start w:val="0"/>
      <w:numFmt w:val="bullet"/>
      <w:lvlText w:val="•"/>
      <w:lvlJc w:val="left"/>
      <w:pPr>
        <w:ind w:left="3408" w:hanging="2986"/>
      </w:pPr>
      <w:rPr>
        <w:rFonts w:hint="default"/>
        <w:lang w:val="zh-CN" w:eastAsia="zh-CN" w:bidi="zh-CN"/>
      </w:rPr>
    </w:lvl>
    <w:lvl w:ilvl="2">
      <w:start w:val="0"/>
      <w:numFmt w:val="bullet"/>
      <w:lvlText w:val="•"/>
      <w:lvlJc w:val="left"/>
      <w:pPr>
        <w:ind w:left="3496" w:hanging="2986"/>
      </w:pPr>
      <w:rPr>
        <w:rFonts w:hint="default"/>
        <w:lang w:val="zh-CN" w:eastAsia="zh-CN" w:bidi="zh-CN"/>
      </w:rPr>
    </w:lvl>
    <w:lvl w:ilvl="3">
      <w:start w:val="0"/>
      <w:numFmt w:val="bullet"/>
      <w:lvlText w:val="•"/>
      <w:lvlJc w:val="left"/>
      <w:pPr>
        <w:ind w:left="3585" w:hanging="2986"/>
      </w:pPr>
      <w:rPr>
        <w:rFonts w:hint="default"/>
        <w:lang w:val="zh-CN" w:eastAsia="zh-CN" w:bidi="zh-CN"/>
      </w:rPr>
    </w:lvl>
    <w:lvl w:ilvl="4">
      <w:start w:val="0"/>
      <w:numFmt w:val="bullet"/>
      <w:lvlText w:val="•"/>
      <w:lvlJc w:val="left"/>
      <w:pPr>
        <w:ind w:left="3673" w:hanging="2986"/>
      </w:pPr>
      <w:rPr>
        <w:rFonts w:hint="default"/>
        <w:lang w:val="zh-CN" w:eastAsia="zh-CN" w:bidi="zh-CN"/>
      </w:rPr>
    </w:lvl>
    <w:lvl w:ilvl="5">
      <w:start w:val="0"/>
      <w:numFmt w:val="bullet"/>
      <w:lvlText w:val="•"/>
      <w:lvlJc w:val="left"/>
      <w:pPr>
        <w:ind w:left="3761" w:hanging="2986"/>
      </w:pPr>
      <w:rPr>
        <w:rFonts w:hint="default"/>
        <w:lang w:val="zh-CN" w:eastAsia="zh-CN" w:bidi="zh-CN"/>
      </w:rPr>
    </w:lvl>
    <w:lvl w:ilvl="6">
      <w:start w:val="0"/>
      <w:numFmt w:val="bullet"/>
      <w:lvlText w:val="•"/>
      <w:lvlJc w:val="left"/>
      <w:pPr>
        <w:ind w:left="3850" w:hanging="2986"/>
      </w:pPr>
      <w:rPr>
        <w:rFonts w:hint="default"/>
        <w:lang w:val="zh-CN" w:eastAsia="zh-CN" w:bidi="zh-CN"/>
      </w:rPr>
    </w:lvl>
    <w:lvl w:ilvl="7">
      <w:start w:val="0"/>
      <w:numFmt w:val="bullet"/>
      <w:lvlText w:val="•"/>
      <w:lvlJc w:val="left"/>
      <w:pPr>
        <w:ind w:left="3938" w:hanging="2986"/>
      </w:pPr>
      <w:rPr>
        <w:rFonts w:hint="default"/>
        <w:lang w:val="zh-CN" w:eastAsia="zh-CN" w:bidi="zh-CN"/>
      </w:rPr>
    </w:lvl>
    <w:lvl w:ilvl="8">
      <w:start w:val="0"/>
      <w:numFmt w:val="bullet"/>
      <w:lvlText w:val="•"/>
      <w:lvlJc w:val="left"/>
      <w:pPr>
        <w:ind w:left="4026" w:hanging="2986"/>
      </w:pPr>
      <w:rPr>
        <w:rFonts w:hint="default"/>
        <w:lang w:val="zh-CN" w:eastAsia="zh-CN" w:bidi="zh-CN"/>
      </w:rPr>
    </w:lvl>
  </w:abstractNum>
  <w:abstractNum w:abstractNumId="68">
    <w:multiLevelType w:val="hybridMultilevel"/>
    <w:lvl w:ilvl="0">
      <w:start w:val="1"/>
      <w:numFmt w:val="decimal"/>
      <w:lvlText w:val="（%1）"/>
      <w:lvlJc w:val="left"/>
      <w:pPr>
        <w:ind w:left="116" w:hanging="601"/>
        <w:jc w:val="left"/>
      </w:pPr>
      <w:rPr>
        <w:rFonts w:hint="default" w:ascii="宋体" w:hAnsi="宋体" w:eastAsia="宋体" w:cs="宋体"/>
        <w:spacing w:val="-18"/>
        <w:w w:val="100"/>
        <w:sz w:val="22"/>
        <w:szCs w:val="22"/>
        <w:lang w:val="zh-CN" w:eastAsia="zh-CN" w:bidi="zh-CN"/>
      </w:rPr>
    </w:lvl>
    <w:lvl w:ilvl="1">
      <w:start w:val="0"/>
      <w:numFmt w:val="bullet"/>
      <w:lvlText w:val="•"/>
      <w:lvlJc w:val="left"/>
      <w:pPr>
        <w:ind w:left="1056" w:hanging="601"/>
      </w:pPr>
      <w:rPr>
        <w:rFonts w:hint="default"/>
        <w:lang w:val="zh-CN" w:eastAsia="zh-CN" w:bidi="zh-CN"/>
      </w:rPr>
    </w:lvl>
    <w:lvl w:ilvl="2">
      <w:start w:val="0"/>
      <w:numFmt w:val="bullet"/>
      <w:lvlText w:val="•"/>
      <w:lvlJc w:val="left"/>
      <w:pPr>
        <w:ind w:left="1993" w:hanging="601"/>
      </w:pPr>
      <w:rPr>
        <w:rFonts w:hint="default"/>
        <w:lang w:val="zh-CN" w:eastAsia="zh-CN" w:bidi="zh-CN"/>
      </w:rPr>
    </w:lvl>
    <w:lvl w:ilvl="3">
      <w:start w:val="0"/>
      <w:numFmt w:val="bullet"/>
      <w:lvlText w:val="•"/>
      <w:lvlJc w:val="left"/>
      <w:pPr>
        <w:ind w:left="2929" w:hanging="601"/>
      </w:pPr>
      <w:rPr>
        <w:rFonts w:hint="default"/>
        <w:lang w:val="zh-CN" w:eastAsia="zh-CN" w:bidi="zh-CN"/>
      </w:rPr>
    </w:lvl>
    <w:lvl w:ilvl="4">
      <w:start w:val="0"/>
      <w:numFmt w:val="bullet"/>
      <w:lvlText w:val="•"/>
      <w:lvlJc w:val="left"/>
      <w:pPr>
        <w:ind w:left="3866" w:hanging="601"/>
      </w:pPr>
      <w:rPr>
        <w:rFonts w:hint="default"/>
        <w:lang w:val="zh-CN" w:eastAsia="zh-CN" w:bidi="zh-CN"/>
      </w:rPr>
    </w:lvl>
    <w:lvl w:ilvl="5">
      <w:start w:val="0"/>
      <w:numFmt w:val="bullet"/>
      <w:lvlText w:val="•"/>
      <w:lvlJc w:val="left"/>
      <w:pPr>
        <w:ind w:left="4803" w:hanging="601"/>
      </w:pPr>
      <w:rPr>
        <w:rFonts w:hint="default"/>
        <w:lang w:val="zh-CN" w:eastAsia="zh-CN" w:bidi="zh-CN"/>
      </w:rPr>
    </w:lvl>
    <w:lvl w:ilvl="6">
      <w:start w:val="0"/>
      <w:numFmt w:val="bullet"/>
      <w:lvlText w:val="•"/>
      <w:lvlJc w:val="left"/>
      <w:pPr>
        <w:ind w:left="5739" w:hanging="601"/>
      </w:pPr>
      <w:rPr>
        <w:rFonts w:hint="default"/>
        <w:lang w:val="zh-CN" w:eastAsia="zh-CN" w:bidi="zh-CN"/>
      </w:rPr>
    </w:lvl>
    <w:lvl w:ilvl="7">
      <w:start w:val="0"/>
      <w:numFmt w:val="bullet"/>
      <w:lvlText w:val="•"/>
      <w:lvlJc w:val="left"/>
      <w:pPr>
        <w:ind w:left="6676" w:hanging="601"/>
      </w:pPr>
      <w:rPr>
        <w:rFonts w:hint="default"/>
        <w:lang w:val="zh-CN" w:eastAsia="zh-CN" w:bidi="zh-CN"/>
      </w:rPr>
    </w:lvl>
    <w:lvl w:ilvl="8">
      <w:start w:val="0"/>
      <w:numFmt w:val="bullet"/>
      <w:lvlText w:val="•"/>
      <w:lvlJc w:val="left"/>
      <w:pPr>
        <w:ind w:left="7612" w:hanging="601"/>
      </w:pPr>
      <w:rPr>
        <w:rFonts w:hint="default"/>
        <w:lang w:val="zh-CN" w:eastAsia="zh-CN" w:bidi="zh-CN"/>
      </w:rPr>
    </w:lvl>
  </w:abstractNum>
  <w:abstractNum w:abstractNumId="67">
    <w:multiLevelType w:val="hybridMultilevel"/>
    <w:lvl w:ilvl="0">
      <w:start w:val="12"/>
      <w:numFmt w:val="decimal"/>
      <w:lvlText w:val="%1"/>
      <w:lvlJc w:val="left"/>
      <w:pPr>
        <w:ind w:left="716" w:hanging="600"/>
        <w:jc w:val="left"/>
      </w:pPr>
      <w:rPr>
        <w:rFonts w:hint="default"/>
        <w:lang w:val="zh-CN" w:eastAsia="zh-CN" w:bidi="zh-CN"/>
      </w:rPr>
    </w:lvl>
    <w:lvl w:ilvl="1">
      <w:start w:val="1"/>
      <w:numFmt w:val="decimal"/>
      <w:lvlText w:val="%1.%2"/>
      <w:lvlJc w:val="left"/>
      <w:pPr>
        <w:ind w:left="716" w:hanging="600"/>
        <w:jc w:val="left"/>
      </w:pPr>
      <w:rPr>
        <w:rFonts w:hint="default" w:ascii="Times New Roman" w:hAnsi="Times New Roman" w:eastAsia="Times New Roman" w:cs="Times New Roman"/>
        <w:b/>
        <w:bCs/>
        <w:spacing w:val="-2"/>
        <w:w w:val="99"/>
        <w:sz w:val="30"/>
        <w:szCs w:val="30"/>
        <w:lang w:val="zh-CN" w:eastAsia="zh-CN" w:bidi="zh-CN"/>
      </w:rPr>
    </w:lvl>
    <w:lvl w:ilvl="2">
      <w:start w:val="1"/>
      <w:numFmt w:val="decimal"/>
      <w:lvlText w:val="%1.%2.%3"/>
      <w:lvlJc w:val="left"/>
      <w:pPr>
        <w:ind w:left="886" w:hanging="77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197"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3271" w:hanging="601"/>
      </w:pPr>
      <w:rPr>
        <w:rFonts w:hint="default"/>
        <w:lang w:val="zh-CN" w:eastAsia="zh-CN" w:bidi="zh-CN"/>
      </w:rPr>
    </w:lvl>
    <w:lvl w:ilvl="5">
      <w:start w:val="0"/>
      <w:numFmt w:val="bullet"/>
      <w:lvlText w:val="•"/>
      <w:lvlJc w:val="left"/>
      <w:pPr>
        <w:ind w:left="4307" w:hanging="601"/>
      </w:pPr>
      <w:rPr>
        <w:rFonts w:hint="default"/>
        <w:lang w:val="zh-CN" w:eastAsia="zh-CN" w:bidi="zh-CN"/>
      </w:rPr>
    </w:lvl>
    <w:lvl w:ilvl="6">
      <w:start w:val="0"/>
      <w:numFmt w:val="bullet"/>
      <w:lvlText w:val="•"/>
      <w:lvlJc w:val="left"/>
      <w:pPr>
        <w:ind w:left="5343" w:hanging="601"/>
      </w:pPr>
      <w:rPr>
        <w:rFonts w:hint="default"/>
        <w:lang w:val="zh-CN" w:eastAsia="zh-CN" w:bidi="zh-CN"/>
      </w:rPr>
    </w:lvl>
    <w:lvl w:ilvl="7">
      <w:start w:val="0"/>
      <w:numFmt w:val="bullet"/>
      <w:lvlText w:val="•"/>
      <w:lvlJc w:val="left"/>
      <w:pPr>
        <w:ind w:left="6378" w:hanging="601"/>
      </w:pPr>
      <w:rPr>
        <w:rFonts w:hint="default"/>
        <w:lang w:val="zh-CN" w:eastAsia="zh-CN" w:bidi="zh-CN"/>
      </w:rPr>
    </w:lvl>
    <w:lvl w:ilvl="8">
      <w:start w:val="0"/>
      <w:numFmt w:val="bullet"/>
      <w:lvlText w:val="•"/>
      <w:lvlJc w:val="left"/>
      <w:pPr>
        <w:ind w:left="7414" w:hanging="601"/>
      </w:pPr>
      <w:rPr>
        <w:rFonts w:hint="default"/>
        <w:lang w:val="zh-CN" w:eastAsia="zh-CN" w:bidi="zh-CN"/>
      </w:rPr>
    </w:lvl>
  </w:abstractNum>
  <w:abstractNum w:abstractNumId="66">
    <w:multiLevelType w:val="hybridMultilevel"/>
    <w:lvl w:ilvl="0">
      <w:start w:val="1"/>
      <w:numFmt w:val="decimal"/>
      <w:lvlText w:val="（%1）"/>
      <w:lvlJc w:val="left"/>
      <w:pPr>
        <w:ind w:left="1197"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028" w:hanging="601"/>
      </w:pPr>
      <w:rPr>
        <w:rFonts w:hint="default"/>
        <w:lang w:val="zh-CN" w:eastAsia="zh-CN" w:bidi="zh-CN"/>
      </w:rPr>
    </w:lvl>
    <w:lvl w:ilvl="2">
      <w:start w:val="0"/>
      <w:numFmt w:val="bullet"/>
      <w:lvlText w:val="•"/>
      <w:lvlJc w:val="left"/>
      <w:pPr>
        <w:ind w:left="2857" w:hanging="601"/>
      </w:pPr>
      <w:rPr>
        <w:rFonts w:hint="default"/>
        <w:lang w:val="zh-CN" w:eastAsia="zh-CN" w:bidi="zh-CN"/>
      </w:rPr>
    </w:lvl>
    <w:lvl w:ilvl="3">
      <w:start w:val="0"/>
      <w:numFmt w:val="bullet"/>
      <w:lvlText w:val="•"/>
      <w:lvlJc w:val="left"/>
      <w:pPr>
        <w:ind w:left="3685" w:hanging="601"/>
      </w:pPr>
      <w:rPr>
        <w:rFonts w:hint="default"/>
        <w:lang w:val="zh-CN" w:eastAsia="zh-CN" w:bidi="zh-CN"/>
      </w:rPr>
    </w:lvl>
    <w:lvl w:ilvl="4">
      <w:start w:val="0"/>
      <w:numFmt w:val="bullet"/>
      <w:lvlText w:val="•"/>
      <w:lvlJc w:val="left"/>
      <w:pPr>
        <w:ind w:left="4514" w:hanging="601"/>
      </w:pPr>
      <w:rPr>
        <w:rFonts w:hint="default"/>
        <w:lang w:val="zh-CN" w:eastAsia="zh-CN" w:bidi="zh-CN"/>
      </w:rPr>
    </w:lvl>
    <w:lvl w:ilvl="5">
      <w:start w:val="0"/>
      <w:numFmt w:val="bullet"/>
      <w:lvlText w:val="•"/>
      <w:lvlJc w:val="left"/>
      <w:pPr>
        <w:ind w:left="5343" w:hanging="601"/>
      </w:pPr>
      <w:rPr>
        <w:rFonts w:hint="default"/>
        <w:lang w:val="zh-CN" w:eastAsia="zh-CN" w:bidi="zh-CN"/>
      </w:rPr>
    </w:lvl>
    <w:lvl w:ilvl="6">
      <w:start w:val="0"/>
      <w:numFmt w:val="bullet"/>
      <w:lvlText w:val="•"/>
      <w:lvlJc w:val="left"/>
      <w:pPr>
        <w:ind w:left="6171" w:hanging="601"/>
      </w:pPr>
      <w:rPr>
        <w:rFonts w:hint="default"/>
        <w:lang w:val="zh-CN" w:eastAsia="zh-CN" w:bidi="zh-CN"/>
      </w:rPr>
    </w:lvl>
    <w:lvl w:ilvl="7">
      <w:start w:val="0"/>
      <w:numFmt w:val="bullet"/>
      <w:lvlText w:val="•"/>
      <w:lvlJc w:val="left"/>
      <w:pPr>
        <w:ind w:left="7000" w:hanging="601"/>
      </w:pPr>
      <w:rPr>
        <w:rFonts w:hint="default"/>
        <w:lang w:val="zh-CN" w:eastAsia="zh-CN" w:bidi="zh-CN"/>
      </w:rPr>
    </w:lvl>
    <w:lvl w:ilvl="8">
      <w:start w:val="0"/>
      <w:numFmt w:val="bullet"/>
      <w:lvlText w:val="•"/>
      <w:lvlJc w:val="left"/>
      <w:pPr>
        <w:ind w:left="7828" w:hanging="601"/>
      </w:pPr>
      <w:rPr>
        <w:rFonts w:hint="default"/>
        <w:lang w:val="zh-CN" w:eastAsia="zh-CN" w:bidi="zh-CN"/>
      </w:rPr>
    </w:lvl>
  </w:abstractNum>
  <w:abstractNum w:abstractNumId="65">
    <w:multiLevelType w:val="hybridMultilevel"/>
    <w:lvl w:ilvl="0">
      <w:start w:val="11"/>
      <w:numFmt w:val="decimal"/>
      <w:lvlText w:val="%1"/>
      <w:lvlJc w:val="left"/>
      <w:pPr>
        <w:ind w:left="1036" w:hanging="660"/>
        <w:jc w:val="left"/>
      </w:pPr>
      <w:rPr>
        <w:rFonts w:hint="default"/>
        <w:lang w:val="zh-CN" w:eastAsia="zh-CN" w:bidi="zh-CN"/>
      </w:rPr>
    </w:lvl>
    <w:lvl w:ilvl="1">
      <w:start w:val="1"/>
      <w:numFmt w:val="decimal"/>
      <w:lvlText w:val="%1.%2"/>
      <w:lvlJc w:val="left"/>
      <w:pPr>
        <w:ind w:left="1036" w:hanging="660"/>
        <w:jc w:val="right"/>
      </w:pPr>
      <w:rPr>
        <w:rFonts w:hint="default" w:ascii="Times New Roman" w:hAnsi="Times New Roman" w:eastAsia="Times New Roman" w:cs="Times New Roman"/>
        <w:b/>
        <w:bCs/>
        <w:spacing w:val="-14"/>
        <w:w w:val="99"/>
        <w:sz w:val="30"/>
        <w:szCs w:val="30"/>
        <w:lang w:val="zh-CN" w:eastAsia="zh-CN" w:bidi="zh-CN"/>
      </w:rPr>
    </w:lvl>
    <w:lvl w:ilvl="2">
      <w:start w:val="1"/>
      <w:numFmt w:val="decimal"/>
      <w:lvlText w:val="%1.%2.%3"/>
      <w:lvlJc w:val="left"/>
      <w:pPr>
        <w:ind w:left="1201" w:hanging="826"/>
        <w:jc w:val="left"/>
      </w:pPr>
      <w:rPr>
        <w:rFonts w:hint="default" w:ascii="Times New Roman" w:hAnsi="Times New Roman" w:eastAsia="Times New Roman" w:cs="Times New Roman"/>
        <w:b/>
        <w:bCs/>
        <w:spacing w:val="-14"/>
        <w:w w:val="100"/>
        <w:sz w:val="28"/>
        <w:szCs w:val="28"/>
        <w:lang w:val="zh-CN" w:eastAsia="zh-CN" w:bidi="zh-CN"/>
      </w:rPr>
    </w:lvl>
    <w:lvl w:ilvl="3">
      <w:start w:val="1"/>
      <w:numFmt w:val="decimal"/>
      <w:lvlText w:val="%1.%2.%3.%4"/>
      <w:lvlJc w:val="left"/>
      <w:pPr>
        <w:ind w:left="1204" w:hanging="828"/>
        <w:jc w:val="left"/>
      </w:pPr>
      <w:rPr>
        <w:rFonts w:hint="default" w:ascii="Times New Roman" w:hAnsi="Times New Roman" w:eastAsia="Times New Roman" w:cs="Times New Roman"/>
        <w:b/>
        <w:bCs/>
        <w:spacing w:val="-10"/>
        <w:w w:val="99"/>
        <w:sz w:val="24"/>
        <w:szCs w:val="24"/>
        <w:lang w:val="zh-CN" w:eastAsia="zh-CN" w:bidi="zh-CN"/>
      </w:rPr>
    </w:lvl>
    <w:lvl w:ilvl="4">
      <w:start w:val="0"/>
      <w:numFmt w:val="bullet"/>
      <w:lvlText w:val="•"/>
      <w:lvlJc w:val="left"/>
      <w:pPr>
        <w:ind w:left="1319" w:hanging="828"/>
      </w:pPr>
      <w:rPr>
        <w:rFonts w:hint="default"/>
        <w:lang w:val="zh-CN" w:eastAsia="zh-CN" w:bidi="zh-CN"/>
      </w:rPr>
    </w:lvl>
    <w:lvl w:ilvl="5">
      <w:start w:val="0"/>
      <w:numFmt w:val="bullet"/>
      <w:lvlText w:val="•"/>
      <w:lvlJc w:val="left"/>
      <w:pPr>
        <w:ind w:left="1378" w:hanging="828"/>
      </w:pPr>
      <w:rPr>
        <w:rFonts w:hint="default"/>
        <w:lang w:val="zh-CN" w:eastAsia="zh-CN" w:bidi="zh-CN"/>
      </w:rPr>
    </w:lvl>
    <w:lvl w:ilvl="6">
      <w:start w:val="0"/>
      <w:numFmt w:val="bullet"/>
      <w:lvlText w:val="•"/>
      <w:lvlJc w:val="left"/>
      <w:pPr>
        <w:ind w:left="1438" w:hanging="828"/>
      </w:pPr>
      <w:rPr>
        <w:rFonts w:hint="default"/>
        <w:lang w:val="zh-CN" w:eastAsia="zh-CN" w:bidi="zh-CN"/>
      </w:rPr>
    </w:lvl>
    <w:lvl w:ilvl="7">
      <w:start w:val="0"/>
      <w:numFmt w:val="bullet"/>
      <w:lvlText w:val="•"/>
      <w:lvlJc w:val="left"/>
      <w:pPr>
        <w:ind w:left="1497" w:hanging="828"/>
      </w:pPr>
      <w:rPr>
        <w:rFonts w:hint="default"/>
        <w:lang w:val="zh-CN" w:eastAsia="zh-CN" w:bidi="zh-CN"/>
      </w:rPr>
    </w:lvl>
    <w:lvl w:ilvl="8">
      <w:start w:val="0"/>
      <w:numFmt w:val="bullet"/>
      <w:lvlText w:val="•"/>
      <w:lvlJc w:val="left"/>
      <w:pPr>
        <w:ind w:left="1557" w:hanging="828"/>
      </w:pPr>
      <w:rPr>
        <w:rFonts w:hint="default"/>
        <w:lang w:val="zh-CN" w:eastAsia="zh-CN" w:bidi="zh-CN"/>
      </w:rPr>
    </w:lvl>
  </w:abstractNum>
  <w:abstractNum w:abstractNumId="64">
    <w:multiLevelType w:val="hybridMultilevel"/>
    <w:lvl w:ilvl="0">
      <w:start w:val="10"/>
      <w:numFmt w:val="decimal"/>
      <w:lvlText w:val="%1"/>
      <w:lvlJc w:val="left"/>
      <w:pPr>
        <w:ind w:left="1216" w:hanging="840"/>
        <w:jc w:val="left"/>
      </w:pPr>
      <w:rPr>
        <w:rFonts w:hint="default"/>
        <w:lang w:val="zh-CN" w:eastAsia="zh-CN" w:bidi="zh-CN"/>
      </w:rPr>
    </w:lvl>
    <w:lvl w:ilvl="1">
      <w:start w:val="3"/>
      <w:numFmt w:val="decimal"/>
      <w:lvlText w:val="%1.%2"/>
      <w:lvlJc w:val="left"/>
      <w:pPr>
        <w:ind w:left="1216" w:hanging="840"/>
        <w:jc w:val="left"/>
      </w:pPr>
      <w:rPr>
        <w:rFonts w:hint="default"/>
        <w:lang w:val="zh-CN" w:eastAsia="zh-CN" w:bidi="zh-CN"/>
      </w:rPr>
    </w:lvl>
    <w:lvl w:ilvl="2">
      <w:start w:val="1"/>
      <w:numFmt w:val="decimal"/>
      <w:lvlText w:val="%1.%2.%3"/>
      <w:lvlJc w:val="left"/>
      <w:pPr>
        <w:ind w:left="1216" w:hanging="840"/>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457"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4395" w:hanging="601"/>
      </w:pPr>
      <w:rPr>
        <w:rFonts w:hint="default"/>
        <w:lang w:val="zh-CN" w:eastAsia="zh-CN" w:bidi="zh-CN"/>
      </w:rPr>
    </w:lvl>
    <w:lvl w:ilvl="5">
      <w:start w:val="0"/>
      <w:numFmt w:val="bullet"/>
      <w:lvlText w:val="•"/>
      <w:lvlJc w:val="left"/>
      <w:pPr>
        <w:ind w:left="5373" w:hanging="601"/>
      </w:pPr>
      <w:rPr>
        <w:rFonts w:hint="default"/>
        <w:lang w:val="zh-CN" w:eastAsia="zh-CN" w:bidi="zh-CN"/>
      </w:rPr>
    </w:lvl>
    <w:lvl w:ilvl="6">
      <w:start w:val="0"/>
      <w:numFmt w:val="bullet"/>
      <w:lvlText w:val="•"/>
      <w:lvlJc w:val="left"/>
      <w:pPr>
        <w:ind w:left="6352" w:hanging="601"/>
      </w:pPr>
      <w:rPr>
        <w:rFonts w:hint="default"/>
        <w:lang w:val="zh-CN" w:eastAsia="zh-CN" w:bidi="zh-CN"/>
      </w:rPr>
    </w:lvl>
    <w:lvl w:ilvl="7">
      <w:start w:val="0"/>
      <w:numFmt w:val="bullet"/>
      <w:lvlText w:val="•"/>
      <w:lvlJc w:val="left"/>
      <w:pPr>
        <w:ind w:left="7330" w:hanging="601"/>
      </w:pPr>
      <w:rPr>
        <w:rFonts w:hint="default"/>
        <w:lang w:val="zh-CN" w:eastAsia="zh-CN" w:bidi="zh-CN"/>
      </w:rPr>
    </w:lvl>
    <w:lvl w:ilvl="8">
      <w:start w:val="0"/>
      <w:numFmt w:val="bullet"/>
      <w:lvlText w:val="•"/>
      <w:lvlJc w:val="left"/>
      <w:pPr>
        <w:ind w:left="8309" w:hanging="601"/>
      </w:pPr>
      <w:rPr>
        <w:rFonts w:hint="default"/>
        <w:lang w:val="zh-CN" w:eastAsia="zh-CN" w:bidi="zh-CN"/>
      </w:rPr>
    </w:lvl>
  </w:abstractNum>
  <w:abstractNum w:abstractNumId="63">
    <w:multiLevelType w:val="hybridMultilevel"/>
    <w:lvl w:ilvl="0">
      <w:start w:val="1"/>
      <w:numFmt w:val="decimal"/>
      <w:lvlText w:val="（%1）"/>
      <w:lvlJc w:val="left"/>
      <w:pPr>
        <w:ind w:left="1457"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340" w:hanging="601"/>
      </w:pPr>
      <w:rPr>
        <w:rFonts w:hint="default"/>
        <w:lang w:val="zh-CN" w:eastAsia="zh-CN" w:bidi="zh-CN"/>
      </w:rPr>
    </w:lvl>
    <w:lvl w:ilvl="2">
      <w:start w:val="0"/>
      <w:numFmt w:val="bullet"/>
      <w:lvlText w:val="•"/>
      <w:lvlJc w:val="left"/>
      <w:pPr>
        <w:ind w:left="3221" w:hanging="601"/>
      </w:pPr>
      <w:rPr>
        <w:rFonts w:hint="default"/>
        <w:lang w:val="zh-CN" w:eastAsia="zh-CN" w:bidi="zh-CN"/>
      </w:rPr>
    </w:lvl>
    <w:lvl w:ilvl="3">
      <w:start w:val="0"/>
      <w:numFmt w:val="bullet"/>
      <w:lvlText w:val="•"/>
      <w:lvlJc w:val="left"/>
      <w:pPr>
        <w:ind w:left="4101" w:hanging="601"/>
      </w:pPr>
      <w:rPr>
        <w:rFonts w:hint="default"/>
        <w:lang w:val="zh-CN" w:eastAsia="zh-CN" w:bidi="zh-CN"/>
      </w:rPr>
    </w:lvl>
    <w:lvl w:ilvl="4">
      <w:start w:val="0"/>
      <w:numFmt w:val="bullet"/>
      <w:lvlText w:val="•"/>
      <w:lvlJc w:val="left"/>
      <w:pPr>
        <w:ind w:left="4982" w:hanging="601"/>
      </w:pPr>
      <w:rPr>
        <w:rFonts w:hint="default"/>
        <w:lang w:val="zh-CN" w:eastAsia="zh-CN" w:bidi="zh-CN"/>
      </w:rPr>
    </w:lvl>
    <w:lvl w:ilvl="5">
      <w:start w:val="0"/>
      <w:numFmt w:val="bullet"/>
      <w:lvlText w:val="•"/>
      <w:lvlJc w:val="left"/>
      <w:pPr>
        <w:ind w:left="5863" w:hanging="601"/>
      </w:pPr>
      <w:rPr>
        <w:rFonts w:hint="default"/>
        <w:lang w:val="zh-CN" w:eastAsia="zh-CN" w:bidi="zh-CN"/>
      </w:rPr>
    </w:lvl>
    <w:lvl w:ilvl="6">
      <w:start w:val="0"/>
      <w:numFmt w:val="bullet"/>
      <w:lvlText w:val="•"/>
      <w:lvlJc w:val="left"/>
      <w:pPr>
        <w:ind w:left="6743" w:hanging="601"/>
      </w:pPr>
      <w:rPr>
        <w:rFonts w:hint="default"/>
        <w:lang w:val="zh-CN" w:eastAsia="zh-CN" w:bidi="zh-CN"/>
      </w:rPr>
    </w:lvl>
    <w:lvl w:ilvl="7">
      <w:start w:val="0"/>
      <w:numFmt w:val="bullet"/>
      <w:lvlText w:val="•"/>
      <w:lvlJc w:val="left"/>
      <w:pPr>
        <w:ind w:left="7624" w:hanging="601"/>
      </w:pPr>
      <w:rPr>
        <w:rFonts w:hint="default"/>
        <w:lang w:val="zh-CN" w:eastAsia="zh-CN" w:bidi="zh-CN"/>
      </w:rPr>
    </w:lvl>
    <w:lvl w:ilvl="8">
      <w:start w:val="0"/>
      <w:numFmt w:val="bullet"/>
      <w:lvlText w:val="•"/>
      <w:lvlJc w:val="left"/>
      <w:pPr>
        <w:ind w:left="8504" w:hanging="601"/>
      </w:pPr>
      <w:rPr>
        <w:rFonts w:hint="default"/>
        <w:lang w:val="zh-CN" w:eastAsia="zh-CN" w:bidi="zh-CN"/>
      </w:rPr>
    </w:lvl>
  </w:abstractNum>
  <w:abstractNum w:abstractNumId="62">
    <w:multiLevelType w:val="hybridMultilevel"/>
    <w:lvl w:ilvl="0">
      <w:start w:val="10"/>
      <w:numFmt w:val="decimal"/>
      <w:lvlText w:val="%1"/>
      <w:lvlJc w:val="left"/>
      <w:pPr>
        <w:ind w:left="1007" w:hanging="632"/>
        <w:jc w:val="left"/>
      </w:pPr>
      <w:rPr>
        <w:rFonts w:hint="default"/>
        <w:lang w:val="zh-CN" w:eastAsia="zh-CN" w:bidi="zh-CN"/>
      </w:rPr>
    </w:lvl>
    <w:lvl w:ilvl="1">
      <w:start w:val="1"/>
      <w:numFmt w:val="decimal"/>
      <w:lvlText w:val="%1.%2"/>
      <w:lvlJc w:val="left"/>
      <w:pPr>
        <w:ind w:left="1007" w:hanging="632"/>
        <w:jc w:val="left"/>
      </w:pPr>
      <w:rPr>
        <w:rFonts w:hint="default"/>
        <w:b/>
        <w:bCs/>
        <w:spacing w:val="-2"/>
        <w:w w:val="100"/>
        <w:lang w:val="zh-CN" w:eastAsia="zh-CN" w:bidi="zh-CN"/>
      </w:rPr>
    </w:lvl>
    <w:lvl w:ilvl="2">
      <w:start w:val="1"/>
      <w:numFmt w:val="decimal"/>
      <w:lvlText w:val="（%3）"/>
      <w:lvlJc w:val="left"/>
      <w:pPr>
        <w:ind w:left="376" w:hanging="601"/>
        <w:jc w:val="left"/>
      </w:pPr>
      <w:rPr>
        <w:rFonts w:hint="default" w:ascii="宋体" w:hAnsi="宋体" w:eastAsia="宋体" w:cs="宋体"/>
        <w:spacing w:val="-22"/>
        <w:w w:val="100"/>
        <w:sz w:val="22"/>
        <w:szCs w:val="22"/>
        <w:lang w:val="zh-CN" w:eastAsia="zh-CN" w:bidi="zh-CN"/>
      </w:rPr>
    </w:lvl>
    <w:lvl w:ilvl="3">
      <w:start w:val="0"/>
      <w:numFmt w:val="bullet"/>
      <w:lvlText w:val="•"/>
      <w:lvlJc w:val="left"/>
      <w:pPr>
        <w:ind w:left="3059" w:hanging="601"/>
      </w:pPr>
      <w:rPr>
        <w:rFonts w:hint="default"/>
        <w:lang w:val="zh-CN" w:eastAsia="zh-CN" w:bidi="zh-CN"/>
      </w:rPr>
    </w:lvl>
    <w:lvl w:ilvl="4">
      <w:start w:val="0"/>
      <w:numFmt w:val="bullet"/>
      <w:lvlText w:val="•"/>
      <w:lvlJc w:val="left"/>
      <w:pPr>
        <w:ind w:left="4088" w:hanging="601"/>
      </w:pPr>
      <w:rPr>
        <w:rFonts w:hint="default"/>
        <w:lang w:val="zh-CN" w:eastAsia="zh-CN" w:bidi="zh-CN"/>
      </w:rPr>
    </w:lvl>
    <w:lvl w:ilvl="5">
      <w:start w:val="0"/>
      <w:numFmt w:val="bullet"/>
      <w:lvlText w:val="•"/>
      <w:lvlJc w:val="left"/>
      <w:pPr>
        <w:ind w:left="5118" w:hanging="601"/>
      </w:pPr>
      <w:rPr>
        <w:rFonts w:hint="default"/>
        <w:lang w:val="zh-CN" w:eastAsia="zh-CN" w:bidi="zh-CN"/>
      </w:rPr>
    </w:lvl>
    <w:lvl w:ilvl="6">
      <w:start w:val="0"/>
      <w:numFmt w:val="bullet"/>
      <w:lvlText w:val="•"/>
      <w:lvlJc w:val="left"/>
      <w:pPr>
        <w:ind w:left="6147" w:hanging="601"/>
      </w:pPr>
      <w:rPr>
        <w:rFonts w:hint="default"/>
        <w:lang w:val="zh-CN" w:eastAsia="zh-CN" w:bidi="zh-CN"/>
      </w:rPr>
    </w:lvl>
    <w:lvl w:ilvl="7">
      <w:start w:val="0"/>
      <w:numFmt w:val="bullet"/>
      <w:lvlText w:val="•"/>
      <w:lvlJc w:val="left"/>
      <w:pPr>
        <w:ind w:left="7177" w:hanging="601"/>
      </w:pPr>
      <w:rPr>
        <w:rFonts w:hint="default"/>
        <w:lang w:val="zh-CN" w:eastAsia="zh-CN" w:bidi="zh-CN"/>
      </w:rPr>
    </w:lvl>
    <w:lvl w:ilvl="8">
      <w:start w:val="0"/>
      <w:numFmt w:val="bullet"/>
      <w:lvlText w:val="•"/>
      <w:lvlJc w:val="left"/>
      <w:pPr>
        <w:ind w:left="8206" w:hanging="601"/>
      </w:pPr>
      <w:rPr>
        <w:rFonts w:hint="default"/>
        <w:lang w:val="zh-CN" w:eastAsia="zh-CN" w:bidi="zh-CN"/>
      </w:rPr>
    </w:lvl>
  </w:abstractNum>
  <w:abstractNum w:abstractNumId="61">
    <w:multiLevelType w:val="hybridMultilevel"/>
    <w:lvl w:ilvl="0">
      <w:start w:val="1"/>
      <w:numFmt w:val="decimal"/>
      <w:lvlText w:val="（%1）"/>
      <w:lvlJc w:val="left"/>
      <w:pPr>
        <w:ind w:left="376" w:hanging="601"/>
        <w:jc w:val="left"/>
      </w:pPr>
      <w:rPr>
        <w:rFonts w:hint="default" w:ascii="宋体" w:hAnsi="宋体" w:eastAsia="宋体" w:cs="宋体"/>
        <w:spacing w:val="-36"/>
        <w:w w:val="100"/>
        <w:sz w:val="22"/>
        <w:szCs w:val="22"/>
        <w:lang w:val="zh-CN" w:eastAsia="zh-CN" w:bidi="zh-CN"/>
      </w:rPr>
    </w:lvl>
    <w:lvl w:ilvl="1">
      <w:start w:val="0"/>
      <w:numFmt w:val="bullet"/>
      <w:lvlText w:val="•"/>
      <w:lvlJc w:val="left"/>
      <w:pPr>
        <w:ind w:left="1368" w:hanging="601"/>
      </w:pPr>
      <w:rPr>
        <w:rFonts w:hint="default"/>
        <w:lang w:val="zh-CN" w:eastAsia="zh-CN" w:bidi="zh-CN"/>
      </w:rPr>
    </w:lvl>
    <w:lvl w:ilvl="2">
      <w:start w:val="0"/>
      <w:numFmt w:val="bullet"/>
      <w:lvlText w:val="•"/>
      <w:lvlJc w:val="left"/>
      <w:pPr>
        <w:ind w:left="2357" w:hanging="601"/>
      </w:pPr>
      <w:rPr>
        <w:rFonts w:hint="default"/>
        <w:lang w:val="zh-CN" w:eastAsia="zh-CN" w:bidi="zh-CN"/>
      </w:rPr>
    </w:lvl>
    <w:lvl w:ilvl="3">
      <w:start w:val="0"/>
      <w:numFmt w:val="bullet"/>
      <w:lvlText w:val="•"/>
      <w:lvlJc w:val="left"/>
      <w:pPr>
        <w:ind w:left="3345" w:hanging="601"/>
      </w:pPr>
      <w:rPr>
        <w:rFonts w:hint="default"/>
        <w:lang w:val="zh-CN" w:eastAsia="zh-CN" w:bidi="zh-CN"/>
      </w:rPr>
    </w:lvl>
    <w:lvl w:ilvl="4">
      <w:start w:val="0"/>
      <w:numFmt w:val="bullet"/>
      <w:lvlText w:val="•"/>
      <w:lvlJc w:val="left"/>
      <w:pPr>
        <w:ind w:left="4334" w:hanging="601"/>
      </w:pPr>
      <w:rPr>
        <w:rFonts w:hint="default"/>
        <w:lang w:val="zh-CN" w:eastAsia="zh-CN" w:bidi="zh-CN"/>
      </w:rPr>
    </w:lvl>
    <w:lvl w:ilvl="5">
      <w:start w:val="0"/>
      <w:numFmt w:val="bullet"/>
      <w:lvlText w:val="•"/>
      <w:lvlJc w:val="left"/>
      <w:pPr>
        <w:ind w:left="5323" w:hanging="601"/>
      </w:pPr>
      <w:rPr>
        <w:rFonts w:hint="default"/>
        <w:lang w:val="zh-CN" w:eastAsia="zh-CN" w:bidi="zh-CN"/>
      </w:rPr>
    </w:lvl>
    <w:lvl w:ilvl="6">
      <w:start w:val="0"/>
      <w:numFmt w:val="bullet"/>
      <w:lvlText w:val="•"/>
      <w:lvlJc w:val="left"/>
      <w:pPr>
        <w:ind w:left="6311" w:hanging="601"/>
      </w:pPr>
      <w:rPr>
        <w:rFonts w:hint="default"/>
        <w:lang w:val="zh-CN" w:eastAsia="zh-CN" w:bidi="zh-CN"/>
      </w:rPr>
    </w:lvl>
    <w:lvl w:ilvl="7">
      <w:start w:val="0"/>
      <w:numFmt w:val="bullet"/>
      <w:lvlText w:val="•"/>
      <w:lvlJc w:val="left"/>
      <w:pPr>
        <w:ind w:left="7300" w:hanging="601"/>
      </w:pPr>
      <w:rPr>
        <w:rFonts w:hint="default"/>
        <w:lang w:val="zh-CN" w:eastAsia="zh-CN" w:bidi="zh-CN"/>
      </w:rPr>
    </w:lvl>
    <w:lvl w:ilvl="8">
      <w:start w:val="0"/>
      <w:numFmt w:val="bullet"/>
      <w:lvlText w:val="•"/>
      <w:lvlJc w:val="left"/>
      <w:pPr>
        <w:ind w:left="8288" w:hanging="601"/>
      </w:pPr>
      <w:rPr>
        <w:rFonts w:hint="default"/>
        <w:lang w:val="zh-CN" w:eastAsia="zh-CN" w:bidi="zh-CN"/>
      </w:rPr>
    </w:lvl>
  </w:abstractNum>
  <w:abstractNum w:abstractNumId="60">
    <w:multiLevelType w:val="hybridMultilevel"/>
    <w:lvl w:ilvl="0">
      <w:start w:val="1"/>
      <w:numFmt w:val="decimal"/>
      <w:lvlText w:val="（%1）"/>
      <w:lvlJc w:val="left"/>
      <w:pPr>
        <w:ind w:left="376" w:hanging="601"/>
        <w:jc w:val="left"/>
      </w:pPr>
      <w:rPr>
        <w:rFonts w:hint="default" w:ascii="宋体" w:hAnsi="宋体" w:eastAsia="宋体" w:cs="宋体"/>
        <w:spacing w:val="-27"/>
        <w:w w:val="100"/>
        <w:sz w:val="22"/>
        <w:szCs w:val="22"/>
        <w:lang w:val="zh-CN" w:eastAsia="zh-CN" w:bidi="zh-CN"/>
      </w:rPr>
    </w:lvl>
    <w:lvl w:ilvl="1">
      <w:start w:val="0"/>
      <w:numFmt w:val="bullet"/>
      <w:lvlText w:val="•"/>
      <w:lvlJc w:val="left"/>
      <w:pPr>
        <w:ind w:left="1368" w:hanging="601"/>
      </w:pPr>
      <w:rPr>
        <w:rFonts w:hint="default"/>
        <w:lang w:val="zh-CN" w:eastAsia="zh-CN" w:bidi="zh-CN"/>
      </w:rPr>
    </w:lvl>
    <w:lvl w:ilvl="2">
      <w:start w:val="0"/>
      <w:numFmt w:val="bullet"/>
      <w:lvlText w:val="•"/>
      <w:lvlJc w:val="left"/>
      <w:pPr>
        <w:ind w:left="2357" w:hanging="601"/>
      </w:pPr>
      <w:rPr>
        <w:rFonts w:hint="default"/>
        <w:lang w:val="zh-CN" w:eastAsia="zh-CN" w:bidi="zh-CN"/>
      </w:rPr>
    </w:lvl>
    <w:lvl w:ilvl="3">
      <w:start w:val="0"/>
      <w:numFmt w:val="bullet"/>
      <w:lvlText w:val="•"/>
      <w:lvlJc w:val="left"/>
      <w:pPr>
        <w:ind w:left="3345" w:hanging="601"/>
      </w:pPr>
      <w:rPr>
        <w:rFonts w:hint="default"/>
        <w:lang w:val="zh-CN" w:eastAsia="zh-CN" w:bidi="zh-CN"/>
      </w:rPr>
    </w:lvl>
    <w:lvl w:ilvl="4">
      <w:start w:val="0"/>
      <w:numFmt w:val="bullet"/>
      <w:lvlText w:val="•"/>
      <w:lvlJc w:val="left"/>
      <w:pPr>
        <w:ind w:left="4334" w:hanging="601"/>
      </w:pPr>
      <w:rPr>
        <w:rFonts w:hint="default"/>
        <w:lang w:val="zh-CN" w:eastAsia="zh-CN" w:bidi="zh-CN"/>
      </w:rPr>
    </w:lvl>
    <w:lvl w:ilvl="5">
      <w:start w:val="0"/>
      <w:numFmt w:val="bullet"/>
      <w:lvlText w:val="•"/>
      <w:lvlJc w:val="left"/>
      <w:pPr>
        <w:ind w:left="5323" w:hanging="601"/>
      </w:pPr>
      <w:rPr>
        <w:rFonts w:hint="default"/>
        <w:lang w:val="zh-CN" w:eastAsia="zh-CN" w:bidi="zh-CN"/>
      </w:rPr>
    </w:lvl>
    <w:lvl w:ilvl="6">
      <w:start w:val="0"/>
      <w:numFmt w:val="bullet"/>
      <w:lvlText w:val="•"/>
      <w:lvlJc w:val="left"/>
      <w:pPr>
        <w:ind w:left="6311" w:hanging="601"/>
      </w:pPr>
      <w:rPr>
        <w:rFonts w:hint="default"/>
        <w:lang w:val="zh-CN" w:eastAsia="zh-CN" w:bidi="zh-CN"/>
      </w:rPr>
    </w:lvl>
    <w:lvl w:ilvl="7">
      <w:start w:val="0"/>
      <w:numFmt w:val="bullet"/>
      <w:lvlText w:val="•"/>
      <w:lvlJc w:val="left"/>
      <w:pPr>
        <w:ind w:left="7300" w:hanging="601"/>
      </w:pPr>
      <w:rPr>
        <w:rFonts w:hint="default"/>
        <w:lang w:val="zh-CN" w:eastAsia="zh-CN" w:bidi="zh-CN"/>
      </w:rPr>
    </w:lvl>
    <w:lvl w:ilvl="8">
      <w:start w:val="0"/>
      <w:numFmt w:val="bullet"/>
      <w:lvlText w:val="•"/>
      <w:lvlJc w:val="left"/>
      <w:pPr>
        <w:ind w:left="8288" w:hanging="601"/>
      </w:pPr>
      <w:rPr>
        <w:rFonts w:hint="default"/>
        <w:lang w:val="zh-CN" w:eastAsia="zh-CN" w:bidi="zh-CN"/>
      </w:rPr>
    </w:lvl>
  </w:abstractNum>
  <w:abstractNum w:abstractNumId="59">
    <w:multiLevelType w:val="hybridMultilevel"/>
    <w:lvl w:ilvl="0">
      <w:start w:val="9"/>
      <w:numFmt w:val="decimal"/>
      <w:lvlText w:val="%1"/>
      <w:lvlJc w:val="left"/>
      <w:pPr>
        <w:ind w:left="868" w:hanging="492"/>
        <w:jc w:val="left"/>
      </w:pPr>
      <w:rPr>
        <w:rFonts w:hint="default"/>
        <w:lang w:val="zh-CN" w:eastAsia="zh-CN" w:bidi="zh-CN"/>
      </w:rPr>
    </w:lvl>
    <w:lvl w:ilvl="1">
      <w:start w:val="1"/>
      <w:numFmt w:val="decimal"/>
      <w:lvlText w:val="%1.%2"/>
      <w:lvlJc w:val="left"/>
      <w:pPr>
        <w:ind w:left="868" w:hanging="492"/>
        <w:jc w:val="left"/>
      </w:pPr>
      <w:rPr>
        <w:rFonts w:hint="default"/>
        <w:b/>
        <w:bCs/>
        <w:spacing w:val="-1"/>
        <w:w w:val="100"/>
        <w:lang w:val="zh-CN" w:eastAsia="zh-CN" w:bidi="zh-CN"/>
      </w:rPr>
    </w:lvl>
    <w:lvl w:ilvl="2">
      <w:start w:val="1"/>
      <w:numFmt w:val="decimal"/>
      <w:lvlText w:val="%1.%2.%3"/>
      <w:lvlJc w:val="left"/>
      <w:pPr>
        <w:ind w:left="1076" w:hanging="701"/>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1.%2.%3.%4"/>
      <w:lvlJc w:val="left"/>
      <w:pPr>
        <w:ind w:left="1096" w:hanging="720"/>
        <w:jc w:val="left"/>
      </w:pPr>
      <w:rPr>
        <w:rFonts w:hint="default" w:ascii="Times New Roman" w:hAnsi="Times New Roman" w:eastAsia="Times New Roman" w:cs="Times New Roman"/>
        <w:b/>
        <w:bCs/>
        <w:w w:val="99"/>
        <w:sz w:val="24"/>
        <w:szCs w:val="24"/>
        <w:lang w:val="zh-CN" w:eastAsia="zh-CN" w:bidi="zh-CN"/>
      </w:rPr>
    </w:lvl>
    <w:lvl w:ilvl="4">
      <w:start w:val="0"/>
      <w:numFmt w:val="bullet"/>
      <w:lvlText w:val="•"/>
      <w:lvlJc w:val="left"/>
      <w:pPr>
        <w:ind w:left="1160" w:hanging="720"/>
      </w:pPr>
      <w:rPr>
        <w:rFonts w:hint="default"/>
        <w:lang w:val="zh-CN" w:eastAsia="zh-CN" w:bidi="zh-CN"/>
      </w:rPr>
    </w:lvl>
    <w:lvl w:ilvl="5">
      <w:start w:val="0"/>
      <w:numFmt w:val="bullet"/>
      <w:lvlText w:val="•"/>
      <w:lvlJc w:val="left"/>
      <w:pPr>
        <w:ind w:left="2677" w:hanging="720"/>
      </w:pPr>
      <w:rPr>
        <w:rFonts w:hint="default"/>
        <w:lang w:val="zh-CN" w:eastAsia="zh-CN" w:bidi="zh-CN"/>
      </w:rPr>
    </w:lvl>
    <w:lvl w:ilvl="6">
      <w:start w:val="0"/>
      <w:numFmt w:val="bullet"/>
      <w:lvlText w:val="•"/>
      <w:lvlJc w:val="left"/>
      <w:pPr>
        <w:ind w:left="4195" w:hanging="720"/>
      </w:pPr>
      <w:rPr>
        <w:rFonts w:hint="default"/>
        <w:lang w:val="zh-CN" w:eastAsia="zh-CN" w:bidi="zh-CN"/>
      </w:rPr>
    </w:lvl>
    <w:lvl w:ilvl="7">
      <w:start w:val="0"/>
      <w:numFmt w:val="bullet"/>
      <w:lvlText w:val="•"/>
      <w:lvlJc w:val="left"/>
      <w:pPr>
        <w:ind w:left="5713" w:hanging="720"/>
      </w:pPr>
      <w:rPr>
        <w:rFonts w:hint="default"/>
        <w:lang w:val="zh-CN" w:eastAsia="zh-CN" w:bidi="zh-CN"/>
      </w:rPr>
    </w:lvl>
    <w:lvl w:ilvl="8">
      <w:start w:val="0"/>
      <w:numFmt w:val="bullet"/>
      <w:lvlText w:val="•"/>
      <w:lvlJc w:val="left"/>
      <w:pPr>
        <w:ind w:left="7230" w:hanging="720"/>
      </w:pPr>
      <w:rPr>
        <w:rFonts w:hint="default"/>
        <w:lang w:val="zh-CN" w:eastAsia="zh-CN" w:bidi="zh-CN"/>
      </w:rPr>
    </w:lvl>
  </w:abstractNum>
  <w:abstractNum w:abstractNumId="58">
    <w:multiLevelType w:val="hybridMultilevel"/>
    <w:lvl w:ilvl="0">
      <w:start w:val="1"/>
      <w:numFmt w:val="decimal"/>
      <w:lvlText w:val="（%1）"/>
      <w:lvlJc w:val="left"/>
      <w:pPr>
        <w:ind w:left="1457"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340" w:hanging="601"/>
      </w:pPr>
      <w:rPr>
        <w:rFonts w:hint="default"/>
        <w:lang w:val="zh-CN" w:eastAsia="zh-CN" w:bidi="zh-CN"/>
      </w:rPr>
    </w:lvl>
    <w:lvl w:ilvl="2">
      <w:start w:val="0"/>
      <w:numFmt w:val="bullet"/>
      <w:lvlText w:val="•"/>
      <w:lvlJc w:val="left"/>
      <w:pPr>
        <w:ind w:left="3221" w:hanging="601"/>
      </w:pPr>
      <w:rPr>
        <w:rFonts w:hint="default"/>
        <w:lang w:val="zh-CN" w:eastAsia="zh-CN" w:bidi="zh-CN"/>
      </w:rPr>
    </w:lvl>
    <w:lvl w:ilvl="3">
      <w:start w:val="0"/>
      <w:numFmt w:val="bullet"/>
      <w:lvlText w:val="•"/>
      <w:lvlJc w:val="left"/>
      <w:pPr>
        <w:ind w:left="4101" w:hanging="601"/>
      </w:pPr>
      <w:rPr>
        <w:rFonts w:hint="default"/>
        <w:lang w:val="zh-CN" w:eastAsia="zh-CN" w:bidi="zh-CN"/>
      </w:rPr>
    </w:lvl>
    <w:lvl w:ilvl="4">
      <w:start w:val="0"/>
      <w:numFmt w:val="bullet"/>
      <w:lvlText w:val="•"/>
      <w:lvlJc w:val="left"/>
      <w:pPr>
        <w:ind w:left="4982" w:hanging="601"/>
      </w:pPr>
      <w:rPr>
        <w:rFonts w:hint="default"/>
        <w:lang w:val="zh-CN" w:eastAsia="zh-CN" w:bidi="zh-CN"/>
      </w:rPr>
    </w:lvl>
    <w:lvl w:ilvl="5">
      <w:start w:val="0"/>
      <w:numFmt w:val="bullet"/>
      <w:lvlText w:val="•"/>
      <w:lvlJc w:val="left"/>
      <w:pPr>
        <w:ind w:left="5863" w:hanging="601"/>
      </w:pPr>
      <w:rPr>
        <w:rFonts w:hint="default"/>
        <w:lang w:val="zh-CN" w:eastAsia="zh-CN" w:bidi="zh-CN"/>
      </w:rPr>
    </w:lvl>
    <w:lvl w:ilvl="6">
      <w:start w:val="0"/>
      <w:numFmt w:val="bullet"/>
      <w:lvlText w:val="•"/>
      <w:lvlJc w:val="left"/>
      <w:pPr>
        <w:ind w:left="6743" w:hanging="601"/>
      </w:pPr>
      <w:rPr>
        <w:rFonts w:hint="default"/>
        <w:lang w:val="zh-CN" w:eastAsia="zh-CN" w:bidi="zh-CN"/>
      </w:rPr>
    </w:lvl>
    <w:lvl w:ilvl="7">
      <w:start w:val="0"/>
      <w:numFmt w:val="bullet"/>
      <w:lvlText w:val="•"/>
      <w:lvlJc w:val="left"/>
      <w:pPr>
        <w:ind w:left="7624" w:hanging="601"/>
      </w:pPr>
      <w:rPr>
        <w:rFonts w:hint="default"/>
        <w:lang w:val="zh-CN" w:eastAsia="zh-CN" w:bidi="zh-CN"/>
      </w:rPr>
    </w:lvl>
    <w:lvl w:ilvl="8">
      <w:start w:val="0"/>
      <w:numFmt w:val="bullet"/>
      <w:lvlText w:val="•"/>
      <w:lvlJc w:val="left"/>
      <w:pPr>
        <w:ind w:left="8504" w:hanging="601"/>
      </w:pPr>
      <w:rPr>
        <w:rFonts w:hint="default"/>
        <w:lang w:val="zh-CN" w:eastAsia="zh-CN" w:bidi="zh-CN"/>
      </w:rPr>
    </w:lvl>
  </w:abstractNum>
  <w:abstractNum w:abstractNumId="57">
    <w:multiLevelType w:val="hybridMultilevel"/>
    <w:lvl w:ilvl="0">
      <w:start w:val="8"/>
      <w:numFmt w:val="decimal"/>
      <w:lvlText w:val="%1"/>
      <w:lvlJc w:val="left"/>
      <w:pPr>
        <w:ind w:left="1007" w:hanging="632"/>
        <w:jc w:val="left"/>
      </w:pPr>
      <w:rPr>
        <w:rFonts w:hint="default"/>
        <w:lang w:val="zh-CN" w:eastAsia="zh-CN" w:bidi="zh-CN"/>
      </w:rPr>
    </w:lvl>
    <w:lvl w:ilvl="1">
      <w:start w:val="4"/>
      <w:numFmt w:val="decimal"/>
      <w:lvlText w:val="%1.%2"/>
      <w:lvlJc w:val="left"/>
      <w:pPr>
        <w:ind w:left="1007" w:hanging="632"/>
        <w:jc w:val="left"/>
      </w:pPr>
      <w:rPr>
        <w:rFonts w:hint="default"/>
        <w:lang w:val="zh-CN" w:eastAsia="zh-CN" w:bidi="zh-CN"/>
      </w:rPr>
    </w:lvl>
    <w:lvl w:ilvl="2">
      <w:start w:val="3"/>
      <w:numFmt w:val="decimal"/>
      <w:lvlText w:val="%1.%2.%3"/>
      <w:lvlJc w:val="left"/>
      <w:pPr>
        <w:ind w:left="1007" w:hanging="632"/>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779" w:hanging="632"/>
      </w:pPr>
      <w:rPr>
        <w:rFonts w:hint="default"/>
        <w:lang w:val="zh-CN" w:eastAsia="zh-CN" w:bidi="zh-CN"/>
      </w:rPr>
    </w:lvl>
    <w:lvl w:ilvl="4">
      <w:start w:val="0"/>
      <w:numFmt w:val="bullet"/>
      <w:lvlText w:val="•"/>
      <w:lvlJc w:val="left"/>
      <w:pPr>
        <w:ind w:left="4706" w:hanging="632"/>
      </w:pPr>
      <w:rPr>
        <w:rFonts w:hint="default"/>
        <w:lang w:val="zh-CN" w:eastAsia="zh-CN" w:bidi="zh-CN"/>
      </w:rPr>
    </w:lvl>
    <w:lvl w:ilvl="5">
      <w:start w:val="0"/>
      <w:numFmt w:val="bullet"/>
      <w:lvlText w:val="•"/>
      <w:lvlJc w:val="left"/>
      <w:pPr>
        <w:ind w:left="5633" w:hanging="632"/>
      </w:pPr>
      <w:rPr>
        <w:rFonts w:hint="default"/>
        <w:lang w:val="zh-CN" w:eastAsia="zh-CN" w:bidi="zh-CN"/>
      </w:rPr>
    </w:lvl>
    <w:lvl w:ilvl="6">
      <w:start w:val="0"/>
      <w:numFmt w:val="bullet"/>
      <w:lvlText w:val="•"/>
      <w:lvlJc w:val="left"/>
      <w:pPr>
        <w:ind w:left="6559" w:hanging="632"/>
      </w:pPr>
      <w:rPr>
        <w:rFonts w:hint="default"/>
        <w:lang w:val="zh-CN" w:eastAsia="zh-CN" w:bidi="zh-CN"/>
      </w:rPr>
    </w:lvl>
    <w:lvl w:ilvl="7">
      <w:start w:val="0"/>
      <w:numFmt w:val="bullet"/>
      <w:lvlText w:val="•"/>
      <w:lvlJc w:val="left"/>
      <w:pPr>
        <w:ind w:left="7486" w:hanging="632"/>
      </w:pPr>
      <w:rPr>
        <w:rFonts w:hint="default"/>
        <w:lang w:val="zh-CN" w:eastAsia="zh-CN" w:bidi="zh-CN"/>
      </w:rPr>
    </w:lvl>
    <w:lvl w:ilvl="8">
      <w:start w:val="0"/>
      <w:numFmt w:val="bullet"/>
      <w:lvlText w:val="•"/>
      <w:lvlJc w:val="left"/>
      <w:pPr>
        <w:ind w:left="8412" w:hanging="632"/>
      </w:pPr>
      <w:rPr>
        <w:rFonts w:hint="default"/>
        <w:lang w:val="zh-CN" w:eastAsia="zh-CN" w:bidi="zh-CN"/>
      </w:rPr>
    </w:lvl>
  </w:abstractNum>
  <w:abstractNum w:abstractNumId="56">
    <w:multiLevelType w:val="hybridMultilevel"/>
    <w:lvl w:ilvl="0">
      <w:start w:val="8"/>
      <w:numFmt w:val="decimal"/>
      <w:lvlText w:val="%1"/>
      <w:lvlJc w:val="left"/>
      <w:pPr>
        <w:ind w:left="827" w:hanging="452"/>
        <w:jc w:val="left"/>
      </w:pPr>
      <w:rPr>
        <w:rFonts w:hint="default"/>
        <w:lang w:val="zh-CN" w:eastAsia="zh-CN" w:bidi="zh-CN"/>
      </w:rPr>
    </w:lvl>
    <w:lvl w:ilvl="1">
      <w:start w:val="1"/>
      <w:numFmt w:val="decimal"/>
      <w:lvlText w:val="%1.%2"/>
      <w:lvlJc w:val="left"/>
      <w:pPr>
        <w:ind w:left="827" w:hanging="452"/>
        <w:jc w:val="left"/>
      </w:pPr>
      <w:rPr>
        <w:rFonts w:hint="default"/>
        <w:b/>
        <w:bCs/>
        <w:spacing w:val="-1"/>
        <w:w w:val="99"/>
        <w:lang w:val="zh-CN" w:eastAsia="zh-CN" w:bidi="zh-CN"/>
      </w:rPr>
    </w:lvl>
    <w:lvl w:ilvl="2">
      <w:start w:val="1"/>
      <w:numFmt w:val="decimal"/>
      <w:lvlText w:val="%1.%2.%3"/>
      <w:lvlJc w:val="left"/>
      <w:pPr>
        <w:ind w:left="1007" w:hanging="632"/>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457"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2718" w:hanging="601"/>
      </w:pPr>
      <w:rPr>
        <w:rFonts w:hint="default"/>
        <w:lang w:val="zh-CN" w:eastAsia="zh-CN" w:bidi="zh-CN"/>
      </w:rPr>
    </w:lvl>
    <w:lvl w:ilvl="5">
      <w:start w:val="0"/>
      <w:numFmt w:val="bullet"/>
      <w:lvlText w:val="•"/>
      <w:lvlJc w:val="left"/>
      <w:pPr>
        <w:ind w:left="3976" w:hanging="601"/>
      </w:pPr>
      <w:rPr>
        <w:rFonts w:hint="default"/>
        <w:lang w:val="zh-CN" w:eastAsia="zh-CN" w:bidi="zh-CN"/>
      </w:rPr>
    </w:lvl>
    <w:lvl w:ilvl="6">
      <w:start w:val="0"/>
      <w:numFmt w:val="bullet"/>
      <w:lvlText w:val="•"/>
      <w:lvlJc w:val="left"/>
      <w:pPr>
        <w:ind w:left="5234" w:hanging="601"/>
      </w:pPr>
      <w:rPr>
        <w:rFonts w:hint="default"/>
        <w:lang w:val="zh-CN" w:eastAsia="zh-CN" w:bidi="zh-CN"/>
      </w:rPr>
    </w:lvl>
    <w:lvl w:ilvl="7">
      <w:start w:val="0"/>
      <w:numFmt w:val="bullet"/>
      <w:lvlText w:val="•"/>
      <w:lvlJc w:val="left"/>
      <w:pPr>
        <w:ind w:left="6492" w:hanging="601"/>
      </w:pPr>
      <w:rPr>
        <w:rFonts w:hint="default"/>
        <w:lang w:val="zh-CN" w:eastAsia="zh-CN" w:bidi="zh-CN"/>
      </w:rPr>
    </w:lvl>
    <w:lvl w:ilvl="8">
      <w:start w:val="0"/>
      <w:numFmt w:val="bullet"/>
      <w:lvlText w:val="•"/>
      <w:lvlJc w:val="left"/>
      <w:pPr>
        <w:ind w:left="7750" w:hanging="601"/>
      </w:pPr>
      <w:rPr>
        <w:rFonts w:hint="default"/>
        <w:lang w:val="zh-CN" w:eastAsia="zh-CN" w:bidi="zh-CN"/>
      </w:rPr>
    </w:lvl>
  </w:abstractNum>
  <w:abstractNum w:abstractNumId="55">
    <w:multiLevelType w:val="hybridMultilevel"/>
    <w:lvl w:ilvl="0">
      <w:start w:val="7"/>
      <w:numFmt w:val="decimal"/>
      <w:lvlText w:val="%1"/>
      <w:lvlJc w:val="left"/>
      <w:pPr>
        <w:ind w:left="901" w:hanging="526"/>
        <w:jc w:val="left"/>
      </w:pPr>
      <w:rPr>
        <w:rFonts w:hint="default"/>
        <w:lang w:val="zh-CN" w:eastAsia="zh-CN" w:bidi="zh-CN"/>
      </w:rPr>
    </w:lvl>
    <w:lvl w:ilvl="1">
      <w:start w:val="1"/>
      <w:numFmt w:val="decimal"/>
      <w:lvlText w:val="%1.%2"/>
      <w:lvlJc w:val="left"/>
      <w:pPr>
        <w:ind w:left="901"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076" w:hanging="701"/>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121" w:hanging="701"/>
      </w:pPr>
      <w:rPr>
        <w:rFonts w:hint="default"/>
        <w:lang w:val="zh-CN" w:eastAsia="zh-CN" w:bidi="zh-CN"/>
      </w:rPr>
    </w:lvl>
    <w:lvl w:ilvl="4">
      <w:start w:val="0"/>
      <w:numFmt w:val="bullet"/>
      <w:lvlText w:val="•"/>
      <w:lvlJc w:val="left"/>
      <w:pPr>
        <w:ind w:left="4142" w:hanging="701"/>
      </w:pPr>
      <w:rPr>
        <w:rFonts w:hint="default"/>
        <w:lang w:val="zh-CN" w:eastAsia="zh-CN" w:bidi="zh-CN"/>
      </w:rPr>
    </w:lvl>
    <w:lvl w:ilvl="5">
      <w:start w:val="0"/>
      <w:numFmt w:val="bullet"/>
      <w:lvlText w:val="•"/>
      <w:lvlJc w:val="left"/>
      <w:pPr>
        <w:ind w:left="5162" w:hanging="701"/>
      </w:pPr>
      <w:rPr>
        <w:rFonts w:hint="default"/>
        <w:lang w:val="zh-CN" w:eastAsia="zh-CN" w:bidi="zh-CN"/>
      </w:rPr>
    </w:lvl>
    <w:lvl w:ilvl="6">
      <w:start w:val="0"/>
      <w:numFmt w:val="bullet"/>
      <w:lvlText w:val="•"/>
      <w:lvlJc w:val="left"/>
      <w:pPr>
        <w:ind w:left="6183" w:hanging="701"/>
      </w:pPr>
      <w:rPr>
        <w:rFonts w:hint="default"/>
        <w:lang w:val="zh-CN" w:eastAsia="zh-CN" w:bidi="zh-CN"/>
      </w:rPr>
    </w:lvl>
    <w:lvl w:ilvl="7">
      <w:start w:val="0"/>
      <w:numFmt w:val="bullet"/>
      <w:lvlText w:val="•"/>
      <w:lvlJc w:val="left"/>
      <w:pPr>
        <w:ind w:left="7204" w:hanging="701"/>
      </w:pPr>
      <w:rPr>
        <w:rFonts w:hint="default"/>
        <w:lang w:val="zh-CN" w:eastAsia="zh-CN" w:bidi="zh-CN"/>
      </w:rPr>
    </w:lvl>
    <w:lvl w:ilvl="8">
      <w:start w:val="0"/>
      <w:numFmt w:val="bullet"/>
      <w:lvlText w:val="•"/>
      <w:lvlJc w:val="left"/>
      <w:pPr>
        <w:ind w:left="8224" w:hanging="701"/>
      </w:pPr>
      <w:rPr>
        <w:rFonts w:hint="default"/>
        <w:lang w:val="zh-CN" w:eastAsia="zh-CN" w:bidi="zh-CN"/>
      </w:rPr>
    </w:lvl>
  </w:abstractNum>
  <w:abstractNum w:abstractNumId="54">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53">
    <w:multiLevelType w:val="hybridMultilevel"/>
    <w:lvl w:ilvl="0">
      <w:start w:val="6"/>
      <w:numFmt w:val="decimal"/>
      <w:lvlText w:val="%1"/>
      <w:lvlJc w:val="left"/>
      <w:pPr>
        <w:ind w:left="1432" w:hanging="720"/>
        <w:jc w:val="left"/>
      </w:pPr>
      <w:rPr>
        <w:rFonts w:hint="default"/>
        <w:lang w:val="zh-CN" w:eastAsia="zh-CN" w:bidi="zh-CN"/>
      </w:rPr>
    </w:lvl>
    <w:lvl w:ilvl="1">
      <w:start w:val="4"/>
      <w:numFmt w:val="decimal"/>
      <w:lvlText w:val="%1.%2"/>
      <w:lvlJc w:val="left"/>
      <w:pPr>
        <w:ind w:left="1432" w:hanging="720"/>
        <w:jc w:val="left"/>
      </w:pPr>
      <w:rPr>
        <w:rFonts w:hint="default"/>
        <w:lang w:val="zh-CN" w:eastAsia="zh-CN" w:bidi="zh-CN"/>
      </w:rPr>
    </w:lvl>
    <w:lvl w:ilvl="2">
      <w:start w:val="2"/>
      <w:numFmt w:val="decimal"/>
      <w:lvlText w:val="%1.%2.%3"/>
      <w:lvlJc w:val="left"/>
      <w:pPr>
        <w:ind w:left="1432" w:hanging="720"/>
        <w:jc w:val="left"/>
      </w:pPr>
      <w:rPr>
        <w:rFonts w:hint="default"/>
        <w:lang w:val="zh-CN" w:eastAsia="zh-CN" w:bidi="zh-CN"/>
      </w:rPr>
    </w:lvl>
    <w:lvl w:ilvl="3">
      <w:start w:val="1"/>
      <w:numFmt w:val="decimal"/>
      <w:lvlText w:val="%1.%2.%3.%4"/>
      <w:lvlJc w:val="left"/>
      <w:pPr>
        <w:ind w:left="1432" w:hanging="720"/>
        <w:jc w:val="left"/>
      </w:pPr>
      <w:rPr>
        <w:rFonts w:hint="default" w:ascii="Times New Roman" w:hAnsi="Times New Roman" w:eastAsia="Times New Roman" w:cs="Times New Roman"/>
        <w:b/>
        <w:bCs/>
        <w:w w:val="99"/>
        <w:sz w:val="24"/>
        <w:szCs w:val="24"/>
        <w:lang w:val="zh-CN" w:eastAsia="zh-CN" w:bidi="zh-CN"/>
      </w:rPr>
    </w:lvl>
    <w:lvl w:ilvl="4">
      <w:start w:val="1"/>
      <w:numFmt w:val="decimal"/>
      <w:lvlText w:val="（%5）"/>
      <w:lvlJc w:val="left"/>
      <w:pPr>
        <w:ind w:left="712" w:hanging="601"/>
        <w:jc w:val="left"/>
      </w:pPr>
      <w:rPr>
        <w:rFonts w:hint="default" w:ascii="宋体" w:hAnsi="宋体" w:eastAsia="宋体" w:cs="宋体"/>
        <w:spacing w:val="-34"/>
        <w:w w:val="100"/>
        <w:sz w:val="22"/>
        <w:szCs w:val="22"/>
        <w:lang w:val="zh-CN" w:eastAsia="zh-CN" w:bidi="zh-CN"/>
      </w:rPr>
    </w:lvl>
    <w:lvl w:ilvl="5">
      <w:start w:val="0"/>
      <w:numFmt w:val="bullet"/>
      <w:lvlText w:val="•"/>
      <w:lvlJc w:val="left"/>
      <w:pPr>
        <w:ind w:left="5362" w:hanging="601"/>
      </w:pPr>
      <w:rPr>
        <w:rFonts w:hint="default"/>
        <w:lang w:val="zh-CN" w:eastAsia="zh-CN" w:bidi="zh-CN"/>
      </w:rPr>
    </w:lvl>
    <w:lvl w:ilvl="6">
      <w:start w:val="0"/>
      <w:numFmt w:val="bullet"/>
      <w:lvlText w:val="•"/>
      <w:lvlJc w:val="left"/>
      <w:pPr>
        <w:ind w:left="6343" w:hanging="601"/>
      </w:pPr>
      <w:rPr>
        <w:rFonts w:hint="default"/>
        <w:lang w:val="zh-CN" w:eastAsia="zh-CN" w:bidi="zh-CN"/>
      </w:rPr>
    </w:lvl>
    <w:lvl w:ilvl="7">
      <w:start w:val="0"/>
      <w:numFmt w:val="bullet"/>
      <w:lvlText w:val="•"/>
      <w:lvlJc w:val="left"/>
      <w:pPr>
        <w:ind w:left="7324" w:hanging="601"/>
      </w:pPr>
      <w:rPr>
        <w:rFonts w:hint="default"/>
        <w:lang w:val="zh-CN" w:eastAsia="zh-CN" w:bidi="zh-CN"/>
      </w:rPr>
    </w:lvl>
    <w:lvl w:ilvl="8">
      <w:start w:val="0"/>
      <w:numFmt w:val="bullet"/>
      <w:lvlText w:val="•"/>
      <w:lvlJc w:val="left"/>
      <w:pPr>
        <w:ind w:left="8304" w:hanging="601"/>
      </w:pPr>
      <w:rPr>
        <w:rFonts w:hint="default"/>
        <w:lang w:val="zh-CN" w:eastAsia="zh-CN" w:bidi="zh-CN"/>
      </w:rPr>
    </w:lvl>
  </w:abstractNum>
  <w:abstractNum w:abstractNumId="52">
    <w:multiLevelType w:val="hybridMultilevel"/>
    <w:lvl w:ilvl="0">
      <w:start w:val="6"/>
      <w:numFmt w:val="decimal"/>
      <w:lvlText w:val="%1"/>
      <w:lvlJc w:val="left"/>
      <w:pPr>
        <w:ind w:left="1432" w:hanging="720"/>
        <w:jc w:val="left"/>
      </w:pPr>
      <w:rPr>
        <w:rFonts w:hint="default"/>
        <w:lang w:val="zh-CN" w:eastAsia="zh-CN" w:bidi="zh-CN"/>
      </w:rPr>
    </w:lvl>
    <w:lvl w:ilvl="1">
      <w:start w:val="4"/>
      <w:numFmt w:val="decimal"/>
      <w:lvlText w:val="%1.%2"/>
      <w:lvlJc w:val="left"/>
      <w:pPr>
        <w:ind w:left="1432" w:hanging="720"/>
        <w:jc w:val="left"/>
      </w:pPr>
      <w:rPr>
        <w:rFonts w:hint="default"/>
        <w:lang w:val="zh-CN" w:eastAsia="zh-CN" w:bidi="zh-CN"/>
      </w:rPr>
    </w:lvl>
    <w:lvl w:ilvl="2">
      <w:start w:val="1"/>
      <w:numFmt w:val="decimal"/>
      <w:lvlText w:val="%1.%2.%3"/>
      <w:lvlJc w:val="left"/>
      <w:pPr>
        <w:ind w:left="1432" w:hanging="720"/>
        <w:jc w:val="left"/>
      </w:pPr>
      <w:rPr>
        <w:rFonts w:hint="default"/>
        <w:lang w:val="zh-CN" w:eastAsia="zh-CN" w:bidi="zh-CN"/>
      </w:rPr>
    </w:lvl>
    <w:lvl w:ilvl="3">
      <w:start w:val="1"/>
      <w:numFmt w:val="decimal"/>
      <w:lvlText w:val="%1.%2.%3.%4"/>
      <w:lvlJc w:val="left"/>
      <w:pPr>
        <w:ind w:left="1432" w:hanging="720"/>
        <w:jc w:val="left"/>
      </w:pPr>
      <w:rPr>
        <w:rFonts w:hint="default" w:ascii="Times New Roman" w:hAnsi="Times New Roman" w:eastAsia="Times New Roman" w:cs="Times New Roman"/>
        <w:b/>
        <w:bCs/>
        <w:w w:val="99"/>
        <w:sz w:val="24"/>
        <w:szCs w:val="24"/>
        <w:lang w:val="zh-CN" w:eastAsia="zh-CN" w:bidi="zh-CN"/>
      </w:rPr>
    </w:lvl>
    <w:lvl w:ilvl="4">
      <w:start w:val="0"/>
      <w:numFmt w:val="bullet"/>
      <w:lvlText w:val="•"/>
      <w:lvlJc w:val="left"/>
      <w:pPr>
        <w:ind w:left="4970" w:hanging="720"/>
      </w:pPr>
      <w:rPr>
        <w:rFonts w:hint="default"/>
        <w:lang w:val="zh-CN" w:eastAsia="zh-CN" w:bidi="zh-CN"/>
      </w:rPr>
    </w:lvl>
    <w:lvl w:ilvl="5">
      <w:start w:val="0"/>
      <w:numFmt w:val="bullet"/>
      <w:lvlText w:val="•"/>
      <w:lvlJc w:val="left"/>
      <w:pPr>
        <w:ind w:left="5853" w:hanging="720"/>
      </w:pPr>
      <w:rPr>
        <w:rFonts w:hint="default"/>
        <w:lang w:val="zh-CN" w:eastAsia="zh-CN" w:bidi="zh-CN"/>
      </w:rPr>
    </w:lvl>
    <w:lvl w:ilvl="6">
      <w:start w:val="0"/>
      <w:numFmt w:val="bullet"/>
      <w:lvlText w:val="•"/>
      <w:lvlJc w:val="left"/>
      <w:pPr>
        <w:ind w:left="6735" w:hanging="720"/>
      </w:pPr>
      <w:rPr>
        <w:rFonts w:hint="default"/>
        <w:lang w:val="zh-CN" w:eastAsia="zh-CN" w:bidi="zh-CN"/>
      </w:rPr>
    </w:lvl>
    <w:lvl w:ilvl="7">
      <w:start w:val="0"/>
      <w:numFmt w:val="bullet"/>
      <w:lvlText w:val="•"/>
      <w:lvlJc w:val="left"/>
      <w:pPr>
        <w:ind w:left="7618" w:hanging="720"/>
      </w:pPr>
      <w:rPr>
        <w:rFonts w:hint="default"/>
        <w:lang w:val="zh-CN" w:eastAsia="zh-CN" w:bidi="zh-CN"/>
      </w:rPr>
    </w:lvl>
    <w:lvl w:ilvl="8">
      <w:start w:val="0"/>
      <w:numFmt w:val="bullet"/>
      <w:lvlText w:val="•"/>
      <w:lvlJc w:val="left"/>
      <w:pPr>
        <w:ind w:left="8500" w:hanging="720"/>
      </w:pPr>
      <w:rPr>
        <w:rFonts w:hint="default"/>
        <w:lang w:val="zh-CN" w:eastAsia="zh-CN" w:bidi="zh-CN"/>
      </w:rPr>
    </w:lvl>
  </w:abstractNum>
  <w:abstractNum w:abstractNumId="51">
    <w:multiLevelType w:val="hybridMultilevel"/>
    <w:lvl w:ilvl="0">
      <w:start w:val="6"/>
      <w:numFmt w:val="decimal"/>
      <w:lvlText w:val="%1"/>
      <w:lvlJc w:val="left"/>
      <w:pPr>
        <w:ind w:left="1160" w:hanging="449"/>
        <w:jc w:val="left"/>
      </w:pPr>
      <w:rPr>
        <w:rFonts w:hint="default"/>
        <w:lang w:val="zh-CN" w:eastAsia="zh-CN" w:bidi="zh-CN"/>
      </w:rPr>
    </w:lvl>
    <w:lvl w:ilvl="1">
      <w:start w:val="1"/>
      <w:numFmt w:val="decimal"/>
      <w:lvlText w:val="%1.%2"/>
      <w:lvlJc w:val="left"/>
      <w:pPr>
        <w:ind w:left="1160" w:hanging="449"/>
        <w:jc w:val="left"/>
      </w:pPr>
      <w:rPr>
        <w:rFonts w:hint="default"/>
        <w:b/>
        <w:bCs/>
        <w:spacing w:val="-1"/>
        <w:w w:val="100"/>
        <w:lang w:val="zh-CN" w:eastAsia="zh-CN" w:bidi="zh-CN"/>
      </w:rPr>
    </w:lvl>
    <w:lvl w:ilvl="2">
      <w:start w:val="1"/>
      <w:numFmt w:val="decimal"/>
      <w:lvlText w:val="%1.%2.%3"/>
      <w:lvlJc w:val="left"/>
      <w:pPr>
        <w:ind w:left="1340"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793"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3009" w:hanging="601"/>
      </w:pPr>
      <w:rPr>
        <w:rFonts w:hint="default"/>
        <w:lang w:val="zh-CN" w:eastAsia="zh-CN" w:bidi="zh-CN"/>
      </w:rPr>
    </w:lvl>
    <w:lvl w:ilvl="5">
      <w:start w:val="0"/>
      <w:numFmt w:val="bullet"/>
      <w:lvlText w:val="•"/>
      <w:lvlJc w:val="left"/>
      <w:pPr>
        <w:ind w:left="4218" w:hanging="601"/>
      </w:pPr>
      <w:rPr>
        <w:rFonts w:hint="default"/>
        <w:lang w:val="zh-CN" w:eastAsia="zh-CN" w:bidi="zh-CN"/>
      </w:rPr>
    </w:lvl>
    <w:lvl w:ilvl="6">
      <w:start w:val="0"/>
      <w:numFmt w:val="bullet"/>
      <w:lvlText w:val="•"/>
      <w:lvlJc w:val="left"/>
      <w:pPr>
        <w:ind w:left="5428" w:hanging="601"/>
      </w:pPr>
      <w:rPr>
        <w:rFonts w:hint="default"/>
        <w:lang w:val="zh-CN" w:eastAsia="zh-CN" w:bidi="zh-CN"/>
      </w:rPr>
    </w:lvl>
    <w:lvl w:ilvl="7">
      <w:start w:val="0"/>
      <w:numFmt w:val="bullet"/>
      <w:lvlText w:val="•"/>
      <w:lvlJc w:val="left"/>
      <w:pPr>
        <w:ind w:left="6637" w:hanging="601"/>
      </w:pPr>
      <w:rPr>
        <w:rFonts w:hint="default"/>
        <w:lang w:val="zh-CN" w:eastAsia="zh-CN" w:bidi="zh-CN"/>
      </w:rPr>
    </w:lvl>
    <w:lvl w:ilvl="8">
      <w:start w:val="0"/>
      <w:numFmt w:val="bullet"/>
      <w:lvlText w:val="•"/>
      <w:lvlJc w:val="left"/>
      <w:pPr>
        <w:ind w:left="7847" w:hanging="601"/>
      </w:pPr>
      <w:rPr>
        <w:rFonts w:hint="default"/>
        <w:lang w:val="zh-CN" w:eastAsia="zh-CN" w:bidi="zh-CN"/>
      </w:rPr>
    </w:lvl>
  </w:abstractNum>
  <w:abstractNum w:abstractNumId="50">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9">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8">
    <w:multiLevelType w:val="hybridMultilevel"/>
    <w:lvl w:ilvl="0">
      <w:start w:val="1"/>
      <w:numFmt w:val="decimal"/>
      <w:lvlText w:val="%1."/>
      <w:lvlJc w:val="left"/>
      <w:pPr>
        <w:ind w:left="1553" w:hanging="361"/>
        <w:jc w:val="left"/>
      </w:pPr>
      <w:rPr>
        <w:rFonts w:hint="default" w:ascii="Times New Roman" w:hAnsi="Times New Roman" w:eastAsia="Times New Roman" w:cs="Times New Roman"/>
        <w:w w:val="100"/>
        <w:sz w:val="22"/>
        <w:szCs w:val="22"/>
        <w:lang w:val="zh-CN" w:eastAsia="zh-CN" w:bidi="zh-CN"/>
      </w:rPr>
    </w:lvl>
    <w:lvl w:ilvl="1">
      <w:start w:val="6"/>
      <w:numFmt w:val="decimal"/>
      <w:lvlText w:val="%2."/>
      <w:lvlJc w:val="left"/>
      <w:pPr>
        <w:ind w:left="3424" w:hanging="272"/>
        <w:jc w:val="right"/>
      </w:pPr>
      <w:rPr>
        <w:rFonts w:hint="default" w:ascii="Times New Roman" w:hAnsi="Times New Roman" w:eastAsia="Times New Roman" w:cs="Times New Roman"/>
        <w:b/>
        <w:bCs/>
        <w:w w:val="100"/>
        <w:sz w:val="34"/>
        <w:szCs w:val="34"/>
        <w:lang w:val="zh-CN" w:eastAsia="zh-CN" w:bidi="zh-CN"/>
      </w:rPr>
    </w:lvl>
    <w:lvl w:ilvl="2">
      <w:start w:val="0"/>
      <w:numFmt w:val="bullet"/>
      <w:lvlText w:val="•"/>
      <w:lvlJc w:val="left"/>
      <w:pPr>
        <w:ind w:left="4180" w:hanging="272"/>
      </w:pPr>
      <w:rPr>
        <w:rFonts w:hint="default"/>
        <w:lang w:val="zh-CN" w:eastAsia="zh-CN" w:bidi="zh-CN"/>
      </w:rPr>
    </w:lvl>
    <w:lvl w:ilvl="3">
      <w:start w:val="0"/>
      <w:numFmt w:val="bullet"/>
      <w:lvlText w:val="•"/>
      <w:lvlJc w:val="left"/>
      <w:pPr>
        <w:ind w:left="4941" w:hanging="272"/>
      </w:pPr>
      <w:rPr>
        <w:rFonts w:hint="default"/>
        <w:lang w:val="zh-CN" w:eastAsia="zh-CN" w:bidi="zh-CN"/>
      </w:rPr>
    </w:lvl>
    <w:lvl w:ilvl="4">
      <w:start w:val="0"/>
      <w:numFmt w:val="bullet"/>
      <w:lvlText w:val="•"/>
      <w:lvlJc w:val="left"/>
      <w:pPr>
        <w:ind w:left="5702" w:hanging="272"/>
      </w:pPr>
      <w:rPr>
        <w:rFonts w:hint="default"/>
        <w:lang w:val="zh-CN" w:eastAsia="zh-CN" w:bidi="zh-CN"/>
      </w:rPr>
    </w:lvl>
    <w:lvl w:ilvl="5">
      <w:start w:val="0"/>
      <w:numFmt w:val="bullet"/>
      <w:lvlText w:val="•"/>
      <w:lvlJc w:val="left"/>
      <w:pPr>
        <w:ind w:left="6462" w:hanging="272"/>
      </w:pPr>
      <w:rPr>
        <w:rFonts w:hint="default"/>
        <w:lang w:val="zh-CN" w:eastAsia="zh-CN" w:bidi="zh-CN"/>
      </w:rPr>
    </w:lvl>
    <w:lvl w:ilvl="6">
      <w:start w:val="0"/>
      <w:numFmt w:val="bullet"/>
      <w:lvlText w:val="•"/>
      <w:lvlJc w:val="left"/>
      <w:pPr>
        <w:ind w:left="7223" w:hanging="272"/>
      </w:pPr>
      <w:rPr>
        <w:rFonts w:hint="default"/>
        <w:lang w:val="zh-CN" w:eastAsia="zh-CN" w:bidi="zh-CN"/>
      </w:rPr>
    </w:lvl>
    <w:lvl w:ilvl="7">
      <w:start w:val="0"/>
      <w:numFmt w:val="bullet"/>
      <w:lvlText w:val="•"/>
      <w:lvlJc w:val="left"/>
      <w:pPr>
        <w:ind w:left="7984" w:hanging="272"/>
      </w:pPr>
      <w:rPr>
        <w:rFonts w:hint="default"/>
        <w:lang w:val="zh-CN" w:eastAsia="zh-CN" w:bidi="zh-CN"/>
      </w:rPr>
    </w:lvl>
    <w:lvl w:ilvl="8">
      <w:start w:val="0"/>
      <w:numFmt w:val="bullet"/>
      <w:lvlText w:val="•"/>
      <w:lvlJc w:val="left"/>
      <w:pPr>
        <w:ind w:left="8744" w:hanging="272"/>
      </w:pPr>
      <w:rPr>
        <w:rFonts w:hint="default"/>
        <w:lang w:val="zh-CN" w:eastAsia="zh-CN" w:bidi="zh-CN"/>
      </w:rPr>
    </w:lvl>
  </w:abstractNum>
  <w:abstractNum w:abstractNumId="47">
    <w:multiLevelType w:val="hybridMultilevel"/>
    <w:lvl w:ilvl="0">
      <w:start w:val="1"/>
      <w:numFmt w:val="decimal"/>
      <w:lvlText w:val="（%1）"/>
      <w:lvlJc w:val="left"/>
      <w:pPr>
        <w:ind w:left="712" w:hanging="601"/>
        <w:jc w:val="left"/>
      </w:pPr>
      <w:rPr>
        <w:rFonts w:hint="default" w:ascii="宋体" w:hAnsi="宋体" w:eastAsia="宋体" w:cs="宋体"/>
        <w:spacing w:val="-41"/>
        <w:w w:val="100"/>
        <w:sz w:val="22"/>
        <w:szCs w:val="22"/>
        <w:lang w:val="zh-CN" w:eastAsia="zh-CN" w:bidi="zh-CN"/>
      </w:rPr>
    </w:lvl>
    <w:lvl w:ilvl="1">
      <w:start w:val="0"/>
      <w:numFmt w:val="bullet"/>
      <w:lvlText w:val="•"/>
      <w:lvlJc w:val="left"/>
      <w:pPr>
        <w:ind w:left="1674" w:hanging="601"/>
      </w:pPr>
      <w:rPr>
        <w:rFonts w:hint="default"/>
        <w:lang w:val="zh-CN" w:eastAsia="zh-CN" w:bidi="zh-CN"/>
      </w:rPr>
    </w:lvl>
    <w:lvl w:ilvl="2">
      <w:start w:val="0"/>
      <w:numFmt w:val="bullet"/>
      <w:lvlText w:val="•"/>
      <w:lvlJc w:val="left"/>
      <w:pPr>
        <w:ind w:left="2629" w:hanging="601"/>
      </w:pPr>
      <w:rPr>
        <w:rFonts w:hint="default"/>
        <w:lang w:val="zh-CN" w:eastAsia="zh-CN" w:bidi="zh-CN"/>
      </w:rPr>
    </w:lvl>
    <w:lvl w:ilvl="3">
      <w:start w:val="0"/>
      <w:numFmt w:val="bullet"/>
      <w:lvlText w:val="•"/>
      <w:lvlJc w:val="left"/>
      <w:pPr>
        <w:ind w:left="3583" w:hanging="601"/>
      </w:pPr>
      <w:rPr>
        <w:rFonts w:hint="default"/>
        <w:lang w:val="zh-CN" w:eastAsia="zh-CN" w:bidi="zh-CN"/>
      </w:rPr>
    </w:lvl>
    <w:lvl w:ilvl="4">
      <w:start w:val="0"/>
      <w:numFmt w:val="bullet"/>
      <w:lvlText w:val="•"/>
      <w:lvlJc w:val="left"/>
      <w:pPr>
        <w:ind w:left="4538" w:hanging="601"/>
      </w:pPr>
      <w:rPr>
        <w:rFonts w:hint="default"/>
        <w:lang w:val="zh-CN" w:eastAsia="zh-CN" w:bidi="zh-CN"/>
      </w:rPr>
    </w:lvl>
    <w:lvl w:ilvl="5">
      <w:start w:val="0"/>
      <w:numFmt w:val="bullet"/>
      <w:lvlText w:val="•"/>
      <w:lvlJc w:val="left"/>
      <w:pPr>
        <w:ind w:left="5493" w:hanging="601"/>
      </w:pPr>
      <w:rPr>
        <w:rFonts w:hint="default"/>
        <w:lang w:val="zh-CN" w:eastAsia="zh-CN" w:bidi="zh-CN"/>
      </w:rPr>
    </w:lvl>
    <w:lvl w:ilvl="6">
      <w:start w:val="0"/>
      <w:numFmt w:val="bullet"/>
      <w:lvlText w:val="•"/>
      <w:lvlJc w:val="left"/>
      <w:pPr>
        <w:ind w:left="6447" w:hanging="601"/>
      </w:pPr>
      <w:rPr>
        <w:rFonts w:hint="default"/>
        <w:lang w:val="zh-CN" w:eastAsia="zh-CN" w:bidi="zh-CN"/>
      </w:rPr>
    </w:lvl>
    <w:lvl w:ilvl="7">
      <w:start w:val="0"/>
      <w:numFmt w:val="bullet"/>
      <w:lvlText w:val="•"/>
      <w:lvlJc w:val="left"/>
      <w:pPr>
        <w:ind w:left="7402" w:hanging="601"/>
      </w:pPr>
      <w:rPr>
        <w:rFonts w:hint="default"/>
        <w:lang w:val="zh-CN" w:eastAsia="zh-CN" w:bidi="zh-CN"/>
      </w:rPr>
    </w:lvl>
    <w:lvl w:ilvl="8">
      <w:start w:val="0"/>
      <w:numFmt w:val="bullet"/>
      <w:lvlText w:val="•"/>
      <w:lvlJc w:val="left"/>
      <w:pPr>
        <w:ind w:left="8356" w:hanging="601"/>
      </w:pPr>
      <w:rPr>
        <w:rFonts w:hint="default"/>
        <w:lang w:val="zh-CN" w:eastAsia="zh-CN" w:bidi="zh-CN"/>
      </w:rPr>
    </w:lvl>
  </w:abstractNum>
  <w:abstractNum w:abstractNumId="46">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5">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4">
    <w:multiLevelType w:val="hybridMultilevel"/>
    <w:lvl w:ilvl="0">
      <w:start w:val="1"/>
      <w:numFmt w:val="decimal"/>
      <w:lvlText w:val="（%1）"/>
      <w:lvlJc w:val="left"/>
      <w:pPr>
        <w:ind w:left="1793" w:hanging="601"/>
        <w:jc w:val="left"/>
      </w:pPr>
      <w:rPr>
        <w:rFonts w:hint="default" w:ascii="宋体" w:hAnsi="宋体" w:eastAsia="宋体" w:cs="宋体"/>
        <w:spacing w:val="-32"/>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3">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2">
    <w:multiLevelType w:val="hybridMultilevel"/>
    <w:lvl w:ilvl="0">
      <w:start w:val="1"/>
      <w:numFmt w:val="decimal"/>
      <w:lvlText w:val="（%1）"/>
      <w:lvlJc w:val="left"/>
      <w:pPr>
        <w:ind w:left="1793"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1">
    <w:multiLevelType w:val="hybridMultilevel"/>
    <w:lvl w:ilvl="0">
      <w:start w:val="1"/>
      <w:numFmt w:val="decimal"/>
      <w:lvlText w:val="（%1）"/>
      <w:lvlJc w:val="left"/>
      <w:pPr>
        <w:ind w:left="1793"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40">
    <w:multiLevelType w:val="hybridMultilevel"/>
    <w:lvl w:ilvl="0">
      <w:start w:val="5"/>
      <w:numFmt w:val="decimal"/>
      <w:lvlText w:val="%1"/>
      <w:lvlJc w:val="left"/>
      <w:pPr>
        <w:ind w:left="1237" w:hanging="526"/>
        <w:jc w:val="left"/>
      </w:pPr>
      <w:rPr>
        <w:rFonts w:hint="default"/>
        <w:lang w:val="zh-CN" w:eastAsia="zh-CN" w:bidi="zh-CN"/>
      </w:rPr>
    </w:lvl>
    <w:lvl w:ilvl="1">
      <w:start w:val="4"/>
      <w:numFmt w:val="decimal"/>
      <w:lvlText w:val="%1.%2"/>
      <w:lvlJc w:val="left"/>
      <w:pPr>
        <w:ind w:left="1237"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340"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1.%2.%3.%4"/>
      <w:lvlJc w:val="left"/>
      <w:pPr>
        <w:ind w:left="1432" w:hanging="720"/>
        <w:jc w:val="left"/>
      </w:pPr>
      <w:rPr>
        <w:rFonts w:hint="default"/>
        <w:w w:val="100"/>
        <w:lang w:val="zh-CN" w:eastAsia="zh-CN" w:bidi="zh-CN"/>
      </w:rPr>
    </w:lvl>
    <w:lvl w:ilvl="4">
      <w:start w:val="1"/>
      <w:numFmt w:val="decimal"/>
      <w:lvlText w:val="（%5）"/>
      <w:lvlJc w:val="left"/>
      <w:pPr>
        <w:ind w:left="1793" w:hanging="720"/>
        <w:jc w:val="left"/>
      </w:pPr>
      <w:rPr>
        <w:rFonts w:hint="default" w:ascii="宋体" w:hAnsi="宋体" w:eastAsia="宋体" w:cs="宋体"/>
        <w:w w:val="100"/>
        <w:sz w:val="22"/>
        <w:szCs w:val="22"/>
        <w:lang w:val="zh-CN" w:eastAsia="zh-CN" w:bidi="zh-CN"/>
      </w:rPr>
    </w:lvl>
    <w:lvl w:ilvl="5">
      <w:start w:val="0"/>
      <w:numFmt w:val="bullet"/>
      <w:lvlText w:val="•"/>
      <w:lvlJc w:val="left"/>
      <w:pPr>
        <w:ind w:left="1800" w:hanging="720"/>
      </w:pPr>
      <w:rPr>
        <w:rFonts w:hint="default"/>
        <w:lang w:val="zh-CN" w:eastAsia="zh-CN" w:bidi="zh-CN"/>
      </w:rPr>
    </w:lvl>
    <w:lvl w:ilvl="6">
      <w:start w:val="0"/>
      <w:numFmt w:val="bullet"/>
      <w:lvlText w:val="•"/>
      <w:lvlJc w:val="left"/>
      <w:pPr>
        <w:ind w:left="3493" w:hanging="720"/>
      </w:pPr>
      <w:rPr>
        <w:rFonts w:hint="default"/>
        <w:lang w:val="zh-CN" w:eastAsia="zh-CN" w:bidi="zh-CN"/>
      </w:rPr>
    </w:lvl>
    <w:lvl w:ilvl="7">
      <w:start w:val="0"/>
      <w:numFmt w:val="bullet"/>
      <w:lvlText w:val="•"/>
      <w:lvlJc w:val="left"/>
      <w:pPr>
        <w:ind w:left="5186" w:hanging="720"/>
      </w:pPr>
      <w:rPr>
        <w:rFonts w:hint="default"/>
        <w:lang w:val="zh-CN" w:eastAsia="zh-CN" w:bidi="zh-CN"/>
      </w:rPr>
    </w:lvl>
    <w:lvl w:ilvl="8">
      <w:start w:val="0"/>
      <w:numFmt w:val="bullet"/>
      <w:lvlText w:val="•"/>
      <w:lvlJc w:val="left"/>
      <w:pPr>
        <w:ind w:left="6879" w:hanging="720"/>
      </w:pPr>
      <w:rPr>
        <w:rFonts w:hint="default"/>
        <w:lang w:val="zh-CN" w:eastAsia="zh-CN" w:bidi="zh-CN"/>
      </w:rPr>
    </w:lvl>
  </w:abstractNum>
  <w:abstractNum w:abstractNumId="39">
    <w:multiLevelType w:val="hybridMultilevel"/>
    <w:lvl w:ilvl="0">
      <w:start w:val="1"/>
      <w:numFmt w:val="decimal"/>
      <w:lvlText w:val="（%1）"/>
      <w:lvlJc w:val="left"/>
      <w:pPr>
        <w:ind w:left="712" w:hanging="601"/>
        <w:jc w:val="left"/>
      </w:pPr>
      <w:rPr>
        <w:rFonts w:hint="default" w:ascii="宋体" w:hAnsi="宋体" w:eastAsia="宋体" w:cs="宋体"/>
        <w:spacing w:val="-24"/>
        <w:w w:val="100"/>
        <w:sz w:val="22"/>
        <w:szCs w:val="22"/>
        <w:lang w:val="zh-CN" w:eastAsia="zh-CN" w:bidi="zh-CN"/>
      </w:rPr>
    </w:lvl>
    <w:lvl w:ilvl="1">
      <w:start w:val="0"/>
      <w:numFmt w:val="bullet"/>
      <w:lvlText w:val="•"/>
      <w:lvlJc w:val="left"/>
      <w:pPr>
        <w:ind w:left="1674" w:hanging="601"/>
      </w:pPr>
      <w:rPr>
        <w:rFonts w:hint="default"/>
        <w:lang w:val="zh-CN" w:eastAsia="zh-CN" w:bidi="zh-CN"/>
      </w:rPr>
    </w:lvl>
    <w:lvl w:ilvl="2">
      <w:start w:val="0"/>
      <w:numFmt w:val="bullet"/>
      <w:lvlText w:val="•"/>
      <w:lvlJc w:val="left"/>
      <w:pPr>
        <w:ind w:left="2629" w:hanging="601"/>
      </w:pPr>
      <w:rPr>
        <w:rFonts w:hint="default"/>
        <w:lang w:val="zh-CN" w:eastAsia="zh-CN" w:bidi="zh-CN"/>
      </w:rPr>
    </w:lvl>
    <w:lvl w:ilvl="3">
      <w:start w:val="0"/>
      <w:numFmt w:val="bullet"/>
      <w:lvlText w:val="•"/>
      <w:lvlJc w:val="left"/>
      <w:pPr>
        <w:ind w:left="3583" w:hanging="601"/>
      </w:pPr>
      <w:rPr>
        <w:rFonts w:hint="default"/>
        <w:lang w:val="zh-CN" w:eastAsia="zh-CN" w:bidi="zh-CN"/>
      </w:rPr>
    </w:lvl>
    <w:lvl w:ilvl="4">
      <w:start w:val="0"/>
      <w:numFmt w:val="bullet"/>
      <w:lvlText w:val="•"/>
      <w:lvlJc w:val="left"/>
      <w:pPr>
        <w:ind w:left="4538" w:hanging="601"/>
      </w:pPr>
      <w:rPr>
        <w:rFonts w:hint="default"/>
        <w:lang w:val="zh-CN" w:eastAsia="zh-CN" w:bidi="zh-CN"/>
      </w:rPr>
    </w:lvl>
    <w:lvl w:ilvl="5">
      <w:start w:val="0"/>
      <w:numFmt w:val="bullet"/>
      <w:lvlText w:val="•"/>
      <w:lvlJc w:val="left"/>
      <w:pPr>
        <w:ind w:left="5493" w:hanging="601"/>
      </w:pPr>
      <w:rPr>
        <w:rFonts w:hint="default"/>
        <w:lang w:val="zh-CN" w:eastAsia="zh-CN" w:bidi="zh-CN"/>
      </w:rPr>
    </w:lvl>
    <w:lvl w:ilvl="6">
      <w:start w:val="0"/>
      <w:numFmt w:val="bullet"/>
      <w:lvlText w:val="•"/>
      <w:lvlJc w:val="left"/>
      <w:pPr>
        <w:ind w:left="6447" w:hanging="601"/>
      </w:pPr>
      <w:rPr>
        <w:rFonts w:hint="default"/>
        <w:lang w:val="zh-CN" w:eastAsia="zh-CN" w:bidi="zh-CN"/>
      </w:rPr>
    </w:lvl>
    <w:lvl w:ilvl="7">
      <w:start w:val="0"/>
      <w:numFmt w:val="bullet"/>
      <w:lvlText w:val="•"/>
      <w:lvlJc w:val="left"/>
      <w:pPr>
        <w:ind w:left="7402" w:hanging="601"/>
      </w:pPr>
      <w:rPr>
        <w:rFonts w:hint="default"/>
        <w:lang w:val="zh-CN" w:eastAsia="zh-CN" w:bidi="zh-CN"/>
      </w:rPr>
    </w:lvl>
    <w:lvl w:ilvl="8">
      <w:start w:val="0"/>
      <w:numFmt w:val="bullet"/>
      <w:lvlText w:val="•"/>
      <w:lvlJc w:val="left"/>
      <w:pPr>
        <w:ind w:left="8356" w:hanging="601"/>
      </w:pPr>
      <w:rPr>
        <w:rFonts w:hint="default"/>
        <w:lang w:val="zh-CN" w:eastAsia="zh-CN" w:bidi="zh-CN"/>
      </w:rPr>
    </w:lvl>
  </w:abstractNum>
  <w:abstractNum w:abstractNumId="38">
    <w:multiLevelType w:val="hybridMultilevel"/>
    <w:lvl w:ilvl="0">
      <w:start w:val="5"/>
      <w:numFmt w:val="decimal"/>
      <w:lvlText w:val="%1"/>
      <w:lvlJc w:val="left"/>
      <w:pPr>
        <w:ind w:left="1160" w:hanging="449"/>
        <w:jc w:val="left"/>
      </w:pPr>
      <w:rPr>
        <w:rFonts w:hint="default"/>
        <w:lang w:val="zh-CN" w:eastAsia="zh-CN" w:bidi="zh-CN"/>
      </w:rPr>
    </w:lvl>
    <w:lvl w:ilvl="1">
      <w:start w:val="1"/>
      <w:numFmt w:val="decimal"/>
      <w:lvlText w:val="%1.%2"/>
      <w:lvlJc w:val="left"/>
      <w:pPr>
        <w:ind w:left="1160" w:hanging="449"/>
        <w:jc w:val="left"/>
      </w:pPr>
      <w:rPr>
        <w:rFonts w:hint="default" w:ascii="Times New Roman" w:hAnsi="Times New Roman" w:eastAsia="Times New Roman" w:cs="Times New Roman"/>
        <w:b/>
        <w:bCs/>
        <w:spacing w:val="-1"/>
        <w:w w:val="100"/>
        <w:sz w:val="30"/>
        <w:szCs w:val="30"/>
        <w:lang w:val="zh-CN" w:eastAsia="zh-CN" w:bidi="zh-CN"/>
      </w:rPr>
    </w:lvl>
    <w:lvl w:ilvl="2">
      <w:start w:val="1"/>
      <w:numFmt w:val="decimal"/>
      <w:lvlText w:val="%1.%2.%3"/>
      <w:lvlJc w:val="left"/>
      <w:pPr>
        <w:ind w:left="1340"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1.%2.%3.%4"/>
      <w:lvlJc w:val="left"/>
      <w:pPr>
        <w:ind w:left="1492" w:hanging="780"/>
        <w:jc w:val="left"/>
      </w:pPr>
      <w:rPr>
        <w:rFonts w:hint="default" w:ascii="Times New Roman" w:hAnsi="Times New Roman" w:eastAsia="Times New Roman" w:cs="Times New Roman"/>
        <w:b/>
        <w:bCs/>
        <w:w w:val="99"/>
        <w:sz w:val="24"/>
        <w:szCs w:val="24"/>
        <w:lang w:val="zh-CN" w:eastAsia="zh-CN" w:bidi="zh-CN"/>
      </w:rPr>
    </w:lvl>
    <w:lvl w:ilvl="4">
      <w:start w:val="1"/>
      <w:numFmt w:val="decimal"/>
      <w:lvlText w:val="（%5）"/>
      <w:lvlJc w:val="left"/>
      <w:pPr>
        <w:ind w:left="1793" w:hanging="601"/>
        <w:jc w:val="left"/>
      </w:pPr>
      <w:rPr>
        <w:rFonts w:hint="default" w:ascii="宋体" w:hAnsi="宋体" w:eastAsia="宋体" w:cs="宋体"/>
        <w:w w:val="100"/>
        <w:sz w:val="22"/>
        <w:szCs w:val="22"/>
        <w:lang w:val="zh-CN" w:eastAsia="zh-CN" w:bidi="zh-CN"/>
      </w:rPr>
    </w:lvl>
    <w:lvl w:ilvl="5">
      <w:start w:val="0"/>
      <w:numFmt w:val="bullet"/>
      <w:lvlText w:val="•"/>
      <w:lvlJc w:val="left"/>
      <w:pPr>
        <w:ind w:left="1800" w:hanging="601"/>
      </w:pPr>
      <w:rPr>
        <w:rFonts w:hint="default"/>
        <w:lang w:val="zh-CN" w:eastAsia="zh-CN" w:bidi="zh-CN"/>
      </w:rPr>
    </w:lvl>
    <w:lvl w:ilvl="6">
      <w:start w:val="0"/>
      <w:numFmt w:val="bullet"/>
      <w:lvlText w:val="•"/>
      <w:lvlJc w:val="left"/>
      <w:pPr>
        <w:ind w:left="3493" w:hanging="601"/>
      </w:pPr>
      <w:rPr>
        <w:rFonts w:hint="default"/>
        <w:lang w:val="zh-CN" w:eastAsia="zh-CN" w:bidi="zh-CN"/>
      </w:rPr>
    </w:lvl>
    <w:lvl w:ilvl="7">
      <w:start w:val="0"/>
      <w:numFmt w:val="bullet"/>
      <w:lvlText w:val="•"/>
      <w:lvlJc w:val="left"/>
      <w:pPr>
        <w:ind w:left="5186" w:hanging="601"/>
      </w:pPr>
      <w:rPr>
        <w:rFonts w:hint="default"/>
        <w:lang w:val="zh-CN" w:eastAsia="zh-CN" w:bidi="zh-CN"/>
      </w:rPr>
    </w:lvl>
    <w:lvl w:ilvl="8">
      <w:start w:val="0"/>
      <w:numFmt w:val="bullet"/>
      <w:lvlText w:val="•"/>
      <w:lvlJc w:val="left"/>
      <w:pPr>
        <w:ind w:left="6879" w:hanging="601"/>
      </w:pPr>
      <w:rPr>
        <w:rFonts w:hint="default"/>
        <w:lang w:val="zh-CN" w:eastAsia="zh-CN" w:bidi="zh-CN"/>
      </w:rPr>
    </w:lvl>
  </w:abstractNum>
  <w:abstractNum w:abstractNumId="37">
    <w:multiLevelType w:val="hybridMultilevel"/>
    <w:lvl w:ilvl="0">
      <w:start w:val="1"/>
      <w:numFmt w:val="decimal"/>
      <w:lvlText w:val="（%1）"/>
      <w:lvlJc w:val="left"/>
      <w:pPr>
        <w:ind w:left="712" w:hanging="601"/>
        <w:jc w:val="left"/>
      </w:pPr>
      <w:rPr>
        <w:rFonts w:hint="default" w:ascii="宋体" w:hAnsi="宋体" w:eastAsia="宋体" w:cs="宋体"/>
        <w:spacing w:val="-34"/>
        <w:w w:val="100"/>
        <w:sz w:val="22"/>
        <w:szCs w:val="22"/>
        <w:lang w:val="zh-CN" w:eastAsia="zh-CN" w:bidi="zh-CN"/>
      </w:rPr>
    </w:lvl>
    <w:lvl w:ilvl="1">
      <w:start w:val="0"/>
      <w:numFmt w:val="bullet"/>
      <w:lvlText w:val="•"/>
      <w:lvlJc w:val="left"/>
      <w:pPr>
        <w:ind w:left="1674" w:hanging="601"/>
      </w:pPr>
      <w:rPr>
        <w:rFonts w:hint="default"/>
        <w:lang w:val="zh-CN" w:eastAsia="zh-CN" w:bidi="zh-CN"/>
      </w:rPr>
    </w:lvl>
    <w:lvl w:ilvl="2">
      <w:start w:val="0"/>
      <w:numFmt w:val="bullet"/>
      <w:lvlText w:val="•"/>
      <w:lvlJc w:val="left"/>
      <w:pPr>
        <w:ind w:left="2629" w:hanging="601"/>
      </w:pPr>
      <w:rPr>
        <w:rFonts w:hint="default"/>
        <w:lang w:val="zh-CN" w:eastAsia="zh-CN" w:bidi="zh-CN"/>
      </w:rPr>
    </w:lvl>
    <w:lvl w:ilvl="3">
      <w:start w:val="0"/>
      <w:numFmt w:val="bullet"/>
      <w:lvlText w:val="•"/>
      <w:lvlJc w:val="left"/>
      <w:pPr>
        <w:ind w:left="3583" w:hanging="601"/>
      </w:pPr>
      <w:rPr>
        <w:rFonts w:hint="default"/>
        <w:lang w:val="zh-CN" w:eastAsia="zh-CN" w:bidi="zh-CN"/>
      </w:rPr>
    </w:lvl>
    <w:lvl w:ilvl="4">
      <w:start w:val="0"/>
      <w:numFmt w:val="bullet"/>
      <w:lvlText w:val="•"/>
      <w:lvlJc w:val="left"/>
      <w:pPr>
        <w:ind w:left="4538" w:hanging="601"/>
      </w:pPr>
      <w:rPr>
        <w:rFonts w:hint="default"/>
        <w:lang w:val="zh-CN" w:eastAsia="zh-CN" w:bidi="zh-CN"/>
      </w:rPr>
    </w:lvl>
    <w:lvl w:ilvl="5">
      <w:start w:val="0"/>
      <w:numFmt w:val="bullet"/>
      <w:lvlText w:val="•"/>
      <w:lvlJc w:val="left"/>
      <w:pPr>
        <w:ind w:left="5493" w:hanging="601"/>
      </w:pPr>
      <w:rPr>
        <w:rFonts w:hint="default"/>
        <w:lang w:val="zh-CN" w:eastAsia="zh-CN" w:bidi="zh-CN"/>
      </w:rPr>
    </w:lvl>
    <w:lvl w:ilvl="6">
      <w:start w:val="0"/>
      <w:numFmt w:val="bullet"/>
      <w:lvlText w:val="•"/>
      <w:lvlJc w:val="left"/>
      <w:pPr>
        <w:ind w:left="6447" w:hanging="601"/>
      </w:pPr>
      <w:rPr>
        <w:rFonts w:hint="default"/>
        <w:lang w:val="zh-CN" w:eastAsia="zh-CN" w:bidi="zh-CN"/>
      </w:rPr>
    </w:lvl>
    <w:lvl w:ilvl="7">
      <w:start w:val="0"/>
      <w:numFmt w:val="bullet"/>
      <w:lvlText w:val="•"/>
      <w:lvlJc w:val="left"/>
      <w:pPr>
        <w:ind w:left="7402" w:hanging="601"/>
      </w:pPr>
      <w:rPr>
        <w:rFonts w:hint="default"/>
        <w:lang w:val="zh-CN" w:eastAsia="zh-CN" w:bidi="zh-CN"/>
      </w:rPr>
    </w:lvl>
    <w:lvl w:ilvl="8">
      <w:start w:val="0"/>
      <w:numFmt w:val="bullet"/>
      <w:lvlText w:val="•"/>
      <w:lvlJc w:val="left"/>
      <w:pPr>
        <w:ind w:left="8356" w:hanging="601"/>
      </w:pPr>
      <w:rPr>
        <w:rFonts w:hint="default"/>
        <w:lang w:val="zh-CN" w:eastAsia="zh-CN" w:bidi="zh-CN"/>
      </w:rPr>
    </w:lvl>
  </w:abstractNum>
  <w:abstractNum w:abstractNumId="36">
    <w:multiLevelType w:val="hybridMultilevel"/>
    <w:lvl w:ilvl="0">
      <w:start w:val="1"/>
      <w:numFmt w:val="decimal"/>
      <w:lvlText w:val="（%1）"/>
      <w:lvlJc w:val="left"/>
      <w:pPr>
        <w:ind w:left="1872"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718" w:hanging="601"/>
      </w:pPr>
      <w:rPr>
        <w:rFonts w:hint="default"/>
        <w:lang w:val="zh-CN" w:eastAsia="zh-CN" w:bidi="zh-CN"/>
      </w:rPr>
    </w:lvl>
    <w:lvl w:ilvl="2">
      <w:start w:val="0"/>
      <w:numFmt w:val="bullet"/>
      <w:lvlText w:val="•"/>
      <w:lvlJc w:val="left"/>
      <w:pPr>
        <w:ind w:left="3557" w:hanging="601"/>
      </w:pPr>
      <w:rPr>
        <w:rFonts w:hint="default"/>
        <w:lang w:val="zh-CN" w:eastAsia="zh-CN" w:bidi="zh-CN"/>
      </w:rPr>
    </w:lvl>
    <w:lvl w:ilvl="3">
      <w:start w:val="0"/>
      <w:numFmt w:val="bullet"/>
      <w:lvlText w:val="•"/>
      <w:lvlJc w:val="left"/>
      <w:pPr>
        <w:ind w:left="4395" w:hanging="601"/>
      </w:pPr>
      <w:rPr>
        <w:rFonts w:hint="default"/>
        <w:lang w:val="zh-CN" w:eastAsia="zh-CN" w:bidi="zh-CN"/>
      </w:rPr>
    </w:lvl>
    <w:lvl w:ilvl="4">
      <w:start w:val="0"/>
      <w:numFmt w:val="bullet"/>
      <w:lvlText w:val="•"/>
      <w:lvlJc w:val="left"/>
      <w:pPr>
        <w:ind w:left="5234" w:hanging="601"/>
      </w:pPr>
      <w:rPr>
        <w:rFonts w:hint="default"/>
        <w:lang w:val="zh-CN" w:eastAsia="zh-CN" w:bidi="zh-CN"/>
      </w:rPr>
    </w:lvl>
    <w:lvl w:ilvl="5">
      <w:start w:val="0"/>
      <w:numFmt w:val="bullet"/>
      <w:lvlText w:val="•"/>
      <w:lvlJc w:val="left"/>
      <w:pPr>
        <w:ind w:left="6073" w:hanging="601"/>
      </w:pPr>
      <w:rPr>
        <w:rFonts w:hint="default"/>
        <w:lang w:val="zh-CN" w:eastAsia="zh-CN" w:bidi="zh-CN"/>
      </w:rPr>
    </w:lvl>
    <w:lvl w:ilvl="6">
      <w:start w:val="0"/>
      <w:numFmt w:val="bullet"/>
      <w:lvlText w:val="•"/>
      <w:lvlJc w:val="left"/>
      <w:pPr>
        <w:ind w:left="6911" w:hanging="601"/>
      </w:pPr>
      <w:rPr>
        <w:rFonts w:hint="default"/>
        <w:lang w:val="zh-CN" w:eastAsia="zh-CN" w:bidi="zh-CN"/>
      </w:rPr>
    </w:lvl>
    <w:lvl w:ilvl="7">
      <w:start w:val="0"/>
      <w:numFmt w:val="bullet"/>
      <w:lvlText w:val="•"/>
      <w:lvlJc w:val="left"/>
      <w:pPr>
        <w:ind w:left="7750" w:hanging="601"/>
      </w:pPr>
      <w:rPr>
        <w:rFonts w:hint="default"/>
        <w:lang w:val="zh-CN" w:eastAsia="zh-CN" w:bidi="zh-CN"/>
      </w:rPr>
    </w:lvl>
    <w:lvl w:ilvl="8">
      <w:start w:val="0"/>
      <w:numFmt w:val="bullet"/>
      <w:lvlText w:val="•"/>
      <w:lvlJc w:val="left"/>
      <w:pPr>
        <w:ind w:left="8588" w:hanging="601"/>
      </w:pPr>
      <w:rPr>
        <w:rFonts w:hint="default"/>
        <w:lang w:val="zh-CN" w:eastAsia="zh-CN" w:bidi="zh-CN"/>
      </w:rPr>
    </w:lvl>
  </w:abstractNum>
  <w:abstractNum w:abstractNumId="35">
    <w:multiLevelType w:val="hybridMultilevel"/>
    <w:lvl w:ilvl="0">
      <w:start w:val="4"/>
      <w:numFmt w:val="decimal"/>
      <w:lvlText w:val="%1"/>
      <w:lvlJc w:val="left"/>
      <w:pPr>
        <w:ind w:left="1160" w:hanging="449"/>
        <w:jc w:val="left"/>
      </w:pPr>
      <w:rPr>
        <w:rFonts w:hint="default"/>
        <w:lang w:val="zh-CN" w:eastAsia="zh-CN" w:bidi="zh-CN"/>
      </w:rPr>
    </w:lvl>
    <w:lvl w:ilvl="1">
      <w:start w:val="1"/>
      <w:numFmt w:val="decimal"/>
      <w:lvlText w:val="%1.%2"/>
      <w:lvlJc w:val="left"/>
      <w:pPr>
        <w:ind w:left="1160" w:hanging="449"/>
        <w:jc w:val="left"/>
      </w:pPr>
      <w:rPr>
        <w:rFonts w:hint="default" w:ascii="Times New Roman" w:hAnsi="Times New Roman" w:eastAsia="Times New Roman" w:cs="Times New Roman"/>
        <w:b/>
        <w:bCs/>
        <w:spacing w:val="-1"/>
        <w:w w:val="100"/>
        <w:sz w:val="30"/>
        <w:szCs w:val="30"/>
        <w:lang w:val="zh-CN" w:eastAsia="zh-CN" w:bidi="zh-CN"/>
      </w:rPr>
    </w:lvl>
    <w:lvl w:ilvl="2">
      <w:start w:val="1"/>
      <w:numFmt w:val="decimal"/>
      <w:lvlText w:val="%1.%2.%3"/>
      <w:lvlJc w:val="left"/>
      <w:pPr>
        <w:ind w:left="1340"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793" w:hanging="601"/>
        <w:jc w:val="left"/>
      </w:pPr>
      <w:rPr>
        <w:rFonts w:hint="default" w:ascii="宋体" w:hAnsi="宋体" w:eastAsia="宋体" w:cs="宋体"/>
        <w:w w:val="100"/>
        <w:sz w:val="22"/>
        <w:szCs w:val="22"/>
        <w:lang w:val="zh-CN" w:eastAsia="zh-CN" w:bidi="zh-CN"/>
      </w:rPr>
    </w:lvl>
    <w:lvl w:ilvl="4">
      <w:start w:val="0"/>
      <w:numFmt w:val="bullet"/>
      <w:lvlText w:val="•"/>
      <w:lvlJc w:val="left"/>
      <w:pPr>
        <w:ind w:left="3916" w:hanging="601"/>
      </w:pPr>
      <w:rPr>
        <w:rFonts w:hint="default"/>
        <w:lang w:val="zh-CN" w:eastAsia="zh-CN" w:bidi="zh-CN"/>
      </w:rPr>
    </w:lvl>
    <w:lvl w:ilvl="5">
      <w:start w:val="0"/>
      <w:numFmt w:val="bullet"/>
      <w:lvlText w:val="•"/>
      <w:lvlJc w:val="left"/>
      <w:pPr>
        <w:ind w:left="4974" w:hanging="601"/>
      </w:pPr>
      <w:rPr>
        <w:rFonts w:hint="default"/>
        <w:lang w:val="zh-CN" w:eastAsia="zh-CN" w:bidi="zh-CN"/>
      </w:rPr>
    </w:lvl>
    <w:lvl w:ilvl="6">
      <w:start w:val="0"/>
      <w:numFmt w:val="bullet"/>
      <w:lvlText w:val="•"/>
      <w:lvlJc w:val="left"/>
      <w:pPr>
        <w:ind w:left="6033" w:hanging="601"/>
      </w:pPr>
      <w:rPr>
        <w:rFonts w:hint="default"/>
        <w:lang w:val="zh-CN" w:eastAsia="zh-CN" w:bidi="zh-CN"/>
      </w:rPr>
    </w:lvl>
    <w:lvl w:ilvl="7">
      <w:start w:val="0"/>
      <w:numFmt w:val="bullet"/>
      <w:lvlText w:val="•"/>
      <w:lvlJc w:val="left"/>
      <w:pPr>
        <w:ind w:left="7091" w:hanging="601"/>
      </w:pPr>
      <w:rPr>
        <w:rFonts w:hint="default"/>
        <w:lang w:val="zh-CN" w:eastAsia="zh-CN" w:bidi="zh-CN"/>
      </w:rPr>
    </w:lvl>
    <w:lvl w:ilvl="8">
      <w:start w:val="0"/>
      <w:numFmt w:val="bullet"/>
      <w:lvlText w:val="•"/>
      <w:lvlJc w:val="left"/>
      <w:pPr>
        <w:ind w:left="8149" w:hanging="601"/>
      </w:pPr>
      <w:rPr>
        <w:rFonts w:hint="default"/>
        <w:lang w:val="zh-CN" w:eastAsia="zh-CN" w:bidi="zh-CN"/>
      </w:rPr>
    </w:lvl>
  </w:abstractNum>
  <w:abstractNum w:abstractNumId="34">
    <w:multiLevelType w:val="hybridMultilevel"/>
    <w:lvl w:ilvl="0">
      <w:start w:val="1"/>
      <w:numFmt w:val="decimal"/>
      <w:lvlText w:val="（%1）"/>
      <w:lvlJc w:val="left"/>
      <w:pPr>
        <w:ind w:left="712" w:hanging="601"/>
        <w:jc w:val="left"/>
      </w:pPr>
      <w:rPr>
        <w:rFonts w:hint="default" w:ascii="宋体" w:hAnsi="宋体" w:eastAsia="宋体" w:cs="宋体"/>
        <w:spacing w:val="-41"/>
        <w:w w:val="100"/>
        <w:sz w:val="22"/>
        <w:szCs w:val="22"/>
        <w:lang w:val="zh-CN" w:eastAsia="zh-CN" w:bidi="zh-CN"/>
      </w:rPr>
    </w:lvl>
    <w:lvl w:ilvl="1">
      <w:start w:val="0"/>
      <w:numFmt w:val="bullet"/>
      <w:lvlText w:val="•"/>
      <w:lvlJc w:val="left"/>
      <w:pPr>
        <w:ind w:left="1674" w:hanging="601"/>
      </w:pPr>
      <w:rPr>
        <w:rFonts w:hint="default"/>
        <w:lang w:val="zh-CN" w:eastAsia="zh-CN" w:bidi="zh-CN"/>
      </w:rPr>
    </w:lvl>
    <w:lvl w:ilvl="2">
      <w:start w:val="0"/>
      <w:numFmt w:val="bullet"/>
      <w:lvlText w:val="•"/>
      <w:lvlJc w:val="left"/>
      <w:pPr>
        <w:ind w:left="2629" w:hanging="601"/>
      </w:pPr>
      <w:rPr>
        <w:rFonts w:hint="default"/>
        <w:lang w:val="zh-CN" w:eastAsia="zh-CN" w:bidi="zh-CN"/>
      </w:rPr>
    </w:lvl>
    <w:lvl w:ilvl="3">
      <w:start w:val="0"/>
      <w:numFmt w:val="bullet"/>
      <w:lvlText w:val="•"/>
      <w:lvlJc w:val="left"/>
      <w:pPr>
        <w:ind w:left="3583" w:hanging="601"/>
      </w:pPr>
      <w:rPr>
        <w:rFonts w:hint="default"/>
        <w:lang w:val="zh-CN" w:eastAsia="zh-CN" w:bidi="zh-CN"/>
      </w:rPr>
    </w:lvl>
    <w:lvl w:ilvl="4">
      <w:start w:val="0"/>
      <w:numFmt w:val="bullet"/>
      <w:lvlText w:val="•"/>
      <w:lvlJc w:val="left"/>
      <w:pPr>
        <w:ind w:left="4538" w:hanging="601"/>
      </w:pPr>
      <w:rPr>
        <w:rFonts w:hint="default"/>
        <w:lang w:val="zh-CN" w:eastAsia="zh-CN" w:bidi="zh-CN"/>
      </w:rPr>
    </w:lvl>
    <w:lvl w:ilvl="5">
      <w:start w:val="0"/>
      <w:numFmt w:val="bullet"/>
      <w:lvlText w:val="•"/>
      <w:lvlJc w:val="left"/>
      <w:pPr>
        <w:ind w:left="5493" w:hanging="601"/>
      </w:pPr>
      <w:rPr>
        <w:rFonts w:hint="default"/>
        <w:lang w:val="zh-CN" w:eastAsia="zh-CN" w:bidi="zh-CN"/>
      </w:rPr>
    </w:lvl>
    <w:lvl w:ilvl="6">
      <w:start w:val="0"/>
      <w:numFmt w:val="bullet"/>
      <w:lvlText w:val="•"/>
      <w:lvlJc w:val="left"/>
      <w:pPr>
        <w:ind w:left="6447" w:hanging="601"/>
      </w:pPr>
      <w:rPr>
        <w:rFonts w:hint="default"/>
        <w:lang w:val="zh-CN" w:eastAsia="zh-CN" w:bidi="zh-CN"/>
      </w:rPr>
    </w:lvl>
    <w:lvl w:ilvl="7">
      <w:start w:val="0"/>
      <w:numFmt w:val="bullet"/>
      <w:lvlText w:val="•"/>
      <w:lvlJc w:val="left"/>
      <w:pPr>
        <w:ind w:left="7402" w:hanging="601"/>
      </w:pPr>
      <w:rPr>
        <w:rFonts w:hint="default"/>
        <w:lang w:val="zh-CN" w:eastAsia="zh-CN" w:bidi="zh-CN"/>
      </w:rPr>
    </w:lvl>
    <w:lvl w:ilvl="8">
      <w:start w:val="0"/>
      <w:numFmt w:val="bullet"/>
      <w:lvlText w:val="•"/>
      <w:lvlJc w:val="left"/>
      <w:pPr>
        <w:ind w:left="8356" w:hanging="601"/>
      </w:pPr>
      <w:rPr>
        <w:rFonts w:hint="default"/>
        <w:lang w:val="zh-CN" w:eastAsia="zh-CN" w:bidi="zh-CN"/>
      </w:rPr>
    </w:lvl>
  </w:abstractNum>
  <w:abstractNum w:abstractNumId="33">
    <w:multiLevelType w:val="hybridMultilevel"/>
    <w:lvl w:ilvl="0">
      <w:start w:val="1"/>
      <w:numFmt w:val="decimal"/>
      <w:lvlText w:val="（%1）"/>
      <w:lvlJc w:val="left"/>
      <w:pPr>
        <w:ind w:left="179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646" w:hanging="601"/>
      </w:pPr>
      <w:rPr>
        <w:rFonts w:hint="default"/>
        <w:lang w:val="zh-CN" w:eastAsia="zh-CN" w:bidi="zh-CN"/>
      </w:rPr>
    </w:lvl>
    <w:lvl w:ilvl="2">
      <w:start w:val="0"/>
      <w:numFmt w:val="bullet"/>
      <w:lvlText w:val="•"/>
      <w:lvlJc w:val="left"/>
      <w:pPr>
        <w:ind w:left="3493" w:hanging="601"/>
      </w:pPr>
      <w:rPr>
        <w:rFonts w:hint="default"/>
        <w:lang w:val="zh-CN" w:eastAsia="zh-CN" w:bidi="zh-CN"/>
      </w:rPr>
    </w:lvl>
    <w:lvl w:ilvl="3">
      <w:start w:val="0"/>
      <w:numFmt w:val="bullet"/>
      <w:lvlText w:val="•"/>
      <w:lvlJc w:val="left"/>
      <w:pPr>
        <w:ind w:left="4339" w:hanging="601"/>
      </w:pPr>
      <w:rPr>
        <w:rFonts w:hint="default"/>
        <w:lang w:val="zh-CN" w:eastAsia="zh-CN" w:bidi="zh-CN"/>
      </w:rPr>
    </w:lvl>
    <w:lvl w:ilvl="4">
      <w:start w:val="0"/>
      <w:numFmt w:val="bullet"/>
      <w:lvlText w:val="•"/>
      <w:lvlJc w:val="left"/>
      <w:pPr>
        <w:ind w:left="5186" w:hanging="601"/>
      </w:pPr>
      <w:rPr>
        <w:rFonts w:hint="default"/>
        <w:lang w:val="zh-CN" w:eastAsia="zh-CN" w:bidi="zh-CN"/>
      </w:rPr>
    </w:lvl>
    <w:lvl w:ilvl="5">
      <w:start w:val="0"/>
      <w:numFmt w:val="bullet"/>
      <w:lvlText w:val="•"/>
      <w:lvlJc w:val="left"/>
      <w:pPr>
        <w:ind w:left="6033" w:hanging="601"/>
      </w:pPr>
      <w:rPr>
        <w:rFonts w:hint="default"/>
        <w:lang w:val="zh-CN" w:eastAsia="zh-CN" w:bidi="zh-CN"/>
      </w:rPr>
    </w:lvl>
    <w:lvl w:ilvl="6">
      <w:start w:val="0"/>
      <w:numFmt w:val="bullet"/>
      <w:lvlText w:val="•"/>
      <w:lvlJc w:val="left"/>
      <w:pPr>
        <w:ind w:left="6879" w:hanging="601"/>
      </w:pPr>
      <w:rPr>
        <w:rFonts w:hint="default"/>
        <w:lang w:val="zh-CN" w:eastAsia="zh-CN" w:bidi="zh-CN"/>
      </w:rPr>
    </w:lvl>
    <w:lvl w:ilvl="7">
      <w:start w:val="0"/>
      <w:numFmt w:val="bullet"/>
      <w:lvlText w:val="•"/>
      <w:lvlJc w:val="left"/>
      <w:pPr>
        <w:ind w:left="7726" w:hanging="601"/>
      </w:pPr>
      <w:rPr>
        <w:rFonts w:hint="default"/>
        <w:lang w:val="zh-CN" w:eastAsia="zh-CN" w:bidi="zh-CN"/>
      </w:rPr>
    </w:lvl>
    <w:lvl w:ilvl="8">
      <w:start w:val="0"/>
      <w:numFmt w:val="bullet"/>
      <w:lvlText w:val="•"/>
      <w:lvlJc w:val="left"/>
      <w:pPr>
        <w:ind w:left="8572" w:hanging="601"/>
      </w:pPr>
      <w:rPr>
        <w:rFonts w:hint="default"/>
        <w:lang w:val="zh-CN" w:eastAsia="zh-CN" w:bidi="zh-CN"/>
      </w:rPr>
    </w:lvl>
  </w:abstractNum>
  <w:abstractNum w:abstractNumId="32">
    <w:multiLevelType w:val="hybridMultilevel"/>
    <w:lvl w:ilvl="0">
      <w:start w:val="3"/>
      <w:numFmt w:val="decimal"/>
      <w:lvlText w:val="%1"/>
      <w:lvlJc w:val="left"/>
      <w:pPr>
        <w:ind w:left="1160" w:hanging="449"/>
        <w:jc w:val="left"/>
      </w:pPr>
      <w:rPr>
        <w:rFonts w:hint="default"/>
        <w:lang w:val="zh-CN" w:eastAsia="zh-CN" w:bidi="zh-CN"/>
      </w:rPr>
    </w:lvl>
    <w:lvl w:ilvl="1">
      <w:start w:val="5"/>
      <w:numFmt w:val="decimal"/>
      <w:lvlText w:val="%1.%2"/>
      <w:lvlJc w:val="left"/>
      <w:pPr>
        <w:ind w:left="1160" w:hanging="449"/>
        <w:jc w:val="left"/>
      </w:pPr>
      <w:rPr>
        <w:rFonts w:hint="default" w:ascii="Times New Roman" w:hAnsi="Times New Roman" w:eastAsia="Times New Roman" w:cs="Times New Roman"/>
        <w:b/>
        <w:bCs/>
        <w:spacing w:val="-1"/>
        <w:w w:val="100"/>
        <w:sz w:val="30"/>
        <w:szCs w:val="30"/>
        <w:lang w:val="zh-CN" w:eastAsia="zh-CN" w:bidi="zh-CN"/>
      </w:rPr>
    </w:lvl>
    <w:lvl w:ilvl="2">
      <w:start w:val="1"/>
      <w:numFmt w:val="decimal"/>
      <w:lvlText w:val="（%3）"/>
      <w:lvlJc w:val="left"/>
      <w:pPr>
        <w:ind w:left="712" w:hanging="601"/>
        <w:jc w:val="left"/>
      </w:pPr>
      <w:rPr>
        <w:rFonts w:hint="default" w:ascii="宋体" w:hAnsi="宋体" w:eastAsia="宋体" w:cs="宋体"/>
        <w:spacing w:val="-41"/>
        <w:w w:val="100"/>
        <w:sz w:val="22"/>
        <w:szCs w:val="22"/>
        <w:lang w:val="zh-CN" w:eastAsia="zh-CN" w:bidi="zh-CN"/>
      </w:rPr>
    </w:lvl>
    <w:lvl w:ilvl="3">
      <w:start w:val="0"/>
      <w:numFmt w:val="bullet"/>
      <w:lvlText w:val="•"/>
      <w:lvlJc w:val="left"/>
      <w:pPr>
        <w:ind w:left="3183" w:hanging="601"/>
      </w:pPr>
      <w:rPr>
        <w:rFonts w:hint="default"/>
        <w:lang w:val="zh-CN" w:eastAsia="zh-CN" w:bidi="zh-CN"/>
      </w:rPr>
    </w:lvl>
    <w:lvl w:ilvl="4">
      <w:start w:val="0"/>
      <w:numFmt w:val="bullet"/>
      <w:lvlText w:val="•"/>
      <w:lvlJc w:val="left"/>
      <w:pPr>
        <w:ind w:left="4195" w:hanging="601"/>
      </w:pPr>
      <w:rPr>
        <w:rFonts w:hint="default"/>
        <w:lang w:val="zh-CN" w:eastAsia="zh-CN" w:bidi="zh-CN"/>
      </w:rPr>
    </w:lvl>
    <w:lvl w:ilvl="5">
      <w:start w:val="0"/>
      <w:numFmt w:val="bullet"/>
      <w:lvlText w:val="•"/>
      <w:lvlJc w:val="left"/>
      <w:pPr>
        <w:ind w:left="5207" w:hanging="601"/>
      </w:pPr>
      <w:rPr>
        <w:rFonts w:hint="default"/>
        <w:lang w:val="zh-CN" w:eastAsia="zh-CN" w:bidi="zh-CN"/>
      </w:rPr>
    </w:lvl>
    <w:lvl w:ilvl="6">
      <w:start w:val="0"/>
      <w:numFmt w:val="bullet"/>
      <w:lvlText w:val="•"/>
      <w:lvlJc w:val="left"/>
      <w:pPr>
        <w:ind w:left="6218" w:hanging="601"/>
      </w:pPr>
      <w:rPr>
        <w:rFonts w:hint="default"/>
        <w:lang w:val="zh-CN" w:eastAsia="zh-CN" w:bidi="zh-CN"/>
      </w:rPr>
    </w:lvl>
    <w:lvl w:ilvl="7">
      <w:start w:val="0"/>
      <w:numFmt w:val="bullet"/>
      <w:lvlText w:val="•"/>
      <w:lvlJc w:val="left"/>
      <w:pPr>
        <w:ind w:left="7230" w:hanging="601"/>
      </w:pPr>
      <w:rPr>
        <w:rFonts w:hint="default"/>
        <w:lang w:val="zh-CN" w:eastAsia="zh-CN" w:bidi="zh-CN"/>
      </w:rPr>
    </w:lvl>
    <w:lvl w:ilvl="8">
      <w:start w:val="0"/>
      <w:numFmt w:val="bullet"/>
      <w:lvlText w:val="•"/>
      <w:lvlJc w:val="left"/>
      <w:pPr>
        <w:ind w:left="8242" w:hanging="601"/>
      </w:pPr>
      <w:rPr>
        <w:rFonts w:hint="default"/>
        <w:lang w:val="zh-CN" w:eastAsia="zh-CN" w:bidi="zh-CN"/>
      </w:rPr>
    </w:lvl>
  </w:abstractNum>
  <w:abstractNum w:abstractNumId="31">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2"/>
      <w:numFmt w:val="decimal"/>
      <w:lvlText w:val="（%2）"/>
      <w:lvlJc w:val="left"/>
      <w:pPr>
        <w:ind w:left="1795" w:hanging="601"/>
        <w:jc w:val="right"/>
      </w:pPr>
      <w:rPr>
        <w:rFonts w:hint="default" w:ascii="宋体" w:hAnsi="宋体" w:eastAsia="宋体" w:cs="宋体"/>
        <w:w w:val="100"/>
        <w:sz w:val="22"/>
        <w:szCs w:val="22"/>
        <w:lang w:val="zh-CN" w:eastAsia="zh-CN" w:bidi="zh-CN"/>
      </w:rPr>
    </w:lvl>
    <w:lvl w:ilvl="2">
      <w:start w:val="0"/>
      <w:numFmt w:val="bullet"/>
      <w:lvlText w:val="•"/>
      <w:lvlJc w:val="left"/>
      <w:pPr>
        <w:ind w:left="2702" w:hanging="601"/>
      </w:pPr>
      <w:rPr>
        <w:rFonts w:hint="default"/>
        <w:lang w:val="zh-CN" w:eastAsia="zh-CN" w:bidi="zh-CN"/>
      </w:rPr>
    </w:lvl>
    <w:lvl w:ilvl="3">
      <w:start w:val="0"/>
      <w:numFmt w:val="bullet"/>
      <w:lvlText w:val="•"/>
      <w:lvlJc w:val="left"/>
      <w:pPr>
        <w:ind w:left="3605" w:hanging="601"/>
      </w:pPr>
      <w:rPr>
        <w:rFonts w:hint="default"/>
        <w:lang w:val="zh-CN" w:eastAsia="zh-CN" w:bidi="zh-CN"/>
      </w:rPr>
    </w:lvl>
    <w:lvl w:ilvl="4">
      <w:start w:val="0"/>
      <w:numFmt w:val="bullet"/>
      <w:lvlText w:val="•"/>
      <w:lvlJc w:val="left"/>
      <w:pPr>
        <w:ind w:left="4508" w:hanging="601"/>
      </w:pPr>
      <w:rPr>
        <w:rFonts w:hint="default"/>
        <w:lang w:val="zh-CN" w:eastAsia="zh-CN" w:bidi="zh-CN"/>
      </w:rPr>
    </w:lvl>
    <w:lvl w:ilvl="5">
      <w:start w:val="0"/>
      <w:numFmt w:val="bullet"/>
      <w:lvlText w:val="•"/>
      <w:lvlJc w:val="left"/>
      <w:pPr>
        <w:ind w:left="5411" w:hanging="601"/>
      </w:pPr>
      <w:rPr>
        <w:rFonts w:hint="default"/>
        <w:lang w:val="zh-CN" w:eastAsia="zh-CN" w:bidi="zh-CN"/>
      </w:rPr>
    </w:lvl>
    <w:lvl w:ilvl="6">
      <w:start w:val="0"/>
      <w:numFmt w:val="bullet"/>
      <w:lvlText w:val="•"/>
      <w:lvlJc w:val="left"/>
      <w:pPr>
        <w:ind w:left="6314" w:hanging="601"/>
      </w:pPr>
      <w:rPr>
        <w:rFonts w:hint="default"/>
        <w:lang w:val="zh-CN" w:eastAsia="zh-CN" w:bidi="zh-CN"/>
      </w:rPr>
    </w:lvl>
    <w:lvl w:ilvl="7">
      <w:start w:val="0"/>
      <w:numFmt w:val="bullet"/>
      <w:lvlText w:val="•"/>
      <w:lvlJc w:val="left"/>
      <w:pPr>
        <w:ind w:left="7217" w:hanging="601"/>
      </w:pPr>
      <w:rPr>
        <w:rFonts w:hint="default"/>
        <w:lang w:val="zh-CN" w:eastAsia="zh-CN" w:bidi="zh-CN"/>
      </w:rPr>
    </w:lvl>
    <w:lvl w:ilvl="8">
      <w:start w:val="0"/>
      <w:numFmt w:val="bullet"/>
      <w:lvlText w:val="•"/>
      <w:lvlJc w:val="left"/>
      <w:pPr>
        <w:ind w:left="8120" w:hanging="601"/>
      </w:pPr>
      <w:rPr>
        <w:rFonts w:hint="default"/>
        <w:lang w:val="zh-CN" w:eastAsia="zh-CN" w:bidi="zh-CN"/>
      </w:rPr>
    </w:lvl>
  </w:abstractNum>
  <w:abstractNum w:abstractNumId="30">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9">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8">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7">
    <w:multiLevelType w:val="hybridMultilevel"/>
    <w:lvl w:ilvl="0">
      <w:start w:val="3"/>
      <w:numFmt w:val="decimal"/>
      <w:lvlText w:val="%1"/>
      <w:lvlJc w:val="left"/>
      <w:pPr>
        <w:ind w:left="1004" w:hanging="526"/>
        <w:jc w:val="left"/>
      </w:pPr>
      <w:rPr>
        <w:rFonts w:hint="default"/>
        <w:lang w:val="zh-CN" w:eastAsia="zh-CN" w:bidi="zh-CN"/>
      </w:rPr>
    </w:lvl>
    <w:lvl w:ilvl="1">
      <w:start w:val="4"/>
      <w:numFmt w:val="decimal"/>
      <w:lvlText w:val="%1.%2"/>
      <w:lvlJc w:val="left"/>
      <w:pPr>
        <w:ind w:left="1004"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107"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478" w:hanging="601"/>
        <w:jc w:val="left"/>
      </w:pPr>
      <w:rPr>
        <w:rFonts w:hint="default" w:ascii="宋体" w:hAnsi="宋体" w:eastAsia="宋体" w:cs="宋体"/>
        <w:spacing w:val="-27"/>
        <w:w w:val="100"/>
        <w:position w:val="2"/>
        <w:sz w:val="22"/>
        <w:szCs w:val="22"/>
        <w:lang w:val="zh-CN" w:eastAsia="zh-CN" w:bidi="zh-CN"/>
      </w:rPr>
    </w:lvl>
    <w:lvl w:ilvl="4">
      <w:start w:val="0"/>
      <w:numFmt w:val="bullet"/>
      <w:lvlText w:val="•"/>
      <w:lvlJc w:val="left"/>
      <w:pPr>
        <w:ind w:left="3331" w:hanging="601"/>
      </w:pPr>
      <w:rPr>
        <w:rFonts w:hint="default"/>
        <w:lang w:val="zh-CN" w:eastAsia="zh-CN" w:bidi="zh-CN"/>
      </w:rPr>
    </w:lvl>
    <w:lvl w:ilvl="5">
      <w:start w:val="0"/>
      <w:numFmt w:val="bullet"/>
      <w:lvlText w:val="•"/>
      <w:lvlJc w:val="left"/>
      <w:pPr>
        <w:ind w:left="4447" w:hanging="601"/>
      </w:pPr>
      <w:rPr>
        <w:rFonts w:hint="default"/>
        <w:lang w:val="zh-CN" w:eastAsia="zh-CN" w:bidi="zh-CN"/>
      </w:rPr>
    </w:lvl>
    <w:lvl w:ilvl="6">
      <w:start w:val="0"/>
      <w:numFmt w:val="bullet"/>
      <w:lvlText w:val="•"/>
      <w:lvlJc w:val="left"/>
      <w:pPr>
        <w:ind w:left="5563" w:hanging="601"/>
      </w:pPr>
      <w:rPr>
        <w:rFonts w:hint="default"/>
        <w:lang w:val="zh-CN" w:eastAsia="zh-CN" w:bidi="zh-CN"/>
      </w:rPr>
    </w:lvl>
    <w:lvl w:ilvl="7">
      <w:start w:val="0"/>
      <w:numFmt w:val="bullet"/>
      <w:lvlText w:val="•"/>
      <w:lvlJc w:val="left"/>
      <w:pPr>
        <w:ind w:left="6678" w:hanging="601"/>
      </w:pPr>
      <w:rPr>
        <w:rFonts w:hint="default"/>
        <w:lang w:val="zh-CN" w:eastAsia="zh-CN" w:bidi="zh-CN"/>
      </w:rPr>
    </w:lvl>
    <w:lvl w:ilvl="8">
      <w:start w:val="0"/>
      <w:numFmt w:val="bullet"/>
      <w:lvlText w:val="•"/>
      <w:lvlJc w:val="left"/>
      <w:pPr>
        <w:ind w:left="7794" w:hanging="601"/>
      </w:pPr>
      <w:rPr>
        <w:rFonts w:hint="default"/>
        <w:lang w:val="zh-CN" w:eastAsia="zh-CN" w:bidi="zh-CN"/>
      </w:rPr>
    </w:lvl>
  </w:abstractNum>
  <w:abstractNum w:abstractNumId="26">
    <w:multiLevelType w:val="hybridMultilevel"/>
    <w:lvl w:ilvl="0">
      <w:start w:val="3"/>
      <w:numFmt w:val="decimal"/>
      <w:lvlText w:val="%1"/>
      <w:lvlJc w:val="left"/>
      <w:pPr>
        <w:ind w:left="1258" w:hanging="780"/>
        <w:jc w:val="left"/>
      </w:pPr>
      <w:rPr>
        <w:rFonts w:hint="default"/>
        <w:lang w:val="zh-CN" w:eastAsia="zh-CN" w:bidi="zh-CN"/>
      </w:rPr>
    </w:lvl>
    <w:lvl w:ilvl="1">
      <w:start w:val="3"/>
      <w:numFmt w:val="decimal"/>
      <w:lvlText w:val="%1.%2"/>
      <w:lvlJc w:val="left"/>
      <w:pPr>
        <w:ind w:left="1258" w:hanging="780"/>
        <w:jc w:val="left"/>
      </w:pPr>
      <w:rPr>
        <w:rFonts w:hint="default"/>
        <w:lang w:val="zh-CN" w:eastAsia="zh-CN" w:bidi="zh-CN"/>
      </w:rPr>
    </w:lvl>
    <w:lvl w:ilvl="2">
      <w:start w:val="4"/>
      <w:numFmt w:val="decimal"/>
      <w:lvlText w:val="%1.%2.%3"/>
      <w:lvlJc w:val="left"/>
      <w:pPr>
        <w:ind w:left="1258" w:hanging="780"/>
        <w:jc w:val="left"/>
      </w:pPr>
      <w:rPr>
        <w:rFonts w:hint="default"/>
        <w:lang w:val="zh-CN" w:eastAsia="zh-CN" w:bidi="zh-CN"/>
      </w:rPr>
    </w:lvl>
    <w:lvl w:ilvl="3">
      <w:start w:val="1"/>
      <w:numFmt w:val="decimal"/>
      <w:lvlText w:val="%1.%2.%3.%4"/>
      <w:lvlJc w:val="left"/>
      <w:pPr>
        <w:ind w:left="1258" w:hanging="780"/>
        <w:jc w:val="left"/>
      </w:pPr>
      <w:rPr>
        <w:rFonts w:hint="default" w:ascii="Times New Roman" w:hAnsi="Times New Roman" w:eastAsia="Times New Roman" w:cs="Times New Roman"/>
        <w:b/>
        <w:bCs/>
        <w:w w:val="99"/>
        <w:sz w:val="24"/>
        <w:szCs w:val="24"/>
        <w:lang w:val="zh-CN" w:eastAsia="zh-CN" w:bidi="zh-CN"/>
      </w:rPr>
    </w:lvl>
    <w:lvl w:ilvl="4">
      <w:start w:val="1"/>
      <w:numFmt w:val="decimal"/>
      <w:lvlText w:val="（%5）"/>
      <w:lvlJc w:val="left"/>
      <w:pPr>
        <w:ind w:left="1561" w:hanging="601"/>
        <w:jc w:val="left"/>
      </w:pPr>
      <w:rPr>
        <w:rFonts w:hint="default" w:ascii="宋体" w:hAnsi="宋体" w:eastAsia="宋体" w:cs="宋体"/>
        <w:w w:val="100"/>
        <w:sz w:val="22"/>
        <w:szCs w:val="22"/>
        <w:lang w:val="zh-CN" w:eastAsia="zh-CN" w:bidi="zh-CN"/>
      </w:rPr>
    </w:lvl>
    <w:lvl w:ilvl="5">
      <w:start w:val="0"/>
      <w:numFmt w:val="bullet"/>
      <w:lvlText w:val="•"/>
      <w:lvlJc w:val="left"/>
      <w:pPr>
        <w:ind w:left="5322" w:hanging="601"/>
      </w:pPr>
      <w:rPr>
        <w:rFonts w:hint="default"/>
        <w:lang w:val="zh-CN" w:eastAsia="zh-CN" w:bidi="zh-CN"/>
      </w:rPr>
    </w:lvl>
    <w:lvl w:ilvl="6">
      <w:start w:val="0"/>
      <w:numFmt w:val="bullet"/>
      <w:lvlText w:val="•"/>
      <w:lvlJc w:val="left"/>
      <w:pPr>
        <w:ind w:left="6263" w:hanging="601"/>
      </w:pPr>
      <w:rPr>
        <w:rFonts w:hint="default"/>
        <w:lang w:val="zh-CN" w:eastAsia="zh-CN" w:bidi="zh-CN"/>
      </w:rPr>
    </w:lvl>
    <w:lvl w:ilvl="7">
      <w:start w:val="0"/>
      <w:numFmt w:val="bullet"/>
      <w:lvlText w:val="•"/>
      <w:lvlJc w:val="left"/>
      <w:pPr>
        <w:ind w:left="7204" w:hanging="601"/>
      </w:pPr>
      <w:rPr>
        <w:rFonts w:hint="default"/>
        <w:lang w:val="zh-CN" w:eastAsia="zh-CN" w:bidi="zh-CN"/>
      </w:rPr>
    </w:lvl>
    <w:lvl w:ilvl="8">
      <w:start w:val="0"/>
      <w:numFmt w:val="bullet"/>
      <w:lvlText w:val="•"/>
      <w:lvlJc w:val="left"/>
      <w:pPr>
        <w:ind w:left="8144" w:hanging="601"/>
      </w:pPr>
      <w:rPr>
        <w:rFonts w:hint="default"/>
        <w:lang w:val="zh-CN" w:eastAsia="zh-CN" w:bidi="zh-CN"/>
      </w:rPr>
    </w:lvl>
  </w:abstractNum>
  <w:abstractNum w:abstractNumId="25">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4">
    <w:multiLevelType w:val="hybridMultilevel"/>
    <w:lvl w:ilvl="0">
      <w:start w:val="1"/>
      <w:numFmt w:val="decimal"/>
      <w:lvlText w:val="（%1）"/>
      <w:lvlJc w:val="left"/>
      <w:pPr>
        <w:ind w:left="478" w:hanging="601"/>
        <w:jc w:val="left"/>
      </w:pPr>
      <w:rPr>
        <w:rFonts w:hint="default" w:ascii="宋体" w:hAnsi="宋体" w:eastAsia="宋体" w:cs="宋体"/>
        <w:spacing w:val="-10"/>
        <w:w w:val="100"/>
        <w:sz w:val="22"/>
        <w:szCs w:val="22"/>
        <w:lang w:val="zh-CN" w:eastAsia="zh-CN" w:bidi="zh-CN"/>
      </w:rPr>
    </w:lvl>
    <w:lvl w:ilvl="1">
      <w:start w:val="0"/>
      <w:numFmt w:val="bullet"/>
      <w:lvlText w:val="•"/>
      <w:lvlJc w:val="left"/>
      <w:pPr>
        <w:ind w:left="1434" w:hanging="601"/>
      </w:pPr>
      <w:rPr>
        <w:rFonts w:hint="default"/>
        <w:lang w:val="zh-CN" w:eastAsia="zh-CN" w:bidi="zh-CN"/>
      </w:rPr>
    </w:lvl>
    <w:lvl w:ilvl="2">
      <w:start w:val="0"/>
      <w:numFmt w:val="bullet"/>
      <w:lvlText w:val="•"/>
      <w:lvlJc w:val="left"/>
      <w:pPr>
        <w:ind w:left="2389" w:hanging="601"/>
      </w:pPr>
      <w:rPr>
        <w:rFonts w:hint="default"/>
        <w:lang w:val="zh-CN" w:eastAsia="zh-CN" w:bidi="zh-CN"/>
      </w:rPr>
    </w:lvl>
    <w:lvl w:ilvl="3">
      <w:start w:val="0"/>
      <w:numFmt w:val="bullet"/>
      <w:lvlText w:val="•"/>
      <w:lvlJc w:val="left"/>
      <w:pPr>
        <w:ind w:left="3343" w:hanging="601"/>
      </w:pPr>
      <w:rPr>
        <w:rFonts w:hint="default"/>
        <w:lang w:val="zh-CN" w:eastAsia="zh-CN" w:bidi="zh-CN"/>
      </w:rPr>
    </w:lvl>
    <w:lvl w:ilvl="4">
      <w:start w:val="0"/>
      <w:numFmt w:val="bullet"/>
      <w:lvlText w:val="•"/>
      <w:lvlJc w:val="left"/>
      <w:pPr>
        <w:ind w:left="4298" w:hanging="601"/>
      </w:pPr>
      <w:rPr>
        <w:rFonts w:hint="default"/>
        <w:lang w:val="zh-CN" w:eastAsia="zh-CN" w:bidi="zh-CN"/>
      </w:rPr>
    </w:lvl>
    <w:lvl w:ilvl="5">
      <w:start w:val="0"/>
      <w:numFmt w:val="bullet"/>
      <w:lvlText w:val="•"/>
      <w:lvlJc w:val="left"/>
      <w:pPr>
        <w:ind w:left="5253" w:hanging="601"/>
      </w:pPr>
      <w:rPr>
        <w:rFonts w:hint="default"/>
        <w:lang w:val="zh-CN" w:eastAsia="zh-CN" w:bidi="zh-CN"/>
      </w:rPr>
    </w:lvl>
    <w:lvl w:ilvl="6">
      <w:start w:val="0"/>
      <w:numFmt w:val="bullet"/>
      <w:lvlText w:val="•"/>
      <w:lvlJc w:val="left"/>
      <w:pPr>
        <w:ind w:left="6207" w:hanging="601"/>
      </w:pPr>
      <w:rPr>
        <w:rFonts w:hint="default"/>
        <w:lang w:val="zh-CN" w:eastAsia="zh-CN" w:bidi="zh-CN"/>
      </w:rPr>
    </w:lvl>
    <w:lvl w:ilvl="7">
      <w:start w:val="0"/>
      <w:numFmt w:val="bullet"/>
      <w:lvlText w:val="•"/>
      <w:lvlJc w:val="left"/>
      <w:pPr>
        <w:ind w:left="7162" w:hanging="601"/>
      </w:pPr>
      <w:rPr>
        <w:rFonts w:hint="default"/>
        <w:lang w:val="zh-CN" w:eastAsia="zh-CN" w:bidi="zh-CN"/>
      </w:rPr>
    </w:lvl>
    <w:lvl w:ilvl="8">
      <w:start w:val="0"/>
      <w:numFmt w:val="bullet"/>
      <w:lvlText w:val="•"/>
      <w:lvlJc w:val="left"/>
      <w:pPr>
        <w:ind w:left="8116" w:hanging="601"/>
      </w:pPr>
      <w:rPr>
        <w:rFonts w:hint="default"/>
        <w:lang w:val="zh-CN" w:eastAsia="zh-CN" w:bidi="zh-CN"/>
      </w:rPr>
    </w:lvl>
  </w:abstractNum>
  <w:abstractNum w:abstractNumId="23">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2">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1">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20">
    <w:multiLevelType w:val="hybridMultilevel"/>
    <w:lvl w:ilvl="0">
      <w:start w:val="3"/>
      <w:numFmt w:val="decimal"/>
      <w:lvlText w:val="%1"/>
      <w:lvlJc w:val="left"/>
      <w:pPr>
        <w:ind w:left="1198" w:hanging="720"/>
        <w:jc w:val="left"/>
      </w:pPr>
      <w:rPr>
        <w:rFonts w:hint="default"/>
        <w:lang w:val="zh-CN" w:eastAsia="zh-CN" w:bidi="zh-CN"/>
      </w:rPr>
    </w:lvl>
    <w:lvl w:ilvl="1">
      <w:start w:val="3"/>
      <w:numFmt w:val="decimal"/>
      <w:lvlText w:val="%1.%2"/>
      <w:lvlJc w:val="left"/>
      <w:pPr>
        <w:ind w:left="1198" w:hanging="720"/>
        <w:jc w:val="left"/>
      </w:pPr>
      <w:rPr>
        <w:rFonts w:hint="default"/>
        <w:lang w:val="zh-CN" w:eastAsia="zh-CN" w:bidi="zh-CN"/>
      </w:rPr>
    </w:lvl>
    <w:lvl w:ilvl="2">
      <w:start w:val="2"/>
      <w:numFmt w:val="decimal"/>
      <w:lvlText w:val="%1.%2.%3"/>
      <w:lvlJc w:val="left"/>
      <w:pPr>
        <w:ind w:left="1198" w:hanging="720"/>
        <w:jc w:val="left"/>
      </w:pPr>
      <w:rPr>
        <w:rFonts w:hint="default"/>
        <w:lang w:val="zh-CN" w:eastAsia="zh-CN" w:bidi="zh-CN"/>
      </w:rPr>
    </w:lvl>
    <w:lvl w:ilvl="3">
      <w:start w:val="1"/>
      <w:numFmt w:val="decimal"/>
      <w:lvlText w:val="%1.%2.%3.%4"/>
      <w:lvlJc w:val="left"/>
      <w:pPr>
        <w:ind w:left="1198" w:hanging="720"/>
        <w:jc w:val="left"/>
      </w:pPr>
      <w:rPr>
        <w:rFonts w:hint="default" w:ascii="Times New Roman" w:hAnsi="Times New Roman" w:eastAsia="Times New Roman" w:cs="Times New Roman"/>
        <w:b/>
        <w:bCs/>
        <w:w w:val="99"/>
        <w:sz w:val="24"/>
        <w:szCs w:val="24"/>
        <w:lang w:val="zh-CN" w:eastAsia="zh-CN" w:bidi="zh-CN"/>
      </w:rPr>
    </w:lvl>
    <w:lvl w:ilvl="4">
      <w:start w:val="1"/>
      <w:numFmt w:val="decimal"/>
      <w:lvlText w:val="（%5）"/>
      <w:lvlJc w:val="left"/>
      <w:pPr>
        <w:ind w:left="1559" w:hanging="601"/>
        <w:jc w:val="left"/>
      </w:pPr>
      <w:rPr>
        <w:rFonts w:hint="default" w:ascii="宋体" w:hAnsi="宋体" w:eastAsia="宋体" w:cs="宋体"/>
        <w:w w:val="100"/>
        <w:sz w:val="22"/>
        <w:szCs w:val="22"/>
        <w:lang w:val="zh-CN" w:eastAsia="zh-CN" w:bidi="zh-CN"/>
      </w:rPr>
    </w:lvl>
    <w:lvl w:ilvl="5">
      <w:start w:val="0"/>
      <w:numFmt w:val="bullet"/>
      <w:lvlText w:val="•"/>
      <w:lvlJc w:val="left"/>
      <w:pPr>
        <w:ind w:left="5322" w:hanging="601"/>
      </w:pPr>
      <w:rPr>
        <w:rFonts w:hint="default"/>
        <w:lang w:val="zh-CN" w:eastAsia="zh-CN" w:bidi="zh-CN"/>
      </w:rPr>
    </w:lvl>
    <w:lvl w:ilvl="6">
      <w:start w:val="0"/>
      <w:numFmt w:val="bullet"/>
      <w:lvlText w:val="•"/>
      <w:lvlJc w:val="left"/>
      <w:pPr>
        <w:ind w:left="6263" w:hanging="601"/>
      </w:pPr>
      <w:rPr>
        <w:rFonts w:hint="default"/>
        <w:lang w:val="zh-CN" w:eastAsia="zh-CN" w:bidi="zh-CN"/>
      </w:rPr>
    </w:lvl>
    <w:lvl w:ilvl="7">
      <w:start w:val="0"/>
      <w:numFmt w:val="bullet"/>
      <w:lvlText w:val="•"/>
      <w:lvlJc w:val="left"/>
      <w:pPr>
        <w:ind w:left="7204" w:hanging="601"/>
      </w:pPr>
      <w:rPr>
        <w:rFonts w:hint="default"/>
        <w:lang w:val="zh-CN" w:eastAsia="zh-CN" w:bidi="zh-CN"/>
      </w:rPr>
    </w:lvl>
    <w:lvl w:ilvl="8">
      <w:start w:val="0"/>
      <w:numFmt w:val="bullet"/>
      <w:lvlText w:val="•"/>
      <w:lvlJc w:val="left"/>
      <w:pPr>
        <w:ind w:left="8144" w:hanging="601"/>
      </w:pPr>
      <w:rPr>
        <w:rFonts w:hint="default"/>
        <w:lang w:val="zh-CN" w:eastAsia="zh-CN" w:bidi="zh-CN"/>
      </w:rPr>
    </w:lvl>
  </w:abstractNum>
  <w:abstractNum w:abstractNumId="19">
    <w:multiLevelType w:val="hybridMultilevel"/>
    <w:lvl w:ilvl="0">
      <w:start w:val="3"/>
      <w:numFmt w:val="decimal"/>
      <w:lvlText w:val="%1"/>
      <w:lvlJc w:val="left"/>
      <w:pPr>
        <w:ind w:left="1004" w:hanging="526"/>
        <w:jc w:val="left"/>
      </w:pPr>
      <w:rPr>
        <w:rFonts w:hint="default"/>
        <w:lang w:val="zh-CN" w:eastAsia="zh-CN" w:bidi="zh-CN"/>
      </w:rPr>
    </w:lvl>
    <w:lvl w:ilvl="1">
      <w:start w:val="3"/>
      <w:numFmt w:val="decimal"/>
      <w:lvlText w:val="%1.%2"/>
      <w:lvlJc w:val="left"/>
      <w:pPr>
        <w:ind w:left="1004"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107"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559" w:hanging="601"/>
        <w:jc w:val="left"/>
      </w:pPr>
      <w:rPr>
        <w:rFonts w:hint="default" w:ascii="宋体" w:hAnsi="宋体" w:eastAsia="宋体" w:cs="宋体"/>
        <w:spacing w:val="-60"/>
        <w:w w:val="100"/>
        <w:position w:val="2"/>
        <w:sz w:val="22"/>
        <w:szCs w:val="22"/>
        <w:lang w:val="zh-CN" w:eastAsia="zh-CN" w:bidi="zh-CN"/>
      </w:rPr>
    </w:lvl>
    <w:lvl w:ilvl="4">
      <w:start w:val="0"/>
      <w:numFmt w:val="bullet"/>
      <w:lvlText w:val="•"/>
      <w:lvlJc w:val="left"/>
      <w:pPr>
        <w:ind w:left="3676" w:hanging="601"/>
      </w:pPr>
      <w:rPr>
        <w:rFonts w:hint="default"/>
        <w:lang w:val="zh-CN" w:eastAsia="zh-CN" w:bidi="zh-CN"/>
      </w:rPr>
    </w:lvl>
    <w:lvl w:ilvl="5">
      <w:start w:val="0"/>
      <w:numFmt w:val="bullet"/>
      <w:lvlText w:val="•"/>
      <w:lvlJc w:val="left"/>
      <w:pPr>
        <w:ind w:left="4734" w:hanging="601"/>
      </w:pPr>
      <w:rPr>
        <w:rFonts w:hint="default"/>
        <w:lang w:val="zh-CN" w:eastAsia="zh-CN" w:bidi="zh-CN"/>
      </w:rPr>
    </w:lvl>
    <w:lvl w:ilvl="6">
      <w:start w:val="0"/>
      <w:numFmt w:val="bullet"/>
      <w:lvlText w:val="•"/>
      <w:lvlJc w:val="left"/>
      <w:pPr>
        <w:ind w:left="5793" w:hanging="601"/>
      </w:pPr>
      <w:rPr>
        <w:rFonts w:hint="default"/>
        <w:lang w:val="zh-CN" w:eastAsia="zh-CN" w:bidi="zh-CN"/>
      </w:rPr>
    </w:lvl>
    <w:lvl w:ilvl="7">
      <w:start w:val="0"/>
      <w:numFmt w:val="bullet"/>
      <w:lvlText w:val="•"/>
      <w:lvlJc w:val="left"/>
      <w:pPr>
        <w:ind w:left="6851" w:hanging="601"/>
      </w:pPr>
      <w:rPr>
        <w:rFonts w:hint="default"/>
        <w:lang w:val="zh-CN" w:eastAsia="zh-CN" w:bidi="zh-CN"/>
      </w:rPr>
    </w:lvl>
    <w:lvl w:ilvl="8">
      <w:start w:val="0"/>
      <w:numFmt w:val="bullet"/>
      <w:lvlText w:val="•"/>
      <w:lvlJc w:val="left"/>
      <w:pPr>
        <w:ind w:left="7909" w:hanging="601"/>
      </w:pPr>
      <w:rPr>
        <w:rFonts w:hint="default"/>
        <w:lang w:val="zh-CN" w:eastAsia="zh-CN" w:bidi="zh-CN"/>
      </w:rPr>
    </w:lvl>
  </w:abstractNum>
  <w:abstractNum w:abstractNumId="18">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17">
    <w:multiLevelType w:val="hybridMultilevel"/>
    <w:lvl w:ilvl="0">
      <w:start w:val="3"/>
      <w:numFmt w:val="decimal"/>
      <w:lvlText w:val="%1"/>
      <w:lvlJc w:val="left"/>
      <w:pPr>
        <w:ind w:left="1198" w:hanging="720"/>
        <w:jc w:val="left"/>
      </w:pPr>
      <w:rPr>
        <w:rFonts w:hint="default"/>
        <w:lang w:val="zh-CN" w:eastAsia="zh-CN" w:bidi="zh-CN"/>
      </w:rPr>
    </w:lvl>
    <w:lvl w:ilvl="1">
      <w:start w:val="2"/>
      <w:numFmt w:val="decimal"/>
      <w:lvlText w:val="%1.%2"/>
      <w:lvlJc w:val="left"/>
      <w:pPr>
        <w:ind w:left="1198" w:hanging="720"/>
        <w:jc w:val="left"/>
      </w:pPr>
      <w:rPr>
        <w:rFonts w:hint="default"/>
        <w:lang w:val="zh-CN" w:eastAsia="zh-CN" w:bidi="zh-CN"/>
      </w:rPr>
    </w:lvl>
    <w:lvl w:ilvl="2">
      <w:start w:val="7"/>
      <w:numFmt w:val="decimal"/>
      <w:lvlText w:val="%1.%2.%3"/>
      <w:lvlJc w:val="left"/>
      <w:pPr>
        <w:ind w:left="1198" w:hanging="720"/>
        <w:jc w:val="left"/>
      </w:pPr>
      <w:rPr>
        <w:rFonts w:hint="default"/>
        <w:lang w:val="zh-CN" w:eastAsia="zh-CN" w:bidi="zh-CN"/>
      </w:rPr>
    </w:lvl>
    <w:lvl w:ilvl="3">
      <w:start w:val="1"/>
      <w:numFmt w:val="decimal"/>
      <w:lvlText w:val="%1.%2.%3.%4"/>
      <w:lvlJc w:val="left"/>
      <w:pPr>
        <w:ind w:left="1198" w:hanging="720"/>
        <w:jc w:val="left"/>
      </w:pPr>
      <w:rPr>
        <w:rFonts w:hint="default" w:ascii="Times New Roman" w:hAnsi="Times New Roman" w:eastAsia="Times New Roman" w:cs="Times New Roman"/>
        <w:b/>
        <w:bCs/>
        <w:w w:val="99"/>
        <w:sz w:val="24"/>
        <w:szCs w:val="24"/>
        <w:lang w:val="zh-CN" w:eastAsia="zh-CN" w:bidi="zh-CN"/>
      </w:rPr>
    </w:lvl>
    <w:lvl w:ilvl="4">
      <w:start w:val="1"/>
      <w:numFmt w:val="decimal"/>
      <w:lvlText w:val="（%5）"/>
      <w:lvlJc w:val="left"/>
      <w:pPr>
        <w:ind w:left="1439" w:hanging="601"/>
        <w:jc w:val="right"/>
      </w:pPr>
      <w:rPr>
        <w:rFonts w:hint="default" w:ascii="宋体" w:hAnsi="宋体" w:eastAsia="宋体" w:cs="宋体"/>
        <w:w w:val="100"/>
        <w:sz w:val="22"/>
        <w:szCs w:val="22"/>
        <w:lang w:val="zh-CN" w:eastAsia="zh-CN" w:bidi="zh-CN"/>
      </w:rPr>
    </w:lvl>
    <w:lvl w:ilvl="5">
      <w:start w:val="0"/>
      <w:numFmt w:val="bullet"/>
      <w:lvlText w:val="•"/>
      <w:lvlJc w:val="left"/>
      <w:pPr>
        <w:ind w:left="5256" w:hanging="601"/>
      </w:pPr>
      <w:rPr>
        <w:rFonts w:hint="default"/>
        <w:lang w:val="zh-CN" w:eastAsia="zh-CN" w:bidi="zh-CN"/>
      </w:rPr>
    </w:lvl>
    <w:lvl w:ilvl="6">
      <w:start w:val="0"/>
      <w:numFmt w:val="bullet"/>
      <w:lvlText w:val="•"/>
      <w:lvlJc w:val="left"/>
      <w:pPr>
        <w:ind w:left="6210" w:hanging="601"/>
      </w:pPr>
      <w:rPr>
        <w:rFonts w:hint="default"/>
        <w:lang w:val="zh-CN" w:eastAsia="zh-CN" w:bidi="zh-CN"/>
      </w:rPr>
    </w:lvl>
    <w:lvl w:ilvl="7">
      <w:start w:val="0"/>
      <w:numFmt w:val="bullet"/>
      <w:lvlText w:val="•"/>
      <w:lvlJc w:val="left"/>
      <w:pPr>
        <w:ind w:left="7164" w:hanging="601"/>
      </w:pPr>
      <w:rPr>
        <w:rFonts w:hint="default"/>
        <w:lang w:val="zh-CN" w:eastAsia="zh-CN" w:bidi="zh-CN"/>
      </w:rPr>
    </w:lvl>
    <w:lvl w:ilvl="8">
      <w:start w:val="0"/>
      <w:numFmt w:val="bullet"/>
      <w:lvlText w:val="•"/>
      <w:lvlJc w:val="left"/>
      <w:pPr>
        <w:ind w:left="8118" w:hanging="601"/>
      </w:pPr>
      <w:rPr>
        <w:rFonts w:hint="default"/>
        <w:lang w:val="zh-CN" w:eastAsia="zh-CN" w:bidi="zh-CN"/>
      </w:rPr>
    </w:lvl>
  </w:abstractNum>
  <w:abstractNum w:abstractNumId="16">
    <w:multiLevelType w:val="hybridMultilevel"/>
    <w:lvl w:ilvl="0">
      <w:start w:val="3"/>
      <w:numFmt w:val="decimal"/>
      <w:lvlText w:val="%1"/>
      <w:lvlJc w:val="left"/>
      <w:pPr>
        <w:ind w:left="927" w:hanging="449"/>
        <w:jc w:val="left"/>
      </w:pPr>
      <w:rPr>
        <w:rFonts w:hint="default"/>
        <w:lang w:val="zh-CN" w:eastAsia="zh-CN" w:bidi="zh-CN"/>
      </w:rPr>
    </w:lvl>
    <w:lvl w:ilvl="1">
      <w:start w:val="1"/>
      <w:numFmt w:val="decimal"/>
      <w:lvlText w:val="%1.%2"/>
      <w:lvlJc w:val="left"/>
      <w:pPr>
        <w:ind w:left="927" w:hanging="449"/>
        <w:jc w:val="left"/>
      </w:pPr>
      <w:rPr>
        <w:rFonts w:hint="default" w:ascii="Times New Roman" w:hAnsi="Times New Roman" w:eastAsia="Times New Roman" w:cs="Times New Roman"/>
        <w:b/>
        <w:bCs/>
        <w:spacing w:val="-1"/>
        <w:w w:val="100"/>
        <w:sz w:val="30"/>
        <w:szCs w:val="30"/>
        <w:lang w:val="zh-CN" w:eastAsia="zh-CN" w:bidi="zh-CN"/>
      </w:rPr>
    </w:lvl>
    <w:lvl w:ilvl="2">
      <w:start w:val="1"/>
      <w:numFmt w:val="decimal"/>
      <w:lvlText w:val="%1.%2.%3"/>
      <w:lvlJc w:val="left"/>
      <w:pPr>
        <w:ind w:left="1107"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1559" w:hanging="601"/>
        <w:jc w:val="left"/>
      </w:pPr>
      <w:rPr>
        <w:rFonts w:hint="default" w:ascii="宋体" w:hAnsi="宋体" w:eastAsia="宋体" w:cs="宋体"/>
        <w:spacing w:val="-1"/>
        <w:w w:val="100"/>
        <w:sz w:val="22"/>
        <w:szCs w:val="22"/>
        <w:lang w:val="zh-CN" w:eastAsia="zh-CN" w:bidi="zh-CN"/>
      </w:rPr>
    </w:lvl>
    <w:lvl w:ilvl="4">
      <w:start w:val="0"/>
      <w:numFmt w:val="bullet"/>
      <w:lvlText w:val="•"/>
      <w:lvlJc w:val="left"/>
      <w:pPr>
        <w:ind w:left="1727" w:hanging="601"/>
      </w:pPr>
      <w:rPr>
        <w:rFonts w:hint="default"/>
        <w:lang w:val="zh-CN" w:eastAsia="zh-CN" w:bidi="zh-CN"/>
      </w:rPr>
    </w:lvl>
    <w:lvl w:ilvl="5">
      <w:start w:val="0"/>
      <w:numFmt w:val="bullet"/>
      <w:lvlText w:val="•"/>
      <w:lvlJc w:val="left"/>
      <w:pPr>
        <w:ind w:left="1894" w:hanging="601"/>
      </w:pPr>
      <w:rPr>
        <w:rFonts w:hint="default"/>
        <w:lang w:val="zh-CN" w:eastAsia="zh-CN" w:bidi="zh-CN"/>
      </w:rPr>
    </w:lvl>
    <w:lvl w:ilvl="6">
      <w:start w:val="0"/>
      <w:numFmt w:val="bullet"/>
      <w:lvlText w:val="•"/>
      <w:lvlJc w:val="left"/>
      <w:pPr>
        <w:ind w:left="2062" w:hanging="601"/>
      </w:pPr>
      <w:rPr>
        <w:rFonts w:hint="default"/>
        <w:lang w:val="zh-CN" w:eastAsia="zh-CN" w:bidi="zh-CN"/>
      </w:rPr>
    </w:lvl>
    <w:lvl w:ilvl="7">
      <w:start w:val="0"/>
      <w:numFmt w:val="bullet"/>
      <w:lvlText w:val="•"/>
      <w:lvlJc w:val="left"/>
      <w:pPr>
        <w:ind w:left="2229" w:hanging="601"/>
      </w:pPr>
      <w:rPr>
        <w:rFonts w:hint="default"/>
        <w:lang w:val="zh-CN" w:eastAsia="zh-CN" w:bidi="zh-CN"/>
      </w:rPr>
    </w:lvl>
    <w:lvl w:ilvl="8">
      <w:start w:val="0"/>
      <w:numFmt w:val="bullet"/>
      <w:lvlText w:val="•"/>
      <w:lvlJc w:val="left"/>
      <w:pPr>
        <w:ind w:left="2397" w:hanging="601"/>
      </w:pPr>
      <w:rPr>
        <w:rFonts w:hint="default"/>
        <w:lang w:val="zh-CN" w:eastAsia="zh-CN" w:bidi="zh-CN"/>
      </w:rPr>
    </w:lvl>
  </w:abstractNum>
  <w:abstractNum w:abstractNumId="15">
    <w:multiLevelType w:val="hybridMultilevel"/>
    <w:lvl w:ilvl="0">
      <w:start w:val="2"/>
      <w:numFmt w:val="decimal"/>
      <w:lvlText w:val="%1"/>
      <w:lvlJc w:val="left"/>
      <w:pPr>
        <w:ind w:left="1004" w:hanging="526"/>
        <w:jc w:val="left"/>
      </w:pPr>
      <w:rPr>
        <w:rFonts w:hint="default"/>
        <w:lang w:val="zh-CN" w:eastAsia="zh-CN" w:bidi="zh-CN"/>
      </w:rPr>
    </w:lvl>
    <w:lvl w:ilvl="1">
      <w:start w:val="5"/>
      <w:numFmt w:val="decimal"/>
      <w:lvlText w:val="%1.%2"/>
      <w:lvlJc w:val="left"/>
      <w:pPr>
        <w:ind w:left="1004"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176" w:hanging="699"/>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145" w:hanging="699"/>
      </w:pPr>
      <w:rPr>
        <w:rFonts w:hint="default"/>
        <w:lang w:val="zh-CN" w:eastAsia="zh-CN" w:bidi="zh-CN"/>
      </w:rPr>
    </w:lvl>
    <w:lvl w:ilvl="4">
      <w:start w:val="0"/>
      <w:numFmt w:val="bullet"/>
      <w:lvlText w:val="•"/>
      <w:lvlJc w:val="left"/>
      <w:pPr>
        <w:ind w:left="4128" w:hanging="699"/>
      </w:pPr>
      <w:rPr>
        <w:rFonts w:hint="default"/>
        <w:lang w:val="zh-CN" w:eastAsia="zh-CN" w:bidi="zh-CN"/>
      </w:rPr>
    </w:lvl>
    <w:lvl w:ilvl="5">
      <w:start w:val="0"/>
      <w:numFmt w:val="bullet"/>
      <w:lvlText w:val="•"/>
      <w:lvlJc w:val="left"/>
      <w:pPr>
        <w:ind w:left="5111" w:hanging="699"/>
      </w:pPr>
      <w:rPr>
        <w:rFonts w:hint="default"/>
        <w:lang w:val="zh-CN" w:eastAsia="zh-CN" w:bidi="zh-CN"/>
      </w:rPr>
    </w:lvl>
    <w:lvl w:ilvl="6">
      <w:start w:val="0"/>
      <w:numFmt w:val="bullet"/>
      <w:lvlText w:val="•"/>
      <w:lvlJc w:val="left"/>
      <w:pPr>
        <w:ind w:left="6094" w:hanging="699"/>
      </w:pPr>
      <w:rPr>
        <w:rFonts w:hint="default"/>
        <w:lang w:val="zh-CN" w:eastAsia="zh-CN" w:bidi="zh-CN"/>
      </w:rPr>
    </w:lvl>
    <w:lvl w:ilvl="7">
      <w:start w:val="0"/>
      <w:numFmt w:val="bullet"/>
      <w:lvlText w:val="•"/>
      <w:lvlJc w:val="left"/>
      <w:pPr>
        <w:ind w:left="7077" w:hanging="699"/>
      </w:pPr>
      <w:rPr>
        <w:rFonts w:hint="default"/>
        <w:lang w:val="zh-CN" w:eastAsia="zh-CN" w:bidi="zh-CN"/>
      </w:rPr>
    </w:lvl>
    <w:lvl w:ilvl="8">
      <w:start w:val="0"/>
      <w:numFmt w:val="bullet"/>
      <w:lvlText w:val="•"/>
      <w:lvlJc w:val="left"/>
      <w:pPr>
        <w:ind w:left="8060" w:hanging="699"/>
      </w:pPr>
      <w:rPr>
        <w:rFonts w:hint="default"/>
        <w:lang w:val="zh-CN" w:eastAsia="zh-CN" w:bidi="zh-CN"/>
      </w:rPr>
    </w:lvl>
  </w:abstractNum>
  <w:abstractNum w:abstractNumId="14">
    <w:multiLevelType w:val="hybridMultilevel"/>
    <w:lvl w:ilvl="0">
      <w:start w:val="2"/>
      <w:numFmt w:val="decimal"/>
      <w:lvlText w:val="%1"/>
      <w:lvlJc w:val="left"/>
      <w:pPr>
        <w:ind w:left="1107" w:hanging="629"/>
        <w:jc w:val="left"/>
      </w:pPr>
      <w:rPr>
        <w:rFonts w:hint="default"/>
        <w:lang w:val="zh-CN" w:eastAsia="zh-CN" w:bidi="zh-CN"/>
      </w:rPr>
    </w:lvl>
    <w:lvl w:ilvl="1">
      <w:start w:val="4"/>
      <w:numFmt w:val="decimal"/>
      <w:lvlText w:val="%1.%2"/>
      <w:lvlJc w:val="left"/>
      <w:pPr>
        <w:ind w:left="1107" w:hanging="629"/>
        <w:jc w:val="left"/>
      </w:pPr>
      <w:rPr>
        <w:rFonts w:hint="default"/>
        <w:lang w:val="zh-CN" w:eastAsia="zh-CN" w:bidi="zh-CN"/>
      </w:rPr>
    </w:lvl>
    <w:lvl w:ilvl="2">
      <w:start w:val="5"/>
      <w:numFmt w:val="decimal"/>
      <w:lvlText w:val="%1.%2.%3"/>
      <w:lvlJc w:val="left"/>
      <w:pPr>
        <w:ind w:left="1107" w:hanging="629"/>
        <w:jc w:val="left"/>
      </w:pPr>
      <w:rPr>
        <w:rFonts w:hint="default" w:ascii="Times New Roman" w:hAnsi="Times New Roman" w:eastAsia="Times New Roman" w:cs="Times New Roman"/>
        <w:b/>
        <w:bCs/>
        <w:spacing w:val="-2"/>
        <w:w w:val="100"/>
        <w:sz w:val="28"/>
        <w:szCs w:val="28"/>
        <w:lang w:val="zh-CN" w:eastAsia="zh-CN" w:bidi="zh-CN"/>
      </w:rPr>
    </w:lvl>
    <w:lvl w:ilvl="3">
      <w:start w:val="0"/>
      <w:numFmt w:val="bullet"/>
      <w:lvlText w:val="•"/>
      <w:lvlJc w:val="left"/>
      <w:pPr>
        <w:ind w:left="3777" w:hanging="629"/>
      </w:pPr>
      <w:rPr>
        <w:rFonts w:hint="default"/>
        <w:lang w:val="zh-CN" w:eastAsia="zh-CN" w:bidi="zh-CN"/>
      </w:rPr>
    </w:lvl>
    <w:lvl w:ilvl="4">
      <w:start w:val="0"/>
      <w:numFmt w:val="bullet"/>
      <w:lvlText w:val="•"/>
      <w:lvlJc w:val="left"/>
      <w:pPr>
        <w:ind w:left="4670" w:hanging="629"/>
      </w:pPr>
      <w:rPr>
        <w:rFonts w:hint="default"/>
        <w:lang w:val="zh-CN" w:eastAsia="zh-CN" w:bidi="zh-CN"/>
      </w:rPr>
    </w:lvl>
    <w:lvl w:ilvl="5">
      <w:start w:val="0"/>
      <w:numFmt w:val="bullet"/>
      <w:lvlText w:val="•"/>
      <w:lvlJc w:val="left"/>
      <w:pPr>
        <w:ind w:left="5563" w:hanging="629"/>
      </w:pPr>
      <w:rPr>
        <w:rFonts w:hint="default"/>
        <w:lang w:val="zh-CN" w:eastAsia="zh-CN" w:bidi="zh-CN"/>
      </w:rPr>
    </w:lvl>
    <w:lvl w:ilvl="6">
      <w:start w:val="0"/>
      <w:numFmt w:val="bullet"/>
      <w:lvlText w:val="•"/>
      <w:lvlJc w:val="left"/>
      <w:pPr>
        <w:ind w:left="6455" w:hanging="629"/>
      </w:pPr>
      <w:rPr>
        <w:rFonts w:hint="default"/>
        <w:lang w:val="zh-CN" w:eastAsia="zh-CN" w:bidi="zh-CN"/>
      </w:rPr>
    </w:lvl>
    <w:lvl w:ilvl="7">
      <w:start w:val="0"/>
      <w:numFmt w:val="bullet"/>
      <w:lvlText w:val="•"/>
      <w:lvlJc w:val="left"/>
      <w:pPr>
        <w:ind w:left="7348" w:hanging="629"/>
      </w:pPr>
      <w:rPr>
        <w:rFonts w:hint="default"/>
        <w:lang w:val="zh-CN" w:eastAsia="zh-CN" w:bidi="zh-CN"/>
      </w:rPr>
    </w:lvl>
    <w:lvl w:ilvl="8">
      <w:start w:val="0"/>
      <w:numFmt w:val="bullet"/>
      <w:lvlText w:val="•"/>
      <w:lvlJc w:val="left"/>
      <w:pPr>
        <w:ind w:left="8240" w:hanging="629"/>
      </w:pPr>
      <w:rPr>
        <w:rFonts w:hint="default"/>
        <w:lang w:val="zh-CN" w:eastAsia="zh-CN" w:bidi="zh-CN"/>
      </w:rPr>
    </w:lvl>
  </w:abstractNum>
  <w:abstractNum w:abstractNumId="13">
    <w:multiLevelType w:val="hybridMultilevel"/>
    <w:lvl w:ilvl="0">
      <w:start w:val="2"/>
      <w:numFmt w:val="decimal"/>
      <w:lvlText w:val="%1"/>
      <w:lvlJc w:val="left"/>
      <w:pPr>
        <w:ind w:left="1318" w:hanging="840"/>
        <w:jc w:val="left"/>
      </w:pPr>
      <w:rPr>
        <w:rFonts w:hint="default"/>
        <w:lang w:val="zh-CN" w:eastAsia="zh-CN" w:bidi="zh-CN"/>
      </w:rPr>
    </w:lvl>
    <w:lvl w:ilvl="1">
      <w:start w:val="4"/>
      <w:numFmt w:val="decimal"/>
      <w:lvlText w:val="%1.%2"/>
      <w:lvlJc w:val="left"/>
      <w:pPr>
        <w:ind w:left="1318" w:hanging="840"/>
        <w:jc w:val="left"/>
      </w:pPr>
      <w:rPr>
        <w:rFonts w:hint="default"/>
        <w:lang w:val="zh-CN" w:eastAsia="zh-CN" w:bidi="zh-CN"/>
      </w:rPr>
    </w:lvl>
    <w:lvl w:ilvl="2">
      <w:start w:val="5"/>
      <w:numFmt w:val="decimal"/>
      <w:lvlText w:val="%1.%2.%3"/>
      <w:lvlJc w:val="left"/>
      <w:pPr>
        <w:ind w:left="1318" w:hanging="840"/>
        <w:jc w:val="left"/>
      </w:pPr>
      <w:rPr>
        <w:rFonts w:hint="default"/>
        <w:lang w:val="zh-CN" w:eastAsia="zh-CN" w:bidi="zh-CN"/>
      </w:rPr>
    </w:lvl>
    <w:lvl w:ilvl="3">
      <w:start w:val="1"/>
      <w:numFmt w:val="decimal"/>
      <w:lvlText w:val="%1.%2.%3.%4"/>
      <w:lvlJc w:val="left"/>
      <w:pPr>
        <w:ind w:left="1318" w:hanging="840"/>
        <w:jc w:val="left"/>
      </w:pPr>
      <w:rPr>
        <w:rFonts w:hint="default" w:ascii="Times New Roman" w:hAnsi="Times New Roman" w:eastAsia="Times New Roman" w:cs="Times New Roman"/>
        <w:b/>
        <w:bCs/>
        <w:spacing w:val="-2"/>
        <w:w w:val="100"/>
        <w:sz w:val="28"/>
        <w:szCs w:val="28"/>
        <w:lang w:val="zh-CN" w:eastAsia="zh-CN" w:bidi="zh-CN"/>
      </w:rPr>
    </w:lvl>
    <w:lvl w:ilvl="4">
      <w:start w:val="0"/>
      <w:numFmt w:val="bullet"/>
      <w:lvlText w:val="•"/>
      <w:lvlJc w:val="left"/>
      <w:pPr>
        <w:ind w:left="4802" w:hanging="840"/>
      </w:pPr>
      <w:rPr>
        <w:rFonts w:hint="default"/>
        <w:lang w:val="zh-CN" w:eastAsia="zh-CN" w:bidi="zh-CN"/>
      </w:rPr>
    </w:lvl>
    <w:lvl w:ilvl="5">
      <w:start w:val="0"/>
      <w:numFmt w:val="bullet"/>
      <w:lvlText w:val="•"/>
      <w:lvlJc w:val="left"/>
      <w:pPr>
        <w:ind w:left="5673" w:hanging="840"/>
      </w:pPr>
      <w:rPr>
        <w:rFonts w:hint="default"/>
        <w:lang w:val="zh-CN" w:eastAsia="zh-CN" w:bidi="zh-CN"/>
      </w:rPr>
    </w:lvl>
    <w:lvl w:ilvl="6">
      <w:start w:val="0"/>
      <w:numFmt w:val="bullet"/>
      <w:lvlText w:val="•"/>
      <w:lvlJc w:val="left"/>
      <w:pPr>
        <w:ind w:left="6543" w:hanging="840"/>
      </w:pPr>
      <w:rPr>
        <w:rFonts w:hint="default"/>
        <w:lang w:val="zh-CN" w:eastAsia="zh-CN" w:bidi="zh-CN"/>
      </w:rPr>
    </w:lvl>
    <w:lvl w:ilvl="7">
      <w:start w:val="0"/>
      <w:numFmt w:val="bullet"/>
      <w:lvlText w:val="•"/>
      <w:lvlJc w:val="left"/>
      <w:pPr>
        <w:ind w:left="7414" w:hanging="840"/>
      </w:pPr>
      <w:rPr>
        <w:rFonts w:hint="default"/>
        <w:lang w:val="zh-CN" w:eastAsia="zh-CN" w:bidi="zh-CN"/>
      </w:rPr>
    </w:lvl>
    <w:lvl w:ilvl="8">
      <w:start w:val="0"/>
      <w:numFmt w:val="bullet"/>
      <w:lvlText w:val="•"/>
      <w:lvlJc w:val="left"/>
      <w:pPr>
        <w:ind w:left="8284" w:hanging="840"/>
      </w:pPr>
      <w:rPr>
        <w:rFonts w:hint="default"/>
        <w:lang w:val="zh-CN" w:eastAsia="zh-CN" w:bidi="zh-CN"/>
      </w:rPr>
    </w:lvl>
  </w:abstractNum>
  <w:abstractNum w:abstractNumId="12">
    <w:multiLevelType w:val="hybridMultilevel"/>
    <w:lvl w:ilvl="0">
      <w:start w:val="5"/>
      <w:numFmt w:val="decimal"/>
      <w:lvlText w:val="(%1)"/>
      <w:lvlJc w:val="left"/>
      <w:pPr>
        <w:ind w:left="1238" w:hanging="28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2118" w:hanging="281"/>
      </w:pPr>
      <w:rPr>
        <w:rFonts w:hint="default"/>
        <w:lang w:val="zh-CN" w:eastAsia="zh-CN" w:bidi="zh-CN"/>
      </w:rPr>
    </w:lvl>
    <w:lvl w:ilvl="2">
      <w:start w:val="0"/>
      <w:numFmt w:val="bullet"/>
      <w:lvlText w:val="•"/>
      <w:lvlJc w:val="left"/>
      <w:pPr>
        <w:ind w:left="2997" w:hanging="281"/>
      </w:pPr>
      <w:rPr>
        <w:rFonts w:hint="default"/>
        <w:lang w:val="zh-CN" w:eastAsia="zh-CN" w:bidi="zh-CN"/>
      </w:rPr>
    </w:lvl>
    <w:lvl w:ilvl="3">
      <w:start w:val="0"/>
      <w:numFmt w:val="bullet"/>
      <w:lvlText w:val="•"/>
      <w:lvlJc w:val="left"/>
      <w:pPr>
        <w:ind w:left="3875" w:hanging="281"/>
      </w:pPr>
      <w:rPr>
        <w:rFonts w:hint="default"/>
        <w:lang w:val="zh-CN" w:eastAsia="zh-CN" w:bidi="zh-CN"/>
      </w:rPr>
    </w:lvl>
    <w:lvl w:ilvl="4">
      <w:start w:val="0"/>
      <w:numFmt w:val="bullet"/>
      <w:lvlText w:val="•"/>
      <w:lvlJc w:val="left"/>
      <w:pPr>
        <w:ind w:left="4754" w:hanging="281"/>
      </w:pPr>
      <w:rPr>
        <w:rFonts w:hint="default"/>
        <w:lang w:val="zh-CN" w:eastAsia="zh-CN" w:bidi="zh-CN"/>
      </w:rPr>
    </w:lvl>
    <w:lvl w:ilvl="5">
      <w:start w:val="0"/>
      <w:numFmt w:val="bullet"/>
      <w:lvlText w:val="•"/>
      <w:lvlJc w:val="left"/>
      <w:pPr>
        <w:ind w:left="5633" w:hanging="281"/>
      </w:pPr>
      <w:rPr>
        <w:rFonts w:hint="default"/>
        <w:lang w:val="zh-CN" w:eastAsia="zh-CN" w:bidi="zh-CN"/>
      </w:rPr>
    </w:lvl>
    <w:lvl w:ilvl="6">
      <w:start w:val="0"/>
      <w:numFmt w:val="bullet"/>
      <w:lvlText w:val="•"/>
      <w:lvlJc w:val="left"/>
      <w:pPr>
        <w:ind w:left="6511" w:hanging="281"/>
      </w:pPr>
      <w:rPr>
        <w:rFonts w:hint="default"/>
        <w:lang w:val="zh-CN" w:eastAsia="zh-CN" w:bidi="zh-CN"/>
      </w:rPr>
    </w:lvl>
    <w:lvl w:ilvl="7">
      <w:start w:val="0"/>
      <w:numFmt w:val="bullet"/>
      <w:lvlText w:val="•"/>
      <w:lvlJc w:val="left"/>
      <w:pPr>
        <w:ind w:left="7390" w:hanging="281"/>
      </w:pPr>
      <w:rPr>
        <w:rFonts w:hint="default"/>
        <w:lang w:val="zh-CN" w:eastAsia="zh-CN" w:bidi="zh-CN"/>
      </w:rPr>
    </w:lvl>
    <w:lvl w:ilvl="8">
      <w:start w:val="0"/>
      <w:numFmt w:val="bullet"/>
      <w:lvlText w:val="•"/>
      <w:lvlJc w:val="left"/>
      <w:pPr>
        <w:ind w:left="8268" w:hanging="281"/>
      </w:pPr>
      <w:rPr>
        <w:rFonts w:hint="default"/>
        <w:lang w:val="zh-CN" w:eastAsia="zh-CN" w:bidi="zh-CN"/>
      </w:rPr>
    </w:lvl>
  </w:abstractNum>
  <w:abstractNum w:abstractNumId="11">
    <w:multiLevelType w:val="hybridMultilevel"/>
    <w:lvl w:ilvl="0">
      <w:start w:val="1"/>
      <w:numFmt w:val="decimal"/>
      <w:lvlText w:val="(%1)"/>
      <w:lvlJc w:val="left"/>
      <w:pPr>
        <w:ind w:left="1238" w:hanging="28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2118" w:hanging="281"/>
      </w:pPr>
      <w:rPr>
        <w:rFonts w:hint="default"/>
        <w:lang w:val="zh-CN" w:eastAsia="zh-CN" w:bidi="zh-CN"/>
      </w:rPr>
    </w:lvl>
    <w:lvl w:ilvl="2">
      <w:start w:val="0"/>
      <w:numFmt w:val="bullet"/>
      <w:lvlText w:val="•"/>
      <w:lvlJc w:val="left"/>
      <w:pPr>
        <w:ind w:left="2997" w:hanging="281"/>
      </w:pPr>
      <w:rPr>
        <w:rFonts w:hint="default"/>
        <w:lang w:val="zh-CN" w:eastAsia="zh-CN" w:bidi="zh-CN"/>
      </w:rPr>
    </w:lvl>
    <w:lvl w:ilvl="3">
      <w:start w:val="0"/>
      <w:numFmt w:val="bullet"/>
      <w:lvlText w:val="•"/>
      <w:lvlJc w:val="left"/>
      <w:pPr>
        <w:ind w:left="3875" w:hanging="281"/>
      </w:pPr>
      <w:rPr>
        <w:rFonts w:hint="default"/>
        <w:lang w:val="zh-CN" w:eastAsia="zh-CN" w:bidi="zh-CN"/>
      </w:rPr>
    </w:lvl>
    <w:lvl w:ilvl="4">
      <w:start w:val="0"/>
      <w:numFmt w:val="bullet"/>
      <w:lvlText w:val="•"/>
      <w:lvlJc w:val="left"/>
      <w:pPr>
        <w:ind w:left="4754" w:hanging="281"/>
      </w:pPr>
      <w:rPr>
        <w:rFonts w:hint="default"/>
        <w:lang w:val="zh-CN" w:eastAsia="zh-CN" w:bidi="zh-CN"/>
      </w:rPr>
    </w:lvl>
    <w:lvl w:ilvl="5">
      <w:start w:val="0"/>
      <w:numFmt w:val="bullet"/>
      <w:lvlText w:val="•"/>
      <w:lvlJc w:val="left"/>
      <w:pPr>
        <w:ind w:left="5633" w:hanging="281"/>
      </w:pPr>
      <w:rPr>
        <w:rFonts w:hint="default"/>
        <w:lang w:val="zh-CN" w:eastAsia="zh-CN" w:bidi="zh-CN"/>
      </w:rPr>
    </w:lvl>
    <w:lvl w:ilvl="6">
      <w:start w:val="0"/>
      <w:numFmt w:val="bullet"/>
      <w:lvlText w:val="•"/>
      <w:lvlJc w:val="left"/>
      <w:pPr>
        <w:ind w:left="6511" w:hanging="281"/>
      </w:pPr>
      <w:rPr>
        <w:rFonts w:hint="default"/>
        <w:lang w:val="zh-CN" w:eastAsia="zh-CN" w:bidi="zh-CN"/>
      </w:rPr>
    </w:lvl>
    <w:lvl w:ilvl="7">
      <w:start w:val="0"/>
      <w:numFmt w:val="bullet"/>
      <w:lvlText w:val="•"/>
      <w:lvlJc w:val="left"/>
      <w:pPr>
        <w:ind w:left="7390" w:hanging="281"/>
      </w:pPr>
      <w:rPr>
        <w:rFonts w:hint="default"/>
        <w:lang w:val="zh-CN" w:eastAsia="zh-CN" w:bidi="zh-CN"/>
      </w:rPr>
    </w:lvl>
    <w:lvl w:ilvl="8">
      <w:start w:val="0"/>
      <w:numFmt w:val="bullet"/>
      <w:lvlText w:val="•"/>
      <w:lvlJc w:val="left"/>
      <w:pPr>
        <w:ind w:left="8268" w:hanging="281"/>
      </w:pPr>
      <w:rPr>
        <w:rFonts w:hint="default"/>
        <w:lang w:val="zh-CN" w:eastAsia="zh-CN" w:bidi="zh-CN"/>
      </w:rPr>
    </w:lvl>
  </w:abstractNum>
  <w:abstractNum w:abstractNumId="10">
    <w:multiLevelType w:val="hybridMultilevel"/>
    <w:lvl w:ilvl="0">
      <w:start w:val="24"/>
      <w:numFmt w:val="decimal"/>
      <w:lvlText w:val="(%1)"/>
      <w:lvlJc w:val="left"/>
      <w:pPr>
        <w:ind w:left="1358" w:hanging="40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2226" w:hanging="401"/>
      </w:pPr>
      <w:rPr>
        <w:rFonts w:hint="default"/>
        <w:lang w:val="zh-CN" w:eastAsia="zh-CN" w:bidi="zh-CN"/>
      </w:rPr>
    </w:lvl>
    <w:lvl w:ilvl="2">
      <w:start w:val="0"/>
      <w:numFmt w:val="bullet"/>
      <w:lvlText w:val="•"/>
      <w:lvlJc w:val="left"/>
      <w:pPr>
        <w:ind w:left="3093" w:hanging="401"/>
      </w:pPr>
      <w:rPr>
        <w:rFonts w:hint="default"/>
        <w:lang w:val="zh-CN" w:eastAsia="zh-CN" w:bidi="zh-CN"/>
      </w:rPr>
    </w:lvl>
    <w:lvl w:ilvl="3">
      <w:start w:val="0"/>
      <w:numFmt w:val="bullet"/>
      <w:lvlText w:val="•"/>
      <w:lvlJc w:val="left"/>
      <w:pPr>
        <w:ind w:left="3959" w:hanging="401"/>
      </w:pPr>
      <w:rPr>
        <w:rFonts w:hint="default"/>
        <w:lang w:val="zh-CN" w:eastAsia="zh-CN" w:bidi="zh-CN"/>
      </w:rPr>
    </w:lvl>
    <w:lvl w:ilvl="4">
      <w:start w:val="0"/>
      <w:numFmt w:val="bullet"/>
      <w:lvlText w:val="•"/>
      <w:lvlJc w:val="left"/>
      <w:pPr>
        <w:ind w:left="4826" w:hanging="401"/>
      </w:pPr>
      <w:rPr>
        <w:rFonts w:hint="default"/>
        <w:lang w:val="zh-CN" w:eastAsia="zh-CN" w:bidi="zh-CN"/>
      </w:rPr>
    </w:lvl>
    <w:lvl w:ilvl="5">
      <w:start w:val="0"/>
      <w:numFmt w:val="bullet"/>
      <w:lvlText w:val="•"/>
      <w:lvlJc w:val="left"/>
      <w:pPr>
        <w:ind w:left="5693" w:hanging="401"/>
      </w:pPr>
      <w:rPr>
        <w:rFonts w:hint="default"/>
        <w:lang w:val="zh-CN" w:eastAsia="zh-CN" w:bidi="zh-CN"/>
      </w:rPr>
    </w:lvl>
    <w:lvl w:ilvl="6">
      <w:start w:val="0"/>
      <w:numFmt w:val="bullet"/>
      <w:lvlText w:val="•"/>
      <w:lvlJc w:val="left"/>
      <w:pPr>
        <w:ind w:left="6559" w:hanging="401"/>
      </w:pPr>
      <w:rPr>
        <w:rFonts w:hint="default"/>
        <w:lang w:val="zh-CN" w:eastAsia="zh-CN" w:bidi="zh-CN"/>
      </w:rPr>
    </w:lvl>
    <w:lvl w:ilvl="7">
      <w:start w:val="0"/>
      <w:numFmt w:val="bullet"/>
      <w:lvlText w:val="•"/>
      <w:lvlJc w:val="left"/>
      <w:pPr>
        <w:ind w:left="7426" w:hanging="401"/>
      </w:pPr>
      <w:rPr>
        <w:rFonts w:hint="default"/>
        <w:lang w:val="zh-CN" w:eastAsia="zh-CN" w:bidi="zh-CN"/>
      </w:rPr>
    </w:lvl>
    <w:lvl w:ilvl="8">
      <w:start w:val="0"/>
      <w:numFmt w:val="bullet"/>
      <w:lvlText w:val="•"/>
      <w:lvlJc w:val="left"/>
      <w:pPr>
        <w:ind w:left="8292" w:hanging="401"/>
      </w:pPr>
      <w:rPr>
        <w:rFonts w:hint="default"/>
        <w:lang w:val="zh-CN" w:eastAsia="zh-CN" w:bidi="zh-CN"/>
      </w:rPr>
    </w:lvl>
  </w:abstractNum>
  <w:abstractNum w:abstractNumId="9">
    <w:multiLevelType w:val="hybridMultilevel"/>
    <w:lvl w:ilvl="0">
      <w:start w:val="18"/>
      <w:numFmt w:val="decimal"/>
      <w:lvlText w:val="(%1)"/>
      <w:lvlJc w:val="left"/>
      <w:pPr>
        <w:ind w:left="478" w:hanging="401"/>
        <w:jc w:val="left"/>
      </w:pPr>
      <w:rPr>
        <w:rFonts w:hint="default" w:ascii="Times New Roman" w:hAnsi="Times New Roman" w:eastAsia="Times New Roman" w:cs="Times New Roman"/>
        <w:spacing w:val="-6"/>
        <w:w w:val="100"/>
        <w:sz w:val="22"/>
        <w:szCs w:val="22"/>
        <w:lang w:val="zh-CN" w:eastAsia="zh-CN" w:bidi="zh-CN"/>
      </w:rPr>
    </w:lvl>
    <w:lvl w:ilvl="1">
      <w:start w:val="0"/>
      <w:numFmt w:val="bullet"/>
      <w:lvlText w:val="•"/>
      <w:lvlJc w:val="left"/>
      <w:pPr>
        <w:ind w:left="1434" w:hanging="401"/>
      </w:pPr>
      <w:rPr>
        <w:rFonts w:hint="default"/>
        <w:lang w:val="zh-CN" w:eastAsia="zh-CN" w:bidi="zh-CN"/>
      </w:rPr>
    </w:lvl>
    <w:lvl w:ilvl="2">
      <w:start w:val="0"/>
      <w:numFmt w:val="bullet"/>
      <w:lvlText w:val="•"/>
      <w:lvlJc w:val="left"/>
      <w:pPr>
        <w:ind w:left="2389" w:hanging="401"/>
      </w:pPr>
      <w:rPr>
        <w:rFonts w:hint="default"/>
        <w:lang w:val="zh-CN" w:eastAsia="zh-CN" w:bidi="zh-CN"/>
      </w:rPr>
    </w:lvl>
    <w:lvl w:ilvl="3">
      <w:start w:val="0"/>
      <w:numFmt w:val="bullet"/>
      <w:lvlText w:val="•"/>
      <w:lvlJc w:val="left"/>
      <w:pPr>
        <w:ind w:left="3343" w:hanging="401"/>
      </w:pPr>
      <w:rPr>
        <w:rFonts w:hint="default"/>
        <w:lang w:val="zh-CN" w:eastAsia="zh-CN" w:bidi="zh-CN"/>
      </w:rPr>
    </w:lvl>
    <w:lvl w:ilvl="4">
      <w:start w:val="0"/>
      <w:numFmt w:val="bullet"/>
      <w:lvlText w:val="•"/>
      <w:lvlJc w:val="left"/>
      <w:pPr>
        <w:ind w:left="4298" w:hanging="401"/>
      </w:pPr>
      <w:rPr>
        <w:rFonts w:hint="default"/>
        <w:lang w:val="zh-CN" w:eastAsia="zh-CN" w:bidi="zh-CN"/>
      </w:rPr>
    </w:lvl>
    <w:lvl w:ilvl="5">
      <w:start w:val="0"/>
      <w:numFmt w:val="bullet"/>
      <w:lvlText w:val="•"/>
      <w:lvlJc w:val="left"/>
      <w:pPr>
        <w:ind w:left="5253" w:hanging="401"/>
      </w:pPr>
      <w:rPr>
        <w:rFonts w:hint="default"/>
        <w:lang w:val="zh-CN" w:eastAsia="zh-CN" w:bidi="zh-CN"/>
      </w:rPr>
    </w:lvl>
    <w:lvl w:ilvl="6">
      <w:start w:val="0"/>
      <w:numFmt w:val="bullet"/>
      <w:lvlText w:val="•"/>
      <w:lvlJc w:val="left"/>
      <w:pPr>
        <w:ind w:left="6207" w:hanging="401"/>
      </w:pPr>
      <w:rPr>
        <w:rFonts w:hint="default"/>
        <w:lang w:val="zh-CN" w:eastAsia="zh-CN" w:bidi="zh-CN"/>
      </w:rPr>
    </w:lvl>
    <w:lvl w:ilvl="7">
      <w:start w:val="0"/>
      <w:numFmt w:val="bullet"/>
      <w:lvlText w:val="•"/>
      <w:lvlJc w:val="left"/>
      <w:pPr>
        <w:ind w:left="7162" w:hanging="401"/>
      </w:pPr>
      <w:rPr>
        <w:rFonts w:hint="default"/>
        <w:lang w:val="zh-CN" w:eastAsia="zh-CN" w:bidi="zh-CN"/>
      </w:rPr>
    </w:lvl>
    <w:lvl w:ilvl="8">
      <w:start w:val="0"/>
      <w:numFmt w:val="bullet"/>
      <w:lvlText w:val="•"/>
      <w:lvlJc w:val="left"/>
      <w:pPr>
        <w:ind w:left="8116" w:hanging="401"/>
      </w:pPr>
      <w:rPr>
        <w:rFonts w:hint="default"/>
        <w:lang w:val="zh-CN" w:eastAsia="zh-CN" w:bidi="zh-CN"/>
      </w:rPr>
    </w:lvl>
  </w:abstractNum>
  <w:abstractNum w:abstractNumId="8">
    <w:multiLevelType w:val="hybridMultilevel"/>
    <w:lvl w:ilvl="0">
      <w:start w:val="1"/>
      <w:numFmt w:val="decimal"/>
      <w:lvlText w:val="(%1)"/>
      <w:lvlJc w:val="left"/>
      <w:pPr>
        <w:ind w:left="478" w:hanging="281"/>
        <w:jc w:val="left"/>
      </w:pPr>
      <w:rPr>
        <w:rFonts w:hint="default" w:ascii="Times New Roman" w:hAnsi="Times New Roman" w:eastAsia="Times New Roman" w:cs="Times New Roman"/>
        <w:spacing w:val="-23"/>
        <w:w w:val="100"/>
        <w:sz w:val="22"/>
        <w:szCs w:val="22"/>
        <w:lang w:val="zh-CN" w:eastAsia="zh-CN" w:bidi="zh-CN"/>
      </w:rPr>
    </w:lvl>
    <w:lvl w:ilvl="1">
      <w:start w:val="0"/>
      <w:numFmt w:val="bullet"/>
      <w:lvlText w:val="•"/>
      <w:lvlJc w:val="left"/>
      <w:pPr>
        <w:ind w:left="1434" w:hanging="281"/>
      </w:pPr>
      <w:rPr>
        <w:rFonts w:hint="default"/>
        <w:lang w:val="zh-CN" w:eastAsia="zh-CN" w:bidi="zh-CN"/>
      </w:rPr>
    </w:lvl>
    <w:lvl w:ilvl="2">
      <w:start w:val="0"/>
      <w:numFmt w:val="bullet"/>
      <w:lvlText w:val="•"/>
      <w:lvlJc w:val="left"/>
      <w:pPr>
        <w:ind w:left="2389" w:hanging="281"/>
      </w:pPr>
      <w:rPr>
        <w:rFonts w:hint="default"/>
        <w:lang w:val="zh-CN" w:eastAsia="zh-CN" w:bidi="zh-CN"/>
      </w:rPr>
    </w:lvl>
    <w:lvl w:ilvl="3">
      <w:start w:val="0"/>
      <w:numFmt w:val="bullet"/>
      <w:lvlText w:val="•"/>
      <w:lvlJc w:val="left"/>
      <w:pPr>
        <w:ind w:left="3343" w:hanging="281"/>
      </w:pPr>
      <w:rPr>
        <w:rFonts w:hint="default"/>
        <w:lang w:val="zh-CN" w:eastAsia="zh-CN" w:bidi="zh-CN"/>
      </w:rPr>
    </w:lvl>
    <w:lvl w:ilvl="4">
      <w:start w:val="0"/>
      <w:numFmt w:val="bullet"/>
      <w:lvlText w:val="•"/>
      <w:lvlJc w:val="left"/>
      <w:pPr>
        <w:ind w:left="4298" w:hanging="281"/>
      </w:pPr>
      <w:rPr>
        <w:rFonts w:hint="default"/>
        <w:lang w:val="zh-CN" w:eastAsia="zh-CN" w:bidi="zh-CN"/>
      </w:rPr>
    </w:lvl>
    <w:lvl w:ilvl="5">
      <w:start w:val="0"/>
      <w:numFmt w:val="bullet"/>
      <w:lvlText w:val="•"/>
      <w:lvlJc w:val="left"/>
      <w:pPr>
        <w:ind w:left="5253" w:hanging="281"/>
      </w:pPr>
      <w:rPr>
        <w:rFonts w:hint="default"/>
        <w:lang w:val="zh-CN" w:eastAsia="zh-CN" w:bidi="zh-CN"/>
      </w:rPr>
    </w:lvl>
    <w:lvl w:ilvl="6">
      <w:start w:val="0"/>
      <w:numFmt w:val="bullet"/>
      <w:lvlText w:val="•"/>
      <w:lvlJc w:val="left"/>
      <w:pPr>
        <w:ind w:left="6207" w:hanging="281"/>
      </w:pPr>
      <w:rPr>
        <w:rFonts w:hint="default"/>
        <w:lang w:val="zh-CN" w:eastAsia="zh-CN" w:bidi="zh-CN"/>
      </w:rPr>
    </w:lvl>
    <w:lvl w:ilvl="7">
      <w:start w:val="0"/>
      <w:numFmt w:val="bullet"/>
      <w:lvlText w:val="•"/>
      <w:lvlJc w:val="left"/>
      <w:pPr>
        <w:ind w:left="7162" w:hanging="281"/>
      </w:pPr>
      <w:rPr>
        <w:rFonts w:hint="default"/>
        <w:lang w:val="zh-CN" w:eastAsia="zh-CN" w:bidi="zh-CN"/>
      </w:rPr>
    </w:lvl>
    <w:lvl w:ilvl="8">
      <w:start w:val="0"/>
      <w:numFmt w:val="bullet"/>
      <w:lvlText w:val="•"/>
      <w:lvlJc w:val="left"/>
      <w:pPr>
        <w:ind w:left="8116" w:hanging="281"/>
      </w:pPr>
      <w:rPr>
        <w:rFonts w:hint="default"/>
        <w:lang w:val="zh-CN" w:eastAsia="zh-CN" w:bidi="zh-CN"/>
      </w:rPr>
    </w:lvl>
  </w:abstractNum>
  <w:abstractNum w:abstractNumId="7">
    <w:multiLevelType w:val="hybridMultilevel"/>
    <w:lvl w:ilvl="0">
      <w:start w:val="1"/>
      <w:numFmt w:val="decimal"/>
      <w:lvlText w:val="（%1）"/>
      <w:lvlJc w:val="left"/>
      <w:pPr>
        <w:ind w:left="1563" w:hanging="605"/>
        <w:jc w:val="left"/>
      </w:pPr>
      <w:rPr>
        <w:rFonts w:hint="default" w:ascii="宋体" w:hAnsi="宋体" w:eastAsia="宋体" w:cs="宋体"/>
        <w:spacing w:val="0"/>
        <w:w w:val="100"/>
        <w:sz w:val="22"/>
        <w:szCs w:val="22"/>
        <w:lang w:val="zh-CN" w:eastAsia="zh-CN" w:bidi="zh-CN"/>
      </w:rPr>
    </w:lvl>
    <w:lvl w:ilvl="1">
      <w:start w:val="0"/>
      <w:numFmt w:val="bullet"/>
      <w:lvlText w:val="•"/>
      <w:lvlJc w:val="left"/>
      <w:pPr>
        <w:ind w:left="2406" w:hanging="605"/>
      </w:pPr>
      <w:rPr>
        <w:rFonts w:hint="default"/>
        <w:lang w:val="zh-CN" w:eastAsia="zh-CN" w:bidi="zh-CN"/>
      </w:rPr>
    </w:lvl>
    <w:lvl w:ilvl="2">
      <w:start w:val="0"/>
      <w:numFmt w:val="bullet"/>
      <w:lvlText w:val="•"/>
      <w:lvlJc w:val="left"/>
      <w:pPr>
        <w:ind w:left="3253" w:hanging="605"/>
      </w:pPr>
      <w:rPr>
        <w:rFonts w:hint="default"/>
        <w:lang w:val="zh-CN" w:eastAsia="zh-CN" w:bidi="zh-CN"/>
      </w:rPr>
    </w:lvl>
    <w:lvl w:ilvl="3">
      <w:start w:val="0"/>
      <w:numFmt w:val="bullet"/>
      <w:lvlText w:val="•"/>
      <w:lvlJc w:val="left"/>
      <w:pPr>
        <w:ind w:left="4099" w:hanging="605"/>
      </w:pPr>
      <w:rPr>
        <w:rFonts w:hint="default"/>
        <w:lang w:val="zh-CN" w:eastAsia="zh-CN" w:bidi="zh-CN"/>
      </w:rPr>
    </w:lvl>
    <w:lvl w:ilvl="4">
      <w:start w:val="0"/>
      <w:numFmt w:val="bullet"/>
      <w:lvlText w:val="•"/>
      <w:lvlJc w:val="left"/>
      <w:pPr>
        <w:ind w:left="4946" w:hanging="605"/>
      </w:pPr>
      <w:rPr>
        <w:rFonts w:hint="default"/>
        <w:lang w:val="zh-CN" w:eastAsia="zh-CN" w:bidi="zh-CN"/>
      </w:rPr>
    </w:lvl>
    <w:lvl w:ilvl="5">
      <w:start w:val="0"/>
      <w:numFmt w:val="bullet"/>
      <w:lvlText w:val="•"/>
      <w:lvlJc w:val="left"/>
      <w:pPr>
        <w:ind w:left="5793" w:hanging="605"/>
      </w:pPr>
      <w:rPr>
        <w:rFonts w:hint="default"/>
        <w:lang w:val="zh-CN" w:eastAsia="zh-CN" w:bidi="zh-CN"/>
      </w:rPr>
    </w:lvl>
    <w:lvl w:ilvl="6">
      <w:start w:val="0"/>
      <w:numFmt w:val="bullet"/>
      <w:lvlText w:val="•"/>
      <w:lvlJc w:val="left"/>
      <w:pPr>
        <w:ind w:left="6639" w:hanging="605"/>
      </w:pPr>
      <w:rPr>
        <w:rFonts w:hint="default"/>
        <w:lang w:val="zh-CN" w:eastAsia="zh-CN" w:bidi="zh-CN"/>
      </w:rPr>
    </w:lvl>
    <w:lvl w:ilvl="7">
      <w:start w:val="0"/>
      <w:numFmt w:val="bullet"/>
      <w:lvlText w:val="•"/>
      <w:lvlJc w:val="left"/>
      <w:pPr>
        <w:ind w:left="7486" w:hanging="605"/>
      </w:pPr>
      <w:rPr>
        <w:rFonts w:hint="default"/>
        <w:lang w:val="zh-CN" w:eastAsia="zh-CN" w:bidi="zh-CN"/>
      </w:rPr>
    </w:lvl>
    <w:lvl w:ilvl="8">
      <w:start w:val="0"/>
      <w:numFmt w:val="bullet"/>
      <w:lvlText w:val="•"/>
      <w:lvlJc w:val="left"/>
      <w:pPr>
        <w:ind w:left="8332" w:hanging="605"/>
      </w:pPr>
      <w:rPr>
        <w:rFonts w:hint="default"/>
        <w:lang w:val="zh-CN" w:eastAsia="zh-CN" w:bidi="zh-CN"/>
      </w:rPr>
    </w:lvl>
  </w:abstractNum>
  <w:abstractNum w:abstractNumId="6">
    <w:multiLevelType w:val="hybridMultilevel"/>
    <w:lvl w:ilvl="0">
      <w:start w:val="2"/>
      <w:numFmt w:val="decimal"/>
      <w:lvlText w:val="%1"/>
      <w:lvlJc w:val="left"/>
      <w:pPr>
        <w:ind w:left="1004" w:hanging="526"/>
        <w:jc w:val="left"/>
      </w:pPr>
      <w:rPr>
        <w:rFonts w:hint="default"/>
        <w:lang w:val="zh-CN" w:eastAsia="zh-CN" w:bidi="zh-CN"/>
      </w:rPr>
    </w:lvl>
    <w:lvl w:ilvl="1">
      <w:start w:val="1"/>
      <w:numFmt w:val="decimal"/>
      <w:lvlText w:val="%1.%2"/>
      <w:lvlJc w:val="left"/>
      <w:pPr>
        <w:ind w:left="1004" w:hanging="526"/>
        <w:jc w:val="left"/>
      </w:pPr>
      <w:rPr>
        <w:rFonts w:hint="default" w:ascii="Times New Roman" w:hAnsi="Times New Roman" w:eastAsia="Times New Roman" w:cs="Times New Roman"/>
        <w:b/>
        <w:bCs/>
        <w:spacing w:val="-1"/>
        <w:w w:val="99"/>
        <w:sz w:val="30"/>
        <w:szCs w:val="30"/>
        <w:lang w:val="zh-CN" w:eastAsia="zh-CN" w:bidi="zh-CN"/>
      </w:rPr>
    </w:lvl>
    <w:lvl w:ilvl="2">
      <w:start w:val="1"/>
      <w:numFmt w:val="decimal"/>
      <w:lvlText w:val="%1.%2.%3"/>
      <w:lvlJc w:val="left"/>
      <w:pPr>
        <w:ind w:left="1107" w:hanging="629"/>
        <w:jc w:val="left"/>
      </w:pPr>
      <w:rPr>
        <w:rFonts w:hint="default" w:ascii="Times New Roman" w:hAnsi="Times New Roman" w:eastAsia="Times New Roman" w:cs="Times New Roman"/>
        <w:b/>
        <w:bCs/>
        <w:spacing w:val="-2"/>
        <w:w w:val="100"/>
        <w:sz w:val="28"/>
        <w:szCs w:val="28"/>
        <w:lang w:val="zh-CN" w:eastAsia="zh-CN" w:bidi="zh-CN"/>
      </w:rPr>
    </w:lvl>
    <w:lvl w:ilvl="3">
      <w:start w:val="1"/>
      <w:numFmt w:val="decimal"/>
      <w:lvlText w:val="（%4）"/>
      <w:lvlJc w:val="left"/>
      <w:pPr>
        <w:ind w:left="478" w:hanging="605"/>
        <w:jc w:val="left"/>
      </w:pPr>
      <w:rPr>
        <w:rFonts w:hint="default" w:ascii="宋体" w:hAnsi="宋体" w:eastAsia="宋体" w:cs="宋体"/>
        <w:spacing w:val="0"/>
        <w:w w:val="100"/>
        <w:sz w:val="22"/>
        <w:szCs w:val="22"/>
        <w:lang w:val="zh-CN" w:eastAsia="zh-CN" w:bidi="zh-CN"/>
      </w:rPr>
    </w:lvl>
    <w:lvl w:ilvl="4">
      <w:start w:val="0"/>
      <w:numFmt w:val="bullet"/>
      <w:lvlText w:val="•"/>
      <w:lvlJc w:val="left"/>
      <w:pPr>
        <w:ind w:left="3331" w:hanging="605"/>
      </w:pPr>
      <w:rPr>
        <w:rFonts w:hint="default"/>
        <w:lang w:val="zh-CN" w:eastAsia="zh-CN" w:bidi="zh-CN"/>
      </w:rPr>
    </w:lvl>
    <w:lvl w:ilvl="5">
      <w:start w:val="0"/>
      <w:numFmt w:val="bullet"/>
      <w:lvlText w:val="•"/>
      <w:lvlJc w:val="left"/>
      <w:pPr>
        <w:ind w:left="4447" w:hanging="605"/>
      </w:pPr>
      <w:rPr>
        <w:rFonts w:hint="default"/>
        <w:lang w:val="zh-CN" w:eastAsia="zh-CN" w:bidi="zh-CN"/>
      </w:rPr>
    </w:lvl>
    <w:lvl w:ilvl="6">
      <w:start w:val="0"/>
      <w:numFmt w:val="bullet"/>
      <w:lvlText w:val="•"/>
      <w:lvlJc w:val="left"/>
      <w:pPr>
        <w:ind w:left="5563" w:hanging="605"/>
      </w:pPr>
      <w:rPr>
        <w:rFonts w:hint="default"/>
        <w:lang w:val="zh-CN" w:eastAsia="zh-CN" w:bidi="zh-CN"/>
      </w:rPr>
    </w:lvl>
    <w:lvl w:ilvl="7">
      <w:start w:val="0"/>
      <w:numFmt w:val="bullet"/>
      <w:lvlText w:val="•"/>
      <w:lvlJc w:val="left"/>
      <w:pPr>
        <w:ind w:left="6678" w:hanging="605"/>
      </w:pPr>
      <w:rPr>
        <w:rFonts w:hint="default"/>
        <w:lang w:val="zh-CN" w:eastAsia="zh-CN" w:bidi="zh-CN"/>
      </w:rPr>
    </w:lvl>
    <w:lvl w:ilvl="8">
      <w:start w:val="0"/>
      <w:numFmt w:val="bullet"/>
      <w:lvlText w:val="•"/>
      <w:lvlJc w:val="left"/>
      <w:pPr>
        <w:ind w:left="7794" w:hanging="605"/>
      </w:pPr>
      <w:rPr>
        <w:rFonts w:hint="default"/>
        <w:lang w:val="zh-CN" w:eastAsia="zh-CN" w:bidi="zh-CN"/>
      </w:rPr>
    </w:lvl>
  </w:abstractNum>
  <w:abstractNum w:abstractNumId="5">
    <w:multiLevelType w:val="hybridMultilevel"/>
    <w:lvl w:ilvl="0">
      <w:start w:val="1"/>
      <w:numFmt w:val="decimal"/>
      <w:lvlText w:val="（%1）"/>
      <w:lvlJc w:val="left"/>
      <w:pPr>
        <w:ind w:left="155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406" w:hanging="601"/>
      </w:pPr>
      <w:rPr>
        <w:rFonts w:hint="default"/>
        <w:lang w:val="zh-CN" w:eastAsia="zh-CN" w:bidi="zh-CN"/>
      </w:rPr>
    </w:lvl>
    <w:lvl w:ilvl="2">
      <w:start w:val="0"/>
      <w:numFmt w:val="bullet"/>
      <w:lvlText w:val="•"/>
      <w:lvlJc w:val="left"/>
      <w:pPr>
        <w:ind w:left="3253" w:hanging="601"/>
      </w:pPr>
      <w:rPr>
        <w:rFonts w:hint="default"/>
        <w:lang w:val="zh-CN" w:eastAsia="zh-CN" w:bidi="zh-CN"/>
      </w:rPr>
    </w:lvl>
    <w:lvl w:ilvl="3">
      <w:start w:val="0"/>
      <w:numFmt w:val="bullet"/>
      <w:lvlText w:val="•"/>
      <w:lvlJc w:val="left"/>
      <w:pPr>
        <w:ind w:left="4099" w:hanging="601"/>
      </w:pPr>
      <w:rPr>
        <w:rFonts w:hint="default"/>
        <w:lang w:val="zh-CN" w:eastAsia="zh-CN" w:bidi="zh-CN"/>
      </w:rPr>
    </w:lvl>
    <w:lvl w:ilvl="4">
      <w:start w:val="0"/>
      <w:numFmt w:val="bullet"/>
      <w:lvlText w:val="•"/>
      <w:lvlJc w:val="left"/>
      <w:pPr>
        <w:ind w:left="4946" w:hanging="601"/>
      </w:pPr>
      <w:rPr>
        <w:rFonts w:hint="default"/>
        <w:lang w:val="zh-CN" w:eastAsia="zh-CN" w:bidi="zh-CN"/>
      </w:rPr>
    </w:lvl>
    <w:lvl w:ilvl="5">
      <w:start w:val="0"/>
      <w:numFmt w:val="bullet"/>
      <w:lvlText w:val="•"/>
      <w:lvlJc w:val="left"/>
      <w:pPr>
        <w:ind w:left="5793" w:hanging="601"/>
      </w:pPr>
      <w:rPr>
        <w:rFonts w:hint="default"/>
        <w:lang w:val="zh-CN" w:eastAsia="zh-CN" w:bidi="zh-CN"/>
      </w:rPr>
    </w:lvl>
    <w:lvl w:ilvl="6">
      <w:start w:val="0"/>
      <w:numFmt w:val="bullet"/>
      <w:lvlText w:val="•"/>
      <w:lvlJc w:val="left"/>
      <w:pPr>
        <w:ind w:left="6639" w:hanging="601"/>
      </w:pPr>
      <w:rPr>
        <w:rFonts w:hint="default"/>
        <w:lang w:val="zh-CN" w:eastAsia="zh-CN" w:bidi="zh-CN"/>
      </w:rPr>
    </w:lvl>
    <w:lvl w:ilvl="7">
      <w:start w:val="0"/>
      <w:numFmt w:val="bullet"/>
      <w:lvlText w:val="•"/>
      <w:lvlJc w:val="left"/>
      <w:pPr>
        <w:ind w:left="7486" w:hanging="601"/>
      </w:pPr>
      <w:rPr>
        <w:rFonts w:hint="default"/>
        <w:lang w:val="zh-CN" w:eastAsia="zh-CN" w:bidi="zh-CN"/>
      </w:rPr>
    </w:lvl>
    <w:lvl w:ilvl="8">
      <w:start w:val="0"/>
      <w:numFmt w:val="bullet"/>
      <w:lvlText w:val="•"/>
      <w:lvlJc w:val="left"/>
      <w:pPr>
        <w:ind w:left="8332" w:hanging="601"/>
      </w:pPr>
      <w:rPr>
        <w:rFonts w:hint="default"/>
        <w:lang w:val="zh-CN" w:eastAsia="zh-CN" w:bidi="zh-CN"/>
      </w:rPr>
    </w:lvl>
  </w:abstractNum>
  <w:abstractNum w:abstractNumId="4">
    <w:multiLevelType w:val="hybridMultilevel"/>
    <w:lvl w:ilvl="0">
      <w:start w:val="1"/>
      <w:numFmt w:val="decimal"/>
      <w:lvlText w:val="%1."/>
      <w:lvlJc w:val="left"/>
      <w:pPr>
        <w:ind w:left="790" w:hanging="312"/>
        <w:jc w:val="right"/>
      </w:pPr>
      <w:rPr>
        <w:rFonts w:hint="default" w:ascii="Times New Roman" w:hAnsi="Times New Roman" w:eastAsia="Times New Roman" w:cs="Times New Roman"/>
        <w:b/>
        <w:bCs/>
        <w:w w:val="100"/>
        <w:sz w:val="36"/>
        <w:szCs w:val="36"/>
        <w:lang w:val="zh-CN" w:eastAsia="zh-CN" w:bidi="zh-CN"/>
      </w:rPr>
    </w:lvl>
    <w:lvl w:ilvl="1">
      <w:start w:val="0"/>
      <w:numFmt w:val="bullet"/>
      <w:lvlText w:val="•"/>
      <w:lvlJc w:val="left"/>
      <w:pPr>
        <w:ind w:left="1320" w:hanging="312"/>
      </w:pPr>
      <w:rPr>
        <w:rFonts w:hint="default"/>
        <w:lang w:val="zh-CN" w:eastAsia="zh-CN" w:bidi="zh-CN"/>
      </w:rPr>
    </w:lvl>
    <w:lvl w:ilvl="2">
      <w:start w:val="0"/>
      <w:numFmt w:val="bullet"/>
      <w:lvlText w:val="•"/>
      <w:lvlJc w:val="left"/>
      <w:pPr>
        <w:ind w:left="1841" w:hanging="312"/>
      </w:pPr>
      <w:rPr>
        <w:rFonts w:hint="default"/>
        <w:lang w:val="zh-CN" w:eastAsia="zh-CN" w:bidi="zh-CN"/>
      </w:rPr>
    </w:lvl>
    <w:lvl w:ilvl="3">
      <w:start w:val="0"/>
      <w:numFmt w:val="bullet"/>
      <w:lvlText w:val="•"/>
      <w:lvlJc w:val="left"/>
      <w:pPr>
        <w:ind w:left="2362" w:hanging="312"/>
      </w:pPr>
      <w:rPr>
        <w:rFonts w:hint="default"/>
        <w:lang w:val="zh-CN" w:eastAsia="zh-CN" w:bidi="zh-CN"/>
      </w:rPr>
    </w:lvl>
    <w:lvl w:ilvl="4">
      <w:start w:val="0"/>
      <w:numFmt w:val="bullet"/>
      <w:lvlText w:val="•"/>
      <w:lvlJc w:val="left"/>
      <w:pPr>
        <w:ind w:left="2883" w:hanging="312"/>
      </w:pPr>
      <w:rPr>
        <w:rFonts w:hint="default"/>
        <w:lang w:val="zh-CN" w:eastAsia="zh-CN" w:bidi="zh-CN"/>
      </w:rPr>
    </w:lvl>
    <w:lvl w:ilvl="5">
      <w:start w:val="0"/>
      <w:numFmt w:val="bullet"/>
      <w:lvlText w:val="•"/>
      <w:lvlJc w:val="left"/>
      <w:pPr>
        <w:ind w:left="3404" w:hanging="312"/>
      </w:pPr>
      <w:rPr>
        <w:rFonts w:hint="default"/>
        <w:lang w:val="zh-CN" w:eastAsia="zh-CN" w:bidi="zh-CN"/>
      </w:rPr>
    </w:lvl>
    <w:lvl w:ilvl="6">
      <w:start w:val="0"/>
      <w:numFmt w:val="bullet"/>
      <w:lvlText w:val="•"/>
      <w:lvlJc w:val="left"/>
      <w:pPr>
        <w:ind w:left="3925" w:hanging="312"/>
      </w:pPr>
      <w:rPr>
        <w:rFonts w:hint="default"/>
        <w:lang w:val="zh-CN" w:eastAsia="zh-CN" w:bidi="zh-CN"/>
      </w:rPr>
    </w:lvl>
    <w:lvl w:ilvl="7">
      <w:start w:val="0"/>
      <w:numFmt w:val="bullet"/>
      <w:lvlText w:val="•"/>
      <w:lvlJc w:val="left"/>
      <w:pPr>
        <w:ind w:left="4445" w:hanging="312"/>
      </w:pPr>
      <w:rPr>
        <w:rFonts w:hint="default"/>
        <w:lang w:val="zh-CN" w:eastAsia="zh-CN" w:bidi="zh-CN"/>
      </w:rPr>
    </w:lvl>
    <w:lvl w:ilvl="8">
      <w:start w:val="0"/>
      <w:numFmt w:val="bullet"/>
      <w:lvlText w:val="•"/>
      <w:lvlJc w:val="left"/>
      <w:pPr>
        <w:ind w:left="4966" w:hanging="312"/>
      </w:pPr>
      <w:rPr>
        <w:rFonts w:hint="default"/>
        <w:lang w:val="zh-CN" w:eastAsia="zh-CN" w:bidi="zh-CN"/>
      </w:rPr>
    </w:lvl>
  </w:abstractNum>
  <w:abstractNum w:abstractNumId="3">
    <w:multiLevelType w:val="hybridMultilevel"/>
    <w:lvl w:ilvl="0">
      <w:start w:val="1"/>
      <w:numFmt w:val="decimal"/>
      <w:lvlText w:val="%1"/>
      <w:lvlJc w:val="left"/>
      <w:pPr>
        <w:ind w:left="927" w:hanging="449"/>
        <w:jc w:val="left"/>
      </w:pPr>
      <w:rPr>
        <w:rFonts w:hint="default"/>
        <w:lang w:val="zh-CN" w:eastAsia="zh-CN" w:bidi="zh-CN"/>
      </w:rPr>
    </w:lvl>
    <w:lvl w:ilvl="1">
      <w:start w:val="1"/>
      <w:numFmt w:val="decimal"/>
      <w:lvlText w:val="%1.%2"/>
      <w:lvlJc w:val="left"/>
      <w:pPr>
        <w:ind w:left="927" w:hanging="449"/>
        <w:jc w:val="left"/>
      </w:pPr>
      <w:rPr>
        <w:rFonts w:hint="default" w:ascii="Times New Roman" w:hAnsi="Times New Roman" w:eastAsia="Times New Roman" w:cs="Times New Roman"/>
        <w:b/>
        <w:bCs/>
        <w:spacing w:val="-1"/>
        <w:w w:val="100"/>
        <w:sz w:val="30"/>
        <w:szCs w:val="30"/>
        <w:lang w:val="zh-CN" w:eastAsia="zh-CN" w:bidi="zh-CN"/>
      </w:rPr>
    </w:lvl>
    <w:lvl w:ilvl="2">
      <w:start w:val="1"/>
      <w:numFmt w:val="decimal"/>
      <w:lvlText w:val="（%3）"/>
      <w:lvlJc w:val="left"/>
      <w:pPr>
        <w:ind w:left="1563" w:hanging="605"/>
        <w:jc w:val="left"/>
      </w:pPr>
      <w:rPr>
        <w:rFonts w:hint="default" w:ascii="宋体" w:hAnsi="宋体" w:eastAsia="宋体" w:cs="宋体"/>
        <w:spacing w:val="0"/>
        <w:w w:val="100"/>
        <w:sz w:val="22"/>
        <w:szCs w:val="22"/>
        <w:lang w:val="zh-CN" w:eastAsia="zh-CN" w:bidi="zh-CN"/>
      </w:rPr>
    </w:lvl>
    <w:lvl w:ilvl="3">
      <w:start w:val="0"/>
      <w:numFmt w:val="bullet"/>
      <w:lvlText w:val="•"/>
      <w:lvlJc w:val="left"/>
      <w:pPr>
        <w:ind w:left="1695" w:hanging="605"/>
      </w:pPr>
      <w:rPr>
        <w:rFonts w:hint="default"/>
        <w:lang w:val="zh-CN" w:eastAsia="zh-CN" w:bidi="zh-CN"/>
      </w:rPr>
    </w:lvl>
    <w:lvl w:ilvl="4">
      <w:start w:val="0"/>
      <w:numFmt w:val="bullet"/>
      <w:lvlText w:val="•"/>
      <w:lvlJc w:val="left"/>
      <w:pPr>
        <w:ind w:left="1763" w:hanging="605"/>
      </w:pPr>
      <w:rPr>
        <w:rFonts w:hint="default"/>
        <w:lang w:val="zh-CN" w:eastAsia="zh-CN" w:bidi="zh-CN"/>
      </w:rPr>
    </w:lvl>
    <w:lvl w:ilvl="5">
      <w:start w:val="0"/>
      <w:numFmt w:val="bullet"/>
      <w:lvlText w:val="•"/>
      <w:lvlJc w:val="left"/>
      <w:pPr>
        <w:ind w:left="1830" w:hanging="605"/>
      </w:pPr>
      <w:rPr>
        <w:rFonts w:hint="default"/>
        <w:lang w:val="zh-CN" w:eastAsia="zh-CN" w:bidi="zh-CN"/>
      </w:rPr>
    </w:lvl>
    <w:lvl w:ilvl="6">
      <w:start w:val="0"/>
      <w:numFmt w:val="bullet"/>
      <w:lvlText w:val="•"/>
      <w:lvlJc w:val="left"/>
      <w:pPr>
        <w:ind w:left="1898" w:hanging="605"/>
      </w:pPr>
      <w:rPr>
        <w:rFonts w:hint="default"/>
        <w:lang w:val="zh-CN" w:eastAsia="zh-CN" w:bidi="zh-CN"/>
      </w:rPr>
    </w:lvl>
    <w:lvl w:ilvl="7">
      <w:start w:val="0"/>
      <w:numFmt w:val="bullet"/>
      <w:lvlText w:val="•"/>
      <w:lvlJc w:val="left"/>
      <w:pPr>
        <w:ind w:left="1966" w:hanging="605"/>
      </w:pPr>
      <w:rPr>
        <w:rFonts w:hint="default"/>
        <w:lang w:val="zh-CN" w:eastAsia="zh-CN" w:bidi="zh-CN"/>
      </w:rPr>
    </w:lvl>
    <w:lvl w:ilvl="8">
      <w:start w:val="0"/>
      <w:numFmt w:val="bullet"/>
      <w:lvlText w:val="•"/>
      <w:lvlJc w:val="left"/>
      <w:pPr>
        <w:ind w:left="2034" w:hanging="605"/>
      </w:pPr>
      <w:rPr>
        <w:rFonts w:hint="default"/>
        <w:lang w:val="zh-CN" w:eastAsia="zh-CN" w:bidi="zh-CN"/>
      </w:rPr>
    </w:lvl>
  </w:abstractNum>
  <w:abstractNum w:abstractNumId="2">
    <w:multiLevelType w:val="hybridMultilevel"/>
    <w:lvl w:ilvl="0">
      <w:start w:val="11"/>
      <w:numFmt w:val="decimal"/>
      <w:lvlText w:val="%1"/>
      <w:lvlJc w:val="left"/>
      <w:pPr>
        <w:ind w:left="1347" w:hanging="449"/>
        <w:jc w:val="left"/>
      </w:pPr>
      <w:rPr>
        <w:rFonts w:hint="default"/>
        <w:lang w:val="zh-CN" w:eastAsia="zh-CN" w:bidi="zh-CN"/>
      </w:rPr>
    </w:lvl>
    <w:lvl w:ilvl="1">
      <w:start w:val="2"/>
      <w:numFmt w:val="decimal"/>
      <w:lvlText w:val="%1.%2"/>
      <w:lvlJc w:val="left"/>
      <w:pPr>
        <w:ind w:left="1347" w:hanging="449"/>
        <w:jc w:val="left"/>
      </w:pPr>
      <w:rPr>
        <w:rFonts w:hint="default" w:ascii="Times New Roman" w:hAnsi="Times New Roman" w:eastAsia="Times New Roman" w:cs="Times New Roman"/>
        <w:spacing w:val="-2"/>
        <w:w w:val="99"/>
        <w:sz w:val="20"/>
        <w:szCs w:val="20"/>
        <w:lang w:val="zh-CN" w:eastAsia="zh-CN" w:bidi="zh-CN"/>
      </w:rPr>
    </w:lvl>
    <w:lvl w:ilvl="2">
      <w:start w:val="0"/>
      <w:numFmt w:val="bullet"/>
      <w:lvlText w:val="•"/>
      <w:lvlJc w:val="left"/>
      <w:pPr>
        <w:ind w:left="3077" w:hanging="449"/>
      </w:pPr>
      <w:rPr>
        <w:rFonts w:hint="default"/>
        <w:lang w:val="zh-CN" w:eastAsia="zh-CN" w:bidi="zh-CN"/>
      </w:rPr>
    </w:lvl>
    <w:lvl w:ilvl="3">
      <w:start w:val="0"/>
      <w:numFmt w:val="bullet"/>
      <w:lvlText w:val="•"/>
      <w:lvlJc w:val="left"/>
      <w:pPr>
        <w:ind w:left="3945" w:hanging="449"/>
      </w:pPr>
      <w:rPr>
        <w:rFonts w:hint="default"/>
        <w:lang w:val="zh-CN" w:eastAsia="zh-CN" w:bidi="zh-CN"/>
      </w:rPr>
    </w:lvl>
    <w:lvl w:ilvl="4">
      <w:start w:val="0"/>
      <w:numFmt w:val="bullet"/>
      <w:lvlText w:val="•"/>
      <w:lvlJc w:val="left"/>
      <w:pPr>
        <w:ind w:left="4814" w:hanging="449"/>
      </w:pPr>
      <w:rPr>
        <w:rFonts w:hint="default"/>
        <w:lang w:val="zh-CN" w:eastAsia="zh-CN" w:bidi="zh-CN"/>
      </w:rPr>
    </w:lvl>
    <w:lvl w:ilvl="5">
      <w:start w:val="0"/>
      <w:numFmt w:val="bullet"/>
      <w:lvlText w:val="•"/>
      <w:lvlJc w:val="left"/>
      <w:pPr>
        <w:ind w:left="5683" w:hanging="449"/>
      </w:pPr>
      <w:rPr>
        <w:rFonts w:hint="default"/>
        <w:lang w:val="zh-CN" w:eastAsia="zh-CN" w:bidi="zh-CN"/>
      </w:rPr>
    </w:lvl>
    <w:lvl w:ilvl="6">
      <w:start w:val="0"/>
      <w:numFmt w:val="bullet"/>
      <w:lvlText w:val="•"/>
      <w:lvlJc w:val="left"/>
      <w:pPr>
        <w:ind w:left="6551" w:hanging="449"/>
      </w:pPr>
      <w:rPr>
        <w:rFonts w:hint="default"/>
        <w:lang w:val="zh-CN" w:eastAsia="zh-CN" w:bidi="zh-CN"/>
      </w:rPr>
    </w:lvl>
    <w:lvl w:ilvl="7">
      <w:start w:val="0"/>
      <w:numFmt w:val="bullet"/>
      <w:lvlText w:val="•"/>
      <w:lvlJc w:val="left"/>
      <w:pPr>
        <w:ind w:left="7420" w:hanging="449"/>
      </w:pPr>
      <w:rPr>
        <w:rFonts w:hint="default"/>
        <w:lang w:val="zh-CN" w:eastAsia="zh-CN" w:bidi="zh-CN"/>
      </w:rPr>
    </w:lvl>
    <w:lvl w:ilvl="8">
      <w:start w:val="0"/>
      <w:numFmt w:val="bullet"/>
      <w:lvlText w:val="•"/>
      <w:lvlJc w:val="left"/>
      <w:pPr>
        <w:ind w:left="8288" w:hanging="449"/>
      </w:pPr>
      <w:rPr>
        <w:rFonts w:hint="default"/>
        <w:lang w:val="zh-CN" w:eastAsia="zh-CN" w:bidi="zh-CN"/>
      </w:rPr>
    </w:lvl>
  </w:abstractNum>
  <w:abstractNum w:abstractNumId="1">
    <w:multiLevelType w:val="hybridMultilevel"/>
    <w:lvl w:ilvl="0">
      <w:start w:val="6"/>
      <w:numFmt w:val="decimal"/>
      <w:lvlText w:val="%1"/>
      <w:lvlJc w:val="left"/>
      <w:pPr>
        <w:ind w:left="1248" w:hanging="351"/>
        <w:jc w:val="left"/>
      </w:pPr>
      <w:rPr>
        <w:rFonts w:hint="default"/>
        <w:lang w:val="zh-CN" w:eastAsia="zh-CN" w:bidi="zh-CN"/>
      </w:rPr>
    </w:lvl>
    <w:lvl w:ilvl="1">
      <w:start w:val="2"/>
      <w:numFmt w:val="decimal"/>
      <w:lvlText w:val="%1.%2"/>
      <w:lvlJc w:val="left"/>
      <w:pPr>
        <w:ind w:left="1248" w:hanging="351"/>
        <w:jc w:val="left"/>
      </w:pPr>
      <w:rPr>
        <w:rFonts w:hint="default" w:ascii="Times New Roman" w:hAnsi="Times New Roman" w:eastAsia="Times New Roman" w:cs="Times New Roman"/>
        <w:spacing w:val="-2"/>
        <w:w w:val="99"/>
        <w:sz w:val="20"/>
        <w:szCs w:val="20"/>
        <w:lang w:val="zh-CN" w:eastAsia="zh-CN" w:bidi="zh-CN"/>
      </w:rPr>
    </w:lvl>
    <w:lvl w:ilvl="2">
      <w:start w:val="0"/>
      <w:numFmt w:val="bullet"/>
      <w:lvlText w:val="•"/>
      <w:lvlJc w:val="left"/>
      <w:pPr>
        <w:ind w:left="2997" w:hanging="351"/>
      </w:pPr>
      <w:rPr>
        <w:rFonts w:hint="default"/>
        <w:lang w:val="zh-CN" w:eastAsia="zh-CN" w:bidi="zh-CN"/>
      </w:rPr>
    </w:lvl>
    <w:lvl w:ilvl="3">
      <w:start w:val="0"/>
      <w:numFmt w:val="bullet"/>
      <w:lvlText w:val="•"/>
      <w:lvlJc w:val="left"/>
      <w:pPr>
        <w:ind w:left="3875" w:hanging="351"/>
      </w:pPr>
      <w:rPr>
        <w:rFonts w:hint="default"/>
        <w:lang w:val="zh-CN" w:eastAsia="zh-CN" w:bidi="zh-CN"/>
      </w:rPr>
    </w:lvl>
    <w:lvl w:ilvl="4">
      <w:start w:val="0"/>
      <w:numFmt w:val="bullet"/>
      <w:lvlText w:val="•"/>
      <w:lvlJc w:val="left"/>
      <w:pPr>
        <w:ind w:left="4754" w:hanging="351"/>
      </w:pPr>
      <w:rPr>
        <w:rFonts w:hint="default"/>
        <w:lang w:val="zh-CN" w:eastAsia="zh-CN" w:bidi="zh-CN"/>
      </w:rPr>
    </w:lvl>
    <w:lvl w:ilvl="5">
      <w:start w:val="0"/>
      <w:numFmt w:val="bullet"/>
      <w:lvlText w:val="•"/>
      <w:lvlJc w:val="left"/>
      <w:pPr>
        <w:ind w:left="5633" w:hanging="351"/>
      </w:pPr>
      <w:rPr>
        <w:rFonts w:hint="default"/>
        <w:lang w:val="zh-CN" w:eastAsia="zh-CN" w:bidi="zh-CN"/>
      </w:rPr>
    </w:lvl>
    <w:lvl w:ilvl="6">
      <w:start w:val="0"/>
      <w:numFmt w:val="bullet"/>
      <w:lvlText w:val="•"/>
      <w:lvlJc w:val="left"/>
      <w:pPr>
        <w:ind w:left="6511" w:hanging="351"/>
      </w:pPr>
      <w:rPr>
        <w:rFonts w:hint="default"/>
        <w:lang w:val="zh-CN" w:eastAsia="zh-CN" w:bidi="zh-CN"/>
      </w:rPr>
    </w:lvl>
    <w:lvl w:ilvl="7">
      <w:start w:val="0"/>
      <w:numFmt w:val="bullet"/>
      <w:lvlText w:val="•"/>
      <w:lvlJc w:val="left"/>
      <w:pPr>
        <w:ind w:left="7390" w:hanging="351"/>
      </w:pPr>
      <w:rPr>
        <w:rFonts w:hint="default"/>
        <w:lang w:val="zh-CN" w:eastAsia="zh-CN" w:bidi="zh-CN"/>
      </w:rPr>
    </w:lvl>
    <w:lvl w:ilvl="8">
      <w:start w:val="0"/>
      <w:numFmt w:val="bullet"/>
      <w:lvlText w:val="•"/>
      <w:lvlJc w:val="left"/>
      <w:pPr>
        <w:ind w:left="8268" w:hanging="351"/>
      </w:pPr>
      <w:rPr>
        <w:rFonts w:hint="default"/>
        <w:lang w:val="zh-CN" w:eastAsia="zh-CN" w:bidi="zh-CN"/>
      </w:rPr>
    </w:lvl>
  </w:abstractNum>
  <w:abstractNum w:abstractNumId="0">
    <w:multiLevelType w:val="hybridMultilevel"/>
    <w:lvl w:ilvl="0">
      <w:start w:val="1"/>
      <w:numFmt w:val="decimal"/>
      <w:lvlText w:val="%1."/>
      <w:lvlJc w:val="left"/>
      <w:pPr>
        <w:ind w:left="728" w:hanging="250"/>
        <w:jc w:val="left"/>
      </w:pPr>
      <w:rPr>
        <w:rFonts w:hint="default" w:ascii="Times New Roman" w:hAnsi="Times New Roman" w:eastAsia="Times New Roman" w:cs="Times New Roman"/>
        <w:b/>
        <w:bCs/>
        <w:spacing w:val="0"/>
        <w:w w:val="99"/>
        <w:sz w:val="20"/>
        <w:szCs w:val="20"/>
        <w:lang w:val="zh-CN" w:eastAsia="zh-CN" w:bidi="zh-CN"/>
      </w:rPr>
    </w:lvl>
    <w:lvl w:ilvl="1">
      <w:start w:val="1"/>
      <w:numFmt w:val="decimal"/>
      <w:lvlText w:val="%1.%2"/>
      <w:lvlJc w:val="left"/>
      <w:pPr>
        <w:ind w:left="1198" w:hanging="300"/>
        <w:jc w:val="left"/>
      </w:pPr>
      <w:rPr>
        <w:rFonts w:hint="default" w:ascii="Times New Roman" w:hAnsi="Times New Roman" w:eastAsia="Times New Roman" w:cs="Times New Roman"/>
        <w:spacing w:val="0"/>
        <w:w w:val="99"/>
        <w:sz w:val="20"/>
        <w:szCs w:val="20"/>
        <w:lang w:val="zh-CN" w:eastAsia="zh-CN" w:bidi="zh-CN"/>
      </w:rPr>
    </w:lvl>
    <w:lvl w:ilvl="2">
      <w:start w:val="0"/>
      <w:numFmt w:val="bullet"/>
      <w:lvlText w:val="•"/>
      <w:lvlJc w:val="left"/>
      <w:pPr>
        <w:ind w:left="1240" w:hanging="300"/>
      </w:pPr>
      <w:rPr>
        <w:rFonts w:hint="default"/>
        <w:lang w:val="zh-CN" w:eastAsia="zh-CN" w:bidi="zh-CN"/>
      </w:rPr>
    </w:lvl>
    <w:lvl w:ilvl="3">
      <w:start w:val="0"/>
      <w:numFmt w:val="bullet"/>
      <w:lvlText w:val="•"/>
      <w:lvlJc w:val="left"/>
      <w:pPr>
        <w:ind w:left="1300" w:hanging="300"/>
      </w:pPr>
      <w:rPr>
        <w:rFonts w:hint="default"/>
        <w:lang w:val="zh-CN" w:eastAsia="zh-CN" w:bidi="zh-CN"/>
      </w:rPr>
    </w:lvl>
    <w:lvl w:ilvl="4">
      <w:start w:val="0"/>
      <w:numFmt w:val="bullet"/>
      <w:lvlText w:val="•"/>
      <w:lvlJc w:val="left"/>
      <w:pPr>
        <w:ind w:left="1340" w:hanging="300"/>
      </w:pPr>
      <w:rPr>
        <w:rFonts w:hint="default"/>
        <w:lang w:val="zh-CN" w:eastAsia="zh-CN" w:bidi="zh-CN"/>
      </w:rPr>
    </w:lvl>
    <w:lvl w:ilvl="5">
      <w:start w:val="0"/>
      <w:numFmt w:val="bullet"/>
      <w:lvlText w:val="•"/>
      <w:lvlJc w:val="left"/>
      <w:pPr>
        <w:ind w:left="2787" w:hanging="300"/>
      </w:pPr>
      <w:rPr>
        <w:rFonts w:hint="default"/>
        <w:lang w:val="zh-CN" w:eastAsia="zh-CN" w:bidi="zh-CN"/>
      </w:rPr>
    </w:lvl>
    <w:lvl w:ilvl="6">
      <w:start w:val="0"/>
      <w:numFmt w:val="bullet"/>
      <w:lvlText w:val="•"/>
      <w:lvlJc w:val="left"/>
      <w:pPr>
        <w:ind w:left="4235" w:hanging="300"/>
      </w:pPr>
      <w:rPr>
        <w:rFonts w:hint="default"/>
        <w:lang w:val="zh-CN" w:eastAsia="zh-CN" w:bidi="zh-CN"/>
      </w:rPr>
    </w:lvl>
    <w:lvl w:ilvl="7">
      <w:start w:val="0"/>
      <w:numFmt w:val="bullet"/>
      <w:lvlText w:val="•"/>
      <w:lvlJc w:val="left"/>
      <w:pPr>
        <w:ind w:left="5683" w:hanging="300"/>
      </w:pPr>
      <w:rPr>
        <w:rFonts w:hint="default"/>
        <w:lang w:val="zh-CN" w:eastAsia="zh-CN" w:bidi="zh-CN"/>
      </w:rPr>
    </w:lvl>
    <w:lvl w:ilvl="8">
      <w:start w:val="0"/>
      <w:numFmt w:val="bullet"/>
      <w:lvlText w:val="•"/>
      <w:lvlJc w:val="left"/>
      <w:pPr>
        <w:ind w:left="7130" w:hanging="300"/>
      </w:pPr>
      <w:rPr>
        <w:rFonts w:hint="default"/>
        <w:lang w:val="zh-CN" w:eastAsia="zh-CN" w:bidi="zh-CN"/>
      </w:rPr>
    </w:lvl>
  </w:abstract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3"/>
      <w:ind w:left="828" w:right="474" w:hanging="829"/>
      <w:jc w:val="right"/>
    </w:pPr>
    <w:rPr>
      <w:rFonts w:ascii="宋体" w:hAnsi="宋体" w:eastAsia="宋体" w:cs="宋体"/>
      <w:b/>
      <w:bCs/>
      <w:sz w:val="20"/>
      <w:szCs w:val="20"/>
      <w:lang w:val="zh-CN" w:eastAsia="zh-CN" w:bidi="zh-CN"/>
    </w:rPr>
  </w:style>
  <w:style w:styleId="TOC2" w:type="paragraph">
    <w:name w:val="TOC 2"/>
    <w:basedOn w:val="Normal"/>
    <w:uiPriority w:val="1"/>
    <w:qFormat/>
    <w:pPr>
      <w:spacing w:before="3"/>
      <w:ind w:left="1296" w:right="474" w:hanging="1297"/>
      <w:jc w:val="right"/>
    </w:pPr>
    <w:rPr>
      <w:rFonts w:ascii="宋体" w:hAnsi="宋体" w:eastAsia="宋体" w:cs="宋体"/>
      <w:sz w:val="20"/>
      <w:szCs w:val="20"/>
      <w:lang w:val="zh-CN" w:eastAsia="zh-CN" w:bidi="zh-CN"/>
    </w:rPr>
  </w:style>
  <w:style w:styleId="TOC3" w:type="paragraph">
    <w:name w:val="TOC 3"/>
    <w:basedOn w:val="Normal"/>
    <w:uiPriority w:val="1"/>
    <w:qFormat/>
    <w:pPr>
      <w:spacing w:before="3"/>
      <w:ind w:left="1198" w:hanging="301"/>
    </w:pPr>
    <w:rPr>
      <w:rFonts w:ascii="宋体" w:hAnsi="宋体" w:eastAsia="宋体" w:cs="宋体"/>
      <w:sz w:val="20"/>
      <w:szCs w:val="20"/>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41"/>
      <w:ind w:left="473" w:hanging="632"/>
      <w:outlineLvl w:val="1"/>
    </w:pPr>
    <w:rPr>
      <w:rFonts w:ascii="宋体" w:hAnsi="宋体" w:eastAsia="宋体" w:cs="宋体"/>
      <w:b/>
      <w:bCs/>
      <w:sz w:val="36"/>
      <w:szCs w:val="36"/>
      <w:lang w:val="zh-CN" w:eastAsia="zh-CN" w:bidi="zh-CN"/>
    </w:rPr>
  </w:style>
  <w:style w:styleId="Heading2" w:type="paragraph">
    <w:name w:val="Heading 2"/>
    <w:basedOn w:val="Normal"/>
    <w:uiPriority w:val="1"/>
    <w:qFormat/>
    <w:pPr>
      <w:ind w:left="1160" w:hanging="450"/>
      <w:outlineLvl w:val="2"/>
    </w:pPr>
    <w:rPr>
      <w:rFonts w:ascii="宋体" w:hAnsi="宋体" w:eastAsia="宋体" w:cs="宋体"/>
      <w:b/>
      <w:bCs/>
      <w:sz w:val="30"/>
      <w:szCs w:val="30"/>
      <w:lang w:val="zh-CN" w:eastAsia="zh-CN" w:bidi="zh-CN"/>
    </w:rPr>
  </w:style>
  <w:style w:styleId="Heading3" w:type="paragraph">
    <w:name w:val="Heading 3"/>
    <w:basedOn w:val="Normal"/>
    <w:uiPriority w:val="1"/>
    <w:qFormat/>
    <w:pPr>
      <w:ind w:left="1340" w:hanging="630"/>
      <w:outlineLvl w:val="3"/>
    </w:pPr>
    <w:rPr>
      <w:rFonts w:ascii="宋体" w:hAnsi="宋体" w:eastAsia="宋体" w:cs="宋体"/>
      <w:b/>
      <w:bCs/>
      <w:sz w:val="28"/>
      <w:szCs w:val="28"/>
      <w:lang w:val="zh-CN" w:eastAsia="zh-CN" w:bidi="zh-CN"/>
    </w:rPr>
  </w:style>
  <w:style w:styleId="Heading4" w:type="paragraph">
    <w:name w:val="Heading 4"/>
    <w:basedOn w:val="Normal"/>
    <w:uiPriority w:val="1"/>
    <w:qFormat/>
    <w:pPr>
      <w:outlineLvl w:val="4"/>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1793" w:hanging="602"/>
    </w:pPr>
    <w:rPr>
      <w:rFonts w:ascii="宋体" w:hAnsi="宋体" w:eastAsia="宋体" w:cs="宋体"/>
      <w:lang w:val="zh-CN" w:eastAsia="zh-CN" w:bidi="zh-CN"/>
    </w:rPr>
  </w:style>
  <w:style w:styleId="TableParagraph" w:type="paragraph">
    <w:name w:val="Table Paragraph"/>
    <w:basedOn w:val="Normal"/>
    <w:uiPriority w:val="1"/>
    <w:qFormat/>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www.bidcenter.com.cn/newssearchyz-66418654.html" TargetMode="External"/><Relationship Id="rId7" Type="http://schemas.openxmlformats.org/officeDocument/2006/relationships/image" Target="media/image1.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jpeg"/><Relationship Id="rId12" Type="http://schemas.openxmlformats.org/officeDocument/2006/relationships/footer" Target="footer5.xm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footer" Target="footer6.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yperlink" Target="http://www.mee.gov.cn/gkml/hbb/bgg/201501/W020150107594588131490.pdf"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footer" Target="footer7.xml"/><Relationship Id="rId28" Type="http://schemas.openxmlformats.org/officeDocument/2006/relationships/image" Target="media/image15.jpeg"/><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jpeg"/><Relationship Id="rId34" Type="http://schemas.openxmlformats.org/officeDocument/2006/relationships/footer" Target="footer10.xml"/><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footer" Target="footer11.xml"/><Relationship Id="rId38" Type="http://schemas.openxmlformats.org/officeDocument/2006/relationships/image" Target="media/image21.jpeg"/><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jpe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footer" Target="footer14.xml"/><Relationship Id="rId50" Type="http://schemas.openxmlformats.org/officeDocument/2006/relationships/image" Target="media/image30.jpeg"/><Relationship Id="rId51" Type="http://schemas.openxmlformats.org/officeDocument/2006/relationships/image" Target="media/image31.jpeg"/><Relationship Id="rId52" Type="http://schemas.openxmlformats.org/officeDocument/2006/relationships/footer" Target="footer15.xml"/><Relationship Id="rId53" Type="http://schemas.openxmlformats.org/officeDocument/2006/relationships/hyperlink" Target="http://www.es.org.cn/siteadmin/File/StdView.php?bzlistID=1465" TargetMode="Externa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image" Target="media/image32.jpeg"/><Relationship Id="rId57" Type="http://schemas.openxmlformats.org/officeDocument/2006/relationships/footer" Target="footer18.xml"/><Relationship Id="rId58" Type="http://schemas.openxmlformats.org/officeDocument/2006/relationships/footer" Target="footer19.xml"/><Relationship Id="rId59" Type="http://schemas.openxmlformats.org/officeDocument/2006/relationships/footer" Target="footer20.xml"/><Relationship Id="rId60" Type="http://schemas.openxmlformats.org/officeDocument/2006/relationships/image" Target="media/image33.jpeg"/><Relationship Id="rId61" Type="http://schemas.openxmlformats.org/officeDocument/2006/relationships/footer" Target="footer21.xml"/><Relationship Id="rId62" Type="http://schemas.openxmlformats.org/officeDocument/2006/relationships/footer" Target="footer22.xml"/><Relationship Id="rId63" Type="http://schemas.openxmlformats.org/officeDocument/2006/relationships/footer" Target="footer23.xml"/><Relationship Id="rId64" Type="http://schemas.openxmlformats.org/officeDocument/2006/relationships/footer" Target="footer24.xml"/><Relationship Id="rId65" Type="http://schemas.openxmlformats.org/officeDocument/2006/relationships/footer" Target="footer25.xml"/><Relationship Id="rId66" Type="http://schemas.openxmlformats.org/officeDocument/2006/relationships/footer" Target="footer26.xml"/><Relationship Id="rId67" Type="http://schemas.openxmlformats.org/officeDocument/2006/relationships/image" Target="media/image34.jpeg"/><Relationship Id="rId68" Type="http://schemas.openxmlformats.org/officeDocument/2006/relationships/footer" Target="footer27.xml"/><Relationship Id="rId69" Type="http://schemas.openxmlformats.org/officeDocument/2006/relationships/footer" Target="footer28.xml"/><Relationship Id="rId70" Type="http://schemas.openxmlformats.org/officeDocument/2006/relationships/footer" Target="footer29.xml"/><Relationship Id="rId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前    言</dc:title>
  <dcterms:created xsi:type="dcterms:W3CDTF">2020-10-19T09:45:04Z</dcterms:created>
  <dcterms:modified xsi:type="dcterms:W3CDTF">2020-10-19T09:45:04Z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2020-10-16T00:00:00Z</vt:filetime>
  </property>
  <property fmtid="{D5CDD505-2E9C-101B-9397-08002B2CF9AE}" pid="3" name="Creator">
    <vt:lpwstr>WPS Office</vt:lpwstr>
  </property>
  <property fmtid="{D5CDD505-2E9C-101B-9397-08002B2CF9AE}" pid="4" name="LastSaved">
    <vt:filetime>2020-10-19T00:00:00Z</vt:filetime>
  </property>
</Properties>
</file>