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p>
    <w:p>
      <w:pPr>
        <w:pStyle w:val="2"/>
        <w:spacing w:before="33"/>
        <w:ind w:left="6391" w:right="6151"/>
        <w:jc w:val="center"/>
        <w:rPr>
          <w:w w:val="99"/>
        </w:rPr>
      </w:pPr>
      <w:r>
        <w:t>卫生健康领域基层政务公开标准目录（试行）</w:t>
      </w:r>
      <w:r>
        <w:rPr>
          <w:w w:val="99"/>
        </w:rPr>
        <w:t xml:space="preserve"> </w:t>
      </w: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 xml:space="preserve">0101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color w:val="000000"/>
                <w:sz w:val="23"/>
              </w:rPr>
              <w:t>对医疗机构未取得《医疗机构执业许可证》擅自开展性病诊疗活动的处罚</w:t>
            </w: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color w:val="000000"/>
                <w:sz w:val="23"/>
              </w:rPr>
              <w:t>不具备集中处置医疗废物条件的农村医疗卫生机构未按规定处置医疗废物的处罚</w:t>
            </w: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256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【行政法规】《医疗废物管理条例》（中华人民共和国国务院令第380号）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【部门规章及规范性文件】《医疗卫生机构医疗废物管理办法》(中华人民共和国卫生部令第36号)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vAlign w:val="center"/>
          </w:tcPr>
          <w:p>
            <w:pPr>
              <w:pStyle w:val="10"/>
              <w:jc w:val="center"/>
              <w:rPr>
                <w:b/>
                <w:sz w:val="24"/>
              </w:rPr>
            </w:pPr>
          </w:p>
          <w:p>
            <w:pPr>
              <w:pStyle w:val="10"/>
              <w:jc w:val="center"/>
              <w:rPr>
                <w:b/>
                <w:sz w:val="24"/>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对消毒服务机构消毒后的物品未达到卫生标准和要求的处罚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rPr>
                <w:trHeight w:val="1749"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检疫传染病病人、疑似检疫传染病病人以及与其密切接触者隐瞒真实情况、逃避交通卫生检疫的处罚 </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749"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5</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临床用血的检测、分离、包装、储存、运输不符合国家规定的处罚 </w:t>
            </w:r>
          </w:p>
          <w:p>
            <w:pPr>
              <w:pStyle w:val="10"/>
              <w:rPr>
                <w:b/>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207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【法律】《中华人民共和国献血法》（中华人民共和国主席令第93号） </w:t>
                  </w:r>
                </w:p>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【部门规章及规范性文件】《血站管理办法》（中华人民共和国卫生部令第44号发布 2017年12月26日修订）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6</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卫生主管部门、疾病预防控制机构、接种单位以外的单位或者个人违规进行群体性预防接种的处罚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58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【行政法规】《疫苗流通和预防接种管理条例》（中华人民共和国国务院令第434号 2016年4月23日《国务院关于修改&lt;疫苗流通和预防接种管理条例&gt;的决定》修订）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7</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未经核准擅自使用抗菌药物开展静脉输注活动的处罚 </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010</w:t>
            </w:r>
            <w:r>
              <w:rPr>
                <w:rFonts w:hint="eastAsia"/>
                <w:sz w:val="24"/>
                <w:lang w:val="en-US"/>
              </w:rPr>
              <w:t>8</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未经批准，擅自从事戒毒治疗业务的处罚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w:t>
            </w:r>
            <w:r>
              <w:rPr>
                <w:rFonts w:hint="eastAsia"/>
                <w:sz w:val="24"/>
              </w:rPr>
              <w:t>09</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未依照规定建立并保存疫苗接受或者购进记录的处罚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586"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【行政法规】《疫苗流通和预防接种管理条例》（中华人民共和国国务院令第434号 2016年4月23日《国务院关于修改&lt;疫苗流通和预防接种管理条例&gt;的决定》修订）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0</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未种、漏种或迟种卡介苗、不报、漏报、谎报、迟报结核病疫情、发现肺结核和疑似肺结核病人未转诊、擅自收治肺结核病人、在卡介苗接种工作中发生责任事故的处罚 </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消毒产品生产经营单位产品的标签（含说明书）和宣传内容不真实，出现或暗示对疾病治疗效果；生产经营无生产企业卫生许可证、新消毒产品卫生许可批件或产品卫生安全评价不合格或卫生质量不符合要求的消毒产品的处罚</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w:t>
            </w:r>
            <w:r>
              <w:rPr>
                <w:rFonts w:hint="eastAsia"/>
                <w:sz w:val="24"/>
              </w:rPr>
              <w:t>12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药师未按照规定审核、调剂抗菌药物处方，情节严重的，未按照规定私自增加抗菌药物品种或者品规的处罚</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医疗机构无专职或者兼职人员负责本单位药品不良反应监测工作；未按照要求开展药品不良反应或者群体不良事件报告、调查、评价和处理；不配合严重药品不良反应和群体不良事件相关调查工作的处罚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单位未依规对因生产、工作必须接触疫水的人员采取防护措施，或者未定期组织进行血吸虫病的专项体检；对政府有关部门采取的预防、控制措施不予配合；在血吸虫病防治地区施用未经无害化处理粪便的处罚  </w:t>
            </w: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011</w:t>
            </w:r>
            <w:r>
              <w:rPr>
                <w:rFonts w:hint="eastAsia"/>
                <w:sz w:val="24"/>
                <w:lang w:val="en-US"/>
              </w:rPr>
              <w:t>5</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执行职务的医疗卫生人员或个体行医人员不报、漏报、迟报、瞒报、缓报、谎报传染病疫情或突发性公共卫生事件的处罚</w:t>
            </w:r>
          </w:p>
          <w:p>
            <w:pPr>
              <w:pStyle w:val="10"/>
              <w:rPr>
                <w:b/>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【行政法规】《医疗机构管理条例》（中华人民共和国国务院令第149号 2016年2月6日修改） </w:t>
            </w:r>
          </w:p>
          <w:p>
            <w:pPr>
              <w:rPr>
                <w:color w:val="000000"/>
                <w:sz w:val="23"/>
              </w:rPr>
            </w:pPr>
            <w:r>
              <w:rPr>
                <w:rFonts w:hint="eastAsia"/>
                <w:color w:val="000000"/>
                <w:sz w:val="23"/>
              </w:rPr>
              <w:t xml:space="preserve">【部门规章及规范性文件】《性病防治管理办法》（中华人民共和国卫生部令第15号） </w:t>
            </w:r>
          </w:p>
          <w:p>
            <w:pPr>
              <w:rPr>
                <w:color w:val="000000"/>
                <w:sz w:val="23"/>
              </w:rPr>
            </w:pPr>
            <w:r>
              <w:rPr>
                <w:rFonts w:hint="eastAsia"/>
                <w:color w:val="000000"/>
                <w:sz w:val="23"/>
              </w:rPr>
              <w:t xml:space="preserve">【部门规章及规范性文件】《医疗机构管理条例实施细则》（中华人民共和国卫生部令第35号） </w:t>
            </w:r>
          </w:p>
          <w:p>
            <w:pPr>
              <w:pStyle w:val="10"/>
              <w:spacing w:before="1" w:line="254" w:lineRule="auto"/>
              <w:ind w:left="111" w:right="284"/>
              <w:jc w:val="both"/>
              <w:rPr>
                <w:sz w:val="24"/>
              </w:rPr>
            </w:pPr>
            <w:r>
              <w:rPr>
                <w:rFonts w:hint="eastAsia"/>
                <w:color w:val="000000"/>
                <w:sz w:val="23"/>
              </w:rPr>
              <w:t xml:space="preserve">【部门规章及规范性文件】《卫生行政处罚程序》（1997年6月19日中华人民共和国卫生部令第53号）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lang w:val="en-US"/>
              </w:rPr>
              <w:t>116</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01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ascii="微软雅黑" w:hAnsi="微软雅黑" w:eastAsia="微软雅黑" w:cs="微软雅黑"/>
                <w:color w:val="000000"/>
              </w:rPr>
              <w:t>公共场</w:t>
            </w:r>
            <w:r>
              <w:rPr>
                <w:rFonts w:hint="eastAsia" w:ascii="微软雅黑" w:hAnsi="微软雅黑" w:eastAsia="微软雅黑" w:cs="微软雅黑"/>
                <w:color w:val="000000"/>
              </w:rPr>
              <w:t>所</w:t>
            </w:r>
            <w:r>
              <w:rPr>
                <w:rFonts w:ascii="微软雅黑" w:hAnsi="微软雅黑" w:eastAsia="微软雅黑" w:cs="微软雅黑"/>
                <w:color w:val="000000"/>
              </w:rPr>
              <w:t>卫生</w:t>
            </w:r>
            <w:r>
              <w:rPr>
                <w:rFonts w:hint="eastAsia" w:ascii="微软雅黑" w:hAnsi="微软雅黑" w:eastAsia="微软雅黑" w:cs="微软雅黑"/>
                <w:color w:val="000000"/>
              </w:rPr>
              <w:t>违法行为的处罚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913" w:hRule="atLeast"/>
              </w:trPr>
              <w:tc>
                <w:tcPr>
                  <w:tcW w:w="4740" w:type="dxa"/>
                  <w:tcBorders>
                    <w:tl2br w:val="nil"/>
                    <w:tr2bl w:val="nil"/>
                  </w:tcBorders>
                </w:tcPr>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【行政法规】《公共场所卫生管理条例》（国发〔1987〕24号 2016年2月6日修订） </w:t>
                  </w:r>
                </w:p>
                <w:p>
                  <w:pPr>
                    <w:rPr>
                      <w:color w:val="000000"/>
                      <w:sz w:val="23"/>
                    </w:rPr>
                  </w:pPr>
                  <w:r>
                    <w:rPr>
                      <w:rFonts w:hint="eastAsia"/>
                      <w:color w:val="000000"/>
                      <w:sz w:val="23"/>
                    </w:rPr>
                    <w:t xml:space="preserve">） </w:t>
                  </w:r>
                </w:p>
                <w:p>
                  <w:pPr>
                    <w:rPr>
                      <w:color w:val="000000"/>
                      <w:sz w:val="23"/>
                    </w:rPr>
                  </w:pPr>
                  <w:r>
                    <w:rPr>
                      <w:rFonts w:hint="eastAsia"/>
                      <w:color w:val="000000"/>
                      <w:sz w:val="23"/>
                    </w:rPr>
                    <w:t xml:space="preserve">【部门规章及规范性文件】《卫生行政处罚程序》（1997年6月19日中华人民共和国卫生部令第53号） </w:t>
                  </w:r>
                </w:p>
              </w:tc>
            </w:tr>
          </w:tbl>
          <w:p>
            <w:pPr>
              <w:pStyle w:val="10"/>
              <w:spacing w:before="1" w:line="254" w:lineRule="auto"/>
              <w:ind w:left="111" w:right="284"/>
              <w:jc w:val="both"/>
              <w:rPr>
                <w:sz w:val="24"/>
              </w:rPr>
            </w:pPr>
            <w:r>
              <w:rPr>
                <w:rFonts w:hint="eastAsia"/>
                <w:color w:val="000000"/>
                <w:sz w:val="23"/>
              </w:rPr>
              <w:t>【部门规章及规范性文件】《公共场所卫生管理条例实施细则》（中华人民共和国卫生部令第80号 2017年12月26修正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01</w:t>
            </w:r>
            <w:r>
              <w:rPr>
                <w:rFonts w:hint="eastAsia"/>
                <w:sz w:val="24"/>
                <w:lang w:val="en-US"/>
              </w:rPr>
              <w:t>17</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1</w:t>
            </w:r>
            <w:r>
              <w:rPr>
                <w:sz w:val="24"/>
              </w:rPr>
              <w:t xml:space="preserve"> 行政</w:t>
            </w:r>
            <w:r>
              <w:rPr>
                <w:rFonts w:hint="eastAsia"/>
                <w:sz w:val="24"/>
              </w:rPr>
              <w:t>处罚</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rFonts w:hint="eastAsia" w:cs="黑体"/>
                <w:sz w:val="24"/>
                <w:szCs w:val="24"/>
              </w:rPr>
              <w:t>公共场所的经营者未检查服务人员的健康合格证明，允许未取得健康合格证明的人员从事服务工作确定的公共场所的经营者未在公共场所内放置安全套和设置安全套发售设施的处罚</w:t>
            </w: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【法律】《中华人民共和国行政处罚法》（中华人民共和国主席令第63号 2009年8月27日修正） </w:t>
            </w:r>
          </w:p>
          <w:p>
            <w:pPr>
              <w:rPr>
                <w:color w:val="000000"/>
                <w:sz w:val="23"/>
              </w:rPr>
            </w:pPr>
            <w:r>
              <w:rPr>
                <w:rFonts w:hint="eastAsia"/>
                <w:color w:val="000000"/>
                <w:sz w:val="23"/>
              </w:rPr>
              <w:t xml:space="preserve">【部门规章及规范性文件】《公共场所卫生管理条例实施细则》（中华人民共和国卫生部令第80号 2017年12月26修正） </w:t>
            </w:r>
          </w:p>
          <w:p>
            <w:pPr>
              <w:rPr>
                <w:color w:val="000000"/>
                <w:sz w:val="23"/>
              </w:rPr>
            </w:pPr>
            <w:r>
              <w:rPr>
                <w:rFonts w:hint="eastAsia"/>
                <w:color w:val="000000"/>
                <w:sz w:val="23"/>
              </w:rPr>
              <w:t xml:space="preserve">【行政法规】《公共场所卫生管理条例》（国发〔1987〕24号 2016年2月6日修订） </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color w:val="000000"/>
                <w:sz w:val="23"/>
              </w:rP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color w:val="000000"/>
                <w:sz w:val="23"/>
              </w:rPr>
              <w:t>受理和立案信息，包括：案件受理记录、立案报告</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sz w:val="24"/>
              </w:rPr>
              <w:t xml:space="preserve">结果信息—— </w:t>
            </w:r>
            <w:r>
              <w:rPr>
                <w:color w:val="000000"/>
                <w:sz w:val="23"/>
              </w:rPr>
              <w:t>处罚决定书文号、处罚名称、处罚类别、处罚事由、相对人名称、处罚依据、处罚单位、处罚决定日期</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Pr>
        <w:pStyle w:val="2"/>
        <w:spacing w:before="33"/>
        <w:ind w:left="6391" w:right="6151"/>
        <w:jc w:val="center"/>
        <w:rPr>
          <w:w w:val="99"/>
        </w:rPr>
      </w:pPr>
    </w:p>
    <w:p>
      <w:pPr>
        <w:pStyle w:val="2"/>
        <w:spacing w:before="33"/>
        <w:ind w:left="6391" w:right="6151"/>
        <w:jc w:val="center"/>
        <w:rPr>
          <w:w w:val="99"/>
        </w:rPr>
      </w:pPr>
    </w:p>
    <w:tbl>
      <w:tblPr>
        <w:tblStyle w:val="6"/>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rPr>
                <w:b/>
                <w:sz w:val="24"/>
              </w:rPr>
            </w:pPr>
          </w:p>
          <w:p>
            <w:pPr>
              <w:pStyle w:val="10"/>
              <w:spacing w:before="160"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ind w:left="1698" w:right="1689"/>
              <w:jc w:val="center"/>
              <w:rPr>
                <w:rFonts w:ascii="黑体" w:eastAsia="黑体"/>
                <w:sz w:val="24"/>
              </w:rPr>
            </w:pPr>
            <w:r>
              <w:rPr>
                <w:rFonts w:hint="eastAsia" w:ascii="黑体" w:eastAsia="黑体"/>
                <w:sz w:val="24"/>
              </w:rPr>
              <w:t>公开内容</w:t>
            </w:r>
          </w:p>
          <w:p>
            <w:pPr>
              <w:pStyle w:val="10"/>
              <w:spacing w:before="16"/>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6"/>
              <w:rPr>
                <w:b/>
                <w:sz w:val="26"/>
              </w:rPr>
            </w:pPr>
          </w:p>
          <w:p>
            <w:pPr>
              <w:pStyle w:val="10"/>
              <w:spacing w:before="1"/>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rPr>
                <w:b/>
                <w:sz w:val="24"/>
              </w:rPr>
            </w:pPr>
          </w:p>
          <w:p>
            <w:pPr>
              <w:pStyle w:val="10"/>
              <w:spacing w:before="179" w:line="252"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6"/>
              <w:rPr>
                <w:b/>
                <w:sz w:val="26"/>
              </w:rPr>
            </w:pPr>
          </w:p>
          <w:p>
            <w:pPr>
              <w:pStyle w:val="10"/>
              <w:spacing w:before="1"/>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10"/>
              <w:rPr>
                <w:b/>
                <w:sz w:val="31"/>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3"/>
              <w:rPr>
                <w:b/>
                <w:sz w:val="19"/>
              </w:rPr>
            </w:pPr>
          </w:p>
          <w:p>
            <w:pPr>
              <w:pStyle w:val="10"/>
              <w:spacing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7"/>
              <w:rPr>
                <w:b/>
                <w:sz w:val="20"/>
              </w:rPr>
            </w:pPr>
          </w:p>
          <w:p>
            <w:pPr>
              <w:pStyle w:val="10"/>
              <w:spacing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10"/>
              <w:rPr>
                <w:b/>
                <w:sz w:val="31"/>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7"/>
              <w:rPr>
                <w:b/>
                <w:sz w:val="20"/>
              </w:rPr>
            </w:pPr>
          </w:p>
          <w:p>
            <w:pPr>
              <w:pStyle w:val="10"/>
              <w:spacing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7"/>
              <w:rPr>
                <w:b/>
                <w:sz w:val="20"/>
              </w:rPr>
            </w:pPr>
          </w:p>
          <w:p>
            <w:pPr>
              <w:pStyle w:val="10"/>
              <w:spacing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34"/>
              </w:rPr>
            </w:pPr>
          </w:p>
          <w:p>
            <w:pPr>
              <w:pStyle w:val="10"/>
              <w:ind w:left="110" w:right="-29"/>
              <w:rPr>
                <w:sz w:val="24"/>
              </w:rPr>
            </w:pPr>
            <w:r>
              <w:rPr>
                <w:sz w:val="24"/>
              </w:rPr>
              <w:t>0</w:t>
            </w:r>
            <w:r>
              <w:rPr>
                <w:rFonts w:hint="eastAsia"/>
                <w:sz w:val="24"/>
                <w:lang w:val="en-US"/>
              </w:rPr>
              <w:t>118</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9"/>
              <w:rPr>
                <w:b/>
                <w:sz w:val="17"/>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widowControl/>
            </w:pPr>
            <w:r>
              <w:rPr>
                <w:rFonts w:hint="eastAsia"/>
                <w:color w:val="000000"/>
                <w:sz w:val="24"/>
                <w:szCs w:val="24"/>
                <w:lang w:val="en-US"/>
              </w:rPr>
              <w:t>项</w:t>
            </w:r>
          </w:p>
          <w:p>
            <w:pPr>
              <w:pStyle w:val="10"/>
              <w:spacing w:line="254" w:lineRule="auto"/>
              <w:ind w:left="167" w:right="34"/>
              <w:rPr>
                <w:sz w:val="24"/>
              </w:rPr>
            </w:pPr>
            <w:r>
              <w:rPr>
                <w:sz w:val="24"/>
              </w:rPr>
              <w:t xml:space="preserve"> </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
              <w:rPr>
                <w:b/>
                <w:sz w:val="19"/>
              </w:rPr>
            </w:pPr>
          </w:p>
          <w:p>
            <w:pPr>
              <w:widowControl/>
            </w:pPr>
            <w:r>
              <w:rPr>
                <w:rFonts w:hint="eastAsia"/>
                <w:color w:val="000000"/>
                <w:sz w:val="24"/>
                <w:szCs w:val="24"/>
                <w:lang w:val="en-US"/>
              </w:rPr>
              <w:t xml:space="preserve">对饮用水供水 </w:t>
            </w:r>
          </w:p>
          <w:p>
            <w:pPr>
              <w:widowControl/>
            </w:pPr>
            <w:r>
              <w:rPr>
                <w:rFonts w:hint="eastAsia"/>
                <w:color w:val="000000"/>
                <w:sz w:val="24"/>
                <w:szCs w:val="24"/>
                <w:lang w:val="en-US"/>
              </w:rPr>
              <w:t xml:space="preserve">单位供应的饮 </w:t>
            </w:r>
          </w:p>
          <w:p>
            <w:pPr>
              <w:widowControl/>
            </w:pPr>
            <w:r>
              <w:rPr>
                <w:rFonts w:hint="eastAsia"/>
                <w:color w:val="000000"/>
                <w:sz w:val="24"/>
                <w:szCs w:val="24"/>
                <w:lang w:val="en-US"/>
              </w:rPr>
              <w:t xml:space="preserve">用水不符合国 </w:t>
            </w:r>
          </w:p>
          <w:p>
            <w:pPr>
              <w:widowControl/>
            </w:pPr>
            <w:r>
              <w:rPr>
                <w:rFonts w:hint="eastAsia"/>
                <w:color w:val="000000"/>
                <w:sz w:val="24"/>
                <w:szCs w:val="24"/>
                <w:lang w:val="en-US"/>
              </w:rPr>
              <w:t xml:space="preserve">家规定的生活 </w:t>
            </w:r>
          </w:p>
          <w:p>
            <w:pPr>
              <w:widowControl/>
            </w:pPr>
            <w:r>
              <w:rPr>
                <w:rFonts w:hint="eastAsia"/>
                <w:color w:val="000000"/>
                <w:sz w:val="24"/>
                <w:szCs w:val="24"/>
                <w:lang w:val="en-US"/>
              </w:rPr>
              <w:t xml:space="preserve">饮用水卫生标 </w:t>
            </w:r>
          </w:p>
          <w:p>
            <w:pPr>
              <w:widowControl/>
            </w:pPr>
            <w:r>
              <w:rPr>
                <w:rFonts w:hint="eastAsia"/>
                <w:color w:val="000000"/>
                <w:sz w:val="24"/>
                <w:szCs w:val="24"/>
                <w:lang w:val="en-US"/>
              </w:rPr>
              <w:t>准的处罚</w:t>
            </w:r>
          </w:p>
          <w:p>
            <w:pPr>
              <w:pStyle w:val="10"/>
              <w:spacing w:before="1"/>
              <w:ind w:left="244"/>
              <w:rPr>
                <w:sz w:val="24"/>
              </w:rPr>
            </w:pPr>
            <w:r>
              <w:rPr>
                <w:sz w:val="24"/>
              </w:rPr>
              <w:t xml:space="preserve"> </w:t>
            </w:r>
          </w:p>
        </w:tc>
        <w:tc>
          <w:tcPr>
            <w:tcW w:w="4397" w:type="dxa"/>
          </w:tcPr>
          <w:p>
            <w:pPr>
              <w:pStyle w:val="10"/>
              <w:rPr>
                <w:b/>
                <w:sz w:val="24"/>
              </w:rPr>
            </w:pPr>
          </w:p>
          <w:p>
            <w:pPr>
              <w:pStyle w:val="10"/>
              <w:spacing w:before="170"/>
              <w:ind w:left="107"/>
              <w:rPr>
                <w:sz w:val="24"/>
              </w:rPr>
            </w:pPr>
            <w:r>
              <w:rPr>
                <w:sz w:val="24"/>
              </w:rPr>
              <w:t xml:space="preserve">法律法规和政策文件 </w:t>
            </w: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3"/>
              </w:rPr>
            </w:pPr>
          </w:p>
          <w:p>
            <w:pPr>
              <w:widowControl/>
            </w:pPr>
            <w:r>
              <w:rPr>
                <w:rFonts w:hint="eastAsia"/>
                <w:color w:val="000000"/>
                <w:sz w:val="24"/>
                <w:szCs w:val="24"/>
                <w:lang w:val="en-US"/>
              </w:rPr>
              <w:t xml:space="preserve">【法律】《中华人民共和国行政处罚法》 </w:t>
            </w:r>
          </w:p>
          <w:p>
            <w:pPr>
              <w:widowControl/>
            </w:pPr>
            <w:r>
              <w:rPr>
                <w:rFonts w:hint="eastAsia"/>
                <w:color w:val="000000"/>
                <w:sz w:val="24"/>
                <w:szCs w:val="24"/>
                <w:lang w:val="en-US"/>
              </w:rPr>
              <w:t xml:space="preserve">（中华人民共和国主席令第 63 号 2009 年 8 </w:t>
            </w:r>
          </w:p>
          <w:p>
            <w:pPr>
              <w:widowControl/>
            </w:pPr>
            <w:r>
              <w:rPr>
                <w:rFonts w:hint="eastAsia"/>
                <w:color w:val="000000"/>
                <w:sz w:val="24"/>
                <w:szCs w:val="24"/>
                <w:lang w:val="en-US"/>
              </w:rPr>
              <w:t xml:space="preserve">月 27 日修正） </w:t>
            </w:r>
          </w:p>
          <w:p>
            <w:pPr>
              <w:widowControl/>
            </w:pPr>
            <w:r>
              <w:rPr>
                <w:rFonts w:hint="eastAsia"/>
                <w:color w:val="000000"/>
                <w:sz w:val="24"/>
                <w:szCs w:val="24"/>
                <w:lang w:val="en-US"/>
              </w:rPr>
              <w:t xml:space="preserve">【法律】《中华人民共和国传染病防治法》 </w:t>
            </w:r>
          </w:p>
          <w:p>
            <w:pPr>
              <w:widowControl/>
            </w:pPr>
            <w:r>
              <w:rPr>
                <w:rFonts w:hint="eastAsia"/>
                <w:color w:val="000000"/>
                <w:sz w:val="24"/>
                <w:szCs w:val="24"/>
                <w:lang w:val="en-US"/>
              </w:rPr>
              <w:t xml:space="preserve">（2013 年 6 月 29 日修正） </w:t>
            </w:r>
          </w:p>
          <w:p>
            <w:pPr>
              <w:widowControl/>
            </w:pPr>
            <w:r>
              <w:rPr>
                <w:rFonts w:hint="eastAsia"/>
                <w:color w:val="000000"/>
                <w:sz w:val="24"/>
                <w:szCs w:val="24"/>
                <w:lang w:val="en-US"/>
              </w:rPr>
              <w:t xml:space="preserve">【行政法规】《中华人民共和国传染病防治 </w:t>
            </w:r>
          </w:p>
          <w:p>
            <w:pPr>
              <w:widowControl/>
            </w:pPr>
            <w:r>
              <w:rPr>
                <w:rFonts w:hint="eastAsia"/>
                <w:color w:val="000000"/>
                <w:sz w:val="24"/>
                <w:szCs w:val="24"/>
                <w:lang w:val="en-US"/>
              </w:rPr>
              <w:t xml:space="preserve">法实施办法》（中华人民共和国卫生部令第 </w:t>
            </w:r>
          </w:p>
          <w:p>
            <w:pPr>
              <w:widowControl/>
            </w:pPr>
            <w:r>
              <w:rPr>
                <w:rFonts w:hint="eastAsia"/>
                <w:color w:val="000000"/>
                <w:sz w:val="24"/>
                <w:szCs w:val="24"/>
                <w:lang w:val="en-US"/>
              </w:rPr>
              <w:t xml:space="preserve">17 号） </w:t>
            </w:r>
          </w:p>
          <w:p>
            <w:pPr>
              <w:widowControl/>
            </w:pPr>
            <w:r>
              <w:rPr>
                <w:rFonts w:hint="eastAsia"/>
                <w:color w:val="000000"/>
                <w:sz w:val="24"/>
                <w:szCs w:val="24"/>
                <w:lang w:val="en-US"/>
              </w:rPr>
              <w:t xml:space="preserve">【部门规章及规范性文件】《生活饮用水卫 </w:t>
            </w:r>
          </w:p>
          <w:p>
            <w:pPr>
              <w:widowControl/>
            </w:pPr>
            <w:r>
              <w:rPr>
                <w:rFonts w:hint="eastAsia"/>
                <w:color w:val="000000"/>
                <w:sz w:val="24"/>
                <w:szCs w:val="24"/>
                <w:lang w:val="en-US"/>
              </w:rPr>
              <w:t xml:space="preserve">生监督管理办法》（建设部、中华人民共和 </w:t>
            </w:r>
          </w:p>
          <w:p>
            <w:pPr>
              <w:widowControl/>
            </w:pPr>
            <w:r>
              <w:rPr>
                <w:rFonts w:hint="eastAsia"/>
                <w:color w:val="000000"/>
                <w:sz w:val="24"/>
                <w:szCs w:val="24"/>
                <w:lang w:val="en-US"/>
              </w:rPr>
              <w:t xml:space="preserve">国卫生部令第 53 号） </w:t>
            </w:r>
          </w:p>
          <w:p>
            <w:pPr>
              <w:widowControl/>
            </w:pPr>
            <w:r>
              <w:rPr>
                <w:rFonts w:hint="eastAsia"/>
                <w:color w:val="000000"/>
                <w:sz w:val="24"/>
                <w:szCs w:val="24"/>
                <w:lang w:val="en-US"/>
              </w:rPr>
              <w:t xml:space="preserve">【部门规章及规范性文件】《卫生行政处罚 </w:t>
            </w:r>
          </w:p>
          <w:p>
            <w:pPr>
              <w:widowControl/>
            </w:pPr>
            <w:r>
              <w:rPr>
                <w:rFonts w:hint="eastAsia"/>
                <w:color w:val="000000"/>
                <w:sz w:val="24"/>
                <w:szCs w:val="24"/>
                <w:lang w:val="en-US"/>
              </w:rPr>
              <w:t xml:space="preserve">程序》（1997 年 6 月 19 日中华人民共和国卫 </w:t>
            </w:r>
          </w:p>
          <w:p>
            <w:pPr>
              <w:widowControl/>
            </w:pPr>
            <w:r>
              <w:rPr>
                <w:rFonts w:hint="eastAsia"/>
                <w:color w:val="000000"/>
                <w:sz w:val="24"/>
                <w:szCs w:val="24"/>
                <w:lang w:val="en-US"/>
              </w:rPr>
              <w:t>生部令第 53 号）</w:t>
            </w:r>
          </w:p>
          <w:p>
            <w:pPr>
              <w:pStyle w:val="10"/>
              <w:spacing w:line="254" w:lineRule="auto"/>
              <w:ind w:left="108" w:right="280"/>
              <w:jc w:val="both"/>
              <w:rPr>
                <w:sz w:val="24"/>
              </w:rPr>
            </w:pP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33"/>
              </w:rPr>
            </w:pPr>
          </w:p>
          <w:p>
            <w:pPr>
              <w:pStyle w:val="10"/>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p>
            <w:pPr>
              <w:pStyle w:val="10"/>
              <w:spacing w:line="254" w:lineRule="auto"/>
              <w:ind w:left="127" w:right="117" w:hanging="3"/>
              <w:jc w:val="center"/>
              <w:rPr>
                <w:sz w:val="24"/>
              </w:rPr>
            </w:pPr>
          </w:p>
          <w:p>
            <w:pPr>
              <w:pStyle w:val="10"/>
              <w:spacing w:line="254" w:lineRule="auto"/>
              <w:ind w:left="127" w:right="117" w:hanging="3"/>
              <w:jc w:val="center"/>
              <w:rPr>
                <w:sz w:val="24"/>
              </w:rPr>
            </w:pPr>
          </w:p>
          <w:p>
            <w:pPr>
              <w:pStyle w:val="10"/>
              <w:spacing w:line="254" w:lineRule="auto"/>
              <w:ind w:left="127" w:right="117" w:hanging="3"/>
              <w:jc w:val="center"/>
              <w:rPr>
                <w:sz w:val="24"/>
              </w:rPr>
            </w:pPr>
          </w:p>
          <w:p>
            <w:pPr>
              <w:pStyle w:val="10"/>
              <w:spacing w:line="254" w:lineRule="auto"/>
              <w:ind w:left="127" w:right="117" w:hanging="3"/>
              <w:jc w:val="center"/>
              <w:rPr>
                <w:sz w:val="24"/>
              </w:rPr>
            </w:pPr>
          </w:p>
          <w:p>
            <w:pPr>
              <w:pStyle w:val="10"/>
              <w:spacing w:line="254" w:lineRule="auto"/>
              <w:ind w:right="117"/>
              <w:jc w:val="both"/>
              <w:rPr>
                <w:sz w:val="24"/>
              </w:rPr>
            </w:pP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35"/>
              </w:rPr>
            </w:pPr>
          </w:p>
          <w:p>
            <w:pPr>
              <w:pStyle w:val="10"/>
              <w:spacing w:before="1" w:line="254" w:lineRule="auto"/>
              <w:ind w:left="158" w:right="144"/>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p>
            <w:pPr>
              <w:pStyle w:val="10"/>
              <w:spacing w:before="1" w:line="254" w:lineRule="auto"/>
              <w:ind w:left="158" w:right="144"/>
              <w:jc w:val="center"/>
              <w:rPr>
                <w:sz w:val="24"/>
              </w:rPr>
            </w:pPr>
          </w:p>
          <w:p>
            <w:pPr>
              <w:pStyle w:val="10"/>
              <w:spacing w:before="1" w:line="254" w:lineRule="auto"/>
              <w:ind w:left="158" w:right="144"/>
              <w:jc w:val="center"/>
              <w:rPr>
                <w:sz w:val="24"/>
              </w:rPr>
            </w:pPr>
          </w:p>
          <w:p>
            <w:pPr>
              <w:pStyle w:val="10"/>
              <w:spacing w:before="1"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3"/>
              <w:rPr>
                <w:b/>
                <w:sz w:val="21"/>
              </w:rPr>
            </w:pPr>
          </w:p>
          <w:p>
            <w:pPr>
              <w:pStyle w:val="10"/>
              <w:ind w:left="108" w:right="-29"/>
              <w:rPr>
                <w:sz w:val="24"/>
              </w:rPr>
            </w:pPr>
            <w:r>
              <w:rPr>
                <w:sz w:val="24"/>
              </w:rPr>
              <w:t xml:space="preserve">■政府网站 □政府公报         </w:t>
            </w:r>
          </w:p>
          <w:p>
            <w:pPr>
              <w:pStyle w:val="10"/>
              <w:spacing w:before="19"/>
              <w:ind w:left="108"/>
              <w:rPr>
                <w:sz w:val="24"/>
              </w:rPr>
            </w:pPr>
            <w:r>
              <w:rPr>
                <w:sz w:val="24"/>
              </w:rPr>
              <w:t xml:space="preserve">□两微一端 □发布会/听证会   </w:t>
            </w:r>
          </w:p>
          <w:p>
            <w:pPr>
              <w:pStyle w:val="10"/>
              <w:spacing w:before="19"/>
              <w:ind w:left="108" w:right="-29"/>
              <w:rPr>
                <w:sz w:val="24"/>
              </w:rPr>
            </w:pPr>
            <w:r>
              <w:rPr>
                <w:sz w:val="24"/>
              </w:rPr>
              <w:t xml:space="preserve">□广播电视 □纸质媒体         </w:t>
            </w:r>
          </w:p>
          <w:p>
            <w:pPr>
              <w:pStyle w:val="10"/>
              <w:spacing w:before="19"/>
              <w:ind w:left="108"/>
              <w:rPr>
                <w:sz w:val="24"/>
              </w:rPr>
            </w:pPr>
            <w:r>
              <w:rPr>
                <w:sz w:val="24"/>
              </w:rPr>
              <w:t xml:space="preserve">□公开查阅点 □政务服务中心 </w:t>
            </w:r>
          </w:p>
          <w:p>
            <w:pPr>
              <w:pStyle w:val="10"/>
              <w:spacing w:before="16"/>
              <w:ind w:left="108" w:right="-29"/>
              <w:rPr>
                <w:sz w:val="24"/>
              </w:rPr>
            </w:pPr>
            <w:r>
              <w:rPr>
                <w:sz w:val="24"/>
              </w:rPr>
              <w:t xml:space="preserve">□便民服务站 □入户/现场        </w:t>
            </w:r>
          </w:p>
          <w:p>
            <w:pPr>
              <w:pStyle w:val="10"/>
              <w:spacing w:before="19"/>
              <w:ind w:left="108" w:right="-29"/>
              <w:rPr>
                <w:sz w:val="24"/>
              </w:rPr>
            </w:pPr>
            <w:r>
              <w:rPr>
                <w:sz w:val="24"/>
              </w:rPr>
              <w:t xml:space="preserve">□社区/企事业单位/村公示栏（电子屏） </w:t>
            </w:r>
          </w:p>
          <w:p>
            <w:pPr>
              <w:pStyle w:val="10"/>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p>
            <w:pPr>
              <w:pStyle w:val="10"/>
              <w:tabs>
                <w:tab w:val="left" w:pos="4068"/>
              </w:tabs>
              <w:spacing w:before="19"/>
              <w:ind w:left="108"/>
              <w:rPr>
                <w:sz w:val="24"/>
              </w:rPr>
            </w:pPr>
          </w:p>
          <w:p>
            <w:pPr>
              <w:pStyle w:val="10"/>
              <w:tabs>
                <w:tab w:val="left" w:pos="4068"/>
              </w:tabs>
              <w:spacing w:before="19"/>
              <w:ind w:left="108"/>
              <w:rPr>
                <w:sz w:val="24"/>
              </w:rPr>
            </w:pPr>
          </w:p>
          <w:p>
            <w:pPr>
              <w:pStyle w:val="10"/>
              <w:tabs>
                <w:tab w:val="left" w:pos="4068"/>
              </w:tabs>
              <w:spacing w:before="19"/>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p>
          <w:p>
            <w:pPr>
              <w:pStyle w:val="10"/>
              <w:ind w:left="215"/>
              <w:rPr>
                <w:sz w:val="24"/>
              </w:rPr>
            </w:pPr>
          </w:p>
          <w:p>
            <w:pPr>
              <w:pStyle w:val="10"/>
              <w:ind w:left="215"/>
              <w:rPr>
                <w:sz w:val="24"/>
              </w:rPr>
            </w:pPr>
          </w:p>
          <w:p>
            <w:pPr>
              <w:pStyle w:val="10"/>
              <w:ind w:left="215"/>
              <w:rPr>
                <w:sz w:val="24"/>
              </w:rPr>
            </w:pPr>
          </w:p>
          <w:p>
            <w:pPr>
              <w:pStyle w:val="10"/>
              <w:ind w:left="215"/>
              <w:rPr>
                <w:sz w:val="24"/>
              </w:rPr>
            </w:pPr>
          </w:p>
          <w:p>
            <w:pPr>
              <w:pStyle w:val="10"/>
              <w:ind w:left="215"/>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p>
          <w:p>
            <w:pPr>
              <w:pStyle w:val="10"/>
              <w:ind w:left="214"/>
              <w:rPr>
                <w:sz w:val="24"/>
              </w:rPr>
            </w:pPr>
          </w:p>
          <w:p>
            <w:pPr>
              <w:pStyle w:val="10"/>
              <w:ind w:left="214"/>
              <w:rPr>
                <w:sz w:val="24"/>
              </w:rPr>
            </w:pPr>
          </w:p>
          <w:p>
            <w:pPr>
              <w:pStyle w:val="10"/>
              <w:ind w:left="214"/>
              <w:rPr>
                <w:sz w:val="24"/>
              </w:rPr>
            </w:pPr>
          </w:p>
          <w:p>
            <w:pPr>
              <w:pStyle w:val="10"/>
              <w:ind w:left="214"/>
              <w:rPr>
                <w:sz w:val="24"/>
              </w:rPr>
            </w:pPr>
          </w:p>
          <w:p>
            <w:pPr>
              <w:pStyle w:val="10"/>
              <w:ind w:left="214"/>
              <w:rPr>
                <w:sz w:val="24"/>
              </w:rPr>
            </w:pPr>
          </w:p>
          <w:p>
            <w:pPr>
              <w:pStyle w:val="10"/>
              <w:ind w:left="214"/>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sz w:val="24"/>
              </w:rPr>
              <w:t>√</w:t>
            </w: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Borders>
              <w:bottom w:val="single" w:color="auto" w:sz="4" w:space="0"/>
            </w:tcBorders>
          </w:tcPr>
          <w:p>
            <w:pPr>
              <w:pStyle w:val="10"/>
              <w:spacing w:before="10"/>
              <w:rPr>
                <w:b/>
                <w:sz w:val="34"/>
              </w:rPr>
            </w:pPr>
          </w:p>
          <w:p>
            <w:pPr>
              <w:widowControl/>
            </w:pPr>
            <w:r>
              <w:rPr>
                <w:rFonts w:hint="eastAsia"/>
                <w:color w:val="000000"/>
                <w:sz w:val="24"/>
                <w:szCs w:val="24"/>
                <w:lang w:val="en-US"/>
              </w:rPr>
              <w:t>投诉举报电话以及网上投诉渠道</w:t>
            </w:r>
          </w:p>
          <w:p>
            <w:pPr>
              <w:pStyle w:val="10"/>
              <w:spacing w:line="307" w:lineRule="exact"/>
              <w:ind w:left="107"/>
              <w:rPr>
                <w:sz w:val="24"/>
              </w:rPr>
            </w:pP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Borders>
              <w:top w:val="single" w:color="auto" w:sz="4" w:space="0"/>
            </w:tcBorders>
          </w:tcPr>
          <w:p>
            <w:pPr>
              <w:widowControl/>
            </w:pPr>
            <w:r>
              <w:rPr>
                <w:rFonts w:hint="eastAsia"/>
                <w:color w:val="000000"/>
                <w:sz w:val="24"/>
                <w:szCs w:val="24"/>
                <w:lang w:val="en-US"/>
              </w:rPr>
              <w:t xml:space="preserve">受理和立案信息，包括：案件受理记录、 </w:t>
            </w:r>
          </w:p>
          <w:p>
            <w:pPr>
              <w:widowControl/>
            </w:pPr>
            <w:r>
              <w:rPr>
                <w:rFonts w:hint="eastAsia"/>
                <w:color w:val="000000"/>
                <w:sz w:val="24"/>
                <w:szCs w:val="24"/>
                <w:lang w:val="en-US"/>
              </w:rPr>
              <w:t>立案报告</w:t>
            </w:r>
          </w:p>
          <w:p>
            <w:pPr>
              <w:pStyle w:val="10"/>
              <w:spacing w:line="307" w:lineRule="exact"/>
              <w:ind w:left="107"/>
              <w:rPr>
                <w:sz w:val="24"/>
              </w:rPr>
            </w:pP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widowControl/>
            </w:pPr>
            <w:r>
              <w:rPr>
                <w:rFonts w:hint="eastAsia"/>
                <w:color w:val="000000"/>
                <w:sz w:val="24"/>
                <w:szCs w:val="24"/>
                <w:lang w:val="en-US"/>
              </w:rPr>
              <w:t xml:space="preserve">告知信息，包括：行政处罚事先告知书、 </w:t>
            </w:r>
          </w:p>
          <w:p>
            <w:pPr>
              <w:widowControl/>
            </w:pPr>
            <w:r>
              <w:rPr>
                <w:rFonts w:hint="eastAsia"/>
                <w:color w:val="000000"/>
                <w:sz w:val="24"/>
                <w:szCs w:val="24"/>
                <w:lang w:val="en-US"/>
              </w:rPr>
              <w:t xml:space="preserve">听证告知书 </w:t>
            </w:r>
          </w:p>
          <w:p>
            <w:pPr>
              <w:pStyle w:val="10"/>
              <w:spacing w:line="254" w:lineRule="auto"/>
              <w:ind w:left="107" w:right="76"/>
              <w:rPr>
                <w:sz w:val="24"/>
              </w:rPr>
            </w:pPr>
            <w:r>
              <w:rPr>
                <w:sz w:val="24"/>
              </w:rPr>
              <w:t xml:space="preserve">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pStyle w:val="10"/>
              <w:spacing w:line="254" w:lineRule="auto"/>
              <w:ind w:left="107" w:right="198"/>
              <w:jc w:val="both"/>
              <w:rPr>
                <w:sz w:val="24"/>
              </w:rPr>
            </w:pPr>
          </w:p>
        </w:tc>
        <w:tc>
          <w:tcPr>
            <w:tcW w:w="4961" w:type="dxa"/>
            <w:vMerge w:val="continue"/>
            <w:tcBorders>
              <w:top w:val="nil"/>
            </w:tcBorders>
          </w:tcPr>
          <w:p>
            <w:pPr>
              <w:rPr>
                <w:sz w:val="2"/>
                <w:szCs w:val="2"/>
              </w:rPr>
            </w:pPr>
          </w:p>
        </w:tc>
        <w:tc>
          <w:tcPr>
            <w:tcW w:w="1277" w:type="dxa"/>
          </w:tcPr>
          <w:p>
            <w:pPr>
              <w:pStyle w:val="10"/>
              <w:rPr>
                <w:b/>
                <w:sz w:val="24"/>
              </w:rPr>
            </w:pPr>
          </w:p>
          <w:p>
            <w:pPr>
              <w:pStyle w:val="10"/>
              <w:jc w:val="center"/>
              <w:rPr>
                <w:b/>
                <w:sz w:val="24"/>
              </w:rPr>
            </w:pPr>
          </w:p>
          <w:p>
            <w:pPr>
              <w:pStyle w:val="10"/>
              <w:spacing w:line="254" w:lineRule="auto"/>
              <w:ind w:right="148"/>
              <w:jc w:val="center"/>
              <w:rPr>
                <w:sz w:val="24"/>
              </w:rPr>
            </w:pPr>
            <w:r>
              <w:rPr>
                <w:sz w:val="24"/>
              </w:rPr>
              <w:t>自信息形成或者变更之日起7 个工作日内予以公开</w:t>
            </w:r>
          </w:p>
        </w:tc>
        <w:tc>
          <w:tcPr>
            <w:tcW w:w="1275" w:type="dxa"/>
          </w:tcPr>
          <w:p>
            <w:pPr>
              <w:pStyle w:val="10"/>
              <w:rPr>
                <w:b/>
                <w:sz w:val="24"/>
              </w:rPr>
            </w:pPr>
          </w:p>
          <w:p>
            <w:pPr>
              <w:pStyle w:val="10"/>
              <w:rPr>
                <w:b/>
                <w:sz w:val="24"/>
              </w:rPr>
            </w:pPr>
          </w:p>
          <w:p>
            <w:pPr>
              <w:pStyle w:val="10"/>
              <w:spacing w:line="254" w:lineRule="auto"/>
              <w:ind w:right="144"/>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6" w:type="dxa"/>
          </w:tcPr>
          <w:p>
            <w:pPr>
              <w:pStyle w:val="10"/>
              <w:rPr>
                <w:b/>
                <w:sz w:val="24"/>
              </w:rPr>
            </w:pPr>
          </w:p>
          <w:p>
            <w:pPr>
              <w:widowControl/>
              <w:rPr>
                <w:color w:val="000000"/>
                <w:sz w:val="24"/>
                <w:szCs w:val="24"/>
                <w:lang w:val="en-US"/>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tabs>
                <w:tab w:val="left" w:pos="4068"/>
              </w:tabs>
              <w:spacing w:before="19"/>
              <w:ind w:left="108"/>
              <w:rPr>
                <w:sz w:val="24"/>
              </w:rPr>
            </w:pP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sz w:val="26"/>
                <w:lang w:val="en-US"/>
              </w:rPr>
            </w:pPr>
            <w:r>
              <w:rPr>
                <w:rFonts w:hint="eastAsia"/>
                <w:sz w:val="26"/>
                <w:lang w:val="en-US"/>
              </w:rPr>
              <w:t>0119</w:t>
            </w:r>
          </w:p>
          <w:p>
            <w:pPr>
              <w:pStyle w:val="10"/>
              <w:rPr>
                <w:b/>
                <w:sz w:val="26"/>
              </w:rPr>
            </w:pPr>
          </w:p>
          <w:p>
            <w:pPr>
              <w:pStyle w:val="10"/>
              <w:spacing w:before="12"/>
              <w:rPr>
                <w:b/>
                <w:sz w:val="29"/>
              </w:rPr>
            </w:pPr>
          </w:p>
          <w:p>
            <w:pPr>
              <w:pStyle w:val="10"/>
              <w:ind w:left="110"/>
              <w:rPr>
                <w:rFonts w:ascii="Times New Roman"/>
                <w:sz w:val="24"/>
                <w:lang w:val="en-US"/>
              </w:rPr>
            </w:pP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18"/>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widowControl/>
            </w:pPr>
            <w:r>
              <w:rPr>
                <w:rFonts w:hint="eastAsia"/>
                <w:color w:val="000000"/>
                <w:sz w:val="24"/>
                <w:szCs w:val="24"/>
                <w:lang w:val="en-US"/>
              </w:rPr>
              <w:t>项</w:t>
            </w:r>
          </w:p>
          <w:p>
            <w:pPr>
              <w:pStyle w:val="10"/>
              <w:spacing w:before="35" w:line="254" w:lineRule="auto"/>
              <w:ind w:left="167" w:right="154"/>
              <w:jc w:val="both"/>
              <w:rPr>
                <w:sz w:val="24"/>
              </w:rPr>
            </w:pP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rPr>
                <w:sz w:val="24"/>
                <w:szCs w:val="24"/>
              </w:rPr>
            </w:pPr>
            <w:r>
              <w:rPr>
                <w:rFonts w:hint="eastAsia"/>
                <w:color w:val="000000"/>
                <w:sz w:val="24"/>
                <w:szCs w:val="24"/>
                <w:lang w:val="en-US"/>
              </w:rPr>
              <w:t xml:space="preserve">托幼机构未按要求设立保健室、卫生室或者配备卫生保健人员；聘用未进行健康检查或者健康检查不合格的工作人员；未定期组织工作人员健康检查；招收未经健康检查或健康检查不合格的儿童入托幼机构；未严格按照《托儿所幼儿园卫生保健工作规范》开展卫生保健工作的处罚  </w:t>
            </w:r>
          </w:p>
          <w:p>
            <w:pPr>
              <w:pStyle w:val="10"/>
              <w:spacing w:before="19"/>
              <w:ind w:left="121" w:right="117"/>
              <w:jc w:val="center"/>
              <w:rPr>
                <w:sz w:val="24"/>
              </w:rPr>
            </w:pPr>
          </w:p>
        </w:tc>
        <w:tc>
          <w:tcPr>
            <w:tcW w:w="4397" w:type="dxa"/>
          </w:tcPr>
          <w:p>
            <w:pPr>
              <w:pStyle w:val="10"/>
              <w:rPr>
                <w:b/>
                <w:sz w:val="24"/>
              </w:rPr>
            </w:pPr>
          </w:p>
          <w:p>
            <w:pPr>
              <w:widowControl/>
            </w:pPr>
            <w:r>
              <w:rPr>
                <w:rFonts w:hint="eastAsia"/>
                <w:color w:val="000000"/>
                <w:sz w:val="24"/>
                <w:szCs w:val="24"/>
                <w:lang w:val="en-US"/>
              </w:rPr>
              <w:t xml:space="preserve">法律法规和政策文件 </w:t>
            </w:r>
          </w:p>
          <w:p>
            <w:pPr>
              <w:pStyle w:val="10"/>
              <w:spacing w:before="170"/>
              <w:ind w:left="107"/>
              <w:rPr>
                <w:sz w:val="24"/>
              </w:rPr>
            </w:pP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7"/>
              </w:rPr>
            </w:pPr>
          </w:p>
          <w:p>
            <w:pPr>
              <w:widowControl/>
              <w:rPr>
                <w:sz w:val="24"/>
              </w:rPr>
            </w:pPr>
            <w:r>
              <w:rPr>
                <w:rFonts w:hint="eastAsia"/>
                <w:sz w:val="24"/>
                <w:szCs w:val="24"/>
                <w:lang w:val="en-US"/>
              </w:rPr>
              <w:t>托儿所幼儿园卫生保健管理办法》（卫生部 教育部令第76号）</w:t>
            </w: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pPr>
            <w:r>
              <w:rPr>
                <w:rFonts w:hint="eastAsia"/>
                <w:color w:val="000000"/>
                <w:sz w:val="24"/>
                <w:szCs w:val="24"/>
                <w:lang w:val="en-US"/>
              </w:rPr>
              <w:t xml:space="preserve">自信息形 </w:t>
            </w:r>
          </w:p>
          <w:p>
            <w:pPr>
              <w:widowControl/>
            </w:pPr>
            <w:r>
              <w:rPr>
                <w:rFonts w:hint="eastAsia"/>
                <w:color w:val="000000"/>
                <w:sz w:val="24"/>
                <w:szCs w:val="24"/>
                <w:lang w:val="en-US"/>
              </w:rPr>
              <w:t xml:space="preserve">成或者变 </w:t>
            </w:r>
          </w:p>
          <w:p>
            <w:pPr>
              <w:widowControl/>
            </w:pPr>
            <w:r>
              <w:rPr>
                <w:rFonts w:hint="eastAsia"/>
                <w:color w:val="000000"/>
                <w:sz w:val="24"/>
                <w:szCs w:val="24"/>
                <w:lang w:val="en-US"/>
              </w:rPr>
              <w:t xml:space="preserve">更之日起 </w:t>
            </w:r>
          </w:p>
          <w:p>
            <w:pPr>
              <w:widowControl/>
            </w:pPr>
            <w:r>
              <w:rPr>
                <w:rFonts w:hint="eastAsia"/>
                <w:color w:val="000000"/>
                <w:sz w:val="24"/>
                <w:szCs w:val="24"/>
                <w:lang w:val="en-US"/>
              </w:rPr>
              <w:t xml:space="preserve">20 个工作 </w:t>
            </w:r>
          </w:p>
          <w:p>
            <w:pPr>
              <w:widowControl/>
            </w:pPr>
            <w:r>
              <w:rPr>
                <w:rFonts w:hint="eastAsia"/>
                <w:color w:val="000000"/>
                <w:sz w:val="24"/>
                <w:szCs w:val="24"/>
                <w:lang w:val="en-US"/>
              </w:rPr>
              <w:t xml:space="preserve">日内予以 </w:t>
            </w:r>
          </w:p>
          <w:p>
            <w:pPr>
              <w:widowControl/>
            </w:pPr>
            <w:r>
              <w:rPr>
                <w:rFonts w:hint="eastAsia"/>
                <w:color w:val="000000"/>
                <w:sz w:val="24"/>
                <w:szCs w:val="24"/>
                <w:lang w:val="en-US"/>
              </w:rPr>
              <w:t xml:space="preserve">公开 </w:t>
            </w:r>
          </w:p>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rPr>
                <w:b/>
                <w:sz w:val="24"/>
              </w:rPr>
            </w:pPr>
          </w:p>
          <w:p>
            <w:pPr>
              <w:pStyle w:val="10"/>
              <w:rPr>
                <w:b/>
                <w:sz w:val="24"/>
              </w:rPr>
            </w:pPr>
          </w:p>
          <w:p>
            <w:pPr>
              <w:pStyle w:val="10"/>
              <w:rPr>
                <w:b/>
                <w:sz w:val="24"/>
              </w:rPr>
            </w:pPr>
          </w:p>
          <w:p>
            <w:pPr>
              <w:pStyle w:val="10"/>
              <w:tabs>
                <w:tab w:val="left" w:pos="4068"/>
              </w:tabs>
              <w:spacing w:before="16"/>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color w:val="000000"/>
                <w:sz w:val="23"/>
              </w:rPr>
              <w:t>投诉举报电话以及网上投诉渠道</w:t>
            </w: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pStyle w:val="10"/>
              <w:spacing w:line="254" w:lineRule="auto"/>
              <w:ind w:left="107" w:right="97"/>
              <w:rPr>
                <w:sz w:val="24"/>
              </w:rPr>
            </w:pPr>
            <w:r>
              <w:rPr>
                <w:color w:val="000000"/>
                <w:sz w:val="23"/>
              </w:rPr>
              <w:t>受理和立案信息，包括：案件受理记录、立案报告</w:t>
            </w: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widowControl/>
            </w:pPr>
            <w:r>
              <w:rPr>
                <w:rFonts w:hint="eastAsia"/>
                <w:color w:val="000000"/>
                <w:sz w:val="24"/>
                <w:szCs w:val="24"/>
                <w:lang w:val="en-US"/>
              </w:rPr>
              <w:t xml:space="preserve"> </w:t>
            </w:r>
          </w:p>
          <w:p>
            <w:pPr>
              <w:pStyle w:val="10"/>
              <w:spacing w:line="254" w:lineRule="auto"/>
              <w:ind w:left="107" w:right="93"/>
              <w:jc w:val="both"/>
              <w:rPr>
                <w:sz w:val="24"/>
              </w:rPr>
            </w:pPr>
          </w:p>
        </w:tc>
        <w:tc>
          <w:tcPr>
            <w:tcW w:w="4961" w:type="dxa"/>
            <w:vMerge w:val="continue"/>
            <w:tcBorders>
              <w:top w:val="nil"/>
            </w:tcBorders>
          </w:tcPr>
          <w:p>
            <w:pPr>
              <w:rPr>
                <w:sz w:val="2"/>
                <w:szCs w:val="2"/>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bl>
    <w:p/>
    <w:tbl>
      <w:tblPr>
        <w:tblStyle w:val="6"/>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lang w:val="en-US"/>
              </w:rPr>
            </w:pPr>
            <w:r>
              <w:rPr>
                <w:rFonts w:hint="eastAsia"/>
                <w:b/>
                <w:sz w:val="26"/>
                <w:lang w:val="en-US"/>
              </w:rPr>
              <w:t>0120</w:t>
            </w:r>
          </w:p>
          <w:p>
            <w:pPr>
              <w:pStyle w:val="10"/>
              <w:rPr>
                <w:b/>
                <w:sz w:val="26"/>
              </w:rPr>
            </w:pPr>
          </w:p>
          <w:p>
            <w:pPr>
              <w:pStyle w:val="10"/>
              <w:spacing w:before="12"/>
              <w:rPr>
                <w:b/>
                <w:sz w:val="29"/>
              </w:rPr>
            </w:pPr>
          </w:p>
          <w:p>
            <w:pPr>
              <w:pStyle w:val="10"/>
              <w:ind w:left="110"/>
              <w:rPr>
                <w:rFonts w:ascii="Times New Roman"/>
                <w:sz w:val="24"/>
                <w:lang w:val="en-US"/>
              </w:rPr>
            </w:pP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18"/>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widowControl/>
            </w:pPr>
            <w:r>
              <w:rPr>
                <w:rFonts w:hint="eastAsia"/>
                <w:color w:val="000000"/>
                <w:sz w:val="24"/>
                <w:szCs w:val="24"/>
                <w:lang w:val="en-US"/>
              </w:rPr>
              <w:t>项</w:t>
            </w:r>
          </w:p>
          <w:p>
            <w:pPr>
              <w:pStyle w:val="10"/>
              <w:spacing w:before="35" w:line="254" w:lineRule="auto"/>
              <w:ind w:left="167" w:right="154"/>
              <w:jc w:val="both"/>
              <w:rPr>
                <w:sz w:val="24"/>
              </w:rPr>
            </w:pP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rPr>
                <w:sz w:val="24"/>
                <w:szCs w:val="24"/>
              </w:rPr>
            </w:pPr>
            <w:r>
              <w:rPr>
                <w:rFonts w:hint="eastAsia"/>
                <w:color w:val="000000"/>
                <w:sz w:val="24"/>
                <w:szCs w:val="24"/>
                <w:lang w:val="en-US"/>
              </w:rPr>
              <w:t xml:space="preserve">托儿所、幼儿园未按规定建立健全卫生保健制度、查验婴幼儿保健手册（卡）和健康检查表、聘用使用未取得健康证明书工作人员的处罚  </w:t>
            </w:r>
          </w:p>
          <w:p>
            <w:pPr>
              <w:pStyle w:val="10"/>
              <w:spacing w:before="19"/>
              <w:ind w:left="121" w:right="117"/>
              <w:jc w:val="center"/>
              <w:rPr>
                <w:sz w:val="24"/>
              </w:rPr>
            </w:pPr>
          </w:p>
        </w:tc>
        <w:tc>
          <w:tcPr>
            <w:tcW w:w="4397" w:type="dxa"/>
          </w:tcPr>
          <w:p>
            <w:pPr>
              <w:pStyle w:val="10"/>
              <w:rPr>
                <w:b/>
                <w:sz w:val="24"/>
              </w:rPr>
            </w:pPr>
          </w:p>
          <w:p>
            <w:pPr>
              <w:widowControl/>
            </w:pPr>
            <w:r>
              <w:rPr>
                <w:rFonts w:hint="eastAsia"/>
                <w:color w:val="000000"/>
                <w:sz w:val="24"/>
                <w:szCs w:val="24"/>
                <w:lang w:val="en-US"/>
              </w:rPr>
              <w:t xml:space="preserve">法律法规和政策文件 </w:t>
            </w:r>
          </w:p>
          <w:p>
            <w:pPr>
              <w:pStyle w:val="10"/>
              <w:spacing w:before="170"/>
              <w:ind w:left="107"/>
              <w:rPr>
                <w:sz w:val="24"/>
              </w:rPr>
            </w:pP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17"/>
              </w:rPr>
            </w:pPr>
          </w:p>
          <w:p>
            <w:pPr>
              <w:widowControl/>
              <w:spacing w:line="510" w:lineRule="atLeast"/>
              <w:jc w:val="both"/>
              <w:rPr>
                <w:sz w:val="24"/>
                <w:szCs w:val="24"/>
              </w:rPr>
            </w:pPr>
            <w:r>
              <w:rPr>
                <w:rFonts w:hint="eastAsia" w:cs="黑体"/>
                <w:sz w:val="24"/>
                <w:szCs w:val="24"/>
                <w:lang w:val="en-US"/>
              </w:rPr>
              <w:t>《托儿所幼儿园卫生保健管理办法》</w:t>
            </w:r>
            <w:r>
              <w:rPr>
                <w:sz w:val="24"/>
                <w:szCs w:val="24"/>
                <w:lang w:val="en-US"/>
              </w:rPr>
              <w:t>（卫生部 教育部令第76号）</w:t>
            </w:r>
          </w:p>
          <w:p>
            <w:pPr>
              <w:widowControl/>
            </w:pPr>
            <w:r>
              <w:rPr>
                <w:rFonts w:hint="eastAsia"/>
                <w:color w:val="000000"/>
                <w:sz w:val="24"/>
                <w:szCs w:val="24"/>
                <w:lang w:val="en-US"/>
              </w:rPr>
              <w:t xml:space="preserve"> </w:t>
            </w:r>
          </w:p>
          <w:p>
            <w:pPr>
              <w:pStyle w:val="10"/>
              <w:spacing w:before="19" w:line="254" w:lineRule="auto"/>
              <w:ind w:left="108" w:right="280"/>
              <w:jc w:val="both"/>
              <w:rPr>
                <w:sz w:val="24"/>
              </w:rPr>
            </w:pPr>
          </w:p>
        </w:tc>
        <w:tc>
          <w:tcPr>
            <w:tcW w:w="1277"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pPr>
            <w:r>
              <w:rPr>
                <w:rFonts w:hint="eastAsia"/>
                <w:color w:val="000000"/>
                <w:sz w:val="24"/>
                <w:szCs w:val="24"/>
                <w:lang w:val="en-US"/>
              </w:rPr>
              <w:t xml:space="preserve">自信息形 </w:t>
            </w:r>
          </w:p>
          <w:p>
            <w:pPr>
              <w:widowControl/>
            </w:pPr>
            <w:r>
              <w:rPr>
                <w:rFonts w:hint="eastAsia"/>
                <w:color w:val="000000"/>
                <w:sz w:val="24"/>
                <w:szCs w:val="24"/>
                <w:lang w:val="en-US"/>
              </w:rPr>
              <w:t xml:space="preserve">成或者变 </w:t>
            </w:r>
          </w:p>
          <w:p>
            <w:pPr>
              <w:widowControl/>
            </w:pPr>
            <w:r>
              <w:rPr>
                <w:rFonts w:hint="eastAsia"/>
                <w:color w:val="000000"/>
                <w:sz w:val="24"/>
                <w:szCs w:val="24"/>
                <w:lang w:val="en-US"/>
              </w:rPr>
              <w:t xml:space="preserve">更之日起 </w:t>
            </w:r>
          </w:p>
          <w:p>
            <w:pPr>
              <w:widowControl/>
            </w:pPr>
            <w:r>
              <w:rPr>
                <w:rFonts w:hint="eastAsia"/>
                <w:color w:val="000000"/>
                <w:sz w:val="24"/>
                <w:szCs w:val="24"/>
                <w:lang w:val="en-US"/>
              </w:rPr>
              <w:t xml:space="preserve">20 个工作 </w:t>
            </w:r>
          </w:p>
          <w:p>
            <w:pPr>
              <w:widowControl/>
            </w:pPr>
            <w:r>
              <w:rPr>
                <w:rFonts w:hint="eastAsia"/>
                <w:color w:val="000000"/>
                <w:sz w:val="24"/>
                <w:szCs w:val="24"/>
                <w:lang w:val="en-US"/>
              </w:rPr>
              <w:t xml:space="preserve">日内予以 </w:t>
            </w:r>
          </w:p>
          <w:p>
            <w:pPr>
              <w:widowControl/>
            </w:pPr>
            <w:r>
              <w:rPr>
                <w:rFonts w:hint="eastAsia"/>
                <w:color w:val="000000"/>
                <w:sz w:val="24"/>
                <w:szCs w:val="24"/>
                <w:lang w:val="en-US"/>
              </w:rPr>
              <w:t xml:space="preserve">公开 </w:t>
            </w:r>
          </w:p>
          <w:p>
            <w:pPr>
              <w:pStyle w:val="10"/>
              <w:rPr>
                <w:b/>
                <w:sz w:val="24"/>
              </w:rPr>
            </w:pPr>
          </w:p>
          <w:p>
            <w:pPr>
              <w:pStyle w:val="10"/>
              <w:rPr>
                <w:b/>
                <w:sz w:val="24"/>
              </w:rPr>
            </w:pPr>
          </w:p>
          <w:p>
            <w:pPr>
              <w:pStyle w:val="10"/>
              <w:rPr>
                <w:b/>
                <w:sz w:val="24"/>
              </w:rPr>
            </w:pPr>
          </w:p>
          <w:p>
            <w:pPr>
              <w:pStyle w:val="10"/>
              <w:spacing w:before="2"/>
              <w:rPr>
                <w:b/>
                <w:sz w:val="29"/>
              </w:rPr>
            </w:pPr>
          </w:p>
          <w:p>
            <w:pPr>
              <w:pStyle w:val="10"/>
              <w:spacing w:line="254" w:lineRule="auto"/>
              <w:ind w:left="156" w:right="148"/>
              <w:jc w:val="center"/>
              <w:rPr>
                <w:sz w:val="24"/>
              </w:rPr>
            </w:pPr>
            <w:r>
              <w:rPr>
                <w:sz w:val="24"/>
              </w:rPr>
              <w:t xml:space="preserve">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5"/>
              </w:rPr>
            </w:pPr>
          </w:p>
          <w:p>
            <w:pPr>
              <w:pStyle w:val="10"/>
              <w:spacing w:line="254" w:lineRule="auto"/>
              <w:ind w:left="158" w:right="144"/>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30"/>
              </w:rPr>
            </w:pPr>
          </w:p>
          <w:p>
            <w:pPr>
              <w:pStyle w:val="10"/>
              <w:spacing w:line="254" w:lineRule="auto"/>
              <w:ind w:left="158" w:right="144"/>
              <w:jc w:val="center"/>
              <w:rPr>
                <w:sz w:val="24"/>
              </w:rPr>
            </w:pPr>
          </w:p>
        </w:tc>
        <w:tc>
          <w:tcPr>
            <w:tcW w:w="453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21"/>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rPr>
                <w:b/>
                <w:sz w:val="24"/>
              </w:rPr>
            </w:pPr>
          </w:p>
          <w:p>
            <w:pPr>
              <w:pStyle w:val="10"/>
              <w:rPr>
                <w:b/>
                <w:sz w:val="24"/>
              </w:rPr>
            </w:pPr>
          </w:p>
          <w:p>
            <w:pPr>
              <w:pStyle w:val="10"/>
              <w:rPr>
                <w:b/>
                <w:sz w:val="24"/>
              </w:rPr>
            </w:pPr>
          </w:p>
          <w:p>
            <w:pPr>
              <w:pStyle w:val="10"/>
              <w:tabs>
                <w:tab w:val="left" w:pos="4068"/>
              </w:tabs>
              <w:spacing w:before="16"/>
              <w:ind w:left="108"/>
              <w:rPr>
                <w:sz w:val="24"/>
              </w:rPr>
            </w:pP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08"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0"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112" w:right="-72"/>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8"/>
              <w:rPr>
                <w:b/>
                <w:sz w:val="34"/>
              </w:rPr>
            </w:pPr>
          </w:p>
          <w:p>
            <w:pPr>
              <w:pStyle w:val="10"/>
              <w:spacing w:line="254" w:lineRule="auto"/>
              <w:ind w:left="107" w:right="-29"/>
              <w:rPr>
                <w:sz w:val="24"/>
              </w:rPr>
            </w:pPr>
            <w:r>
              <w:rPr>
                <w:color w:val="000000"/>
                <w:sz w:val="23"/>
              </w:rPr>
              <w:t>投诉举报电话以及网上投诉渠道</w:t>
            </w: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spacing w:before="6"/>
              <w:rPr>
                <w:b/>
                <w:sz w:val="30"/>
              </w:rPr>
            </w:pPr>
          </w:p>
          <w:p>
            <w:pPr>
              <w:widowControl/>
            </w:pPr>
            <w:r>
              <w:rPr>
                <w:color w:val="000000"/>
                <w:sz w:val="23"/>
              </w:rPr>
              <w:t>受理和立案信息，包括：案件受理记录、立案报告</w:t>
            </w:r>
          </w:p>
          <w:p>
            <w:pPr>
              <w:pStyle w:val="10"/>
              <w:spacing w:line="254" w:lineRule="auto"/>
              <w:ind w:left="107" w:right="97"/>
              <w:rPr>
                <w:sz w:val="24"/>
              </w:rPr>
            </w:pPr>
          </w:p>
        </w:tc>
        <w:tc>
          <w:tcPr>
            <w:tcW w:w="4961" w:type="dxa"/>
            <w:vMerge w:val="continue"/>
            <w:tcBorders>
              <w:top w:val="nil"/>
            </w:tcBorders>
          </w:tcPr>
          <w:p>
            <w:pPr>
              <w:rPr>
                <w:sz w:val="2"/>
                <w:szCs w:val="2"/>
              </w:rPr>
            </w:pPr>
          </w:p>
        </w:tc>
        <w:tc>
          <w:tcPr>
            <w:tcW w:w="1277" w:type="dxa"/>
            <w:vMerge w:val="continue"/>
          </w:tcPr>
          <w:p>
            <w:pPr>
              <w:rPr>
                <w:sz w:val="2"/>
                <w:szCs w:val="2"/>
              </w:rPr>
            </w:pPr>
          </w:p>
        </w:tc>
        <w:tc>
          <w:tcPr>
            <w:tcW w:w="1275" w:type="dxa"/>
            <w:vMerge w:val="continue"/>
          </w:tcPr>
          <w:p>
            <w:pPr>
              <w:rPr>
                <w:sz w:val="2"/>
                <w:szCs w:val="2"/>
              </w:rPr>
            </w:pPr>
          </w:p>
        </w:tc>
        <w:tc>
          <w:tcPr>
            <w:tcW w:w="4536"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4" w:type="dxa"/>
            <w:vMerge w:val="continue"/>
          </w:tcPr>
          <w:p>
            <w:pPr>
              <w:rPr>
                <w:sz w:val="2"/>
                <w:szCs w:val="2"/>
              </w:rPr>
            </w:pPr>
          </w:p>
        </w:tc>
        <w:tc>
          <w:tcPr>
            <w:tcW w:w="426"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5"/>
              <w:rPr>
                <w:b/>
                <w:sz w:val="19"/>
              </w:rPr>
            </w:pPr>
          </w:p>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pStyle w:val="10"/>
              <w:spacing w:line="254" w:lineRule="auto"/>
              <w:ind w:left="107" w:right="93"/>
              <w:jc w:val="both"/>
              <w:rPr>
                <w:sz w:val="24"/>
              </w:rPr>
            </w:pPr>
          </w:p>
        </w:tc>
        <w:tc>
          <w:tcPr>
            <w:tcW w:w="4961" w:type="dxa"/>
            <w:vMerge w:val="continue"/>
            <w:tcBorders>
              <w:top w:val="nil"/>
            </w:tcBorders>
          </w:tcPr>
          <w:p>
            <w:pPr>
              <w:rPr>
                <w:sz w:val="2"/>
                <w:szCs w:val="2"/>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bl>
    <w:p/>
    <w:p/>
    <w:p/>
    <w:p/>
    <w:p/>
    <w:tbl>
      <w:tblPr>
        <w:tblStyle w:val="6"/>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230" w:right="218"/>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11"/>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4"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604" w:right="597"/>
              <w:jc w:val="center"/>
              <w:rPr>
                <w:rFonts w:ascii="黑体" w:eastAsia="黑体"/>
                <w:sz w:val="24"/>
              </w:rPr>
            </w:pPr>
            <w:r>
              <w:rPr>
                <w:rFonts w:hint="eastAsia" w:ascii="黑体" w:eastAsia="黑体"/>
                <w:sz w:val="24"/>
              </w:rPr>
              <w:t>二级事项</w:t>
            </w:r>
          </w:p>
        </w:tc>
        <w:tc>
          <w:tcPr>
            <w:tcW w:w="439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ind w:left="1698" w:right="1689"/>
              <w:jc w:val="center"/>
              <w:rPr>
                <w:rFonts w:ascii="黑体" w:eastAsia="黑体"/>
                <w:sz w:val="24"/>
              </w:rPr>
            </w:pPr>
            <w:r>
              <w:rPr>
                <w:rFonts w:hint="eastAsia" w:ascii="黑体" w:eastAsia="黑体"/>
                <w:sz w:val="24"/>
              </w:rPr>
              <w:t>公开内容</w:t>
            </w:r>
          </w:p>
          <w:p>
            <w:pPr>
              <w:pStyle w:val="10"/>
              <w:spacing w:before="19"/>
              <w:ind w:left="1698" w:right="1689"/>
              <w:jc w:val="center"/>
              <w:rPr>
                <w:rFonts w:ascii="黑体" w:eastAsia="黑体"/>
                <w:sz w:val="24"/>
              </w:rPr>
            </w:pPr>
            <w:r>
              <w:rPr>
                <w:rFonts w:hint="eastAsia" w:ascii="黑体" w:eastAsia="黑体"/>
                <w:sz w:val="24"/>
              </w:rPr>
              <w:t>（要素）</w:t>
            </w:r>
          </w:p>
        </w:tc>
        <w:tc>
          <w:tcPr>
            <w:tcW w:w="4961"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982" w:right="1969"/>
              <w:jc w:val="center"/>
              <w:rPr>
                <w:rFonts w:ascii="黑体" w:eastAsia="黑体"/>
                <w:sz w:val="24"/>
              </w:rPr>
            </w:pPr>
            <w:r>
              <w:rPr>
                <w:rFonts w:hint="eastAsia" w:ascii="黑体" w:eastAsia="黑体"/>
                <w:sz w:val="24"/>
              </w:rPr>
              <w:t>公开依据</w:t>
            </w:r>
          </w:p>
        </w:tc>
        <w:tc>
          <w:tcPr>
            <w:tcW w:w="1277"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6" w:right="388"/>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4"/>
              <w:rPr>
                <w:b/>
                <w:sz w:val="32"/>
              </w:rPr>
            </w:pPr>
          </w:p>
          <w:p>
            <w:pPr>
              <w:pStyle w:val="10"/>
              <w:spacing w:line="254" w:lineRule="auto"/>
              <w:ind w:left="398" w:right="384"/>
              <w:rPr>
                <w:rFonts w:ascii="黑体" w:eastAsia="黑体"/>
                <w:sz w:val="24"/>
              </w:rPr>
            </w:pPr>
            <w:r>
              <w:rPr>
                <w:rFonts w:hint="eastAsia" w:ascii="黑体" w:eastAsia="黑体"/>
                <w:sz w:val="24"/>
              </w:rPr>
              <w:t>公开主体</w:t>
            </w:r>
          </w:p>
        </w:tc>
        <w:tc>
          <w:tcPr>
            <w:tcW w:w="4536" w:type="dxa"/>
            <w:vMerge w:val="restart"/>
            <w:shd w:val="clear" w:color="auto" w:fill="D9D9D9"/>
          </w:tcPr>
          <w:p>
            <w:pPr>
              <w:pStyle w:val="10"/>
              <w:rPr>
                <w:b/>
                <w:sz w:val="24"/>
              </w:rPr>
            </w:pPr>
          </w:p>
          <w:p>
            <w:pPr>
              <w:pStyle w:val="10"/>
              <w:rPr>
                <w:b/>
                <w:sz w:val="24"/>
              </w:rPr>
            </w:pPr>
          </w:p>
          <w:p>
            <w:pPr>
              <w:pStyle w:val="10"/>
              <w:rPr>
                <w:b/>
                <w:sz w:val="24"/>
              </w:rPr>
            </w:pPr>
          </w:p>
          <w:p>
            <w:pPr>
              <w:pStyle w:val="10"/>
              <w:spacing w:before="1"/>
              <w:rPr>
                <w:b/>
                <w:sz w:val="21"/>
              </w:rPr>
            </w:pPr>
          </w:p>
          <w:p>
            <w:pPr>
              <w:pStyle w:val="10"/>
              <w:ind w:left="1428"/>
              <w:rPr>
                <w:rFonts w:ascii="黑体" w:eastAsia="黑体"/>
                <w:sz w:val="24"/>
              </w:rPr>
            </w:pPr>
            <w:r>
              <w:rPr>
                <w:rFonts w:hint="eastAsia" w:ascii="黑体" w:eastAsia="黑体"/>
                <w:sz w:val="24"/>
              </w:rPr>
              <w:t>公开渠道和载体</w:t>
            </w:r>
          </w:p>
        </w:tc>
        <w:tc>
          <w:tcPr>
            <w:tcW w:w="850" w:type="dxa"/>
            <w:gridSpan w:val="2"/>
            <w:shd w:val="clear" w:color="auto" w:fill="D9D9D9"/>
          </w:tcPr>
          <w:p>
            <w:pPr>
              <w:pStyle w:val="10"/>
              <w:spacing w:before="206" w:line="254" w:lineRule="auto"/>
              <w:ind w:left="185" w:right="172"/>
              <w:rPr>
                <w:rFonts w:ascii="黑体" w:eastAsia="黑体"/>
                <w:sz w:val="24"/>
              </w:rPr>
            </w:pPr>
            <w:r>
              <w:rPr>
                <w:rFonts w:hint="eastAsia" w:ascii="黑体" w:eastAsia="黑体"/>
                <w:sz w:val="24"/>
              </w:rPr>
              <w:t>公开对象</w:t>
            </w:r>
          </w:p>
        </w:tc>
        <w:tc>
          <w:tcPr>
            <w:tcW w:w="848" w:type="dxa"/>
            <w:gridSpan w:val="2"/>
            <w:shd w:val="clear" w:color="auto" w:fill="D9D9D9"/>
          </w:tcPr>
          <w:p>
            <w:pPr>
              <w:pStyle w:val="10"/>
              <w:spacing w:before="206" w:line="254" w:lineRule="auto"/>
              <w:ind w:left="187" w:right="168"/>
              <w:rPr>
                <w:rFonts w:ascii="黑体" w:eastAsia="黑体"/>
                <w:sz w:val="24"/>
              </w:rPr>
            </w:pPr>
            <w:r>
              <w:rPr>
                <w:rFonts w:hint="eastAsia" w:ascii="黑体" w:eastAsia="黑体"/>
                <w:sz w:val="24"/>
              </w:rPr>
              <w:t>公开方式</w:t>
            </w:r>
          </w:p>
        </w:tc>
        <w:tc>
          <w:tcPr>
            <w:tcW w:w="850" w:type="dxa"/>
            <w:gridSpan w:val="2"/>
            <w:shd w:val="clear" w:color="auto" w:fill="D9D9D9"/>
          </w:tcPr>
          <w:p>
            <w:pPr>
              <w:pStyle w:val="10"/>
              <w:spacing w:before="206" w:line="254" w:lineRule="auto"/>
              <w:ind w:left="189" w:right="168"/>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10"/>
              <w:spacing w:before="5"/>
              <w:rPr>
                <w:b/>
                <w:sz w:val="26"/>
              </w:rPr>
            </w:pPr>
          </w:p>
          <w:p>
            <w:pPr>
              <w:pStyle w:val="10"/>
              <w:spacing w:line="254" w:lineRule="auto"/>
              <w:ind w:left="108" w:right="63"/>
              <w:jc w:val="both"/>
              <w:rPr>
                <w:rFonts w:ascii="黑体" w:eastAsia="黑体"/>
                <w:sz w:val="24"/>
              </w:rPr>
            </w:pPr>
            <w:r>
              <w:rPr>
                <w:rFonts w:hint="eastAsia" w:ascii="黑体" w:eastAsia="黑体"/>
                <w:sz w:val="24"/>
              </w:rPr>
              <w:t>全社会</w:t>
            </w:r>
          </w:p>
        </w:tc>
        <w:tc>
          <w:tcPr>
            <w:tcW w:w="426" w:type="dxa"/>
            <w:shd w:val="clear" w:color="auto" w:fill="D9D9D9"/>
          </w:tcPr>
          <w:p>
            <w:pPr>
              <w:pStyle w:val="10"/>
              <w:spacing w:before="175" w:line="254" w:lineRule="auto"/>
              <w:ind w:left="109" w:right="64"/>
              <w:jc w:val="both"/>
              <w:rPr>
                <w:rFonts w:ascii="黑体" w:eastAsia="黑体"/>
                <w:sz w:val="24"/>
              </w:rPr>
            </w:pPr>
            <w:r>
              <w:rPr>
                <w:rFonts w:hint="eastAsia" w:ascii="黑体" w:eastAsia="黑体"/>
                <w:sz w:val="24"/>
              </w:rPr>
              <w:t>特定群体</w:t>
            </w:r>
          </w:p>
        </w:tc>
        <w:tc>
          <w:tcPr>
            <w:tcW w:w="424" w:type="dxa"/>
            <w:shd w:val="clear" w:color="auto" w:fill="D9D9D9"/>
          </w:tcPr>
          <w:p>
            <w:pPr>
              <w:pStyle w:val="10"/>
              <w:rPr>
                <w:b/>
                <w:sz w:val="24"/>
              </w:rPr>
            </w:pPr>
          </w:p>
          <w:p>
            <w:pPr>
              <w:pStyle w:val="10"/>
              <w:spacing w:before="194" w:line="254" w:lineRule="auto"/>
              <w:ind w:left="110" w:right="61"/>
              <w:rPr>
                <w:rFonts w:ascii="黑体" w:eastAsia="黑体"/>
                <w:sz w:val="24"/>
              </w:rPr>
            </w:pPr>
            <w:r>
              <w:rPr>
                <w:rFonts w:hint="eastAsia" w:ascii="黑体" w:eastAsia="黑体"/>
                <w:sz w:val="24"/>
              </w:rPr>
              <w:t>主动</w:t>
            </w:r>
          </w:p>
        </w:tc>
        <w:tc>
          <w:tcPr>
            <w:tcW w:w="424" w:type="dxa"/>
            <w:shd w:val="clear" w:color="auto" w:fill="D9D9D9"/>
          </w:tcPr>
          <w:p>
            <w:pPr>
              <w:pStyle w:val="10"/>
              <w:spacing w:before="5"/>
              <w:rPr>
                <w:b/>
                <w:sz w:val="26"/>
              </w:rPr>
            </w:pPr>
          </w:p>
          <w:p>
            <w:pPr>
              <w:pStyle w:val="10"/>
              <w:spacing w:line="254" w:lineRule="auto"/>
              <w:ind w:left="111" w:right="60"/>
              <w:jc w:val="both"/>
              <w:rPr>
                <w:rFonts w:ascii="黑体" w:eastAsia="黑体"/>
                <w:sz w:val="24"/>
              </w:rPr>
            </w:pPr>
            <w:r>
              <w:rPr>
                <w:rFonts w:hint="eastAsia" w:ascii="黑体" w:eastAsia="黑体"/>
                <w:sz w:val="24"/>
              </w:rPr>
              <w:t>依申请</w:t>
            </w:r>
          </w:p>
        </w:tc>
        <w:tc>
          <w:tcPr>
            <w:tcW w:w="424" w:type="dxa"/>
            <w:shd w:val="clear" w:color="auto" w:fill="D9D9D9"/>
          </w:tcPr>
          <w:p>
            <w:pPr>
              <w:pStyle w:val="10"/>
              <w:rPr>
                <w:b/>
                <w:sz w:val="24"/>
              </w:rPr>
            </w:pPr>
          </w:p>
          <w:p>
            <w:pPr>
              <w:pStyle w:val="10"/>
              <w:spacing w:before="194" w:line="254" w:lineRule="auto"/>
              <w:ind w:left="112" w:right="59"/>
              <w:rPr>
                <w:rFonts w:ascii="黑体" w:eastAsia="黑体"/>
                <w:sz w:val="24"/>
              </w:rPr>
            </w:pPr>
            <w:r>
              <w:rPr>
                <w:rFonts w:hint="eastAsia" w:ascii="黑体" w:eastAsia="黑体"/>
                <w:sz w:val="24"/>
              </w:rPr>
              <w:t>县级</w:t>
            </w:r>
          </w:p>
        </w:tc>
        <w:tc>
          <w:tcPr>
            <w:tcW w:w="426" w:type="dxa"/>
            <w:shd w:val="clear" w:color="auto" w:fill="D9D9D9"/>
          </w:tcPr>
          <w:p>
            <w:pPr>
              <w:pStyle w:val="10"/>
              <w:rPr>
                <w:b/>
                <w:sz w:val="24"/>
              </w:rPr>
            </w:pPr>
          </w:p>
          <w:p>
            <w:pPr>
              <w:pStyle w:val="10"/>
              <w:spacing w:before="194" w:line="254" w:lineRule="auto"/>
              <w:ind w:left="115" w:right="58"/>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lang w:val="en-US"/>
              </w:rPr>
            </w:pPr>
            <w:r>
              <w:rPr>
                <w:rFonts w:hint="eastAsia"/>
                <w:b/>
                <w:sz w:val="26"/>
                <w:lang w:val="en-US"/>
              </w:rPr>
              <w:t>0121</w:t>
            </w: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spacing w:before="12"/>
              <w:rPr>
                <w:b/>
                <w:sz w:val="29"/>
              </w:rPr>
            </w:pPr>
          </w:p>
          <w:p>
            <w:pPr>
              <w:pStyle w:val="10"/>
              <w:rPr>
                <w:rFonts w:ascii="Times New Roman"/>
                <w:sz w:val="24"/>
                <w:lang w:val="en-US"/>
              </w:rPr>
            </w:pPr>
          </w:p>
        </w:tc>
        <w:tc>
          <w:tcPr>
            <w:tcW w:w="574" w:type="dxa"/>
            <w:vMerge w:val="restart"/>
          </w:tcPr>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pStyle w:val="10"/>
              <w:rPr>
                <w:b/>
                <w:sz w:val="26"/>
              </w:rPr>
            </w:pPr>
          </w:p>
          <w:p>
            <w:pPr>
              <w:widowControl/>
            </w:pPr>
            <w:r>
              <w:rPr>
                <w:rFonts w:ascii="TimesNewRomanPSMT" w:hAnsi="TimesNewRomanPSMT" w:eastAsia="TimesNewRomanPSMT" w:cs="TimesNewRomanPSMT"/>
                <w:color w:val="000000"/>
                <w:sz w:val="24"/>
                <w:szCs w:val="24"/>
                <w:lang w:val="en-US"/>
              </w:rPr>
              <w:t>0</w:t>
            </w:r>
            <w:r>
              <w:rPr>
                <w:rFonts w:hint="eastAsia" w:ascii="TimesNewRomanPSMT" w:hAnsi="TimesNewRomanPSMT" w:eastAsia="TimesNewRomanPSMT" w:cs="TimesNewRomanPSMT"/>
                <w:color w:val="000000"/>
                <w:sz w:val="24"/>
                <w:szCs w:val="24"/>
                <w:lang w:val="en-US"/>
              </w:rPr>
              <w:t>1</w:t>
            </w:r>
            <w:r>
              <w:rPr>
                <w:rFonts w:ascii="TimesNewRomanPSMT" w:hAnsi="TimesNewRomanPSMT" w:eastAsia="TimesNewRomanPSMT" w:cs="TimesNewRomanPSMT"/>
                <w:color w:val="000000"/>
                <w:sz w:val="24"/>
                <w:szCs w:val="24"/>
                <w:lang w:val="en-US"/>
              </w:rPr>
              <w:t xml:space="preserve"> </w:t>
            </w:r>
          </w:p>
          <w:p>
            <w:pPr>
              <w:widowControl/>
            </w:pPr>
            <w:r>
              <w:rPr>
                <w:rFonts w:hint="eastAsia"/>
                <w:color w:val="000000"/>
                <w:sz w:val="24"/>
                <w:szCs w:val="24"/>
                <w:lang w:val="en-US"/>
              </w:rPr>
              <w:t>行</w:t>
            </w:r>
          </w:p>
          <w:p>
            <w:pPr>
              <w:widowControl/>
            </w:pPr>
            <w:r>
              <w:rPr>
                <w:rFonts w:hint="eastAsia"/>
                <w:color w:val="000000"/>
                <w:sz w:val="24"/>
                <w:szCs w:val="24"/>
                <w:lang w:val="en-US"/>
              </w:rPr>
              <w:t>政</w:t>
            </w:r>
          </w:p>
          <w:p>
            <w:pPr>
              <w:widowControl/>
            </w:pPr>
            <w:r>
              <w:rPr>
                <w:rFonts w:hint="eastAsia"/>
                <w:color w:val="000000"/>
                <w:sz w:val="24"/>
                <w:szCs w:val="24"/>
                <w:lang w:val="en-US"/>
              </w:rPr>
              <w:t>处</w:t>
            </w:r>
          </w:p>
          <w:p>
            <w:pPr>
              <w:widowControl/>
            </w:pPr>
            <w:r>
              <w:rPr>
                <w:rFonts w:hint="eastAsia"/>
                <w:color w:val="000000"/>
                <w:sz w:val="24"/>
                <w:szCs w:val="24"/>
                <w:lang w:val="en-US"/>
              </w:rPr>
              <w:t>罚</w:t>
            </w:r>
          </w:p>
          <w:p>
            <w:pPr>
              <w:widowControl/>
            </w:pPr>
            <w:r>
              <w:rPr>
                <w:rFonts w:hint="eastAsia"/>
                <w:color w:val="000000"/>
                <w:sz w:val="24"/>
                <w:szCs w:val="24"/>
                <w:lang w:val="en-US"/>
              </w:rPr>
              <w:t>类</w:t>
            </w:r>
          </w:p>
          <w:p>
            <w:pPr>
              <w:widowControl/>
            </w:pPr>
            <w:r>
              <w:rPr>
                <w:rFonts w:hint="eastAsia"/>
                <w:color w:val="000000"/>
                <w:sz w:val="24"/>
                <w:szCs w:val="24"/>
                <w:lang w:val="en-US"/>
              </w:rPr>
              <w:t>事</w:t>
            </w:r>
          </w:p>
          <w:p>
            <w:pPr>
              <w:pStyle w:val="10"/>
              <w:spacing w:before="35" w:line="254" w:lineRule="auto"/>
              <w:ind w:right="154"/>
              <w:jc w:val="both"/>
              <w:rPr>
                <w:sz w:val="24"/>
              </w:rPr>
            </w:pPr>
            <w:r>
              <w:rPr>
                <w:rFonts w:hint="eastAsia"/>
                <w:color w:val="000000"/>
                <w:sz w:val="24"/>
                <w:szCs w:val="24"/>
                <w:lang w:val="en-US"/>
              </w:rPr>
              <w:t>项</w:t>
            </w:r>
          </w:p>
        </w:tc>
        <w:tc>
          <w:tcPr>
            <w:tcW w:w="169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widowControl/>
            </w:pPr>
            <w:r>
              <w:rPr>
                <w:rFonts w:hint="eastAsia"/>
                <w:color w:val="000000"/>
                <w:sz w:val="24"/>
                <w:szCs w:val="24"/>
                <w:lang w:val="en-US"/>
              </w:rPr>
              <w:t>未取得卫生保健合格证开办托儿所、幼儿园的处罚</w:t>
            </w:r>
            <w:r>
              <w:rPr>
                <w:rFonts w:hint="eastAsia"/>
                <w:color w:val="000000"/>
                <w:sz w:val="20"/>
                <w:szCs w:val="20"/>
                <w:lang w:val="en-US"/>
              </w:rPr>
              <w:t xml:space="preserve"> </w:t>
            </w:r>
            <w:r>
              <w:rPr>
                <w:rFonts w:hint="eastAsia"/>
                <w:color w:val="000000"/>
                <w:sz w:val="24"/>
                <w:szCs w:val="24"/>
                <w:lang w:val="en-US"/>
              </w:rPr>
              <w:t xml:space="preserve"> </w:t>
            </w:r>
          </w:p>
          <w:p>
            <w:pPr>
              <w:pStyle w:val="10"/>
              <w:spacing w:before="1"/>
              <w:ind w:left="244"/>
              <w:rPr>
                <w:sz w:val="24"/>
              </w:rPr>
            </w:pPr>
          </w:p>
        </w:tc>
        <w:tc>
          <w:tcPr>
            <w:tcW w:w="4397" w:type="dxa"/>
            <w:tcBorders>
              <w:bottom w:val="single" w:color="auto" w:sz="4" w:space="0"/>
            </w:tcBorders>
          </w:tcPr>
          <w:p>
            <w:pPr>
              <w:pStyle w:val="10"/>
              <w:rPr>
                <w:b/>
                <w:sz w:val="24"/>
              </w:rPr>
            </w:pPr>
          </w:p>
          <w:p>
            <w:pPr>
              <w:widowControl/>
            </w:pPr>
            <w:r>
              <w:rPr>
                <w:rFonts w:hint="eastAsia"/>
                <w:color w:val="000000"/>
                <w:sz w:val="24"/>
                <w:szCs w:val="24"/>
                <w:lang w:val="en-US"/>
              </w:rPr>
              <w:t>法律法规和政策文件</w:t>
            </w:r>
          </w:p>
          <w:p>
            <w:pPr>
              <w:pStyle w:val="10"/>
              <w:spacing w:before="170"/>
              <w:ind w:left="107"/>
              <w:rPr>
                <w:sz w:val="24"/>
              </w:rPr>
            </w:pPr>
          </w:p>
        </w:tc>
        <w:tc>
          <w:tcPr>
            <w:tcW w:w="496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5"/>
              <w:widowControl/>
            </w:pPr>
            <w:r>
              <w:rPr>
                <w:rFonts w:hint="eastAsia" w:cs="仿宋"/>
                <w:szCs w:val="24"/>
              </w:rPr>
              <w:t>《托儿所幼儿园卫生保健管理办法》（卫生部 教育部令第76号）</w:t>
            </w:r>
          </w:p>
        </w:tc>
        <w:tc>
          <w:tcPr>
            <w:tcW w:w="1277" w:type="dxa"/>
            <w:vMerge w:val="restart"/>
          </w:tcPr>
          <w:p>
            <w:pPr>
              <w:pStyle w:val="10"/>
              <w:rPr>
                <w:b/>
                <w:sz w:val="24"/>
              </w:rPr>
            </w:pPr>
          </w:p>
          <w:p>
            <w:pPr>
              <w:widowControl/>
            </w:pPr>
            <w:r>
              <w:rPr>
                <w:rFonts w:hint="eastAsia"/>
                <w:color w:val="000000"/>
                <w:sz w:val="24"/>
                <w:szCs w:val="24"/>
                <w:lang w:val="en-US"/>
              </w:rPr>
              <w:t xml:space="preserve">自信息形 </w:t>
            </w:r>
          </w:p>
          <w:p>
            <w:pPr>
              <w:widowControl/>
            </w:pPr>
            <w:r>
              <w:rPr>
                <w:rFonts w:hint="eastAsia"/>
                <w:color w:val="000000"/>
                <w:sz w:val="24"/>
                <w:szCs w:val="24"/>
                <w:lang w:val="en-US"/>
              </w:rPr>
              <w:t xml:space="preserve">成或者变 </w:t>
            </w:r>
          </w:p>
          <w:p>
            <w:pPr>
              <w:widowControl/>
            </w:pPr>
            <w:r>
              <w:rPr>
                <w:rFonts w:hint="eastAsia"/>
                <w:color w:val="000000"/>
                <w:sz w:val="24"/>
                <w:szCs w:val="24"/>
                <w:lang w:val="en-US"/>
              </w:rPr>
              <w:t xml:space="preserve">更之日起 </w:t>
            </w:r>
          </w:p>
          <w:p>
            <w:pPr>
              <w:widowControl/>
            </w:pPr>
            <w:r>
              <w:rPr>
                <w:rFonts w:hint="eastAsia"/>
                <w:color w:val="000000"/>
                <w:sz w:val="24"/>
                <w:szCs w:val="24"/>
                <w:lang w:val="en-US"/>
              </w:rPr>
              <w:t xml:space="preserve">20 个工作 </w:t>
            </w:r>
          </w:p>
          <w:p>
            <w:pPr>
              <w:widowControl/>
            </w:pPr>
            <w:r>
              <w:rPr>
                <w:rFonts w:hint="eastAsia"/>
                <w:color w:val="000000"/>
                <w:sz w:val="24"/>
                <w:szCs w:val="24"/>
                <w:lang w:val="en-US"/>
              </w:rPr>
              <w:t xml:space="preserve">日内予以 </w:t>
            </w:r>
          </w:p>
          <w:p>
            <w:pPr>
              <w:widowControl/>
            </w:pPr>
            <w:r>
              <w:rPr>
                <w:rFonts w:hint="eastAsia"/>
                <w:color w:val="000000"/>
                <w:sz w:val="24"/>
                <w:szCs w:val="24"/>
                <w:lang w:val="en-US"/>
              </w:rPr>
              <w:t>公开</w:t>
            </w:r>
          </w:p>
          <w:p>
            <w:pPr>
              <w:pStyle w:val="10"/>
              <w:spacing w:line="254" w:lineRule="auto"/>
              <w:ind w:left="156" w:right="148"/>
              <w:jc w:val="center"/>
              <w:rPr>
                <w:sz w:val="24"/>
              </w:rPr>
            </w:pPr>
            <w:r>
              <w:rPr>
                <w:sz w:val="24"/>
              </w:rPr>
              <w:t xml:space="preserve"> </w:t>
            </w:r>
          </w:p>
        </w:tc>
        <w:tc>
          <w:tcPr>
            <w:tcW w:w="1275" w:type="dxa"/>
            <w:vMerge w:val="restart"/>
            <w:vAlign w:val="center"/>
          </w:tcPr>
          <w:p>
            <w:pPr>
              <w:pStyle w:val="10"/>
              <w:jc w:val="center"/>
              <w:rPr>
                <w:b/>
                <w:sz w:val="24"/>
              </w:rPr>
            </w:pPr>
          </w:p>
          <w:p>
            <w:pPr>
              <w:pStyle w:val="10"/>
              <w:jc w:val="center"/>
              <w:rPr>
                <w:b/>
                <w:sz w:val="24"/>
              </w:rPr>
            </w:pPr>
            <w:r>
              <w:rPr>
                <w:rFonts w:hint="eastAsia"/>
                <w:sz w:val="24"/>
                <w:lang w:val="en-US" w:eastAsia="zh-CN"/>
              </w:rPr>
              <w:t>四方台区</w:t>
            </w:r>
            <w:r>
              <w:rPr>
                <w:sz w:val="24"/>
              </w:rPr>
              <w:t>卫生健康</w:t>
            </w:r>
            <w:r>
              <w:rPr>
                <w:rFonts w:hint="eastAsia"/>
                <w:sz w:val="24"/>
                <w:lang w:val="en-US" w:eastAsia="zh-CN"/>
              </w:rPr>
              <w:t>局</w:t>
            </w:r>
          </w:p>
          <w:p>
            <w:pPr>
              <w:pStyle w:val="10"/>
              <w:jc w:val="center"/>
              <w:rPr>
                <w:b/>
                <w:sz w:val="24"/>
              </w:rPr>
            </w:pPr>
          </w:p>
          <w:p>
            <w:pPr>
              <w:pStyle w:val="10"/>
              <w:jc w:val="center"/>
              <w:rPr>
                <w:b/>
                <w:sz w:val="24"/>
              </w:rPr>
            </w:pPr>
          </w:p>
          <w:p>
            <w:pPr>
              <w:pStyle w:val="10"/>
              <w:jc w:val="center"/>
              <w:rPr>
                <w:b/>
                <w:sz w:val="24"/>
              </w:rPr>
            </w:pPr>
          </w:p>
          <w:p>
            <w:pPr>
              <w:pStyle w:val="10"/>
              <w:spacing w:before="8"/>
              <w:jc w:val="center"/>
              <w:rPr>
                <w:b/>
                <w:sz w:val="30"/>
              </w:rPr>
            </w:pPr>
          </w:p>
          <w:p>
            <w:pPr>
              <w:pStyle w:val="10"/>
              <w:spacing w:line="254" w:lineRule="auto"/>
              <w:ind w:left="158" w:right="144"/>
              <w:jc w:val="center"/>
              <w:rPr>
                <w:sz w:val="24"/>
              </w:rPr>
            </w:pPr>
          </w:p>
        </w:tc>
        <w:tc>
          <w:tcPr>
            <w:tcW w:w="4536" w:type="dxa"/>
            <w:vMerge w:val="restart"/>
          </w:tcPr>
          <w:p>
            <w:pPr>
              <w:pStyle w:val="10"/>
              <w:rPr>
                <w:b/>
                <w:sz w:val="24"/>
              </w:rPr>
            </w:pPr>
          </w:p>
          <w:p>
            <w:pPr>
              <w:widowControl/>
            </w:pPr>
            <w:r>
              <w:rPr>
                <w:rFonts w:hint="eastAsia"/>
                <w:color w:val="000000"/>
                <w:sz w:val="24"/>
                <w:szCs w:val="24"/>
                <w:lang w:val="en-US"/>
              </w:rPr>
              <w:t xml:space="preserve">■政府网站 □政府公报 </w:t>
            </w:r>
          </w:p>
          <w:p>
            <w:pPr>
              <w:widowControl/>
            </w:pPr>
            <w:r>
              <w:rPr>
                <w:rFonts w:hint="eastAsia"/>
                <w:color w:val="000000"/>
                <w:sz w:val="24"/>
                <w:szCs w:val="24"/>
                <w:lang w:val="en-US"/>
              </w:rPr>
              <w:t xml:space="preserve">□两微一端 □发布会/听证会 </w:t>
            </w:r>
          </w:p>
          <w:p>
            <w:pPr>
              <w:widowControl/>
            </w:pPr>
            <w:r>
              <w:rPr>
                <w:rFonts w:hint="eastAsia"/>
                <w:color w:val="000000"/>
                <w:sz w:val="24"/>
                <w:szCs w:val="24"/>
                <w:lang w:val="en-US"/>
              </w:rPr>
              <w:t xml:space="preserve">□广播电视 □纸质媒体 </w:t>
            </w:r>
          </w:p>
          <w:p>
            <w:pPr>
              <w:widowControl/>
            </w:pPr>
            <w:r>
              <w:rPr>
                <w:rFonts w:hint="eastAsia"/>
                <w:color w:val="000000"/>
                <w:sz w:val="24"/>
                <w:szCs w:val="24"/>
                <w:lang w:val="en-US"/>
              </w:rPr>
              <w:t xml:space="preserve">□公开查阅点 □政务服务中心 </w:t>
            </w:r>
          </w:p>
          <w:p>
            <w:pPr>
              <w:widowControl/>
            </w:pPr>
            <w:r>
              <w:rPr>
                <w:rFonts w:hint="eastAsia"/>
                <w:color w:val="000000"/>
                <w:sz w:val="24"/>
                <w:szCs w:val="24"/>
                <w:lang w:val="en-US"/>
              </w:rPr>
              <w:t xml:space="preserve">□便民服务站 □入户/现场 </w:t>
            </w:r>
          </w:p>
          <w:p>
            <w:pPr>
              <w:widowControl/>
            </w:pPr>
            <w:r>
              <w:rPr>
                <w:rFonts w:hint="eastAsia"/>
                <w:color w:val="000000"/>
                <w:sz w:val="24"/>
                <w:szCs w:val="24"/>
                <w:lang w:val="en-US"/>
              </w:rPr>
              <w:t xml:space="preserve">□社区/企事业单位/村公示栏（电子屏） </w:t>
            </w:r>
          </w:p>
          <w:p>
            <w:pPr>
              <w:widowControl/>
            </w:pPr>
            <w:r>
              <w:rPr>
                <w:rFonts w:hint="eastAsia"/>
                <w:color w:val="000000"/>
                <w:sz w:val="24"/>
                <w:szCs w:val="24"/>
                <w:lang w:val="en-US"/>
              </w:rPr>
              <w:t>□精准推送 □其他_________</w:t>
            </w:r>
          </w:p>
          <w:p>
            <w:pPr>
              <w:pStyle w:val="10"/>
              <w:tabs>
                <w:tab w:val="left" w:pos="4068"/>
              </w:tabs>
              <w:spacing w:before="20"/>
              <w:ind w:left="108"/>
              <w:rPr>
                <w:sz w:val="24"/>
              </w:rPr>
            </w:pPr>
            <w:r>
              <w:rPr>
                <w:sz w:val="24"/>
              </w:rPr>
              <w:t xml:space="preserve"> </w:t>
            </w:r>
          </w:p>
          <w:p>
            <w:pPr>
              <w:pStyle w:val="10"/>
              <w:rPr>
                <w:b/>
                <w:sz w:val="24"/>
              </w:rPr>
            </w:pPr>
          </w:p>
          <w:p>
            <w:pPr>
              <w:pStyle w:val="10"/>
              <w:rPr>
                <w:b/>
                <w:sz w:val="24"/>
              </w:rPr>
            </w:pPr>
          </w:p>
          <w:p>
            <w:pPr>
              <w:pStyle w:val="10"/>
              <w:rPr>
                <w:b/>
                <w:sz w:val="24"/>
              </w:rPr>
            </w:pPr>
          </w:p>
          <w:p>
            <w:pPr>
              <w:pStyle w:val="10"/>
              <w:tabs>
                <w:tab w:val="left" w:pos="4068"/>
              </w:tabs>
              <w:spacing w:before="16"/>
              <w:ind w:left="10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ind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08"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5"/>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5"/>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ind w:right="-58"/>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0" w:right="-58"/>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14"/>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14"/>
              <w:rPr>
                <w:sz w:val="24"/>
              </w:rPr>
            </w:pPr>
            <w:r>
              <w:rPr>
                <w:sz w:val="24"/>
              </w:rPr>
              <w:t xml:space="preserve"> </w:t>
            </w:r>
          </w:p>
        </w:tc>
        <w:tc>
          <w:tcPr>
            <w:tcW w:w="424" w:type="dxa"/>
            <w:vMerge w:val="restart"/>
          </w:tcPr>
          <w:p>
            <w:pPr>
              <w:pStyle w:val="10"/>
              <w:rPr>
                <w:b/>
                <w:sz w:val="24"/>
              </w:rPr>
            </w:pPr>
          </w:p>
          <w:p>
            <w:pPr>
              <w:pStyle w:val="10"/>
              <w:rPr>
                <w:b/>
                <w:sz w:val="24"/>
              </w:rPr>
            </w:pPr>
          </w:p>
          <w:p>
            <w:pPr>
              <w:pStyle w:val="10"/>
              <w:rPr>
                <w:b/>
                <w:sz w:val="24"/>
              </w:rPr>
            </w:pPr>
          </w:p>
          <w:p>
            <w:pPr>
              <w:pStyle w:val="10"/>
              <w:ind w:right="-72"/>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112" w:right="-7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8"/>
              <w:rPr>
                <w:b/>
                <w:sz w:val="25"/>
              </w:rPr>
            </w:pPr>
          </w:p>
          <w:p>
            <w:pPr>
              <w:pStyle w:val="10"/>
              <w:ind w:left="221"/>
              <w:rPr>
                <w:sz w:val="24"/>
              </w:rPr>
            </w:pPr>
            <w:r>
              <w:rPr>
                <w:sz w:val="24"/>
              </w:rPr>
              <w:t xml:space="preserve"> </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1"/>
              <w:rPr>
                <w:b/>
                <w:sz w:val="20"/>
              </w:rPr>
            </w:pPr>
          </w:p>
          <w:p>
            <w:pPr>
              <w:pStyle w:val="10"/>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5" w:hRule="atLeast"/>
        </w:trPr>
        <w:tc>
          <w:tcPr>
            <w:tcW w:w="701" w:type="dxa"/>
            <w:vMerge w:val="continue"/>
          </w:tcPr>
          <w:p>
            <w:pPr>
              <w:pStyle w:val="10"/>
              <w:rPr>
                <w:rFonts w:ascii="Times New Roman"/>
                <w:sz w:val="24"/>
                <w:lang w:val="en-US"/>
              </w:rPr>
            </w:pPr>
          </w:p>
        </w:tc>
        <w:tc>
          <w:tcPr>
            <w:tcW w:w="574" w:type="dxa"/>
            <w:vMerge w:val="continue"/>
          </w:tcPr>
          <w:p>
            <w:pPr>
              <w:pStyle w:val="10"/>
              <w:spacing w:before="35" w:line="254" w:lineRule="auto"/>
              <w:ind w:left="167" w:right="154"/>
              <w:jc w:val="both"/>
              <w:rPr>
                <w:sz w:val="24"/>
              </w:rPr>
            </w:pPr>
          </w:p>
        </w:tc>
        <w:tc>
          <w:tcPr>
            <w:tcW w:w="1694" w:type="dxa"/>
            <w:vMerge w:val="continue"/>
          </w:tcPr>
          <w:p>
            <w:pPr>
              <w:pStyle w:val="10"/>
              <w:spacing w:before="1"/>
              <w:ind w:left="244"/>
              <w:rPr>
                <w:sz w:val="24"/>
              </w:rPr>
            </w:pPr>
          </w:p>
        </w:tc>
        <w:tc>
          <w:tcPr>
            <w:tcW w:w="4397" w:type="dxa"/>
            <w:tcBorders>
              <w:top w:val="single" w:color="auto" w:sz="4" w:space="0"/>
              <w:bottom w:val="single" w:color="auto" w:sz="4" w:space="0"/>
            </w:tcBorders>
          </w:tcPr>
          <w:p>
            <w:pPr>
              <w:pStyle w:val="10"/>
              <w:spacing w:before="170"/>
              <w:ind w:left="107"/>
              <w:rPr>
                <w:sz w:val="24"/>
              </w:rPr>
            </w:pPr>
            <w:r>
              <w:rPr>
                <w:color w:val="000000"/>
                <w:sz w:val="23"/>
              </w:rPr>
              <w:t>投诉举报电话以及网上投诉渠道</w:t>
            </w:r>
          </w:p>
        </w:tc>
        <w:tc>
          <w:tcPr>
            <w:tcW w:w="4961" w:type="dxa"/>
            <w:vMerge w:val="continue"/>
          </w:tcPr>
          <w:p>
            <w:pPr>
              <w:pStyle w:val="10"/>
              <w:spacing w:before="5"/>
              <w:ind w:left="108"/>
              <w:jc w:val="both"/>
              <w:rPr>
                <w:sz w:val="24"/>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2" w:hRule="atLeast"/>
        </w:trPr>
        <w:tc>
          <w:tcPr>
            <w:tcW w:w="701" w:type="dxa"/>
            <w:vMerge w:val="continue"/>
          </w:tcPr>
          <w:p>
            <w:pPr>
              <w:pStyle w:val="10"/>
              <w:rPr>
                <w:rFonts w:ascii="Times New Roman"/>
                <w:sz w:val="24"/>
                <w:lang w:val="en-US"/>
              </w:rPr>
            </w:pPr>
          </w:p>
        </w:tc>
        <w:tc>
          <w:tcPr>
            <w:tcW w:w="574" w:type="dxa"/>
            <w:vMerge w:val="continue"/>
          </w:tcPr>
          <w:p>
            <w:pPr>
              <w:pStyle w:val="10"/>
              <w:spacing w:before="35" w:line="254" w:lineRule="auto"/>
              <w:ind w:left="167" w:right="154"/>
              <w:jc w:val="both"/>
              <w:rPr>
                <w:sz w:val="24"/>
              </w:rPr>
            </w:pPr>
          </w:p>
        </w:tc>
        <w:tc>
          <w:tcPr>
            <w:tcW w:w="1694" w:type="dxa"/>
            <w:vMerge w:val="continue"/>
          </w:tcPr>
          <w:p>
            <w:pPr>
              <w:pStyle w:val="10"/>
              <w:spacing w:before="1"/>
              <w:ind w:left="244"/>
              <w:rPr>
                <w:sz w:val="24"/>
              </w:rPr>
            </w:pPr>
          </w:p>
        </w:tc>
        <w:tc>
          <w:tcPr>
            <w:tcW w:w="4397" w:type="dxa"/>
            <w:tcBorders>
              <w:top w:val="single" w:color="auto" w:sz="4" w:space="0"/>
              <w:bottom w:val="single" w:color="auto" w:sz="4" w:space="0"/>
            </w:tcBorders>
          </w:tcPr>
          <w:p>
            <w:pPr>
              <w:pStyle w:val="10"/>
              <w:spacing w:before="170"/>
              <w:ind w:left="107"/>
              <w:rPr>
                <w:sz w:val="24"/>
              </w:rPr>
            </w:pPr>
            <w:r>
              <w:rPr>
                <w:color w:val="000000"/>
                <w:sz w:val="23"/>
              </w:rPr>
              <w:t>受理和立案信息，包括：案件受理记录、立案报告</w:t>
            </w:r>
          </w:p>
        </w:tc>
        <w:tc>
          <w:tcPr>
            <w:tcW w:w="4961" w:type="dxa"/>
            <w:vMerge w:val="continue"/>
          </w:tcPr>
          <w:p>
            <w:pPr>
              <w:pStyle w:val="10"/>
              <w:spacing w:before="5"/>
              <w:ind w:left="108"/>
              <w:jc w:val="both"/>
              <w:rPr>
                <w:sz w:val="24"/>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0" w:hRule="atLeast"/>
        </w:trPr>
        <w:tc>
          <w:tcPr>
            <w:tcW w:w="701" w:type="dxa"/>
            <w:vMerge w:val="continue"/>
          </w:tcPr>
          <w:p>
            <w:pPr>
              <w:pStyle w:val="10"/>
              <w:rPr>
                <w:rFonts w:ascii="Times New Roman"/>
                <w:sz w:val="24"/>
                <w:lang w:val="en-US"/>
              </w:rPr>
            </w:pPr>
          </w:p>
        </w:tc>
        <w:tc>
          <w:tcPr>
            <w:tcW w:w="574" w:type="dxa"/>
            <w:vMerge w:val="continue"/>
          </w:tcPr>
          <w:p>
            <w:pPr>
              <w:pStyle w:val="10"/>
              <w:spacing w:before="35" w:line="254" w:lineRule="auto"/>
              <w:ind w:left="167" w:right="154"/>
              <w:jc w:val="both"/>
              <w:rPr>
                <w:sz w:val="24"/>
              </w:rPr>
            </w:pPr>
          </w:p>
        </w:tc>
        <w:tc>
          <w:tcPr>
            <w:tcW w:w="1694" w:type="dxa"/>
            <w:vMerge w:val="continue"/>
          </w:tcPr>
          <w:p>
            <w:pPr>
              <w:pStyle w:val="10"/>
              <w:spacing w:before="1"/>
              <w:ind w:left="244"/>
              <w:rPr>
                <w:sz w:val="24"/>
              </w:rPr>
            </w:pPr>
          </w:p>
        </w:tc>
        <w:tc>
          <w:tcPr>
            <w:tcW w:w="4397" w:type="dxa"/>
            <w:tcBorders>
              <w:top w:val="single" w:color="auto" w:sz="4" w:space="0"/>
            </w:tcBorders>
          </w:tcPr>
          <w:p>
            <w:pPr>
              <w:widowControl/>
            </w:pPr>
            <w:r>
              <w:rPr>
                <w:rFonts w:hint="eastAsia"/>
                <w:color w:val="000000"/>
                <w:sz w:val="24"/>
                <w:szCs w:val="24"/>
                <w:lang w:val="en-US"/>
              </w:rPr>
              <w:t xml:space="preserve">行政处罚决定信息，包括： </w:t>
            </w:r>
          </w:p>
          <w:p>
            <w:pPr>
              <w:widowControl/>
            </w:pPr>
            <w:r>
              <w:rPr>
                <w:rFonts w:hint="eastAsia"/>
                <w:color w:val="000000"/>
                <w:sz w:val="24"/>
                <w:szCs w:val="24"/>
                <w:lang w:val="en-US"/>
              </w:rPr>
              <w:t xml:space="preserve">处罚决定书文号、处罚名称、处罚类别、 </w:t>
            </w:r>
          </w:p>
          <w:p>
            <w:pPr>
              <w:widowControl/>
            </w:pPr>
            <w:r>
              <w:rPr>
                <w:rFonts w:hint="eastAsia"/>
                <w:color w:val="000000"/>
                <w:sz w:val="24"/>
                <w:szCs w:val="24"/>
                <w:lang w:val="en-US"/>
              </w:rPr>
              <w:t xml:space="preserve">处罚事由、相对人名称、处罚依据、处罚 </w:t>
            </w:r>
          </w:p>
          <w:p>
            <w:pPr>
              <w:widowControl/>
            </w:pPr>
            <w:r>
              <w:rPr>
                <w:rFonts w:hint="eastAsia"/>
                <w:color w:val="000000"/>
                <w:sz w:val="24"/>
                <w:szCs w:val="24"/>
                <w:lang w:val="en-US"/>
              </w:rPr>
              <w:t>单位、处罚决定日期</w:t>
            </w:r>
          </w:p>
          <w:p>
            <w:pPr>
              <w:pStyle w:val="10"/>
              <w:spacing w:before="170"/>
              <w:ind w:left="107"/>
              <w:rPr>
                <w:sz w:val="24"/>
              </w:rPr>
            </w:pPr>
          </w:p>
        </w:tc>
        <w:tc>
          <w:tcPr>
            <w:tcW w:w="4961" w:type="dxa"/>
            <w:vMerge w:val="continue"/>
          </w:tcPr>
          <w:p>
            <w:pPr>
              <w:pStyle w:val="10"/>
              <w:spacing w:before="5"/>
              <w:ind w:left="108"/>
              <w:jc w:val="both"/>
              <w:rPr>
                <w:sz w:val="24"/>
              </w:rPr>
            </w:pPr>
          </w:p>
        </w:tc>
        <w:tc>
          <w:tcPr>
            <w:tcW w:w="1277" w:type="dxa"/>
            <w:vMerge w:val="continue"/>
          </w:tcPr>
          <w:p>
            <w:pPr>
              <w:pStyle w:val="10"/>
              <w:spacing w:line="254" w:lineRule="auto"/>
              <w:ind w:left="156" w:right="148"/>
              <w:jc w:val="center"/>
              <w:rPr>
                <w:sz w:val="24"/>
              </w:rPr>
            </w:pPr>
          </w:p>
        </w:tc>
        <w:tc>
          <w:tcPr>
            <w:tcW w:w="1275" w:type="dxa"/>
            <w:vMerge w:val="continue"/>
          </w:tcPr>
          <w:p>
            <w:pPr>
              <w:pStyle w:val="10"/>
              <w:spacing w:line="254" w:lineRule="auto"/>
              <w:ind w:left="158" w:right="144"/>
              <w:jc w:val="center"/>
              <w:rPr>
                <w:sz w:val="24"/>
              </w:rPr>
            </w:pPr>
          </w:p>
        </w:tc>
        <w:tc>
          <w:tcPr>
            <w:tcW w:w="4536" w:type="dxa"/>
            <w:vMerge w:val="continue"/>
          </w:tcPr>
          <w:p>
            <w:pPr>
              <w:pStyle w:val="10"/>
              <w:tabs>
                <w:tab w:val="left" w:pos="4068"/>
              </w:tabs>
              <w:spacing w:before="16"/>
              <w:ind w:left="108"/>
              <w:rPr>
                <w:sz w:val="24"/>
              </w:rPr>
            </w:pPr>
          </w:p>
        </w:tc>
        <w:tc>
          <w:tcPr>
            <w:tcW w:w="424" w:type="dxa"/>
            <w:vMerge w:val="continue"/>
          </w:tcPr>
          <w:p>
            <w:pPr>
              <w:pStyle w:val="10"/>
              <w:ind w:left="108" w:right="-58"/>
              <w:rPr>
                <w:sz w:val="24"/>
              </w:rPr>
            </w:pPr>
          </w:p>
        </w:tc>
        <w:tc>
          <w:tcPr>
            <w:tcW w:w="426" w:type="dxa"/>
            <w:vMerge w:val="continue"/>
          </w:tcPr>
          <w:p>
            <w:pPr>
              <w:pStyle w:val="10"/>
              <w:ind w:left="215"/>
              <w:rPr>
                <w:sz w:val="24"/>
              </w:rPr>
            </w:pPr>
          </w:p>
        </w:tc>
        <w:tc>
          <w:tcPr>
            <w:tcW w:w="424" w:type="dxa"/>
            <w:vMerge w:val="continue"/>
          </w:tcPr>
          <w:p>
            <w:pPr>
              <w:pStyle w:val="10"/>
              <w:ind w:left="110" w:right="-58"/>
              <w:rPr>
                <w:sz w:val="24"/>
              </w:rPr>
            </w:pPr>
          </w:p>
        </w:tc>
        <w:tc>
          <w:tcPr>
            <w:tcW w:w="424" w:type="dxa"/>
            <w:vMerge w:val="continue"/>
          </w:tcPr>
          <w:p>
            <w:pPr>
              <w:pStyle w:val="10"/>
              <w:ind w:left="214"/>
              <w:rPr>
                <w:sz w:val="24"/>
              </w:rPr>
            </w:pPr>
          </w:p>
        </w:tc>
        <w:tc>
          <w:tcPr>
            <w:tcW w:w="424" w:type="dxa"/>
            <w:vMerge w:val="continue"/>
          </w:tcPr>
          <w:p>
            <w:pPr>
              <w:pStyle w:val="10"/>
              <w:ind w:left="112" w:right="-72"/>
              <w:rPr>
                <w:sz w:val="24"/>
              </w:rPr>
            </w:pPr>
          </w:p>
        </w:tc>
        <w:tc>
          <w:tcPr>
            <w:tcW w:w="426" w:type="dxa"/>
            <w:vMerge w:val="continue"/>
          </w:tcPr>
          <w:p>
            <w:pPr>
              <w:pStyle w:val="10"/>
              <w:ind w:left="221"/>
              <w:rPr>
                <w:sz w:val="24"/>
              </w:rPr>
            </w:pPr>
          </w:p>
        </w:tc>
      </w:tr>
    </w:tbl>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201</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医师执业注册（含外国医师来华短期行医许可、台湾地区医师在大陆短期行医许可、香港澳门特别行政区医师在内地短期行医许可）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 xml:space="preserve"> 《医师执业注册管理办法》（国家卫生健康委令第</w:t>
            </w:r>
            <w:r>
              <w:rPr>
                <w:color w:val="000000"/>
                <w:sz w:val="23"/>
              </w:rPr>
              <w:t>13号，2017年2月28日）</w:t>
            </w:r>
          </w:p>
          <w:p>
            <w:pPr>
              <w:pStyle w:val="10"/>
              <w:spacing w:before="1" w:line="254" w:lineRule="auto"/>
              <w:ind w:left="111" w:right="284"/>
              <w:jc w:val="both"/>
              <w:rPr>
                <w:sz w:val="24"/>
              </w:rPr>
            </w:pPr>
            <w:r>
              <w:rPr>
                <w:color w:val="000000"/>
                <w:sz w:val="23"/>
              </w:rPr>
              <w:t>《中华人民共和国执业医师法》（1998年6月26日主席令第五号，2009年8月27日予以修改）</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Pr>
        <w:pStyle w:val="2"/>
        <w:spacing w:before="33"/>
        <w:ind w:right="6151"/>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202</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放射源诊疗技术和医用辐射机构许可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【法律】《中华人民共和国行政许可法》 （中华人民共和国主席令第 7 号） 【法律】《中华人民共和国职业病防治法》 （中华人民共和国主席令第 24 号 2018 年 12 月 29 日修改) 【行政法规】《医疗机构管理条例》（中华 人民共和国国务院令第 149 号 2016 年 2 月 6 日修订） 【行政法规】《放射性同位素与射线装置安 全和防护条例》（中华人民共和国国务院令 第 449 号 2014 年 7 月 29 日修订） 【部门规章及规范性文件】《放射诊疗管理 规定》（中华人民共和国卫生部令第 46 号 2016 年 1 月 19 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line="254" w:lineRule="auto"/>
              <w:ind w:left="102" w:right="195"/>
              <w:rPr>
                <w:sz w:val="24"/>
              </w:rPr>
            </w:pPr>
            <w:r>
              <w:t>结果信息——放射诊疗许可证信息</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203</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权限内医疗机构（含香港、澳门、台湾地区投资者在内地设置独资医院）设置审批和执业登记</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r>
              <w:rPr>
                <w:rFonts w:hint="eastAsia"/>
                <w:sz w:val="24"/>
              </w:rPr>
              <w:t>《医疗机构管理条例》</w:t>
            </w:r>
            <w:r>
              <w:rPr>
                <w:sz w:val="24"/>
              </w:rPr>
              <w:t>(1994年国务院令第149号)</w:t>
            </w:r>
          </w:p>
          <w:p>
            <w:pPr>
              <w:pStyle w:val="10"/>
              <w:spacing w:before="1" w:line="254" w:lineRule="auto"/>
              <w:ind w:left="111" w:right="284"/>
              <w:jc w:val="both"/>
              <w:rPr>
                <w:color w:val="000000"/>
                <w:sz w:val="23"/>
              </w:rPr>
            </w:pPr>
            <w:r>
              <w:rPr>
                <w:rFonts w:hint="eastAsia"/>
                <w:color w:val="000000"/>
                <w:sz w:val="23"/>
              </w:rPr>
              <w:t xml:space="preserve"> 《黑龙江省医疗机构管理办法》</w:t>
            </w:r>
            <w:r>
              <w:rPr>
                <w:color w:val="000000"/>
                <w:sz w:val="23"/>
              </w:rPr>
              <w:t>(2016年黑龙江省人民政府令第3号)</w:t>
            </w:r>
          </w:p>
          <w:p>
            <w:pPr>
              <w:pStyle w:val="10"/>
              <w:spacing w:before="1" w:line="254" w:lineRule="auto"/>
              <w:ind w:left="111" w:right="284"/>
              <w:jc w:val="both"/>
              <w:rPr>
                <w:sz w:val="24"/>
              </w:rPr>
            </w:pPr>
            <w:r>
              <w:rPr>
                <w:rFonts w:hint="eastAsia"/>
                <w:sz w:val="24"/>
              </w:rPr>
              <w:t>《关于进一步改革完善医疗机构、医师审批工作的通知》</w:t>
            </w:r>
            <w:r>
              <w:rPr>
                <w:sz w:val="24"/>
              </w:rPr>
              <w:t xml:space="preserve"> 国卫医发〔2018〕19号</w:t>
            </w:r>
          </w:p>
          <w:p>
            <w:pPr>
              <w:pStyle w:val="10"/>
              <w:spacing w:before="1" w:line="254" w:lineRule="auto"/>
              <w:ind w:left="111" w:right="284"/>
              <w:jc w:val="both"/>
              <w:rPr>
                <w:sz w:val="24"/>
              </w:rPr>
            </w:pPr>
            <w:r>
              <w:rPr>
                <w:rFonts w:hint="eastAsia"/>
                <w:sz w:val="24"/>
              </w:rPr>
              <w:t>《省卫生计生委关于进一步规范医疗机构设置和执业登记管理的指导意见》（黑卫医规发（</w:t>
            </w:r>
            <w:r>
              <w:rPr>
                <w:sz w:val="24"/>
              </w:rPr>
              <w:t>2018）16号）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204</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再生育审批</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《黑龙江省人口与计划生育条例》</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sz w:val="24"/>
              </w:rPr>
            </w:pPr>
            <w:r>
              <w:t>结果信息—</w:t>
            </w:r>
            <w:r>
              <w:rPr>
                <w:rFonts w:hint="eastAsia"/>
              </w:rPr>
              <w:t>再生育证件相关信息</w:t>
            </w:r>
            <w:r>
              <w:rPr>
                <w:sz w:val="24"/>
              </w:rPr>
              <w:t xml:space="preserve"> </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205</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权限内母婴保健技术服务机构执业许可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 xml:space="preserve"> 中华人民共和国母婴保健法</w:t>
            </w:r>
            <w:r>
              <w:rPr>
                <w:color w:val="000000"/>
                <w:sz w:val="23"/>
              </w:rPr>
              <w:t>(2009年8月27日修正版)</w:t>
            </w:r>
          </w:p>
          <w:p>
            <w:pPr>
              <w:pStyle w:val="10"/>
              <w:spacing w:before="1" w:line="254" w:lineRule="auto"/>
              <w:ind w:left="111" w:right="284"/>
              <w:jc w:val="both"/>
              <w:rPr>
                <w:sz w:val="24"/>
              </w:rPr>
            </w:pPr>
            <w:r>
              <w:rPr>
                <w:rFonts w:hint="eastAsia"/>
                <w:sz w:val="24"/>
              </w:rPr>
              <w:t>《中华人民共和国母婴保健法实施办法》</w:t>
            </w:r>
            <w:r>
              <w:rPr>
                <w:sz w:val="24"/>
              </w:rPr>
              <w:t>(2001年国务院令第308号)</w:t>
            </w:r>
          </w:p>
          <w:p>
            <w:pPr>
              <w:pStyle w:val="10"/>
              <w:spacing w:before="1" w:line="254" w:lineRule="auto"/>
              <w:ind w:left="111" w:right="284"/>
              <w:jc w:val="both"/>
              <w:rPr>
                <w:sz w:val="24"/>
              </w:rPr>
            </w:pPr>
            <w:r>
              <w:rPr>
                <w:rFonts w:hint="eastAsia"/>
                <w:sz w:val="24"/>
              </w:rPr>
              <w:t>黑龙江省母婴保健条例（</w:t>
            </w:r>
            <w:r>
              <w:rPr>
                <w:sz w:val="24"/>
              </w:rPr>
              <w:t>2016修正版）</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206</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乡村医生执业注册</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pPr>
            <w:r>
              <w:rPr>
                <w:rFonts w:hint="eastAsia"/>
                <w:color w:val="000000"/>
                <w:sz w:val="23"/>
              </w:rPr>
              <w:t xml:space="preserve"> </w:t>
            </w:r>
            <w:r>
              <w:t>【法律】《中华人民共和国行政许可法》 （中华人民共和国主席令第 7 号）</w:t>
            </w:r>
          </w:p>
          <w:p>
            <w:pPr>
              <w:pStyle w:val="10"/>
              <w:spacing w:before="1" w:line="254" w:lineRule="auto"/>
              <w:ind w:left="111" w:right="284"/>
              <w:jc w:val="both"/>
            </w:pPr>
            <w:r>
              <w:t xml:space="preserve"> 【法律】《中华人民共和国执业医师法》 （中华人民共和国主席令第 5 号 2009 年 8 月 27 日修正）</w:t>
            </w:r>
          </w:p>
          <w:p>
            <w:pPr>
              <w:pStyle w:val="10"/>
              <w:spacing w:before="1" w:line="254" w:lineRule="auto"/>
              <w:ind w:left="111" w:right="284"/>
              <w:jc w:val="both"/>
              <w:rPr>
                <w:sz w:val="24"/>
              </w:rPr>
            </w:pPr>
            <w:r>
              <w:t xml:space="preserve"> 【行政法规】《乡村医生从业管理条例》 （中华人民共和国国务院令第 386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Pr>
        <w:pStyle w:val="2"/>
        <w:spacing w:before="33"/>
        <w:ind w:right="6151"/>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207</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公共场所以及新建、改建、扩建的公共场所的选址和设计卫生许可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r>
              <w:rPr>
                <w:rFonts w:hint="eastAsia"/>
                <w:color w:val="000000"/>
                <w:sz w:val="23"/>
              </w:rPr>
              <w:t xml:space="preserve"> 【法律】《中华人民共和国行政许可法》（中华人民共和国主席令第7号） </w:t>
            </w:r>
          </w:p>
          <w:p>
            <w:pPr>
              <w:rPr>
                <w:color w:val="000000"/>
                <w:sz w:val="23"/>
              </w:rPr>
            </w:pPr>
            <w:r>
              <w:rPr>
                <w:rFonts w:hint="eastAsia"/>
                <w:color w:val="000000"/>
                <w:sz w:val="23"/>
              </w:rPr>
              <w:t xml:space="preserve">【行政法规】《公共场所卫生管理条例》（国发〔1987〕24号 2016年2月6日修订） </w:t>
            </w:r>
          </w:p>
          <w:p>
            <w:pPr>
              <w:rPr>
                <w:color w:val="000000"/>
                <w:sz w:val="23"/>
              </w:rPr>
            </w:pPr>
            <w:r>
              <w:rPr>
                <w:rFonts w:hint="eastAsia"/>
                <w:color w:val="000000"/>
                <w:sz w:val="23"/>
              </w:rPr>
              <w:t xml:space="preserve">【行政法规】《艾滋病防治条例》（中华人民共和国国务院令第457号） </w:t>
            </w:r>
          </w:p>
          <w:p>
            <w:pPr>
              <w:rPr>
                <w:color w:val="000000"/>
                <w:sz w:val="23"/>
              </w:rPr>
            </w:pPr>
            <w:r>
              <w:rPr>
                <w:rFonts w:hint="eastAsia"/>
                <w:color w:val="000000"/>
                <w:sz w:val="23"/>
              </w:rPr>
              <w:t>【国务院文件】《国务院关于在全国推开</w:t>
            </w:r>
            <w:r>
              <w:rPr>
                <w:color w:val="000000"/>
                <w:sz w:val="23"/>
              </w:rPr>
              <w:t>“</w:t>
            </w:r>
            <w:r>
              <w:rPr>
                <w:rFonts w:hint="eastAsia"/>
                <w:color w:val="000000"/>
                <w:sz w:val="23"/>
              </w:rPr>
              <w:t>证照分离</w:t>
            </w:r>
            <w:r>
              <w:rPr>
                <w:color w:val="000000"/>
                <w:sz w:val="23"/>
              </w:rPr>
              <w:t>”</w:t>
            </w:r>
            <w:r>
              <w:rPr>
                <w:rFonts w:hint="eastAsia"/>
                <w:color w:val="000000"/>
                <w:sz w:val="23"/>
              </w:rPr>
              <w:t xml:space="preserve">改革的通知》（国发〔2018〕35号） </w:t>
            </w:r>
          </w:p>
          <w:p>
            <w:pPr>
              <w:rPr>
                <w:color w:val="000000"/>
                <w:sz w:val="23"/>
              </w:rPr>
            </w:pPr>
            <w:r>
              <w:rPr>
                <w:rFonts w:hint="eastAsia"/>
                <w:color w:val="000000"/>
                <w:sz w:val="23"/>
              </w:rPr>
              <w:t xml:space="preserve">【国务院文件】《国务院关于整合调整餐饮服务场所的公共场所卫生许可证和食品经营许可的决定》（国发〔2016〕12号） </w:t>
            </w:r>
          </w:p>
          <w:p>
            <w:pPr>
              <w:rPr>
                <w:color w:val="000000"/>
                <w:sz w:val="23"/>
              </w:rPr>
            </w:pPr>
            <w:r>
              <w:rPr>
                <w:rFonts w:hint="eastAsia"/>
                <w:color w:val="000000"/>
                <w:sz w:val="23"/>
              </w:rPr>
              <w:t xml:space="preserve">【国务院文件】《国务院关于第六批取消和调整行政审批项目的决定》（国发〔2012〕52号） </w:t>
            </w:r>
          </w:p>
          <w:p>
            <w:pPr>
              <w:rPr>
                <w:color w:val="000000"/>
                <w:sz w:val="23"/>
              </w:rPr>
            </w:pPr>
            <w:r>
              <w:rPr>
                <w:rFonts w:hint="eastAsia"/>
                <w:color w:val="000000"/>
                <w:sz w:val="23"/>
              </w:rPr>
              <w:t xml:space="preserve">【部门规章及规范性文件】《公共场所卫生管理条例实施细则》（中华人民共和国卫生部令第80号 2017年12月26修正） </w:t>
            </w:r>
          </w:p>
          <w:p>
            <w:pPr>
              <w:pStyle w:val="10"/>
              <w:spacing w:before="1" w:line="254" w:lineRule="auto"/>
              <w:ind w:left="111" w:right="284"/>
              <w:jc w:val="both"/>
              <w:rPr>
                <w:sz w:val="24"/>
              </w:rPr>
            </w:pPr>
            <w:r>
              <w:rPr>
                <w:rFonts w:hint="eastAsia"/>
                <w:color w:val="000000"/>
                <w:sz w:val="23"/>
              </w:rPr>
              <w:t>【部门规章及规范性文件】《关于全面推开公共场所卫生许可告知承诺制改革有关事项的通知》（国卫办监督发〔2018〕27号）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line="254" w:lineRule="auto"/>
              <w:ind w:left="102" w:right="195"/>
              <w:rPr>
                <w:sz w:val="24"/>
              </w:rPr>
            </w:pPr>
            <w:r>
              <w:t>结果信息</w:t>
            </w:r>
            <w:r>
              <w:rPr>
                <w:sz w:val="24"/>
              </w:rPr>
              <w:t>——</w:t>
            </w:r>
            <w:r>
              <w:rPr>
                <w:color w:val="000000"/>
                <w:sz w:val="23"/>
              </w:rPr>
              <w:t>卫生许可证信息</w:t>
            </w:r>
          </w:p>
          <w:p>
            <w:pPr>
              <w:pStyle w:val="10"/>
              <w:spacing w:line="254" w:lineRule="auto"/>
              <w:ind w:left="102" w:right="195"/>
              <w:rPr>
                <w:sz w:val="24"/>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left="6391" w:right="6151"/>
        <w:jc w:val="center"/>
        <w:rPr>
          <w:w w:val="99"/>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208</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2</w:t>
            </w:r>
            <w:r>
              <w:rPr>
                <w:sz w:val="24"/>
              </w:rPr>
              <w:t xml:space="preserve">行政许可类事项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权限内饮用水供水单位卫生许可</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widowControl/>
            </w:pPr>
            <w:r>
              <w:rPr>
                <w:rFonts w:hint="eastAsia"/>
                <w:color w:val="000000"/>
                <w:sz w:val="23"/>
              </w:rPr>
              <w:t xml:space="preserve"> </w:t>
            </w:r>
            <w:r>
              <w:rPr>
                <w:rFonts w:hint="eastAsia"/>
                <w:color w:val="000000"/>
                <w:sz w:val="24"/>
                <w:szCs w:val="24"/>
                <w:lang w:val="en-US"/>
              </w:rPr>
              <w:t xml:space="preserve">【法律】《中华人民共和国行政许可法》 </w:t>
            </w:r>
          </w:p>
          <w:p>
            <w:pPr>
              <w:widowControl/>
            </w:pPr>
            <w:r>
              <w:rPr>
                <w:rFonts w:hint="eastAsia"/>
                <w:color w:val="000000"/>
                <w:sz w:val="24"/>
                <w:szCs w:val="24"/>
                <w:lang w:val="en-US"/>
              </w:rPr>
              <w:t xml:space="preserve">（中华人民共和国主席令第 7 号） </w:t>
            </w:r>
          </w:p>
          <w:p>
            <w:pPr>
              <w:widowControl/>
            </w:pPr>
            <w:r>
              <w:rPr>
                <w:rFonts w:hint="eastAsia"/>
                <w:color w:val="000000"/>
                <w:sz w:val="24"/>
                <w:szCs w:val="24"/>
                <w:lang w:val="en-US"/>
              </w:rPr>
              <w:t xml:space="preserve">【法律】《中华人民共和国传染病防治法》 </w:t>
            </w:r>
          </w:p>
          <w:p>
            <w:pPr>
              <w:widowControl/>
            </w:pPr>
            <w:r>
              <w:rPr>
                <w:rFonts w:hint="eastAsia"/>
                <w:color w:val="000000"/>
                <w:sz w:val="24"/>
                <w:szCs w:val="24"/>
                <w:lang w:val="en-US"/>
              </w:rPr>
              <w:t xml:space="preserve">（2013 年 6 月 29 日修正） </w:t>
            </w:r>
          </w:p>
          <w:p>
            <w:pPr>
              <w:widowControl/>
            </w:pPr>
            <w:r>
              <w:rPr>
                <w:rFonts w:hint="eastAsia"/>
                <w:color w:val="000000"/>
                <w:sz w:val="24"/>
                <w:szCs w:val="24"/>
                <w:lang w:val="en-US"/>
              </w:rPr>
              <w:t xml:space="preserve">【行政法规】《中华人民共和国传染病防治 </w:t>
            </w:r>
          </w:p>
          <w:p>
            <w:pPr>
              <w:widowControl/>
            </w:pPr>
            <w:r>
              <w:rPr>
                <w:rFonts w:hint="eastAsia"/>
                <w:color w:val="000000"/>
                <w:sz w:val="24"/>
                <w:szCs w:val="24"/>
                <w:lang w:val="en-US"/>
              </w:rPr>
              <w:t xml:space="preserve">法实施办法》（中华人民共和国卫生部令第 </w:t>
            </w:r>
          </w:p>
          <w:p>
            <w:pPr>
              <w:widowControl/>
            </w:pPr>
            <w:r>
              <w:rPr>
                <w:rFonts w:hint="eastAsia"/>
                <w:color w:val="000000"/>
                <w:sz w:val="24"/>
                <w:szCs w:val="24"/>
                <w:lang w:val="en-US"/>
              </w:rPr>
              <w:t xml:space="preserve">17 号） </w:t>
            </w:r>
          </w:p>
          <w:p>
            <w:pPr>
              <w:widowControl/>
            </w:pPr>
            <w:r>
              <w:rPr>
                <w:rFonts w:hint="eastAsia"/>
                <w:color w:val="000000"/>
                <w:sz w:val="24"/>
                <w:szCs w:val="24"/>
                <w:lang w:val="en-US"/>
              </w:rPr>
              <w:t xml:space="preserve">【行政法规】《国务院对确需保留的行政审 </w:t>
            </w:r>
          </w:p>
          <w:p>
            <w:pPr>
              <w:widowControl/>
            </w:pPr>
            <w:r>
              <w:rPr>
                <w:rFonts w:hint="eastAsia"/>
                <w:color w:val="000000"/>
                <w:sz w:val="24"/>
                <w:szCs w:val="24"/>
                <w:lang w:val="en-US"/>
              </w:rPr>
              <w:t xml:space="preserve">批项目设定行政许可的决定》（中华人民共 </w:t>
            </w:r>
          </w:p>
          <w:p>
            <w:pPr>
              <w:widowControl/>
            </w:pPr>
            <w:r>
              <w:rPr>
                <w:rFonts w:hint="eastAsia"/>
                <w:color w:val="000000"/>
                <w:sz w:val="24"/>
                <w:szCs w:val="24"/>
                <w:lang w:val="en-US"/>
              </w:rPr>
              <w:t xml:space="preserve">和国国务院令第 412 号） </w:t>
            </w:r>
          </w:p>
          <w:p>
            <w:pPr>
              <w:widowControl/>
            </w:pPr>
            <w:r>
              <w:rPr>
                <w:rFonts w:hint="eastAsia"/>
                <w:color w:val="000000"/>
                <w:sz w:val="24"/>
                <w:szCs w:val="24"/>
                <w:lang w:val="en-US"/>
              </w:rPr>
              <w:t xml:space="preserve">【部门规章及规范性文件】《生活饮用水卫 </w:t>
            </w:r>
          </w:p>
          <w:p>
            <w:pPr>
              <w:widowControl/>
            </w:pPr>
            <w:r>
              <w:rPr>
                <w:rFonts w:hint="eastAsia"/>
                <w:color w:val="000000"/>
                <w:sz w:val="24"/>
                <w:szCs w:val="24"/>
                <w:lang w:val="en-US"/>
              </w:rPr>
              <w:t xml:space="preserve">生监督管理办法》（中华人民共和国建设 </w:t>
            </w:r>
          </w:p>
          <w:p>
            <w:pPr>
              <w:widowControl/>
            </w:pPr>
            <w:r>
              <w:rPr>
                <w:rFonts w:hint="eastAsia"/>
                <w:color w:val="000000"/>
                <w:sz w:val="24"/>
                <w:szCs w:val="24"/>
                <w:lang w:val="en-US"/>
              </w:rPr>
              <w:t>部、卫生部令第 53 号）</w:t>
            </w:r>
          </w:p>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办事指南，包括：适用范围、事项审查 类型、项目信息（项目名称、审批类 别）、办理依据、受理机 构、决定机构、审批数量、办理条件、 申请材料</w:t>
            </w:r>
            <w:r>
              <w:rPr>
                <w:rFonts w:hint="eastAsia"/>
              </w:rPr>
              <w:t>、</w:t>
            </w:r>
            <w:r>
              <w:t>基本流程、 办理方式、审批时限、审批收费依据及 标准、审批结果、结果送达、申请人权 利和义务、咨询途径、监督和投诉渠 道、办公地址和时间、公开查询方式等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过程信息，各地可根据实际情况适当公 开受理、审核、审批、送达等相关信息</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结果信息，包括姓名、性别、类别、执 业地点、证书编码、主要执业机构、发 证（批准）机关等相关信息</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r>
              <w:rPr>
                <w:sz w:val="24"/>
              </w:rPr>
              <w:t xml:space="preserve">自信息形成或者变更之日起7 个工作日内予以公开 </w:t>
            </w: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tcPr>
          <w:p>
            <w:pPr>
              <w:pStyle w:val="10"/>
              <w:rPr>
                <w:b/>
                <w:sz w:val="24"/>
              </w:rPr>
            </w:pPr>
          </w:p>
          <w:p>
            <w:pPr>
              <w:pStyle w:val="10"/>
              <w:spacing w:before="12"/>
              <w:rPr>
                <w:b/>
                <w:sz w:val="17"/>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7"/>
              <w:ind w:left="107" w:right="-29"/>
              <w:rPr>
                <w:sz w:val="24"/>
              </w:rPr>
            </w:pPr>
            <w:r>
              <w:rPr>
                <w:sz w:val="24"/>
              </w:rPr>
              <w:t xml:space="preserve">□广播电视 □纸质媒体         </w:t>
            </w:r>
          </w:p>
          <w:p>
            <w:pPr>
              <w:pStyle w:val="10"/>
              <w:spacing w:before="19"/>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8"/>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Pr>
        <w:pStyle w:val="2"/>
        <w:spacing w:before="33"/>
        <w:ind w:left="6391" w:right="6151"/>
        <w:jc w:val="center"/>
        <w:rPr>
          <w:w w:val="99"/>
        </w:rPr>
      </w:pPr>
    </w:p>
    <w:p>
      <w:pPr>
        <w:pStyle w:val="2"/>
        <w:spacing w:before="33"/>
        <w:ind w:right="6151"/>
      </w:pPr>
    </w:p>
    <w:p>
      <w:pPr>
        <w:rPr>
          <w:b/>
          <w:sz w:val="20"/>
        </w:rPr>
      </w:pPr>
    </w:p>
    <w:p>
      <w:pPr>
        <w:spacing w:before="6"/>
        <w:rPr>
          <w:b/>
          <w:sz w:val="16"/>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0301</w:t>
            </w:r>
          </w:p>
          <w:p>
            <w:pPr>
              <w:pStyle w:val="10"/>
              <w:rPr>
                <w:sz w:val="24"/>
              </w:rPr>
            </w:pPr>
          </w:p>
          <w:p>
            <w:pPr>
              <w:pStyle w:val="10"/>
              <w:rPr>
                <w:sz w:val="24"/>
              </w:rPr>
            </w:pPr>
          </w:p>
          <w:p>
            <w:pPr>
              <w:pStyle w:val="10"/>
              <w:rPr>
                <w:sz w:val="24"/>
              </w:rPr>
            </w:pPr>
          </w:p>
          <w:p>
            <w:pPr>
              <w:pStyle w:val="10"/>
              <w:spacing w:before="12"/>
              <w:rPr>
                <w:sz w:val="19"/>
              </w:rPr>
            </w:pPr>
          </w:p>
          <w:p>
            <w:pPr>
              <w:pStyle w:val="10"/>
              <w:ind w:left="110" w:right="-29"/>
              <w:rPr>
                <w:sz w:val="24"/>
              </w:rPr>
            </w:pPr>
            <w:r>
              <w:rPr>
                <w:sz w:val="24"/>
              </w:rPr>
              <w:t xml:space="preserve"> </w:t>
            </w:r>
          </w:p>
        </w:tc>
        <w:tc>
          <w:tcPr>
            <w:tcW w:w="574"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03</w:t>
            </w:r>
          </w:p>
          <w:p>
            <w:pPr>
              <w:pStyle w:val="10"/>
              <w:rPr>
                <w:sz w:val="24"/>
              </w:rPr>
            </w:pPr>
            <w:r>
              <w:rPr>
                <w:rFonts w:hint="eastAsia"/>
                <w:sz w:val="24"/>
              </w:rPr>
              <w:t>行</w:t>
            </w:r>
          </w:p>
          <w:p>
            <w:pPr>
              <w:pStyle w:val="10"/>
              <w:rPr>
                <w:sz w:val="24"/>
              </w:rPr>
            </w:pPr>
            <w:r>
              <w:rPr>
                <w:rFonts w:hint="eastAsia"/>
                <w:sz w:val="24"/>
              </w:rPr>
              <w:t>政</w:t>
            </w:r>
          </w:p>
          <w:p>
            <w:pPr>
              <w:pStyle w:val="10"/>
              <w:rPr>
                <w:sz w:val="24"/>
              </w:rPr>
            </w:pPr>
            <w:r>
              <w:rPr>
                <w:rFonts w:hint="eastAsia"/>
                <w:sz w:val="24"/>
              </w:rPr>
              <w:t>确</w:t>
            </w:r>
          </w:p>
          <w:p>
            <w:pPr>
              <w:pStyle w:val="10"/>
              <w:rPr>
                <w:sz w:val="24"/>
              </w:rPr>
            </w:pPr>
            <w:r>
              <w:rPr>
                <w:rFonts w:hint="eastAsia"/>
                <w:sz w:val="24"/>
              </w:rPr>
              <w:t>认</w:t>
            </w:r>
          </w:p>
          <w:p>
            <w:pPr>
              <w:pStyle w:val="10"/>
              <w:rPr>
                <w:sz w:val="24"/>
              </w:rPr>
            </w:pPr>
            <w:r>
              <w:rPr>
                <w:rFonts w:hint="eastAsia"/>
                <w:sz w:val="24"/>
              </w:rPr>
              <w:t>类</w:t>
            </w:r>
          </w:p>
          <w:p>
            <w:pPr>
              <w:pStyle w:val="10"/>
              <w:rPr>
                <w:sz w:val="24"/>
              </w:rPr>
            </w:pPr>
            <w:r>
              <w:rPr>
                <w:rFonts w:hint="eastAsia"/>
                <w:sz w:val="24"/>
              </w:rPr>
              <w:t>事</w:t>
            </w:r>
          </w:p>
          <w:p>
            <w:pPr>
              <w:pStyle w:val="10"/>
              <w:rPr>
                <w:sz w:val="24"/>
              </w:rPr>
            </w:pPr>
            <w:r>
              <w:rPr>
                <w:rFonts w:hint="eastAsia"/>
                <w:sz w:val="24"/>
              </w:rPr>
              <w:t>项</w:t>
            </w:r>
          </w:p>
          <w:p>
            <w:pPr>
              <w:pStyle w:val="10"/>
              <w:rPr>
                <w:sz w:val="24"/>
              </w:rPr>
            </w:pPr>
          </w:p>
          <w:p>
            <w:pPr>
              <w:pStyle w:val="10"/>
              <w:spacing w:before="12"/>
              <w:rPr>
                <w:sz w:val="26"/>
              </w:rPr>
            </w:pPr>
          </w:p>
          <w:p>
            <w:pPr>
              <w:pStyle w:val="10"/>
              <w:spacing w:line="254" w:lineRule="auto"/>
              <w:ind w:left="167" w:right="34"/>
              <w:rPr>
                <w:sz w:val="24"/>
              </w:rPr>
            </w:pPr>
          </w:p>
        </w:tc>
        <w:tc>
          <w:tcPr>
            <w:tcW w:w="1699"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农村部分计划</w:t>
            </w:r>
          </w:p>
          <w:p>
            <w:pPr>
              <w:pStyle w:val="10"/>
              <w:rPr>
                <w:sz w:val="24"/>
              </w:rPr>
            </w:pPr>
            <w:r>
              <w:rPr>
                <w:rFonts w:hint="eastAsia"/>
                <w:sz w:val="24"/>
              </w:rPr>
              <w:t>生育家庭奖励</w:t>
            </w:r>
          </w:p>
          <w:p>
            <w:pPr>
              <w:pStyle w:val="10"/>
              <w:rPr>
                <w:sz w:val="24"/>
              </w:rPr>
            </w:pPr>
            <w:r>
              <w:rPr>
                <w:rFonts w:hint="eastAsia"/>
                <w:sz w:val="24"/>
              </w:rPr>
              <w:t>扶助</w:t>
            </w:r>
          </w:p>
          <w:p>
            <w:pPr>
              <w:pStyle w:val="10"/>
              <w:spacing w:before="201" w:line="254" w:lineRule="auto"/>
              <w:ind w:left="124" w:right="122"/>
              <w:jc w:val="center"/>
              <w:rPr>
                <w:sz w:val="24"/>
              </w:rPr>
            </w:pPr>
          </w:p>
        </w:tc>
        <w:tc>
          <w:tcPr>
            <w:tcW w:w="4389" w:type="dxa"/>
          </w:tcPr>
          <w:p>
            <w:pPr>
              <w:pStyle w:val="10"/>
              <w:spacing w:before="4"/>
              <w:rPr>
                <w:sz w:val="24"/>
              </w:rPr>
            </w:pPr>
            <w:r>
              <w:rPr>
                <w:rFonts w:hint="eastAsia"/>
                <w:sz w:val="24"/>
              </w:rPr>
              <w:t>法律法规和政策文件</w:t>
            </w:r>
          </w:p>
          <w:p>
            <w:pPr>
              <w:pStyle w:val="10"/>
              <w:ind w:left="102"/>
              <w:rPr>
                <w:sz w:val="24"/>
              </w:rPr>
            </w:pPr>
          </w:p>
        </w:tc>
        <w:tc>
          <w:tcPr>
            <w:tcW w:w="4968" w:type="dxa"/>
            <w:vMerge w:val="restart"/>
          </w:tcPr>
          <w:p>
            <w:pPr>
              <w:pStyle w:val="10"/>
              <w:rPr>
                <w:sz w:val="24"/>
              </w:rPr>
            </w:pPr>
          </w:p>
          <w:p>
            <w:pPr>
              <w:pStyle w:val="10"/>
              <w:rPr>
                <w:sz w:val="24"/>
              </w:rPr>
            </w:pPr>
          </w:p>
          <w:p>
            <w:pPr>
              <w:pStyle w:val="10"/>
              <w:rPr>
                <w:sz w:val="24"/>
              </w:rPr>
            </w:pPr>
            <w:r>
              <w:rPr>
                <w:rFonts w:hint="eastAsia"/>
                <w:sz w:val="24"/>
              </w:rPr>
              <w:t>【法律】《中华人民共和国人口与计划生育</w:t>
            </w:r>
          </w:p>
          <w:p>
            <w:pPr>
              <w:pStyle w:val="10"/>
              <w:rPr>
                <w:sz w:val="24"/>
              </w:rPr>
            </w:pPr>
            <w:r>
              <w:rPr>
                <w:rFonts w:hint="eastAsia"/>
                <w:sz w:val="24"/>
              </w:rPr>
              <w:t>法》（中华人民共和国主席令第</w:t>
            </w:r>
            <w:r>
              <w:rPr>
                <w:sz w:val="24"/>
              </w:rPr>
              <w:t xml:space="preserve"> 41 号 2015</w:t>
            </w:r>
          </w:p>
          <w:p>
            <w:pPr>
              <w:pStyle w:val="10"/>
              <w:rPr>
                <w:sz w:val="24"/>
              </w:rPr>
            </w:pPr>
            <w:r>
              <w:rPr>
                <w:rFonts w:hint="eastAsia"/>
                <w:sz w:val="24"/>
              </w:rPr>
              <w:t>年</w:t>
            </w:r>
            <w:r>
              <w:rPr>
                <w:sz w:val="24"/>
              </w:rPr>
              <w:t xml:space="preserve"> 12 月 27 日修正）</w:t>
            </w:r>
          </w:p>
          <w:p>
            <w:pPr>
              <w:pStyle w:val="10"/>
              <w:rPr>
                <w:sz w:val="24"/>
              </w:rPr>
            </w:pPr>
            <w:r>
              <w:rPr>
                <w:rFonts w:hint="eastAsia"/>
                <w:sz w:val="24"/>
              </w:rPr>
              <w:t>【部门规章及规范性文件】《国务院关于印</w:t>
            </w:r>
          </w:p>
          <w:p>
            <w:pPr>
              <w:pStyle w:val="10"/>
              <w:rPr>
                <w:sz w:val="24"/>
              </w:rPr>
            </w:pPr>
            <w:r>
              <w:rPr>
                <w:rFonts w:hint="eastAsia"/>
                <w:sz w:val="24"/>
              </w:rPr>
              <w:t>发国家基本公共服务体系“十二五”规划的</w:t>
            </w:r>
          </w:p>
          <w:p>
            <w:pPr>
              <w:pStyle w:val="10"/>
              <w:rPr>
                <w:sz w:val="24"/>
              </w:rPr>
            </w:pPr>
            <w:r>
              <w:rPr>
                <w:rFonts w:hint="eastAsia"/>
                <w:sz w:val="24"/>
              </w:rPr>
              <w:t>通知》（国发﹝</w:t>
            </w:r>
            <w:r>
              <w:rPr>
                <w:sz w:val="24"/>
              </w:rPr>
              <w:t>2012﹞29 号）</w:t>
            </w:r>
          </w:p>
          <w:p>
            <w:pPr>
              <w:pStyle w:val="10"/>
              <w:rPr>
                <w:sz w:val="24"/>
              </w:rPr>
            </w:pPr>
            <w:r>
              <w:rPr>
                <w:rFonts w:hint="eastAsia"/>
                <w:sz w:val="24"/>
              </w:rPr>
              <w:t>【部门规章及规范性文件】《关于开展对农</w:t>
            </w:r>
          </w:p>
          <w:p>
            <w:pPr>
              <w:pStyle w:val="10"/>
              <w:rPr>
                <w:sz w:val="24"/>
              </w:rPr>
            </w:pPr>
            <w:r>
              <w:rPr>
                <w:rFonts w:hint="eastAsia"/>
                <w:sz w:val="24"/>
              </w:rPr>
              <w:t>村部分计划生育家庭实行奖励扶助制度试点</w:t>
            </w:r>
          </w:p>
          <w:p>
            <w:pPr>
              <w:pStyle w:val="10"/>
              <w:rPr>
                <w:sz w:val="24"/>
              </w:rPr>
            </w:pPr>
            <w:r>
              <w:rPr>
                <w:rFonts w:hint="eastAsia"/>
                <w:sz w:val="24"/>
              </w:rPr>
              <w:t>工作意见》（国办发〔</w:t>
            </w:r>
            <w:r>
              <w:rPr>
                <w:sz w:val="24"/>
              </w:rPr>
              <w:t>2004〕21 号）</w:t>
            </w:r>
          </w:p>
          <w:p>
            <w:pPr>
              <w:pStyle w:val="10"/>
              <w:rPr>
                <w:sz w:val="24"/>
              </w:rPr>
            </w:pPr>
            <w:r>
              <w:rPr>
                <w:rFonts w:hint="eastAsia"/>
                <w:sz w:val="24"/>
              </w:rPr>
              <w:t>【部门规章及规范性文件】《关于调整全国</w:t>
            </w:r>
          </w:p>
          <w:p>
            <w:pPr>
              <w:pStyle w:val="10"/>
              <w:rPr>
                <w:sz w:val="24"/>
              </w:rPr>
            </w:pPr>
            <w:r>
              <w:rPr>
                <w:rFonts w:hint="eastAsia"/>
                <w:sz w:val="24"/>
              </w:rPr>
              <w:t>农村部分计划生育家庭奖励扶助和计划生育</w:t>
            </w:r>
          </w:p>
          <w:p>
            <w:pPr>
              <w:pStyle w:val="10"/>
              <w:rPr>
                <w:sz w:val="24"/>
              </w:rPr>
            </w:pPr>
            <w:r>
              <w:rPr>
                <w:rFonts w:hint="eastAsia"/>
                <w:sz w:val="24"/>
              </w:rPr>
              <w:t>家庭特别扶助标准的通知》（财教〔</w:t>
            </w:r>
            <w:r>
              <w:rPr>
                <w:sz w:val="24"/>
              </w:rPr>
              <w:t>2011〕</w:t>
            </w:r>
          </w:p>
          <w:p>
            <w:pPr>
              <w:pStyle w:val="10"/>
              <w:rPr>
                <w:sz w:val="24"/>
              </w:rPr>
            </w:pPr>
            <w:r>
              <w:rPr>
                <w:sz w:val="24"/>
              </w:rPr>
              <w:t>623 号）</w:t>
            </w:r>
          </w:p>
          <w:p>
            <w:pPr>
              <w:pStyle w:val="10"/>
              <w:rPr>
                <w:sz w:val="24"/>
              </w:rPr>
            </w:pPr>
            <w:r>
              <w:rPr>
                <w:rFonts w:hint="eastAsia"/>
                <w:sz w:val="24"/>
              </w:rPr>
              <w:t>【部门规章及规范性文件】《关于印发全国</w:t>
            </w:r>
          </w:p>
          <w:p>
            <w:pPr>
              <w:pStyle w:val="10"/>
              <w:rPr>
                <w:sz w:val="24"/>
              </w:rPr>
            </w:pPr>
            <w:r>
              <w:rPr>
                <w:rFonts w:hint="eastAsia"/>
                <w:sz w:val="24"/>
              </w:rPr>
              <w:t>农村部分计划生育家庭奖励扶助制度管理规</w:t>
            </w:r>
          </w:p>
          <w:p>
            <w:pPr>
              <w:pStyle w:val="10"/>
              <w:rPr>
                <w:sz w:val="24"/>
              </w:rPr>
            </w:pPr>
            <w:r>
              <w:rPr>
                <w:rFonts w:hint="eastAsia"/>
                <w:sz w:val="24"/>
              </w:rPr>
              <w:t>范的通知》（人口厅发〔</w:t>
            </w:r>
            <w:r>
              <w:rPr>
                <w:sz w:val="24"/>
              </w:rPr>
              <w:t>2006〕122 号）</w:t>
            </w:r>
          </w:p>
          <w:p>
            <w:pPr>
              <w:pStyle w:val="10"/>
              <w:rPr>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0"/>
              <w:rPr>
                <w:sz w:val="17"/>
              </w:rPr>
            </w:pPr>
          </w:p>
          <w:p>
            <w:pPr>
              <w:pStyle w:val="10"/>
              <w:spacing w:before="1" w:line="254" w:lineRule="auto"/>
              <w:ind w:left="123" w:right="118" w:hanging="3"/>
              <w:jc w:val="center"/>
              <w:rPr>
                <w:sz w:val="24"/>
              </w:rPr>
            </w:pPr>
            <w:r>
              <w:rPr>
                <w:rFonts w:hint="eastAsia"/>
                <w:sz w:val="24"/>
              </w:rPr>
              <w:t>自信息形</w:t>
            </w:r>
          </w:p>
          <w:p>
            <w:pPr>
              <w:pStyle w:val="10"/>
              <w:spacing w:before="1" w:line="254" w:lineRule="auto"/>
              <w:ind w:left="123" w:right="118" w:hanging="3"/>
              <w:jc w:val="center"/>
              <w:rPr>
                <w:sz w:val="24"/>
              </w:rPr>
            </w:pPr>
            <w:r>
              <w:rPr>
                <w:rFonts w:hint="eastAsia"/>
                <w:sz w:val="24"/>
              </w:rPr>
              <w:t>成或者变</w:t>
            </w:r>
          </w:p>
          <w:p>
            <w:pPr>
              <w:pStyle w:val="10"/>
              <w:spacing w:before="1" w:line="254" w:lineRule="auto"/>
              <w:ind w:left="123" w:right="118" w:hanging="3"/>
              <w:jc w:val="center"/>
              <w:rPr>
                <w:sz w:val="24"/>
              </w:rPr>
            </w:pPr>
            <w:r>
              <w:rPr>
                <w:rFonts w:hint="eastAsia"/>
                <w:sz w:val="24"/>
              </w:rPr>
              <w:t>更之日起</w:t>
            </w:r>
          </w:p>
          <w:p>
            <w:pPr>
              <w:pStyle w:val="10"/>
              <w:spacing w:before="1" w:line="254" w:lineRule="auto"/>
              <w:ind w:left="123" w:right="118" w:hanging="3"/>
              <w:jc w:val="center"/>
              <w:rPr>
                <w:sz w:val="24"/>
              </w:rPr>
            </w:pPr>
            <w:r>
              <w:rPr>
                <w:sz w:val="24"/>
              </w:rPr>
              <w:t>20 个工作</w:t>
            </w:r>
          </w:p>
          <w:p>
            <w:pPr>
              <w:pStyle w:val="10"/>
              <w:spacing w:before="1" w:line="254" w:lineRule="auto"/>
              <w:ind w:left="123" w:right="118" w:hanging="3"/>
              <w:jc w:val="center"/>
              <w:rPr>
                <w:sz w:val="24"/>
              </w:rPr>
            </w:pPr>
            <w:r>
              <w:rPr>
                <w:rFonts w:hint="eastAsia"/>
                <w:sz w:val="24"/>
              </w:rPr>
              <w:t>日内予以</w:t>
            </w:r>
          </w:p>
          <w:p>
            <w:pPr>
              <w:pStyle w:val="10"/>
              <w:spacing w:before="1" w:line="254" w:lineRule="auto"/>
              <w:ind w:left="123" w:right="118" w:hanging="3"/>
              <w:jc w:val="center"/>
              <w:rPr>
                <w:sz w:val="24"/>
              </w:rPr>
            </w:pPr>
            <w:r>
              <w:rPr>
                <w:rFonts w:hint="eastAsia"/>
                <w:sz w:val="24"/>
              </w:rPr>
              <w:t>公开</w:t>
            </w:r>
          </w:p>
        </w:tc>
        <w:tc>
          <w:tcPr>
            <w:tcW w:w="1275"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4"/>
              <w:rPr>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1"/>
              <w:rPr>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sz w:val="24"/>
                <w:u w:val="single"/>
              </w:rPr>
              <w:t xml:space="preserve"> </w:t>
            </w:r>
            <w:r>
              <w:rPr>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rFonts w:hint="eastAsia"/>
                <w:sz w:val="24"/>
              </w:rPr>
              <w:t>申请材料</w:t>
            </w:r>
          </w:p>
          <w:p>
            <w:pPr>
              <w:pStyle w:val="10"/>
              <w:spacing w:line="307" w:lineRule="exact"/>
              <w:ind w:left="102"/>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sectPr>
          <w:footerReference r:id="rId3" w:type="default"/>
          <w:type w:val="continuous"/>
          <w:pgSz w:w="23820" w:h="16840" w:orient="landscape"/>
          <w:pgMar w:top="1580" w:right="800" w:bottom="1320" w:left="800" w:header="720" w:footer="1121" w:gutter="0"/>
          <w:pgNumType w:start="1"/>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rFonts w:hint="eastAsia"/>
                <w:sz w:val="24"/>
              </w:rPr>
              <w:t>03</w:t>
            </w:r>
            <w:r>
              <w:rPr>
                <w:sz w:val="24"/>
              </w:rPr>
              <w:t>0</w:t>
            </w:r>
            <w:r>
              <w:rPr>
                <w:rFonts w:hint="eastAsia"/>
                <w:sz w:val="24"/>
                <w:lang w:val="en-US"/>
              </w:rPr>
              <w:t>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3</w:t>
            </w:r>
            <w:r>
              <w:rPr>
                <w:sz w:val="24"/>
              </w:rPr>
              <w:t xml:space="preserve"> 行政</w:t>
            </w:r>
            <w:r>
              <w:rPr>
                <w:rFonts w:hint="eastAsia"/>
                <w:sz w:val="24"/>
              </w:rPr>
              <w:t>确认</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tbl>
            <w:tblPr>
              <w:tblStyle w:val="6"/>
              <w:tblW w:w="1440" w:type="dxa"/>
              <w:tblInd w:w="0" w:type="dxa"/>
              <w:tblLayout w:type="fixed"/>
              <w:tblCellMar>
                <w:top w:w="0" w:type="dxa"/>
                <w:left w:w="108" w:type="dxa"/>
                <w:bottom w:w="0" w:type="dxa"/>
                <w:right w:w="108" w:type="dxa"/>
              </w:tblCellMar>
            </w:tblPr>
            <w:tblGrid>
              <w:gridCol w:w="1440"/>
            </w:tblGrid>
            <w:tr>
              <w:tblPrEx>
                <w:tblCellMar>
                  <w:top w:w="0" w:type="dxa"/>
                  <w:left w:w="108" w:type="dxa"/>
                  <w:bottom w:w="0" w:type="dxa"/>
                  <w:right w:w="108" w:type="dxa"/>
                </w:tblCellMar>
              </w:tblPrEx>
              <w:trPr>
                <w:trHeight w:val="283" w:hRule="atLeast"/>
              </w:trPr>
              <w:tc>
                <w:tcPr>
                  <w:tcW w:w="1440" w:type="dxa"/>
                  <w:tcBorders>
                    <w:tl2br w:val="nil"/>
                    <w:tr2bl w:val="nil"/>
                  </w:tcBorders>
                </w:tcPr>
                <w:p>
                  <w:pPr>
                    <w:rPr>
                      <w:color w:val="000000"/>
                      <w:sz w:val="23"/>
                    </w:rPr>
                  </w:pPr>
                </w:p>
              </w:tc>
            </w:tr>
          </w:tbl>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sz w:val="24"/>
              </w:rPr>
              <w:t>计划生育家庭</w:t>
            </w:r>
          </w:p>
          <w:p>
            <w:pPr>
              <w:pStyle w:val="10"/>
              <w:spacing w:before="201" w:line="254" w:lineRule="auto"/>
              <w:ind w:left="124" w:right="122"/>
              <w:jc w:val="center"/>
              <w:rPr>
                <w:sz w:val="24"/>
              </w:rPr>
            </w:pPr>
            <w:r>
              <w:rPr>
                <w:rFonts w:hint="eastAsia"/>
                <w:sz w:val="24"/>
              </w:rPr>
              <w:t>特别扶助</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【法律】《中华人民共和国人口与计划生育</w:t>
            </w:r>
          </w:p>
          <w:p>
            <w:pPr>
              <w:pStyle w:val="10"/>
              <w:spacing w:before="1" w:line="254" w:lineRule="auto"/>
              <w:ind w:left="111" w:right="284"/>
              <w:jc w:val="both"/>
              <w:rPr>
                <w:color w:val="000000"/>
                <w:sz w:val="23"/>
              </w:rPr>
            </w:pPr>
            <w:r>
              <w:rPr>
                <w:rFonts w:hint="eastAsia"/>
                <w:color w:val="000000"/>
                <w:sz w:val="23"/>
              </w:rPr>
              <w:t>法》（中华人民共和国主席令第</w:t>
            </w:r>
            <w:r>
              <w:rPr>
                <w:color w:val="000000"/>
                <w:sz w:val="23"/>
              </w:rPr>
              <w:t xml:space="preserve"> 41 号 2015</w:t>
            </w:r>
          </w:p>
          <w:p>
            <w:pPr>
              <w:pStyle w:val="10"/>
              <w:spacing w:before="1" w:line="254" w:lineRule="auto"/>
              <w:ind w:left="111" w:right="284"/>
              <w:jc w:val="both"/>
              <w:rPr>
                <w:color w:val="000000"/>
                <w:sz w:val="23"/>
              </w:rPr>
            </w:pPr>
            <w:r>
              <w:rPr>
                <w:rFonts w:hint="eastAsia"/>
                <w:color w:val="000000"/>
                <w:sz w:val="23"/>
              </w:rPr>
              <w:t>年</w:t>
            </w:r>
            <w:r>
              <w:rPr>
                <w:color w:val="000000"/>
                <w:sz w:val="23"/>
              </w:rPr>
              <w:t xml:space="preserve"> 12 月 27 日修正）</w:t>
            </w:r>
          </w:p>
          <w:p>
            <w:pPr>
              <w:pStyle w:val="10"/>
              <w:spacing w:before="1" w:line="254" w:lineRule="auto"/>
              <w:ind w:left="111" w:right="284"/>
              <w:jc w:val="both"/>
              <w:rPr>
                <w:color w:val="000000"/>
                <w:sz w:val="23"/>
              </w:rPr>
            </w:pPr>
            <w:r>
              <w:rPr>
                <w:rFonts w:hint="eastAsia"/>
                <w:color w:val="000000"/>
                <w:sz w:val="23"/>
              </w:rPr>
              <w:t>【部门规章及规范性文件】《关于印发全国</w:t>
            </w:r>
          </w:p>
          <w:p>
            <w:pPr>
              <w:pStyle w:val="10"/>
              <w:spacing w:before="1" w:line="254" w:lineRule="auto"/>
              <w:ind w:left="111" w:right="284"/>
              <w:jc w:val="both"/>
              <w:rPr>
                <w:color w:val="000000"/>
                <w:sz w:val="23"/>
              </w:rPr>
            </w:pPr>
            <w:r>
              <w:rPr>
                <w:rFonts w:hint="eastAsia"/>
                <w:color w:val="000000"/>
                <w:sz w:val="23"/>
              </w:rPr>
              <w:t>独生子女伤残死亡家庭特别扶助制度试点方</w:t>
            </w:r>
          </w:p>
          <w:p>
            <w:pPr>
              <w:pStyle w:val="10"/>
              <w:spacing w:before="1" w:line="254" w:lineRule="auto"/>
              <w:ind w:left="111" w:right="284"/>
              <w:jc w:val="both"/>
              <w:rPr>
                <w:sz w:val="24"/>
              </w:rPr>
            </w:pPr>
            <w:r>
              <w:rPr>
                <w:rFonts w:hint="eastAsia"/>
                <w:color w:val="000000"/>
                <w:sz w:val="23"/>
              </w:rPr>
              <w:t>案的通知》（国人口发〔</w:t>
            </w:r>
            <w:r>
              <w:rPr>
                <w:color w:val="000000"/>
                <w:sz w:val="23"/>
              </w:rPr>
              <w:t>2007〕78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p>
          <w:tbl>
            <w:tblPr>
              <w:tblStyle w:val="6"/>
              <w:tblW w:w="4300" w:type="dxa"/>
              <w:tblInd w:w="0" w:type="dxa"/>
              <w:tblLayout w:type="fixed"/>
              <w:tblCellMar>
                <w:top w:w="0" w:type="dxa"/>
                <w:left w:w="108" w:type="dxa"/>
                <w:bottom w:w="0" w:type="dxa"/>
                <w:right w:w="108" w:type="dxa"/>
              </w:tblCellMar>
            </w:tblPr>
            <w:tblGrid>
              <w:gridCol w:w="4300"/>
            </w:tblGrid>
            <w:tr>
              <w:tblPrEx>
                <w:tblCellMar>
                  <w:top w:w="0" w:type="dxa"/>
                  <w:left w:w="108" w:type="dxa"/>
                  <w:bottom w:w="0" w:type="dxa"/>
                  <w:right w:w="108" w:type="dxa"/>
                </w:tblCellMar>
              </w:tblPrEx>
              <w:trPr>
                <w:trHeight w:val="1424" w:hRule="atLeast"/>
              </w:trPr>
              <w:tc>
                <w:tcPr>
                  <w:tcW w:w="4300" w:type="dxa"/>
                  <w:tcBorders>
                    <w:tl2br w:val="nil"/>
                    <w:tr2bl w:val="nil"/>
                  </w:tcBorders>
                </w:tcPr>
                <w:p>
                  <w:pPr>
                    <w:pStyle w:val="10"/>
                    <w:spacing w:line="307" w:lineRule="exact"/>
                    <w:ind w:left="102"/>
                    <w:rPr>
                      <w:sz w:val="24"/>
                    </w:rPr>
                  </w:pPr>
                  <w:r>
                    <w:rPr>
                      <w:rFonts w:hint="eastAsia"/>
                      <w:sz w:val="24"/>
                    </w:rPr>
                    <w:t>申请材料</w:t>
                  </w:r>
                </w:p>
                <w:p>
                  <w:pPr>
                    <w:rPr>
                      <w:color w:val="000000"/>
                      <w:sz w:val="23"/>
                    </w:rPr>
                  </w:pPr>
                  <w:r>
                    <w:rPr>
                      <w:rFonts w:hint="eastAsia"/>
                      <w:sz w:val="24"/>
                    </w:rPr>
                    <w:t>受理范围及条件</w:t>
                  </w:r>
                </w:p>
              </w:tc>
            </w:tr>
          </w:tbl>
          <w:p>
            <w:pPr>
              <w:pStyle w:val="10"/>
              <w:spacing w:line="307" w:lineRule="exact"/>
              <w:ind w:left="102"/>
              <w:rPr>
                <w:sz w:val="24"/>
              </w:rPr>
            </w:pP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0303</w:t>
            </w: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szCs w:val="24"/>
              </w:rPr>
            </w:pPr>
            <w:r>
              <w:rPr>
                <w:rFonts w:hint="eastAsia"/>
                <w:color w:val="000000"/>
                <w:sz w:val="24"/>
                <w:szCs w:val="24"/>
              </w:rPr>
              <w:t>承担预防接种工作的医疗卫生机构（接种单位）的确认</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rPr>
                <w:color w:val="000000"/>
                <w:sz w:val="23"/>
              </w:rPr>
            </w:pPr>
          </w:p>
          <w:p>
            <w:pPr>
              <w:pStyle w:val="10"/>
              <w:spacing w:before="1" w:line="254" w:lineRule="auto"/>
              <w:ind w:left="111" w:right="284"/>
              <w:jc w:val="both"/>
              <w:rPr>
                <w:color w:val="000000"/>
                <w:sz w:val="23"/>
              </w:rPr>
            </w:pPr>
            <w:r>
              <w:rPr>
                <w:rFonts w:hint="eastAsia"/>
                <w:color w:val="000000"/>
                <w:sz w:val="23"/>
              </w:rPr>
              <w:t>【行政法规】《疫苗流通和预防接种管理条</w:t>
            </w:r>
          </w:p>
          <w:p>
            <w:pPr>
              <w:pStyle w:val="10"/>
              <w:spacing w:before="1" w:line="254" w:lineRule="auto"/>
              <w:ind w:left="111" w:right="284"/>
              <w:jc w:val="both"/>
              <w:rPr>
                <w:color w:val="000000"/>
                <w:sz w:val="23"/>
              </w:rPr>
            </w:pPr>
            <w:r>
              <w:rPr>
                <w:rFonts w:hint="eastAsia"/>
                <w:color w:val="000000"/>
                <w:sz w:val="23"/>
              </w:rPr>
              <w:t>例》（中华人民共和国国务院令第</w:t>
            </w:r>
            <w:r>
              <w:rPr>
                <w:color w:val="000000"/>
                <w:sz w:val="23"/>
              </w:rPr>
              <w:t xml:space="preserve"> 434 号</w:t>
            </w:r>
          </w:p>
          <w:p>
            <w:pPr>
              <w:pStyle w:val="10"/>
              <w:spacing w:before="1" w:line="254" w:lineRule="auto"/>
              <w:ind w:left="111" w:right="284"/>
              <w:jc w:val="both"/>
              <w:rPr>
                <w:color w:val="000000"/>
                <w:sz w:val="23"/>
              </w:rPr>
            </w:pPr>
            <w:r>
              <w:rPr>
                <w:color w:val="000000"/>
                <w:sz w:val="23"/>
              </w:rPr>
              <w:t>2016 年 4 月 23 日《国务院关于修改&lt;疫苗流</w:t>
            </w:r>
          </w:p>
          <w:p>
            <w:pPr>
              <w:pStyle w:val="10"/>
              <w:spacing w:before="1" w:line="254" w:lineRule="auto"/>
              <w:ind w:left="111" w:right="284"/>
              <w:jc w:val="both"/>
              <w:rPr>
                <w:sz w:val="24"/>
              </w:rPr>
            </w:pPr>
            <w:r>
              <w:rPr>
                <w:rFonts w:hint="eastAsia"/>
                <w:color w:val="000000"/>
                <w:sz w:val="23"/>
              </w:rPr>
              <w:t>通和预防接种管理条例</w:t>
            </w:r>
            <w:r>
              <w:rPr>
                <w:color w:val="000000"/>
                <w:sz w:val="23"/>
              </w:rPr>
              <w:t>&gt;的决定》修订）</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rFonts w:hint="eastAsia"/>
                <w:sz w:val="24"/>
              </w:rPr>
              <w:t>自信息形</w:t>
            </w:r>
          </w:p>
          <w:p>
            <w:pPr>
              <w:pStyle w:val="10"/>
              <w:spacing w:before="1" w:line="254" w:lineRule="auto"/>
              <w:ind w:left="123" w:right="118" w:hanging="3"/>
              <w:jc w:val="center"/>
              <w:rPr>
                <w:sz w:val="24"/>
              </w:rPr>
            </w:pPr>
            <w:r>
              <w:rPr>
                <w:rFonts w:hint="eastAsia"/>
                <w:sz w:val="24"/>
              </w:rPr>
              <w:t>成或者变</w:t>
            </w:r>
          </w:p>
          <w:p>
            <w:pPr>
              <w:pStyle w:val="10"/>
              <w:spacing w:before="1" w:line="254" w:lineRule="auto"/>
              <w:ind w:left="123" w:right="118" w:hanging="3"/>
              <w:jc w:val="center"/>
              <w:rPr>
                <w:sz w:val="24"/>
              </w:rPr>
            </w:pPr>
            <w:r>
              <w:rPr>
                <w:rFonts w:hint="eastAsia"/>
                <w:sz w:val="24"/>
              </w:rPr>
              <w:t>更之日起</w:t>
            </w:r>
          </w:p>
          <w:p>
            <w:pPr>
              <w:pStyle w:val="10"/>
              <w:spacing w:before="1" w:line="254" w:lineRule="auto"/>
              <w:ind w:left="123" w:right="118" w:hanging="3"/>
              <w:jc w:val="center"/>
              <w:rPr>
                <w:sz w:val="24"/>
              </w:rPr>
            </w:pPr>
            <w:r>
              <w:rPr>
                <w:sz w:val="24"/>
              </w:rPr>
              <w:t>20 个工作</w:t>
            </w:r>
          </w:p>
          <w:p>
            <w:pPr>
              <w:pStyle w:val="10"/>
              <w:spacing w:before="1" w:line="254" w:lineRule="auto"/>
              <w:ind w:left="123" w:right="118" w:hanging="3"/>
              <w:jc w:val="center"/>
              <w:rPr>
                <w:sz w:val="24"/>
              </w:rPr>
            </w:pPr>
            <w:r>
              <w:rPr>
                <w:rFonts w:hint="eastAsia"/>
                <w:sz w:val="24"/>
              </w:rPr>
              <w:t>日内予以</w:t>
            </w:r>
          </w:p>
          <w:p>
            <w:pPr>
              <w:pStyle w:val="10"/>
              <w:spacing w:before="1" w:line="254" w:lineRule="auto"/>
              <w:ind w:left="123" w:right="118" w:hanging="3"/>
              <w:jc w:val="center"/>
              <w:rPr>
                <w:sz w:val="24"/>
              </w:rPr>
            </w:pPr>
            <w:r>
              <w:rPr>
                <w:rFonts w:hint="eastAsia"/>
                <w:sz w:val="24"/>
              </w:rPr>
              <w:t>公开</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申请材料</w:t>
            </w:r>
          </w:p>
          <w:p>
            <w:pPr>
              <w:pStyle w:val="10"/>
              <w:spacing w:line="307" w:lineRule="exact"/>
              <w:ind w:left="102"/>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line="254" w:lineRule="auto"/>
              <w:ind w:left="102" w:right="195"/>
              <w:rPr>
                <w:sz w:val="24"/>
              </w:rPr>
            </w:pPr>
            <w:r>
              <w:rPr>
                <w:rFonts w:hint="eastAsia"/>
                <w:sz w:val="24"/>
              </w:rPr>
              <w:t>咨询投诉渠道</w:t>
            </w: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sectPr>
          <w:pgSz w:w="23820" w:h="16840" w:orient="landscape"/>
          <w:pgMar w:top="1420" w:right="800" w:bottom="1320" w:left="800" w:header="0" w:footer="1121" w:gutter="0"/>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0304</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szCs w:val="24"/>
              </w:rPr>
            </w:pPr>
            <w:r>
              <w:rPr>
                <w:rFonts w:hint="eastAsia"/>
                <w:color w:val="000000"/>
                <w:sz w:val="24"/>
                <w:szCs w:val="24"/>
              </w:rPr>
              <w:t>计划生育手术并发症鉴定</w:t>
            </w: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r>
              <w:rPr>
                <w:rFonts w:hint="eastAsia"/>
                <w:b/>
                <w:sz w:val="24"/>
              </w:rPr>
              <w:t>【行政法规】《计划生育技术服务管理条例》（国务院令第</w:t>
            </w:r>
            <w:r>
              <w:rPr>
                <w:b/>
                <w:sz w:val="24"/>
              </w:rPr>
              <w:t>309号）</w:t>
            </w:r>
          </w:p>
          <w:p>
            <w:pPr>
              <w:pStyle w:val="10"/>
              <w:rPr>
                <w:b/>
                <w:sz w:val="24"/>
              </w:rPr>
            </w:pPr>
          </w:p>
          <w:p>
            <w:pPr>
              <w:pStyle w:val="10"/>
              <w:spacing w:before="1" w:line="254" w:lineRule="auto"/>
              <w:ind w:left="111" w:right="284"/>
              <w:jc w:val="both"/>
              <w:rPr>
                <w:sz w:val="24"/>
              </w:rPr>
            </w:pPr>
            <w:r>
              <w:rPr>
                <w:rFonts w:hint="eastAsia"/>
                <w:sz w:val="24"/>
              </w:rPr>
              <w:t>【规范性文件】《关于印发</w:t>
            </w:r>
            <w:r>
              <w:rPr>
                <w:sz w:val="24"/>
              </w:rPr>
              <w:t>&lt;计划生育手术并发症鉴定管理办法（试行）&gt;的通知》（国家人口计生委人口科技〔2011〕67号）</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0305</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r>
              <w:rPr>
                <w:rFonts w:hint="eastAsia"/>
                <w:color w:val="000000"/>
                <w:sz w:val="23"/>
                <w:szCs w:val="23"/>
              </w:rPr>
              <w:t>对婚前医学检查、遗传病诊断和产前诊断结果有异议的医学技术鉴定</w:t>
            </w:r>
          </w:p>
          <w:p>
            <w:pPr>
              <w:pStyle w:val="10"/>
              <w:rPr>
                <w:b/>
                <w:sz w:val="24"/>
              </w:rPr>
            </w:pPr>
          </w:p>
          <w:p>
            <w:pPr>
              <w:pStyle w:val="10"/>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color w:val="000000"/>
                <w:sz w:val="23"/>
              </w:rPr>
            </w:pPr>
            <w:r>
              <w:rPr>
                <w:rFonts w:hint="eastAsia"/>
                <w:color w:val="000000"/>
                <w:sz w:val="23"/>
              </w:rPr>
              <w:t xml:space="preserve"> 【法律】《中华人民共和国母婴保健法》</w:t>
            </w:r>
          </w:p>
          <w:p>
            <w:pPr>
              <w:pStyle w:val="10"/>
              <w:spacing w:before="1" w:line="254" w:lineRule="auto"/>
              <w:ind w:left="111" w:right="284"/>
              <w:jc w:val="both"/>
              <w:rPr>
                <w:sz w:val="24"/>
              </w:rPr>
            </w:pPr>
            <w:r>
              <w:rPr>
                <w:rFonts w:hint="eastAsia"/>
                <w:sz w:val="24"/>
              </w:rPr>
              <w:t>【行政法规】《中华人民共和国母婴保健法实施办法》（国务院令第</w:t>
            </w:r>
            <w:r>
              <w:rPr>
                <w:sz w:val="24"/>
              </w:rPr>
              <w:t>308号）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0306</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再生育涉及病残儿医学鉴定</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rFonts w:hint="eastAsia"/>
                <w:color w:val="000000"/>
                <w:sz w:val="23"/>
              </w:rPr>
              <w:t xml:space="preserve"> 【行政法规】《计划生育技术服务管理条例》（国务院令第</w:t>
            </w:r>
            <w:r>
              <w:rPr>
                <w:color w:val="000000"/>
                <w:sz w:val="23"/>
              </w:rPr>
              <w:t>309号）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0307</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中医医疗广告发布认定</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rFonts w:hint="eastAsia"/>
                <w:color w:val="000000"/>
                <w:sz w:val="23"/>
              </w:rPr>
              <w:t xml:space="preserve"> 《中华人民共和国中医药法》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0308</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r>
              <w:rPr>
                <w:rFonts w:hint="eastAsia"/>
                <w:color w:val="000000"/>
                <w:sz w:val="23"/>
                <w:szCs w:val="23"/>
              </w:rPr>
              <w:t>病残儿医学鉴定（初审）</w:t>
            </w:r>
          </w:p>
          <w:p>
            <w:pPr>
              <w:pStyle w:val="10"/>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sz w:val="24"/>
              </w:rPr>
            </w:pPr>
            <w:r>
              <w:rPr>
                <w:rFonts w:hint="eastAsia"/>
                <w:sz w:val="24"/>
              </w:rPr>
              <w:t>《计划生育技术服务管理条例》</w:t>
            </w:r>
            <w:r>
              <w:rPr>
                <w:sz w:val="24"/>
              </w:rPr>
              <w:t>(2001年国务院令第309号2004年12月10日修订)</w:t>
            </w:r>
          </w:p>
          <w:p>
            <w:pPr>
              <w:pStyle w:val="10"/>
              <w:spacing w:before="1" w:line="254" w:lineRule="auto"/>
              <w:ind w:left="111" w:right="284"/>
              <w:jc w:val="both"/>
              <w:rPr>
                <w:sz w:val="24"/>
              </w:rPr>
            </w:pPr>
          </w:p>
          <w:p>
            <w:pPr>
              <w:pStyle w:val="10"/>
              <w:spacing w:before="1" w:line="254" w:lineRule="auto"/>
              <w:ind w:left="111" w:right="284"/>
              <w:jc w:val="both"/>
              <w:rPr>
                <w:sz w:val="24"/>
              </w:rPr>
            </w:pPr>
            <w:r>
              <w:rPr>
                <w:rFonts w:hint="eastAsia"/>
                <w:color w:val="000000"/>
                <w:sz w:val="23"/>
              </w:rPr>
              <w:t xml:space="preserve"> 《病残儿医学鉴定管理办法》</w:t>
            </w:r>
            <w:r>
              <w:rPr>
                <w:color w:val="000000"/>
                <w:sz w:val="23"/>
              </w:rPr>
              <w:t>(国家计划生育委员会[2002]7号)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0309</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母婴保健服务人员技术考核合格的确认</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spacing w:before="1" w:line="254" w:lineRule="auto"/>
              <w:ind w:left="111" w:right="284"/>
              <w:jc w:val="both"/>
              <w:rPr>
                <w:color w:val="000000"/>
                <w:sz w:val="23"/>
              </w:rPr>
            </w:pPr>
            <w:r>
              <w:rPr>
                <w:rFonts w:hint="eastAsia"/>
                <w:color w:val="000000"/>
                <w:sz w:val="23"/>
              </w:rPr>
              <w:t xml:space="preserve"> 《中华人民共和国母婴保健法》</w:t>
            </w:r>
            <w:r>
              <w:rPr>
                <w:color w:val="000000"/>
                <w:sz w:val="23"/>
              </w:rPr>
              <w:t>(1994年10月27通过)</w:t>
            </w:r>
          </w:p>
          <w:p>
            <w:pPr>
              <w:pStyle w:val="10"/>
              <w:spacing w:before="1" w:line="254" w:lineRule="auto"/>
              <w:ind w:left="111" w:right="284"/>
              <w:jc w:val="both"/>
              <w:rPr>
                <w:sz w:val="24"/>
              </w:rPr>
            </w:pPr>
            <w:r>
              <w:rPr>
                <w:rFonts w:hint="eastAsia"/>
                <w:sz w:val="24"/>
              </w:rPr>
              <w:t>《中华人民共和国母婴保健法实施办法》</w:t>
            </w:r>
            <w:r>
              <w:rPr>
                <w:sz w:val="24"/>
              </w:rPr>
              <w:t>(2001年国务院令第308号)：2017年11月17日修订</w:t>
            </w:r>
          </w:p>
          <w:p>
            <w:pPr>
              <w:pStyle w:val="10"/>
              <w:spacing w:before="1" w:line="254" w:lineRule="auto"/>
              <w:ind w:left="111" w:right="284"/>
              <w:jc w:val="both"/>
              <w:rPr>
                <w:sz w:val="24"/>
              </w:rPr>
            </w:pPr>
            <w:r>
              <w:rPr>
                <w:rFonts w:hint="eastAsia"/>
                <w:sz w:val="24"/>
              </w:rPr>
              <w:t>《黑龙江省母婴保健条例》</w:t>
            </w:r>
            <w:r>
              <w:rPr>
                <w:sz w:val="24"/>
              </w:rPr>
              <w:t>(2018年4月26日黑龙江省第十三届人民代表大会常务委员会第三次会议通过)</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sz w:val="24"/>
              </w:rPr>
              <w:t>0310</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ind w:left="110" w:leftChars="50"/>
              <w:rPr>
                <w:b/>
                <w:sz w:val="24"/>
              </w:rPr>
            </w:pPr>
            <w:r>
              <w:rPr>
                <w:sz w:val="24"/>
              </w:rPr>
              <w:t>0</w:t>
            </w:r>
            <w:r>
              <w:rPr>
                <w:rFonts w:hint="eastAsia"/>
                <w:sz w:val="24"/>
                <w:lang w:val="en-US"/>
              </w:rPr>
              <w:t>3</w:t>
            </w:r>
            <w:r>
              <w:rPr>
                <w:sz w:val="24"/>
              </w:rPr>
              <w:t xml:space="preserve"> 行政</w:t>
            </w:r>
            <w:r>
              <w:rPr>
                <w:rFonts w:hint="eastAsia"/>
                <w:sz w:val="24"/>
              </w:rPr>
              <w:t>确认</w:t>
            </w:r>
            <w:r>
              <w:rPr>
                <w:sz w:val="24"/>
              </w:rPr>
              <w:t>类事项</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sz w:val="24"/>
              </w:rPr>
            </w:pPr>
            <w:r>
              <w:rPr>
                <w:rFonts w:hint="eastAsia"/>
                <w:color w:val="000000"/>
                <w:sz w:val="23"/>
                <w:szCs w:val="23"/>
              </w:rPr>
              <w:t>托儿所、幼儿园卫生保健合格证核发</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rFonts w:hint="eastAsia"/>
                <w:sz w:val="24"/>
              </w:rPr>
              <w:t>《黑龙江省母婴保健条例》（</w:t>
            </w:r>
            <w:r>
              <w:rPr>
                <w:sz w:val="24"/>
              </w:rPr>
              <w:t>2015年4月17日修正）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line="307" w:lineRule="exact"/>
              <w:ind w:left="102"/>
              <w:rPr>
                <w:sz w:val="24"/>
              </w:rPr>
            </w:pPr>
            <w:r>
              <w:rPr>
                <w:rFonts w:hint="eastAsia"/>
                <w:sz w:val="24"/>
              </w:rPr>
              <w:t>申请材料</w:t>
            </w:r>
          </w:p>
          <w:p>
            <w:pPr>
              <w:pStyle w:val="10"/>
              <w:spacing w:line="307" w:lineRule="exact"/>
              <w:rPr>
                <w:sz w:val="24"/>
              </w:rPr>
            </w:pPr>
            <w:r>
              <w:rPr>
                <w:rFonts w:hint="eastAsia"/>
                <w:sz w:val="24"/>
              </w:rPr>
              <w:t>受理范围及条件</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rPr>
                <w:rFonts w:hint="eastAsia"/>
                <w:sz w:val="24"/>
              </w:rPr>
              <w:t>咨询投诉渠道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Pr>
        <w:rPr>
          <w:sz w:val="24"/>
        </w:rPr>
      </w:pPr>
    </w:p>
    <w:p>
      <w:pPr>
        <w:rPr>
          <w:sz w:val="24"/>
        </w:rPr>
        <w:sectPr>
          <w:pgSz w:w="23820" w:h="16840" w:orient="landscape"/>
          <w:pgMar w:top="1420" w:right="800" w:bottom="1320" w:left="800" w:header="0" w:footer="1121" w:gutter="0"/>
          <w:cols w:space="720" w:num="1"/>
        </w:sectPr>
      </w:pPr>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对在母婴保健工作中做出显著成绩和在母婴保健科学研究中取得显著成果的组织和个人的奖励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《中华人民共和国母婴保健法》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701"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r>
              <w:rPr>
                <w:rFonts w:hint="eastAsia"/>
                <w:sz w:val="24"/>
              </w:rPr>
              <w:t>0402</w:t>
            </w:r>
          </w:p>
          <w:p>
            <w:pPr>
              <w:pStyle w:val="10"/>
              <w:rPr>
                <w:sz w:val="24"/>
              </w:rPr>
            </w:pPr>
          </w:p>
          <w:p>
            <w:pPr>
              <w:pStyle w:val="10"/>
              <w:rPr>
                <w:sz w:val="24"/>
              </w:rPr>
            </w:pPr>
          </w:p>
          <w:p>
            <w:pPr>
              <w:pStyle w:val="10"/>
              <w:spacing w:before="12"/>
              <w:rPr>
                <w:sz w:val="19"/>
              </w:rPr>
            </w:pPr>
          </w:p>
          <w:p>
            <w:pPr>
              <w:pStyle w:val="10"/>
              <w:ind w:left="110" w:right="-29"/>
              <w:rPr>
                <w:sz w:val="24"/>
              </w:rPr>
            </w:pPr>
            <w:r>
              <w:rPr>
                <w:sz w:val="24"/>
              </w:rPr>
              <w:t xml:space="preserve"> </w:t>
            </w:r>
          </w:p>
        </w:tc>
        <w:tc>
          <w:tcPr>
            <w:tcW w:w="574" w:type="dxa"/>
            <w:vMerge w:val="restart"/>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12"/>
              <w:ind w:firstLine="130" w:firstLineChars="50"/>
              <w:rPr>
                <w:sz w:val="26"/>
              </w:rPr>
            </w:pPr>
            <w:r>
              <w:rPr>
                <w:rFonts w:hint="eastAsia"/>
                <w:sz w:val="26"/>
              </w:rPr>
              <w:t>04</w:t>
            </w:r>
          </w:p>
          <w:p>
            <w:pPr>
              <w:pStyle w:val="10"/>
              <w:spacing w:line="254" w:lineRule="auto"/>
              <w:ind w:left="167" w:right="34"/>
              <w:rPr>
                <w:sz w:val="24"/>
              </w:rPr>
            </w:pPr>
            <w:r>
              <w:rPr>
                <w:rFonts w:hint="eastAsia"/>
                <w:sz w:val="24"/>
              </w:rPr>
              <w:t>行</w:t>
            </w:r>
          </w:p>
          <w:p>
            <w:pPr>
              <w:pStyle w:val="10"/>
              <w:spacing w:line="254" w:lineRule="auto"/>
              <w:ind w:left="167" w:right="34"/>
              <w:rPr>
                <w:sz w:val="24"/>
              </w:rPr>
            </w:pPr>
            <w:r>
              <w:rPr>
                <w:rFonts w:hint="eastAsia"/>
                <w:sz w:val="24"/>
              </w:rPr>
              <w:t>政</w:t>
            </w:r>
          </w:p>
          <w:p>
            <w:pPr>
              <w:pStyle w:val="10"/>
              <w:spacing w:line="254" w:lineRule="auto"/>
              <w:ind w:left="167" w:right="34"/>
              <w:rPr>
                <w:sz w:val="24"/>
              </w:rPr>
            </w:pPr>
            <w:r>
              <w:rPr>
                <w:rFonts w:hint="eastAsia"/>
                <w:sz w:val="24"/>
              </w:rPr>
              <w:t>奖</w:t>
            </w:r>
          </w:p>
          <w:p>
            <w:pPr>
              <w:pStyle w:val="10"/>
              <w:spacing w:line="254" w:lineRule="auto"/>
              <w:ind w:left="167" w:right="34"/>
              <w:rPr>
                <w:sz w:val="24"/>
              </w:rPr>
            </w:pPr>
            <w:r>
              <w:rPr>
                <w:rFonts w:hint="eastAsia"/>
                <w:sz w:val="24"/>
              </w:rPr>
              <w:t>励</w:t>
            </w:r>
          </w:p>
          <w:p>
            <w:pPr>
              <w:pStyle w:val="10"/>
              <w:spacing w:line="254" w:lineRule="auto"/>
              <w:ind w:left="167" w:right="34"/>
              <w:rPr>
                <w:sz w:val="24"/>
              </w:rPr>
            </w:pPr>
            <w:r>
              <w:rPr>
                <w:rFonts w:hint="eastAsia"/>
                <w:sz w:val="24"/>
              </w:rPr>
              <w:t>类</w:t>
            </w:r>
          </w:p>
          <w:p>
            <w:pPr>
              <w:pStyle w:val="10"/>
              <w:spacing w:line="254" w:lineRule="auto"/>
              <w:ind w:left="167" w:right="34"/>
              <w:rPr>
                <w:sz w:val="24"/>
              </w:rPr>
            </w:pPr>
            <w:r>
              <w:rPr>
                <w:rFonts w:hint="eastAsia"/>
                <w:sz w:val="24"/>
              </w:rPr>
              <w:t>事</w:t>
            </w:r>
          </w:p>
          <w:p>
            <w:pPr>
              <w:pStyle w:val="10"/>
              <w:spacing w:line="254" w:lineRule="auto"/>
              <w:ind w:left="167" w:right="34"/>
              <w:rPr>
                <w:sz w:val="24"/>
              </w:rPr>
            </w:pPr>
            <w:r>
              <w:rPr>
                <w:rFonts w:hint="eastAsia"/>
                <w:sz w:val="24"/>
              </w:rPr>
              <w:t>项</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对做出突出贡献护士的表彰奖励</w:t>
            </w:r>
          </w:p>
        </w:tc>
        <w:tc>
          <w:tcPr>
            <w:tcW w:w="4389" w:type="dxa"/>
          </w:tcPr>
          <w:p>
            <w:pPr>
              <w:pStyle w:val="10"/>
              <w:spacing w:before="4"/>
              <w:rPr>
                <w:b/>
                <w:sz w:val="24"/>
              </w:rPr>
            </w:pPr>
            <w:r>
              <w:rPr>
                <w:sz w:val="24"/>
              </w:rPr>
              <w:t>法律法规和政策文件</w:t>
            </w:r>
          </w:p>
          <w:p>
            <w:pPr>
              <w:pStyle w:val="10"/>
              <w:ind w:left="102"/>
              <w:rPr>
                <w:sz w:val="24"/>
              </w:rPr>
            </w:pP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【行政法规】《护士条例》（国务院令第</w:t>
            </w:r>
            <w:r>
              <w:rPr>
                <w:color w:val="000000"/>
                <w:sz w:val="23"/>
              </w:rPr>
              <w:t>517号）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对在食盐加碘消除碘缺乏危害工作中做出显著成绩的单位和个人给予奖励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《食盐加碘消除碘缺乏危害管理条例》（国务院令第</w:t>
            </w:r>
            <w:r>
              <w:rPr>
                <w:color w:val="000000"/>
                <w:sz w:val="23"/>
              </w:rPr>
              <w:t>163号）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对在传染病防治工作中做出显著成绩和贡献的单位和个人给予表彰和奖励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《中华人民共和国传染病防治法》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405</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对在继承和发展中医药事业、中医医疗工作等中做出显著贡献的单位和个人奖励表彰（增加）</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color w:val="000000"/>
                <w:sz w:val="23"/>
              </w:rPr>
            </w:pPr>
            <w:r>
              <w:rPr>
                <w:rFonts w:hint="eastAsia"/>
                <w:color w:val="000000"/>
                <w:sz w:val="23"/>
              </w:rPr>
              <w:t>《中华人民共和国中医药条例》</w:t>
            </w:r>
          </w:p>
          <w:p>
            <w:pPr>
              <w:pStyle w:val="10"/>
              <w:spacing w:before="1" w:line="254" w:lineRule="auto"/>
              <w:ind w:left="111" w:right="284"/>
              <w:jc w:val="both"/>
              <w:rPr>
                <w:sz w:val="24"/>
              </w:rPr>
            </w:pPr>
            <w:r>
              <w:rPr>
                <w:rFonts w:hint="eastAsia"/>
                <w:sz w:val="24"/>
              </w:rPr>
              <w:t>《中华人民共和国中医药法》</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406</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对在预防接种工作中作出显著成绩和贡献的接种单位及其工作人员给予奖励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【行政法规】《疫苗流通和预防接种管理条 例》（中华人民共和国国务院令第 434 号 2016 年 4 月 23 日《国务院关于修改的决定》修订）</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407</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对医师的表彰奖励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【法律】《中华人民共和国执业医师法》 （中华人民共和国主席令第 5 号 2009 年 8 月 27 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408</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中医药工作奖励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【法律】《中华人民共和国中医药法》（中 华人民共和国主席令第 59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409</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对在精神卫生工作中作出突出贡献的组织、个人给予表彰、奖励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【法律】《中华人民共和国精神卫生法》 （中华人民共和国主席令第 62 号 2018 年 4 月 27 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410</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对在艾滋病防治工作中做出显著成绩和贡献的单位和个人给予表彰和奖励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【行政法规】《艾滋病防治条例》（中华人 民共和国国务院令第 457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职业病防治奖励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【法律】《中华人民共和国职业病防治法》 （中华人民共和国主席令第 24 号 2018 年 12 月 29 日修改)</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412</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对在突发事件应急处理、突发公共卫生事件与传染病疫情监测信息报告管理工作中做出贡献的人员给予表彰和奖励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r>
              <w:t>【部门规章及规范性文件】《突发公共卫生 事件与传染病疫情监测信息报告管理办法》 （中华人民共和国卫生部令第 37 号）</w:t>
            </w:r>
          </w:p>
          <w:p>
            <w:pPr>
              <w:pStyle w:val="10"/>
              <w:spacing w:before="1" w:line="254" w:lineRule="auto"/>
              <w:ind w:left="111" w:right="284"/>
              <w:jc w:val="both"/>
              <w:rPr>
                <w:sz w:val="24"/>
              </w:rPr>
            </w:pPr>
            <w:r>
              <w:rPr>
                <w:rFonts w:hint="eastAsia"/>
                <w:color w:val="000000"/>
                <w:sz w:val="23"/>
              </w:rPr>
              <w:t xml:space="preserve"> </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413</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对在学校卫生工作中成绩显著的单位或者个人的表彰奖励</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【行政法规】《学校卫生工作条例》(国家教 育委员会令第 10 号 中华人民共和国卫生部 令第 1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414</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4</w:t>
            </w:r>
            <w:r>
              <w:rPr>
                <w:sz w:val="24"/>
              </w:rPr>
              <w:t xml:space="preserve"> 行政</w:t>
            </w:r>
            <w:r>
              <w:rPr>
                <w:rFonts w:hint="eastAsia"/>
                <w:sz w:val="24"/>
              </w:rPr>
              <w:t>奖励</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无偿献血奖励、先进表彰</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【法律】《中华人民共和国献血法》（中华 人民共和国主席令第 93 号） 【部门规章及规范性文件】《全国无偿献血 表彰奖励办法》（国卫医发〔2014〕30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rFonts w:hint="eastAsia"/>
                <w:sz w:val="24"/>
              </w:rPr>
              <w:t>结果信息——表彰奖励名单</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rPr>
                <w:rFonts w:hint="eastAsia"/>
                <w:sz w:val="24"/>
              </w:rPr>
              <w:t>投诉举报电话</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501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5</w:t>
            </w:r>
            <w:r>
              <w:rPr>
                <w:sz w:val="24"/>
              </w:rPr>
              <w:t xml:space="preserve"> 行政</w:t>
            </w:r>
            <w:r>
              <w:t>裁 决</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3"/>
                <w:szCs w:val="23"/>
              </w:rPr>
              <w:t>医疗机构名称裁定</w:t>
            </w: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r>
              <w:t>【部门规章及规范性文件】《医疗机构管理 条例实施细则》（中华人民共和国卫生部令 第 35 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办事指南，包括：适用范围、办理依 据、办理条件、申办材料、办理方式、 办理流程、办理时限、收费依据及标 准、结果送达、咨询方式、监督投诉渠 道、办理地址和时间、办理进程、结果 查询</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结果信息——行政裁决书</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601</w:t>
            </w:r>
            <w:r>
              <w:rPr>
                <w:sz w:val="24"/>
              </w:rPr>
              <w:t xml:space="preserve"> </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6</w:t>
            </w:r>
            <w:r>
              <w:rPr>
                <w:sz w:val="24"/>
              </w:rPr>
              <w:t xml:space="preserve"> </w:t>
            </w:r>
            <w:r>
              <w:rPr>
                <w:rFonts w:hint="eastAsia"/>
                <w:sz w:val="24"/>
              </w:rPr>
              <w:t>其他</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color w:val="000000"/>
                <w:sz w:val="26"/>
                <w:szCs w:val="26"/>
              </w:rPr>
              <w:t>权限内医师多机构备案</w:t>
            </w:r>
          </w:p>
        </w:tc>
        <w:tc>
          <w:tcPr>
            <w:tcW w:w="4389" w:type="dxa"/>
          </w:tcPr>
          <w:p>
            <w:pPr>
              <w:pStyle w:val="10"/>
              <w:spacing w:before="4"/>
              <w:rPr>
                <w:b/>
                <w:sz w:val="24"/>
              </w:rPr>
            </w:pPr>
          </w:p>
          <w:p>
            <w:pPr>
              <w:pStyle w:val="10"/>
              <w:ind w:left="102"/>
              <w:rPr>
                <w:sz w:val="24"/>
              </w:rPr>
            </w:pPr>
            <w:r>
              <w:t>法律法规和政策文件</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pPr>
            <w:r>
              <w:rPr>
                <w:rFonts w:hint="eastAsia"/>
                <w:color w:val="000000"/>
                <w:sz w:val="23"/>
              </w:rPr>
              <w:t xml:space="preserve"> </w:t>
            </w:r>
            <w:r>
              <w:t>【部门规章及规范性文件】《医师执业注册 管理办法》（国家卫生和计划生育委员会令 第 13 号）</w:t>
            </w:r>
          </w:p>
          <w:p>
            <w:pPr>
              <w:pStyle w:val="10"/>
              <w:spacing w:before="1" w:line="254" w:lineRule="auto"/>
              <w:ind w:left="111" w:right="284"/>
              <w:jc w:val="both"/>
              <w:rPr>
                <w:sz w:val="24"/>
              </w:rPr>
            </w:pPr>
            <w:r>
              <w:rPr>
                <w:rFonts w:hint="eastAsia"/>
                <w:sz w:val="24"/>
              </w:rPr>
              <w:t>《中华人民共和国执业医师法》</w:t>
            </w:r>
            <w:r>
              <w:rPr>
                <w:sz w:val="24"/>
              </w:rPr>
              <w:t>(2009年8月27日修正)</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主要执业机构、其他执业机构</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办理流程、申请材料、办理时限等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投诉举报电话以及网上投诉渠道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19"/>
              </w:rPr>
            </w:pPr>
          </w:p>
          <w:p>
            <w:pPr>
              <w:pStyle w:val="10"/>
              <w:ind w:left="110" w:right="-29"/>
              <w:rPr>
                <w:sz w:val="24"/>
              </w:rPr>
            </w:pPr>
            <w:r>
              <w:rPr>
                <w:sz w:val="24"/>
              </w:rPr>
              <w:t>0</w:t>
            </w:r>
            <w:r>
              <w:rPr>
                <w:rFonts w:hint="eastAsia"/>
                <w:sz w:val="24"/>
              </w:rPr>
              <w:t>602</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6</w:t>
            </w:r>
            <w:r>
              <w:rPr>
                <w:sz w:val="24"/>
              </w:rPr>
              <w:t xml:space="preserve"> </w:t>
            </w:r>
            <w:r>
              <w:rPr>
                <w:rFonts w:hint="eastAsia"/>
                <w:sz w:val="24"/>
              </w:rPr>
              <w:t>其他</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201" w:line="254" w:lineRule="auto"/>
              <w:ind w:left="124" w:right="122"/>
              <w:jc w:val="center"/>
              <w:rPr>
                <w:sz w:val="24"/>
              </w:rPr>
            </w:pPr>
            <w:r>
              <w:rPr>
                <w:rFonts w:hint="eastAsia" w:ascii="微软雅黑" w:hAnsi="微软雅黑" w:eastAsia="微软雅黑"/>
                <w:color w:val="000000"/>
                <w:sz w:val="26"/>
                <w:szCs w:val="26"/>
              </w:rPr>
              <w:t>中医诊所备案</w:t>
            </w:r>
          </w:p>
        </w:tc>
        <w:tc>
          <w:tcPr>
            <w:tcW w:w="4389" w:type="dxa"/>
          </w:tcPr>
          <w:p>
            <w:pPr>
              <w:pStyle w:val="10"/>
              <w:spacing w:before="4"/>
              <w:rPr>
                <w:b/>
                <w:sz w:val="24"/>
              </w:rPr>
            </w:pPr>
          </w:p>
          <w:p>
            <w:pPr>
              <w:pStyle w:val="10"/>
              <w:ind w:left="102"/>
              <w:rPr>
                <w:sz w:val="24"/>
              </w:rPr>
            </w:pPr>
            <w:r>
              <w:t>法律法规和政策文件</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p>
            <w:pPr>
              <w:pStyle w:val="10"/>
              <w:spacing w:before="1" w:line="254" w:lineRule="auto"/>
              <w:ind w:left="111" w:right="284"/>
              <w:jc w:val="both"/>
              <w:rPr>
                <w:sz w:val="24"/>
              </w:rPr>
            </w:pPr>
            <w:r>
              <w:rPr>
                <w:rFonts w:hint="eastAsia"/>
                <w:color w:val="000000"/>
                <w:sz w:val="23"/>
              </w:rPr>
              <w:t xml:space="preserve"> </w:t>
            </w:r>
          </w:p>
          <w:p>
            <w:pPr>
              <w:pStyle w:val="10"/>
              <w:spacing w:before="1" w:line="254" w:lineRule="auto"/>
              <w:ind w:left="111" w:right="284"/>
              <w:jc w:val="both"/>
              <w:rPr>
                <w:sz w:val="24"/>
              </w:rPr>
            </w:pPr>
            <w:r>
              <w:rPr>
                <w:rFonts w:hint="eastAsia"/>
                <w:sz w:val="24"/>
              </w:rPr>
              <w:t>《中医诊所备案管理暂行办法》</w:t>
            </w:r>
            <w:r>
              <w:rPr>
                <w:sz w:val="24"/>
              </w:rPr>
              <w:t>(中华人民共和国国家卫生和计划生育委员会令第14号)</w:t>
            </w: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t>办理流程</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申请材料、办理时限等</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r>
              <w:t>投诉举报电话以及网上投诉渠道</w:t>
            </w: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lang w:val="en-US"/>
              </w:rPr>
            </w:pPr>
          </w:p>
          <w:p>
            <w:pPr>
              <w:pStyle w:val="10"/>
              <w:rPr>
                <w:b/>
                <w:sz w:val="24"/>
              </w:rPr>
            </w:pPr>
          </w:p>
          <w:p>
            <w:pPr>
              <w:pStyle w:val="10"/>
              <w:spacing w:before="12"/>
              <w:rPr>
                <w:b/>
                <w:sz w:val="19"/>
              </w:rPr>
            </w:pPr>
          </w:p>
          <w:p>
            <w:pPr>
              <w:pStyle w:val="10"/>
              <w:ind w:left="110" w:right="-29"/>
              <w:rPr>
                <w:sz w:val="24"/>
              </w:rPr>
            </w:pPr>
            <w:r>
              <w:rPr>
                <w:rFonts w:hint="eastAsia"/>
                <w:sz w:val="24"/>
              </w:rPr>
              <w:t>0701</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7</w:t>
            </w:r>
            <w:r>
              <w:rPr>
                <w:sz w:val="24"/>
              </w:rPr>
              <w:t xml:space="preserve"> 行政</w:t>
            </w:r>
            <w:r>
              <w:rPr>
                <w:rFonts w:hint="eastAsia"/>
                <w:sz w:val="24"/>
              </w:rPr>
              <w:t>强制</w:t>
            </w:r>
            <w:r>
              <w:rPr>
                <w:sz w:val="24"/>
              </w:rPr>
              <w:t xml:space="preserve">类事项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rPr>
            </w:pPr>
            <w:r>
              <w:rPr>
                <w:rFonts w:hint="eastAsia"/>
                <w:color w:val="000000"/>
                <w:lang w:val="en-US"/>
              </w:rPr>
              <w:t xml:space="preserve">传染病病原体污染的公共饮用水源、食品以及相关物品的行政强制 </w:t>
            </w:r>
          </w:p>
          <w:p>
            <w:pPr>
              <w:pStyle w:val="10"/>
              <w:rPr>
                <w:b/>
                <w:sz w:val="24"/>
              </w:rPr>
            </w:pPr>
          </w:p>
          <w:p>
            <w:pPr>
              <w:pStyle w:val="10"/>
              <w:rPr>
                <w:b/>
                <w:sz w:val="24"/>
              </w:rPr>
            </w:pP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line="254" w:lineRule="auto"/>
              <w:ind w:left="111" w:right="284"/>
              <w:jc w:val="both"/>
              <w:rPr>
                <w:sz w:val="24"/>
              </w:rPr>
            </w:pPr>
            <w:r>
              <w:rPr>
                <w:sz w:val="24"/>
              </w:rPr>
              <w:t xml:space="preserve"> </w:t>
            </w:r>
          </w:p>
          <w:tbl>
            <w:tblPr>
              <w:tblStyle w:val="6"/>
              <w:tblW w:w="4740" w:type="dxa"/>
              <w:tblInd w:w="0" w:type="dxa"/>
              <w:tblLayout w:type="fixed"/>
              <w:tblCellMar>
                <w:top w:w="0" w:type="dxa"/>
                <w:left w:w="108" w:type="dxa"/>
                <w:bottom w:w="0" w:type="dxa"/>
                <w:right w:w="108" w:type="dxa"/>
              </w:tblCellMar>
            </w:tblPr>
            <w:tblGrid>
              <w:gridCol w:w="4740"/>
            </w:tblGrid>
            <w:tr>
              <w:tblPrEx>
                <w:tblCellMar>
                  <w:top w:w="0" w:type="dxa"/>
                  <w:left w:w="108" w:type="dxa"/>
                  <w:bottom w:w="0" w:type="dxa"/>
                  <w:right w:w="108" w:type="dxa"/>
                </w:tblCellMar>
              </w:tblPrEx>
              <w:trPr>
                <w:trHeight w:val="1749" w:hRule="atLeast"/>
              </w:trPr>
              <w:tc>
                <w:tcPr>
                  <w:tcW w:w="4740" w:type="dxa"/>
                  <w:tcBorders>
                    <w:tl2br w:val="nil"/>
                    <w:tr2bl w:val="nil"/>
                  </w:tcBorders>
                </w:tcPr>
                <w:tbl>
                  <w:tblPr>
                    <w:tblStyle w:val="6"/>
                    <w:tblW w:w="4620" w:type="dxa"/>
                    <w:tblInd w:w="0" w:type="dxa"/>
                    <w:tblLayout w:type="fixed"/>
                    <w:tblCellMar>
                      <w:top w:w="0" w:type="dxa"/>
                      <w:left w:w="108" w:type="dxa"/>
                      <w:bottom w:w="0" w:type="dxa"/>
                      <w:right w:w="108" w:type="dxa"/>
                    </w:tblCellMar>
                  </w:tblPr>
                  <w:tblGrid>
                    <w:gridCol w:w="4620"/>
                  </w:tblGrid>
                  <w:tr>
                    <w:tblPrEx>
                      <w:tblCellMar>
                        <w:top w:w="0" w:type="dxa"/>
                        <w:left w:w="108" w:type="dxa"/>
                        <w:bottom w:w="0" w:type="dxa"/>
                        <w:right w:w="108" w:type="dxa"/>
                      </w:tblCellMar>
                    </w:tblPrEx>
                    <w:trPr>
                      <w:trHeight w:val="1914" w:hRule="atLeast"/>
                    </w:trPr>
                    <w:tc>
                      <w:tcPr>
                        <w:tcW w:w="4620" w:type="dxa"/>
                        <w:tcBorders>
                          <w:tl2br w:val="nil"/>
                          <w:tr2bl w:val="nil"/>
                        </w:tcBorders>
                      </w:tcPr>
                      <w:p>
                        <w:pPr>
                          <w:rPr>
                            <w:color w:val="000000"/>
                            <w:sz w:val="23"/>
                          </w:rPr>
                        </w:pPr>
                        <w:r>
                          <w:rPr>
                            <w:rFonts w:hint="eastAsia"/>
                            <w:color w:val="000000"/>
                            <w:sz w:val="23"/>
                          </w:rPr>
                          <w:t xml:space="preserve">【法律】《中华人民共和国传染病防治法》（2013年6月29日修正） </w:t>
                        </w:r>
                      </w:p>
                      <w:p>
                        <w:pPr>
                          <w:rPr>
                            <w:color w:val="000000"/>
                            <w:sz w:val="23"/>
                          </w:rPr>
                        </w:pPr>
                        <w:r>
                          <w:rPr>
                            <w:rFonts w:hint="eastAsia"/>
                            <w:color w:val="000000"/>
                            <w:sz w:val="23"/>
                          </w:rPr>
                          <w:t xml:space="preserve">【行政法规】《疫苗流通和预防接种管理条例》（中华人民共和国国务院令第434号 2016年4月23日《国务院关于修改&lt;疫苗流通和预防接种管理条例&gt;的决定》修订） </w:t>
                        </w:r>
                      </w:p>
                      <w:p>
                        <w:pPr>
                          <w:rPr>
                            <w:color w:val="000000"/>
                            <w:sz w:val="23"/>
                          </w:rPr>
                        </w:pPr>
                        <w:r>
                          <w:rPr>
                            <w:rFonts w:hint="eastAsia"/>
                            <w:color w:val="000000"/>
                            <w:sz w:val="23"/>
                          </w:rPr>
                          <w:t xml:space="preserve">【行政法规】《中华人民共和国传染病防治法实施办法》（中华人民共和国卫生部令第17号） </w:t>
                        </w:r>
                      </w:p>
                      <w:p>
                        <w:pPr>
                          <w:rPr>
                            <w:color w:val="000000"/>
                            <w:sz w:val="23"/>
                          </w:rPr>
                        </w:pPr>
                        <w:r>
                          <w:rPr>
                            <w:rFonts w:hint="eastAsia"/>
                            <w:color w:val="000000"/>
                            <w:sz w:val="23"/>
                          </w:rPr>
                          <w:t xml:space="preserve">【部门规章及规范性文件《国家卫生计生委关于印发传染病防治卫生监督工作规范的通知》（国卫监督发〔2014〕44号） </w:t>
                        </w:r>
                      </w:p>
                    </w:tc>
                  </w:tr>
                  <w:tr>
                    <w:tblPrEx>
                      <w:tblCellMar>
                        <w:top w:w="0" w:type="dxa"/>
                        <w:left w:w="108" w:type="dxa"/>
                        <w:bottom w:w="0" w:type="dxa"/>
                        <w:right w:w="108" w:type="dxa"/>
                      </w:tblCellMar>
                    </w:tblPrEx>
                    <w:trPr>
                      <w:trHeight w:val="1914" w:hRule="atLeast"/>
                    </w:trPr>
                    <w:tc>
                      <w:tcPr>
                        <w:tcW w:w="4620" w:type="dxa"/>
                        <w:tcBorders>
                          <w:tl2br w:val="nil"/>
                          <w:tr2bl w:val="nil"/>
                        </w:tcBorders>
                      </w:tcPr>
                      <w:p>
                        <w:pPr>
                          <w:rPr>
                            <w:color w:val="000000"/>
                            <w:sz w:val="23"/>
                          </w:rPr>
                        </w:pPr>
                      </w:p>
                    </w:tc>
                  </w:tr>
                </w:tbl>
                <w:p>
                  <w:pPr>
                    <w:rPr>
                      <w:color w:val="000000"/>
                      <w:sz w:val="23"/>
                    </w:rPr>
                  </w:pPr>
                </w:p>
              </w:tc>
            </w:tr>
          </w:tbl>
          <w:p>
            <w:pPr>
              <w:pStyle w:val="10"/>
              <w:spacing w:before="1" w:line="254" w:lineRule="auto"/>
              <w:ind w:left="111" w:right="284"/>
              <w:jc w:val="both"/>
              <w:rPr>
                <w:sz w:val="24"/>
              </w:rPr>
            </w:pPr>
          </w:p>
        </w:tc>
        <w:tc>
          <w:tcPr>
            <w:tcW w:w="12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0"/>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19"/>
              </w:rPr>
            </w:pPr>
          </w:p>
          <w:p>
            <w:pPr>
              <w:pStyle w:val="10"/>
              <w:spacing w:line="254" w:lineRule="auto"/>
              <w:ind w:left="157" w:right="145"/>
              <w:jc w:val="center"/>
              <w:rPr>
                <w:sz w:val="24"/>
              </w:rPr>
            </w:pPr>
            <w:r>
              <w:rPr>
                <w:rFonts w:hint="eastAsia"/>
                <w:sz w:val="24"/>
                <w:lang w:val="en-US" w:eastAsia="zh-CN"/>
              </w:rPr>
              <w:t>四方台区</w:t>
            </w:r>
            <w:r>
              <w:rPr>
                <w:sz w:val="24"/>
              </w:rPr>
              <w:t>卫生健康</w:t>
            </w:r>
            <w:r>
              <w:rPr>
                <w:rFonts w:hint="eastAsia"/>
                <w:sz w:val="24"/>
                <w:lang w:val="en-US" w:eastAsia="zh-CN"/>
              </w:rPr>
              <w:t>局</w:t>
            </w:r>
            <w:r>
              <w:rPr>
                <w:sz w:val="24"/>
              </w:rPr>
              <w:t xml:space="preserve">  </w:t>
            </w:r>
          </w:p>
        </w:tc>
        <w:tc>
          <w:tcPr>
            <w:tcW w:w="4539"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spacing w:before="1"/>
              <w:rPr>
                <w:b/>
                <w:sz w:val="29"/>
              </w:rPr>
            </w:pPr>
          </w:p>
          <w:p>
            <w:pPr>
              <w:pStyle w:val="10"/>
              <w:ind w:left="107" w:right="-29"/>
              <w:rPr>
                <w:sz w:val="24"/>
              </w:rPr>
            </w:pPr>
            <w:r>
              <w:rPr>
                <w:sz w:val="24"/>
              </w:rPr>
              <w:t xml:space="preserve">■政府网站 □政府公报         </w:t>
            </w:r>
          </w:p>
          <w:p>
            <w:pPr>
              <w:pStyle w:val="10"/>
              <w:spacing w:before="19"/>
              <w:ind w:left="107"/>
              <w:rPr>
                <w:sz w:val="24"/>
              </w:rPr>
            </w:pPr>
            <w:r>
              <w:rPr>
                <w:sz w:val="24"/>
              </w:rPr>
              <w:t xml:space="preserve">□两微一端 □发布会/听证会   </w:t>
            </w:r>
          </w:p>
          <w:p>
            <w:pPr>
              <w:pStyle w:val="10"/>
              <w:spacing w:before="19"/>
              <w:ind w:left="107" w:right="-29"/>
              <w:rPr>
                <w:sz w:val="24"/>
              </w:rPr>
            </w:pPr>
            <w:r>
              <w:rPr>
                <w:sz w:val="24"/>
              </w:rPr>
              <w:t xml:space="preserve">□广播电视 □纸质媒体         </w:t>
            </w:r>
          </w:p>
          <w:p>
            <w:pPr>
              <w:pStyle w:val="10"/>
              <w:spacing w:before="17"/>
              <w:ind w:left="107"/>
              <w:rPr>
                <w:sz w:val="24"/>
              </w:rPr>
            </w:pPr>
            <w:r>
              <w:rPr>
                <w:sz w:val="24"/>
              </w:rPr>
              <w:t xml:space="preserve">□公开查阅点 □政务服务中心 </w:t>
            </w:r>
          </w:p>
          <w:p>
            <w:pPr>
              <w:pStyle w:val="10"/>
              <w:spacing w:before="19"/>
              <w:ind w:left="107" w:right="-29"/>
              <w:rPr>
                <w:sz w:val="24"/>
              </w:rPr>
            </w:pPr>
            <w:r>
              <w:rPr>
                <w:sz w:val="24"/>
              </w:rPr>
              <w:t xml:space="preserve">□便民服务站 □入户/现场        </w:t>
            </w:r>
          </w:p>
          <w:p>
            <w:pPr>
              <w:pStyle w:val="10"/>
              <w:spacing w:before="19"/>
              <w:ind w:left="107" w:right="-29"/>
              <w:rPr>
                <w:sz w:val="24"/>
              </w:rPr>
            </w:pPr>
            <w:r>
              <w:rPr>
                <w:sz w:val="24"/>
              </w:rPr>
              <w:t xml:space="preserve">□社区/企事业单位/村公示栏（电子屏） </w:t>
            </w:r>
          </w:p>
          <w:p>
            <w:pPr>
              <w:pStyle w:val="10"/>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4"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2"/>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5" w:right="-58"/>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07"/>
              <w:rPr>
                <w:sz w:val="24"/>
              </w:rPr>
            </w:pPr>
            <w:r>
              <w:rPr>
                <w:sz w:val="24"/>
              </w:rPr>
              <w:t xml:space="preserve"> </w:t>
            </w:r>
          </w:p>
        </w:tc>
        <w:tc>
          <w:tcPr>
            <w:tcW w:w="426"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103" w:right="-58"/>
              <w:rPr>
                <w:sz w:val="24"/>
              </w:rPr>
            </w:pPr>
            <w:r>
              <w:rPr>
                <w:sz w:val="24"/>
              </w:rPr>
              <w:t xml:space="preserve">√ </w:t>
            </w:r>
          </w:p>
        </w:tc>
        <w:tc>
          <w:tcPr>
            <w:tcW w:w="428"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4"/>
              <w:rPr>
                <w:b/>
                <w:sz w:val="33"/>
              </w:rPr>
            </w:pPr>
          </w:p>
          <w:p>
            <w:pPr>
              <w:pStyle w:val="10"/>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t>结果信息，包括催告书、强制执行决定 书</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投诉举报电话以及网上投诉渠道</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p>
        </w:tc>
        <w:tc>
          <w:tcPr>
            <w:tcW w:w="4968" w:type="dxa"/>
            <w:vMerge w:val="continue"/>
            <w:tcBorders>
              <w:top w:val="nil"/>
            </w:tcBorders>
          </w:tcPr>
          <w:p>
            <w:pPr>
              <w:rPr>
                <w:sz w:val="2"/>
                <w:szCs w:val="2"/>
              </w:rPr>
            </w:pPr>
          </w:p>
        </w:tc>
        <w:tc>
          <w:tcPr>
            <w:tcW w:w="1274" w:type="dxa"/>
          </w:tcPr>
          <w:p>
            <w:pPr>
              <w:pStyle w:val="10"/>
              <w:rPr>
                <w:b/>
                <w:sz w:val="24"/>
              </w:rPr>
            </w:pPr>
          </w:p>
          <w:p>
            <w:pPr>
              <w:pStyle w:val="10"/>
              <w:spacing w:before="9"/>
              <w:rPr>
                <w:b/>
                <w:sz w:val="30"/>
              </w:rPr>
            </w:pPr>
          </w:p>
          <w:p>
            <w:pPr>
              <w:pStyle w:val="10"/>
              <w:spacing w:line="254" w:lineRule="auto"/>
              <w:ind w:left="152" w:right="149"/>
              <w:jc w:val="center"/>
              <w:rPr>
                <w:sz w:val="24"/>
              </w:rPr>
            </w:pPr>
          </w:p>
        </w:tc>
        <w:tc>
          <w:tcPr>
            <w:tcW w:w="1275" w:type="dxa"/>
          </w:tcPr>
          <w:p>
            <w:pPr>
              <w:pStyle w:val="10"/>
              <w:rPr>
                <w:b/>
                <w:sz w:val="24"/>
              </w:rPr>
            </w:pPr>
          </w:p>
          <w:p>
            <w:pPr>
              <w:pStyle w:val="10"/>
              <w:rPr>
                <w:b/>
                <w:sz w:val="24"/>
              </w:rPr>
            </w:pPr>
          </w:p>
          <w:p>
            <w:pPr>
              <w:pStyle w:val="10"/>
              <w:spacing w:before="2"/>
              <w:rPr>
                <w:b/>
                <w:sz w:val="32"/>
              </w:rPr>
            </w:pPr>
          </w:p>
          <w:p>
            <w:pPr>
              <w:pStyle w:val="10"/>
              <w:spacing w:line="254" w:lineRule="auto"/>
              <w:ind w:left="157" w:right="145"/>
              <w:jc w:val="center"/>
              <w:rPr>
                <w:sz w:val="24"/>
              </w:rPr>
            </w:pPr>
          </w:p>
        </w:tc>
        <w:tc>
          <w:tcPr>
            <w:tcW w:w="4539" w:type="dxa"/>
          </w:tcPr>
          <w:p>
            <w:pPr>
              <w:pStyle w:val="10"/>
              <w:rPr>
                <w:b/>
                <w:sz w:val="24"/>
              </w:rPr>
            </w:pPr>
          </w:p>
          <w:p>
            <w:pPr>
              <w:pStyle w:val="10"/>
              <w:spacing w:before="12"/>
              <w:rPr>
                <w:b/>
                <w:sz w:val="17"/>
              </w:rPr>
            </w:pPr>
          </w:p>
          <w:p>
            <w:pPr>
              <w:pStyle w:val="10"/>
              <w:tabs>
                <w:tab w:val="left" w:pos="4067"/>
              </w:tabs>
              <w:spacing w:before="19"/>
              <w:ind w:left="107"/>
              <w:rPr>
                <w:sz w:val="24"/>
              </w:rPr>
            </w:pPr>
            <w:r>
              <w:rPr>
                <w:sz w:val="24"/>
              </w:rPr>
              <w:t xml:space="preserve"> </w:t>
            </w:r>
          </w:p>
        </w:tc>
        <w:tc>
          <w:tcPr>
            <w:tcW w:w="423"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4"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2"/>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5" w:right="-58"/>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07"/>
              <w:rPr>
                <w:sz w:val="24"/>
              </w:rPr>
            </w:pPr>
            <w:r>
              <w:rPr>
                <w:sz w:val="24"/>
              </w:rPr>
              <w:t xml:space="preserve"> </w:t>
            </w:r>
          </w:p>
        </w:tc>
        <w:tc>
          <w:tcPr>
            <w:tcW w:w="426"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103" w:right="-58"/>
              <w:rPr>
                <w:sz w:val="24"/>
              </w:rPr>
            </w:pPr>
            <w:r>
              <w:rPr>
                <w:sz w:val="24"/>
              </w:rPr>
              <w:t xml:space="preserve"> </w:t>
            </w:r>
          </w:p>
        </w:tc>
        <w:tc>
          <w:tcPr>
            <w:tcW w:w="428" w:type="dxa"/>
          </w:tcPr>
          <w:p>
            <w:pPr>
              <w:pStyle w:val="10"/>
              <w:rPr>
                <w:b/>
                <w:sz w:val="24"/>
              </w:rPr>
            </w:pPr>
          </w:p>
          <w:p>
            <w:pPr>
              <w:pStyle w:val="10"/>
              <w:rPr>
                <w:b/>
                <w:sz w:val="24"/>
              </w:rPr>
            </w:pPr>
          </w:p>
          <w:p>
            <w:pPr>
              <w:pStyle w:val="10"/>
              <w:rPr>
                <w:b/>
                <w:sz w:val="24"/>
              </w:rPr>
            </w:pPr>
          </w:p>
          <w:p>
            <w:pPr>
              <w:pStyle w:val="10"/>
              <w:rPr>
                <w:b/>
                <w:sz w:val="24"/>
              </w:rPr>
            </w:pPr>
          </w:p>
          <w:p>
            <w:pPr>
              <w:pStyle w:val="10"/>
              <w:spacing w:before="2"/>
              <w:rPr>
                <w:b/>
              </w:rPr>
            </w:pPr>
          </w:p>
          <w:p>
            <w:pPr>
              <w:pStyle w:val="10"/>
              <w:spacing w:before="1"/>
              <w:ind w:left="210"/>
              <w:rPr>
                <w:sz w:val="24"/>
              </w:rPr>
            </w:pPr>
            <w:r>
              <w:rPr>
                <w:sz w:val="24"/>
              </w:rPr>
              <w:t xml:space="preserve"> </w:t>
            </w:r>
          </w:p>
        </w:tc>
      </w:tr>
    </w:tbl>
    <w:p/>
    <w:p/>
    <w:p/>
    <w:p/>
    <w:p/>
    <w:p/>
    <w:p/>
    <w:p/>
    <w:tbl>
      <w:tblPr>
        <w:tblStyle w:val="6"/>
        <w:tblW w:w="219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10"/>
              <w:rPr>
                <w:rFonts w:ascii="黑体" w:eastAsia="黑体"/>
                <w:sz w:val="24"/>
              </w:rPr>
            </w:pPr>
            <w:r>
              <w:rPr>
                <w:rFonts w:hint="eastAsia" w:ascii="黑体" w:eastAsia="黑体"/>
                <w:sz w:val="24"/>
              </w:rPr>
              <w:t>序号</w:t>
            </w:r>
          </w:p>
        </w:tc>
        <w:tc>
          <w:tcPr>
            <w:tcW w:w="574" w:type="dxa"/>
            <w:vMerge w:val="restart"/>
            <w:shd w:val="clear" w:color="auto" w:fill="D9D9D9"/>
          </w:tcPr>
          <w:p>
            <w:pPr>
              <w:pStyle w:val="10"/>
              <w:rPr>
                <w:b/>
                <w:sz w:val="24"/>
              </w:rPr>
            </w:pPr>
          </w:p>
          <w:p>
            <w:pPr>
              <w:pStyle w:val="10"/>
              <w:spacing w:before="8"/>
              <w:rPr>
                <w:b/>
                <w:sz w:val="30"/>
              </w:rPr>
            </w:pPr>
          </w:p>
          <w:p>
            <w:pPr>
              <w:pStyle w:val="10"/>
              <w:spacing w:line="254" w:lineRule="auto"/>
              <w:ind w:left="167" w:right="154"/>
              <w:jc w:val="both"/>
              <w:rPr>
                <w:rFonts w:ascii="黑体" w:eastAsia="黑体"/>
                <w:sz w:val="24"/>
              </w:rPr>
            </w:pPr>
            <w:r>
              <w:rPr>
                <w:rFonts w:hint="eastAsia" w:ascii="黑体" w:eastAsia="黑体"/>
                <w:sz w:val="24"/>
              </w:rPr>
              <w:t>一级事项</w:t>
            </w:r>
          </w:p>
        </w:tc>
        <w:tc>
          <w:tcPr>
            <w:tcW w:w="169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604" w:right="602"/>
              <w:jc w:val="center"/>
              <w:rPr>
                <w:rFonts w:ascii="黑体" w:eastAsia="黑体"/>
                <w:sz w:val="24"/>
              </w:rPr>
            </w:pPr>
            <w:r>
              <w:rPr>
                <w:rFonts w:hint="eastAsia" w:ascii="黑体" w:eastAsia="黑体"/>
                <w:sz w:val="24"/>
              </w:rPr>
              <w:t>二级事项</w:t>
            </w:r>
          </w:p>
        </w:tc>
        <w:tc>
          <w:tcPr>
            <w:tcW w:w="4389"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ind w:left="1693" w:right="1686"/>
              <w:jc w:val="center"/>
              <w:rPr>
                <w:rFonts w:ascii="黑体" w:eastAsia="黑体"/>
                <w:sz w:val="24"/>
              </w:rPr>
            </w:pPr>
            <w:r>
              <w:rPr>
                <w:rFonts w:hint="eastAsia" w:ascii="黑体" w:eastAsia="黑体"/>
                <w:sz w:val="24"/>
              </w:rPr>
              <w:t>公开内容</w:t>
            </w:r>
          </w:p>
          <w:p>
            <w:pPr>
              <w:pStyle w:val="10"/>
              <w:spacing w:before="19"/>
              <w:ind w:left="1693" w:right="1686"/>
              <w:jc w:val="center"/>
              <w:rPr>
                <w:rFonts w:ascii="黑体" w:eastAsia="黑体"/>
                <w:sz w:val="24"/>
              </w:rPr>
            </w:pPr>
            <w:r>
              <w:rPr>
                <w:rFonts w:hint="eastAsia" w:ascii="黑体" w:eastAsia="黑体"/>
                <w:sz w:val="24"/>
              </w:rPr>
              <w:t>（要素）</w:t>
            </w:r>
          </w:p>
        </w:tc>
        <w:tc>
          <w:tcPr>
            <w:tcW w:w="4968"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985" w:right="1973"/>
              <w:jc w:val="center"/>
              <w:rPr>
                <w:rFonts w:ascii="黑体" w:eastAsia="黑体"/>
                <w:sz w:val="24"/>
              </w:rPr>
            </w:pPr>
            <w:r>
              <w:rPr>
                <w:rFonts w:hint="eastAsia" w:ascii="黑体" w:eastAsia="黑体"/>
                <w:sz w:val="24"/>
              </w:rPr>
              <w:t>公开依据</w:t>
            </w:r>
          </w:p>
        </w:tc>
        <w:tc>
          <w:tcPr>
            <w:tcW w:w="1274"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2" w:right="389"/>
              <w:rPr>
                <w:rFonts w:ascii="黑体" w:eastAsia="黑体"/>
                <w:sz w:val="24"/>
              </w:rPr>
            </w:pPr>
            <w:r>
              <w:rPr>
                <w:rFonts w:hint="eastAsia" w:ascii="黑体" w:eastAsia="黑体"/>
                <w:sz w:val="24"/>
              </w:rPr>
              <w:t>公开时限</w:t>
            </w:r>
          </w:p>
        </w:tc>
        <w:tc>
          <w:tcPr>
            <w:tcW w:w="1275" w:type="dxa"/>
            <w:vMerge w:val="restart"/>
            <w:shd w:val="clear" w:color="auto" w:fill="D9D9D9"/>
          </w:tcPr>
          <w:p>
            <w:pPr>
              <w:pStyle w:val="10"/>
              <w:rPr>
                <w:b/>
                <w:sz w:val="24"/>
              </w:rPr>
            </w:pPr>
          </w:p>
          <w:p>
            <w:pPr>
              <w:pStyle w:val="10"/>
              <w:rPr>
                <w:b/>
                <w:sz w:val="24"/>
              </w:rPr>
            </w:pPr>
          </w:p>
          <w:p>
            <w:pPr>
              <w:pStyle w:val="10"/>
              <w:spacing w:before="12"/>
              <w:rPr>
                <w:b/>
                <w:sz w:val="31"/>
              </w:rPr>
            </w:pPr>
          </w:p>
          <w:p>
            <w:pPr>
              <w:pStyle w:val="10"/>
              <w:spacing w:line="254" w:lineRule="auto"/>
              <w:ind w:left="397" w:right="385"/>
              <w:rPr>
                <w:rFonts w:ascii="黑体" w:eastAsia="黑体"/>
                <w:sz w:val="24"/>
              </w:rPr>
            </w:pPr>
            <w:r>
              <w:rPr>
                <w:rFonts w:hint="eastAsia" w:ascii="黑体" w:eastAsia="黑体"/>
                <w:sz w:val="24"/>
              </w:rPr>
              <w:t>公开主体</w:t>
            </w:r>
          </w:p>
        </w:tc>
        <w:tc>
          <w:tcPr>
            <w:tcW w:w="4539" w:type="dxa"/>
            <w:vMerge w:val="restart"/>
            <w:shd w:val="clear" w:color="auto" w:fill="D9D9D9"/>
          </w:tcPr>
          <w:p>
            <w:pPr>
              <w:pStyle w:val="10"/>
              <w:rPr>
                <w:b/>
                <w:sz w:val="24"/>
              </w:rPr>
            </w:pPr>
          </w:p>
          <w:p>
            <w:pPr>
              <w:pStyle w:val="10"/>
              <w:rPr>
                <w:b/>
                <w:sz w:val="24"/>
              </w:rPr>
            </w:pPr>
          </w:p>
          <w:p>
            <w:pPr>
              <w:pStyle w:val="10"/>
              <w:rPr>
                <w:b/>
                <w:sz w:val="24"/>
              </w:rPr>
            </w:pPr>
          </w:p>
          <w:p>
            <w:pPr>
              <w:pStyle w:val="10"/>
              <w:spacing w:before="9"/>
              <w:rPr>
                <w:b/>
                <w:sz w:val="20"/>
              </w:rPr>
            </w:pPr>
          </w:p>
          <w:p>
            <w:pPr>
              <w:pStyle w:val="10"/>
              <w:ind w:left="1427"/>
              <w:rPr>
                <w:rFonts w:ascii="黑体" w:eastAsia="黑体"/>
                <w:sz w:val="24"/>
              </w:rPr>
            </w:pPr>
            <w:r>
              <w:rPr>
                <w:rFonts w:hint="eastAsia" w:ascii="黑体" w:eastAsia="黑体"/>
                <w:sz w:val="24"/>
              </w:rPr>
              <w:t>公开渠道和载体</w:t>
            </w:r>
          </w:p>
        </w:tc>
        <w:tc>
          <w:tcPr>
            <w:tcW w:w="851" w:type="dxa"/>
            <w:gridSpan w:val="2"/>
            <w:shd w:val="clear" w:color="auto" w:fill="D9D9D9"/>
          </w:tcPr>
          <w:p>
            <w:pPr>
              <w:pStyle w:val="10"/>
              <w:spacing w:before="206" w:line="254" w:lineRule="auto"/>
              <w:ind w:left="181" w:right="177"/>
              <w:rPr>
                <w:rFonts w:ascii="黑体" w:eastAsia="黑体"/>
                <w:sz w:val="24"/>
              </w:rPr>
            </w:pPr>
            <w:r>
              <w:rPr>
                <w:rFonts w:hint="eastAsia" w:ascii="黑体" w:eastAsia="黑体"/>
                <w:sz w:val="24"/>
              </w:rPr>
              <w:t>公开对象</w:t>
            </w:r>
          </w:p>
        </w:tc>
        <w:tc>
          <w:tcPr>
            <w:tcW w:w="852" w:type="dxa"/>
            <w:gridSpan w:val="2"/>
            <w:shd w:val="clear" w:color="auto" w:fill="D9D9D9"/>
          </w:tcPr>
          <w:p>
            <w:pPr>
              <w:pStyle w:val="10"/>
              <w:spacing w:before="206" w:line="254" w:lineRule="auto"/>
              <w:ind w:left="182" w:right="177"/>
              <w:rPr>
                <w:rFonts w:ascii="黑体" w:eastAsia="黑体"/>
                <w:sz w:val="24"/>
              </w:rPr>
            </w:pPr>
            <w:r>
              <w:rPr>
                <w:rFonts w:hint="eastAsia" w:ascii="黑体" w:eastAsia="黑体"/>
                <w:sz w:val="24"/>
              </w:rPr>
              <w:t>公开方式</w:t>
            </w:r>
          </w:p>
        </w:tc>
        <w:tc>
          <w:tcPr>
            <w:tcW w:w="854" w:type="dxa"/>
            <w:gridSpan w:val="2"/>
            <w:shd w:val="clear" w:color="auto" w:fill="D9D9D9"/>
          </w:tcPr>
          <w:p>
            <w:pPr>
              <w:pStyle w:val="10"/>
              <w:spacing w:before="206" w:line="254" w:lineRule="auto"/>
              <w:ind w:left="180" w:right="181"/>
              <w:rPr>
                <w:rFonts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10"/>
              <w:spacing w:before="2"/>
              <w:rPr>
                <w:b/>
                <w:sz w:val="26"/>
              </w:rPr>
            </w:pPr>
          </w:p>
          <w:p>
            <w:pPr>
              <w:pStyle w:val="10"/>
              <w:spacing w:line="254" w:lineRule="auto"/>
              <w:ind w:left="104" w:right="66"/>
              <w:jc w:val="both"/>
              <w:rPr>
                <w:rFonts w:ascii="黑体" w:eastAsia="黑体"/>
                <w:sz w:val="24"/>
              </w:rPr>
            </w:pPr>
            <w:r>
              <w:rPr>
                <w:rFonts w:hint="eastAsia" w:ascii="黑体" w:eastAsia="黑体"/>
                <w:sz w:val="24"/>
              </w:rPr>
              <w:t>全社会</w:t>
            </w:r>
          </w:p>
        </w:tc>
        <w:tc>
          <w:tcPr>
            <w:tcW w:w="428" w:type="dxa"/>
            <w:shd w:val="clear" w:color="auto" w:fill="D9D9D9"/>
          </w:tcPr>
          <w:p>
            <w:pPr>
              <w:pStyle w:val="10"/>
              <w:spacing w:before="172" w:line="254" w:lineRule="auto"/>
              <w:ind w:left="106" w:right="69"/>
              <w:jc w:val="both"/>
              <w:rPr>
                <w:rFonts w:ascii="黑体" w:eastAsia="黑体"/>
                <w:sz w:val="24"/>
              </w:rPr>
            </w:pPr>
            <w:r>
              <w:rPr>
                <w:rFonts w:hint="eastAsia" w:ascii="黑体" w:eastAsia="黑体"/>
                <w:sz w:val="24"/>
              </w:rPr>
              <w:t>特定群体</w:t>
            </w:r>
          </w:p>
        </w:tc>
        <w:tc>
          <w:tcPr>
            <w:tcW w:w="426" w:type="dxa"/>
            <w:shd w:val="clear" w:color="auto" w:fill="D9D9D9"/>
          </w:tcPr>
          <w:p>
            <w:pPr>
              <w:pStyle w:val="10"/>
              <w:rPr>
                <w:b/>
                <w:sz w:val="24"/>
              </w:rPr>
            </w:pPr>
          </w:p>
          <w:p>
            <w:pPr>
              <w:pStyle w:val="10"/>
              <w:spacing w:before="191" w:line="254" w:lineRule="auto"/>
              <w:ind w:left="105" w:right="68"/>
              <w:rPr>
                <w:rFonts w:ascii="黑体" w:eastAsia="黑体"/>
                <w:sz w:val="24"/>
              </w:rPr>
            </w:pPr>
            <w:r>
              <w:rPr>
                <w:rFonts w:hint="eastAsia" w:ascii="黑体" w:eastAsia="黑体"/>
                <w:sz w:val="24"/>
              </w:rPr>
              <w:t>主动</w:t>
            </w:r>
          </w:p>
        </w:tc>
        <w:tc>
          <w:tcPr>
            <w:tcW w:w="426" w:type="dxa"/>
            <w:shd w:val="clear" w:color="auto" w:fill="D9D9D9"/>
          </w:tcPr>
          <w:p>
            <w:pPr>
              <w:pStyle w:val="10"/>
              <w:spacing w:before="2"/>
              <w:rPr>
                <w:b/>
                <w:sz w:val="26"/>
              </w:rPr>
            </w:pPr>
          </w:p>
          <w:p>
            <w:pPr>
              <w:pStyle w:val="10"/>
              <w:spacing w:line="254" w:lineRule="auto"/>
              <w:ind w:left="104" w:right="69"/>
              <w:jc w:val="both"/>
              <w:rPr>
                <w:rFonts w:ascii="黑体" w:eastAsia="黑体"/>
                <w:sz w:val="24"/>
              </w:rPr>
            </w:pPr>
            <w:r>
              <w:rPr>
                <w:rFonts w:hint="eastAsia" w:ascii="黑体" w:eastAsia="黑体"/>
                <w:sz w:val="24"/>
              </w:rPr>
              <w:t>依申请</w:t>
            </w:r>
          </w:p>
        </w:tc>
        <w:tc>
          <w:tcPr>
            <w:tcW w:w="426" w:type="dxa"/>
            <w:shd w:val="clear" w:color="auto" w:fill="D9D9D9"/>
          </w:tcPr>
          <w:p>
            <w:pPr>
              <w:pStyle w:val="10"/>
              <w:rPr>
                <w:b/>
                <w:sz w:val="24"/>
              </w:rPr>
            </w:pPr>
          </w:p>
          <w:p>
            <w:pPr>
              <w:pStyle w:val="10"/>
              <w:spacing w:before="191" w:line="254" w:lineRule="auto"/>
              <w:ind w:left="103" w:right="70"/>
              <w:rPr>
                <w:rFonts w:ascii="黑体" w:eastAsia="黑体"/>
                <w:sz w:val="24"/>
              </w:rPr>
            </w:pPr>
            <w:r>
              <w:rPr>
                <w:rFonts w:hint="eastAsia" w:ascii="黑体" w:eastAsia="黑体"/>
                <w:sz w:val="24"/>
              </w:rPr>
              <w:t>县级</w:t>
            </w:r>
          </w:p>
        </w:tc>
        <w:tc>
          <w:tcPr>
            <w:tcW w:w="428" w:type="dxa"/>
            <w:shd w:val="clear" w:color="auto" w:fill="D9D9D9"/>
          </w:tcPr>
          <w:p>
            <w:pPr>
              <w:pStyle w:val="10"/>
              <w:rPr>
                <w:b/>
                <w:sz w:val="24"/>
              </w:rPr>
            </w:pPr>
          </w:p>
          <w:p>
            <w:pPr>
              <w:pStyle w:val="10"/>
              <w:spacing w:before="191" w:line="254" w:lineRule="auto"/>
              <w:ind w:left="104" w:right="71"/>
              <w:rPr>
                <w:rFonts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lang w:val="en-US"/>
              </w:rPr>
            </w:pPr>
          </w:p>
          <w:p>
            <w:pPr>
              <w:pStyle w:val="10"/>
              <w:rPr>
                <w:b/>
                <w:sz w:val="24"/>
              </w:rPr>
            </w:pPr>
          </w:p>
          <w:p>
            <w:pPr>
              <w:pStyle w:val="10"/>
              <w:spacing w:before="12"/>
              <w:rPr>
                <w:b/>
                <w:sz w:val="19"/>
              </w:rPr>
            </w:pPr>
          </w:p>
          <w:p>
            <w:pPr>
              <w:pStyle w:val="10"/>
              <w:ind w:left="110" w:right="-29"/>
              <w:rPr>
                <w:sz w:val="24"/>
              </w:rPr>
            </w:pPr>
            <w:r>
              <w:rPr>
                <w:rFonts w:hint="eastAsia"/>
                <w:sz w:val="24"/>
              </w:rPr>
              <w:t>0801</w:t>
            </w:r>
          </w:p>
        </w:tc>
        <w:tc>
          <w:tcPr>
            <w:tcW w:w="574" w:type="dxa"/>
            <w:vMerge w:val="restart"/>
          </w:tcPr>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pStyle w:val="10"/>
              <w:spacing w:before="12"/>
              <w:rPr>
                <w:b/>
                <w:sz w:val="26"/>
              </w:rPr>
            </w:pPr>
          </w:p>
          <w:p>
            <w:pPr>
              <w:pStyle w:val="10"/>
              <w:spacing w:line="254" w:lineRule="auto"/>
              <w:ind w:left="167" w:right="34"/>
              <w:rPr>
                <w:sz w:val="24"/>
              </w:rPr>
            </w:pPr>
            <w:r>
              <w:rPr>
                <w:sz w:val="24"/>
              </w:rPr>
              <w:t>0</w:t>
            </w:r>
            <w:r>
              <w:rPr>
                <w:rFonts w:hint="eastAsia"/>
                <w:sz w:val="24"/>
                <w:lang w:val="en-US"/>
              </w:rPr>
              <w:t>8</w:t>
            </w:r>
            <w:r>
              <w:rPr>
                <w:sz w:val="24"/>
              </w:rPr>
              <w:t xml:space="preserve"> </w:t>
            </w:r>
            <w:r>
              <w:t>行 政 检 查 类 事 项</w:t>
            </w:r>
            <w:r>
              <w:rPr>
                <w:sz w:val="24"/>
              </w:rPr>
              <w:t xml:space="preserve"> </w:t>
            </w:r>
          </w:p>
        </w:tc>
        <w:tc>
          <w:tcPr>
            <w:tcW w:w="1699" w:type="dxa"/>
            <w:vMerge w:val="restart"/>
          </w:tcPr>
          <w:p>
            <w:pPr>
              <w:pStyle w:val="10"/>
              <w:rPr>
                <w:b/>
                <w:sz w:val="24"/>
              </w:rPr>
            </w:pPr>
          </w:p>
          <w:p>
            <w:pPr>
              <w:pStyle w:val="10"/>
              <w:rPr>
                <w:b/>
                <w:sz w:val="24"/>
              </w:rPr>
            </w:pPr>
          </w:p>
          <w:p>
            <w:pPr>
              <w:pStyle w:val="10"/>
              <w:rPr>
                <w:b/>
                <w:sz w:val="24"/>
              </w:rPr>
            </w:pPr>
          </w:p>
          <w:p>
            <w:pPr>
              <w:pStyle w:val="10"/>
              <w:rPr>
                <w:b/>
                <w:sz w:val="24"/>
              </w:rPr>
            </w:pPr>
          </w:p>
          <w:p>
            <w:pPr>
              <w:spacing w:line="400" w:lineRule="exact"/>
              <w:ind w:right="240"/>
              <w:rPr>
                <w:sz w:val="24"/>
              </w:rPr>
            </w:pPr>
            <w:r>
              <w:rPr>
                <w:rFonts w:hint="eastAsia"/>
                <w:sz w:val="24"/>
              </w:rPr>
              <w:t>对本行政区域内医疗机构的行政监督检查</w:t>
            </w:r>
          </w:p>
          <w:p>
            <w:pPr>
              <w:pStyle w:val="10"/>
              <w:spacing w:before="201" w:line="254" w:lineRule="auto"/>
              <w:ind w:left="124" w:right="122"/>
              <w:jc w:val="center"/>
              <w:rPr>
                <w:sz w:val="24"/>
              </w:rPr>
            </w:pPr>
          </w:p>
        </w:tc>
        <w:tc>
          <w:tcPr>
            <w:tcW w:w="4389" w:type="dxa"/>
          </w:tcPr>
          <w:p>
            <w:pPr>
              <w:pStyle w:val="10"/>
              <w:spacing w:before="4"/>
              <w:rPr>
                <w:b/>
                <w:sz w:val="24"/>
              </w:rPr>
            </w:pPr>
          </w:p>
          <w:p>
            <w:pPr>
              <w:pStyle w:val="10"/>
              <w:ind w:left="102"/>
              <w:rPr>
                <w:sz w:val="24"/>
              </w:rPr>
            </w:pPr>
            <w:r>
              <w:rPr>
                <w:sz w:val="24"/>
              </w:rPr>
              <w:t xml:space="preserve">法律法规和政策文件 </w:t>
            </w:r>
          </w:p>
        </w:tc>
        <w:tc>
          <w:tcPr>
            <w:tcW w:w="4968"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jc w:val="center"/>
              <w:rPr>
                <w:rFonts w:cs="黑体"/>
                <w:sz w:val="24"/>
              </w:rPr>
            </w:pPr>
            <w:r>
              <w:rPr>
                <w:rFonts w:hint="eastAsia"/>
                <w:color w:val="000000"/>
                <w:sz w:val="24"/>
              </w:rPr>
              <w:t>《黑龙江省医疗机构管理办法》(黑龙江省人民政府令(第7号) )</w:t>
            </w:r>
          </w:p>
          <w:p>
            <w:pPr>
              <w:pStyle w:val="10"/>
              <w:spacing w:before="1" w:line="254" w:lineRule="auto"/>
              <w:ind w:left="111" w:right="284"/>
              <w:jc w:val="center"/>
              <w:rPr>
                <w:sz w:val="24"/>
              </w:rPr>
            </w:pPr>
          </w:p>
        </w:tc>
        <w:tc>
          <w:tcPr>
            <w:tcW w:w="1274"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10"/>
              <w:jc w:val="center"/>
              <w:rPr>
                <w:b/>
                <w:sz w:val="17"/>
              </w:rPr>
            </w:pPr>
          </w:p>
          <w:p>
            <w:pPr>
              <w:pStyle w:val="10"/>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日内予以公开</w:t>
            </w:r>
          </w:p>
          <w:p>
            <w:pPr>
              <w:pStyle w:val="10"/>
              <w:jc w:val="center"/>
              <w:rPr>
                <w:b/>
                <w:sz w:val="24"/>
              </w:rPr>
            </w:pPr>
          </w:p>
          <w:p>
            <w:pPr>
              <w:pStyle w:val="10"/>
              <w:spacing w:before="9"/>
              <w:jc w:val="center"/>
              <w:rPr>
                <w:b/>
                <w:sz w:val="30"/>
              </w:rPr>
            </w:pPr>
          </w:p>
          <w:p>
            <w:pPr>
              <w:pStyle w:val="10"/>
              <w:spacing w:line="254" w:lineRule="auto"/>
              <w:ind w:left="152" w:right="149"/>
              <w:jc w:val="center"/>
              <w:rPr>
                <w:sz w:val="24"/>
              </w:rPr>
            </w:pPr>
          </w:p>
        </w:tc>
        <w:tc>
          <w:tcPr>
            <w:tcW w:w="1275"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4"/>
              <w:jc w:val="center"/>
              <w:rPr>
                <w:b/>
                <w:sz w:val="19"/>
              </w:rPr>
            </w:pPr>
          </w:p>
          <w:p>
            <w:pPr>
              <w:pStyle w:val="10"/>
              <w:spacing w:line="254" w:lineRule="auto"/>
              <w:ind w:left="157" w:right="145"/>
              <w:jc w:val="center"/>
              <w:rPr>
                <w:rFonts w:hint="eastAsia"/>
                <w:sz w:val="24"/>
                <w:lang w:val="en-US" w:eastAsia="zh-CN"/>
              </w:rPr>
            </w:pPr>
            <w:r>
              <w:rPr>
                <w:rFonts w:hint="eastAsia"/>
                <w:sz w:val="24"/>
                <w:lang w:val="en-US" w:eastAsia="zh-CN"/>
              </w:rPr>
              <w:t>四方台区</w:t>
            </w:r>
            <w:r>
              <w:rPr>
                <w:sz w:val="24"/>
              </w:rPr>
              <w:t>卫生健康</w:t>
            </w:r>
            <w:r>
              <w:rPr>
                <w:rFonts w:hint="eastAsia"/>
                <w:sz w:val="24"/>
                <w:lang w:val="en-US" w:eastAsia="zh-CN"/>
              </w:rPr>
              <w:t>局</w:t>
            </w:r>
          </w:p>
          <w:p>
            <w:pPr>
              <w:pStyle w:val="10"/>
              <w:jc w:val="center"/>
              <w:rPr>
                <w:b/>
                <w:sz w:val="24"/>
              </w:rPr>
            </w:pPr>
          </w:p>
          <w:p>
            <w:pPr>
              <w:pStyle w:val="10"/>
              <w:jc w:val="center"/>
              <w:rPr>
                <w:b/>
                <w:sz w:val="24"/>
              </w:rPr>
            </w:pPr>
          </w:p>
          <w:p>
            <w:pPr>
              <w:pStyle w:val="10"/>
              <w:spacing w:before="2"/>
              <w:jc w:val="center"/>
              <w:rPr>
                <w:b/>
                <w:sz w:val="32"/>
              </w:rPr>
            </w:pPr>
          </w:p>
          <w:p>
            <w:pPr>
              <w:pStyle w:val="10"/>
              <w:spacing w:line="254" w:lineRule="auto"/>
              <w:ind w:left="157" w:right="145"/>
              <w:jc w:val="center"/>
              <w:rPr>
                <w:sz w:val="24"/>
              </w:rPr>
            </w:pPr>
          </w:p>
        </w:tc>
        <w:tc>
          <w:tcPr>
            <w:tcW w:w="4539" w:type="dxa"/>
            <w:vMerge w:val="restart"/>
            <w:vAlign w:val="center"/>
          </w:tcPr>
          <w:p>
            <w:pPr>
              <w:pStyle w:val="10"/>
              <w:jc w:val="center"/>
              <w:rPr>
                <w:b/>
                <w:sz w:val="24"/>
              </w:rPr>
            </w:pPr>
          </w:p>
          <w:p>
            <w:pPr>
              <w:pStyle w:val="10"/>
              <w:jc w:val="center"/>
              <w:rPr>
                <w:b/>
                <w:sz w:val="24"/>
              </w:rPr>
            </w:pPr>
            <w:bookmarkStart w:id="0" w:name="_GoBack"/>
            <w:bookmarkEnd w:id="0"/>
          </w:p>
          <w:p>
            <w:pPr>
              <w:pStyle w:val="10"/>
              <w:jc w:val="center"/>
              <w:rPr>
                <w:b/>
                <w:sz w:val="24"/>
              </w:rPr>
            </w:pPr>
          </w:p>
          <w:p>
            <w:pPr>
              <w:pStyle w:val="10"/>
              <w:jc w:val="center"/>
              <w:rPr>
                <w:b/>
                <w:sz w:val="24"/>
              </w:rPr>
            </w:pPr>
          </w:p>
          <w:p>
            <w:pPr>
              <w:pStyle w:val="10"/>
              <w:spacing w:before="1"/>
              <w:jc w:val="center"/>
              <w:rPr>
                <w:b/>
                <w:sz w:val="29"/>
              </w:rPr>
            </w:pPr>
          </w:p>
          <w:p>
            <w:pPr>
              <w:pStyle w:val="10"/>
              <w:ind w:left="107" w:right="-29"/>
              <w:jc w:val="center"/>
              <w:rPr>
                <w:sz w:val="24"/>
              </w:rPr>
            </w:pPr>
            <w:r>
              <w:rPr>
                <w:sz w:val="24"/>
              </w:rPr>
              <w:t>■政府网站 □政府公报</w:t>
            </w:r>
          </w:p>
          <w:p>
            <w:pPr>
              <w:pStyle w:val="10"/>
              <w:spacing w:before="19"/>
              <w:ind w:left="107"/>
              <w:jc w:val="center"/>
              <w:rPr>
                <w:sz w:val="24"/>
              </w:rPr>
            </w:pPr>
            <w:r>
              <w:rPr>
                <w:sz w:val="24"/>
              </w:rPr>
              <w:t>□两微一端 □发布会/听证会</w:t>
            </w:r>
          </w:p>
          <w:p>
            <w:pPr>
              <w:pStyle w:val="10"/>
              <w:spacing w:before="19"/>
              <w:ind w:left="107" w:right="-29"/>
              <w:jc w:val="center"/>
              <w:rPr>
                <w:sz w:val="24"/>
              </w:rPr>
            </w:pPr>
            <w:r>
              <w:rPr>
                <w:sz w:val="24"/>
              </w:rPr>
              <w:t>□广播电视 □纸质媒体</w:t>
            </w:r>
          </w:p>
          <w:p>
            <w:pPr>
              <w:pStyle w:val="10"/>
              <w:spacing w:before="17"/>
              <w:ind w:left="107"/>
              <w:jc w:val="center"/>
              <w:rPr>
                <w:sz w:val="24"/>
              </w:rPr>
            </w:pPr>
            <w:r>
              <w:rPr>
                <w:sz w:val="24"/>
              </w:rPr>
              <w:t>□公开查阅点 □政务服务中心</w:t>
            </w:r>
          </w:p>
          <w:p>
            <w:pPr>
              <w:pStyle w:val="10"/>
              <w:spacing w:before="19"/>
              <w:ind w:left="107" w:right="-29"/>
              <w:jc w:val="center"/>
              <w:rPr>
                <w:sz w:val="24"/>
              </w:rPr>
            </w:pPr>
            <w:r>
              <w:rPr>
                <w:sz w:val="24"/>
              </w:rPr>
              <w:t>□便民服务站 □入户/现场</w:t>
            </w:r>
          </w:p>
          <w:p>
            <w:pPr>
              <w:pStyle w:val="10"/>
              <w:spacing w:before="19"/>
              <w:ind w:left="107" w:right="-29"/>
              <w:jc w:val="center"/>
              <w:rPr>
                <w:sz w:val="24"/>
              </w:rPr>
            </w:pPr>
            <w:r>
              <w:rPr>
                <w:sz w:val="24"/>
              </w:rPr>
              <w:t>□社区/企事业单位/村公示栏（电子屏）</w:t>
            </w:r>
          </w:p>
          <w:p>
            <w:pPr>
              <w:pStyle w:val="10"/>
              <w:tabs>
                <w:tab w:val="left" w:pos="4067"/>
              </w:tabs>
              <w:spacing w:before="19"/>
              <w:ind w:left="107"/>
              <w:jc w:val="center"/>
              <w:rPr>
                <w:sz w:val="24"/>
              </w:rPr>
            </w:pPr>
            <w:r>
              <w:rPr>
                <w:sz w:val="24"/>
              </w:rPr>
              <w:t>□精准推送        □其他</w:t>
            </w:r>
          </w:p>
          <w:p>
            <w:pPr>
              <w:pStyle w:val="10"/>
              <w:jc w:val="center"/>
              <w:rPr>
                <w:b/>
                <w:sz w:val="24"/>
              </w:rPr>
            </w:pPr>
          </w:p>
          <w:p>
            <w:pPr>
              <w:pStyle w:val="10"/>
              <w:spacing w:before="12"/>
              <w:jc w:val="center"/>
              <w:rPr>
                <w:b/>
                <w:sz w:val="17"/>
              </w:rPr>
            </w:pPr>
          </w:p>
          <w:p>
            <w:pPr>
              <w:pStyle w:val="10"/>
              <w:tabs>
                <w:tab w:val="left" w:pos="4067"/>
              </w:tabs>
              <w:spacing w:before="19"/>
              <w:ind w:left="107"/>
              <w:jc w:val="center"/>
              <w:rPr>
                <w:sz w:val="24"/>
              </w:rPr>
            </w:pPr>
          </w:p>
        </w:tc>
        <w:tc>
          <w:tcPr>
            <w:tcW w:w="423"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4"/>
              <w:jc w:val="center"/>
              <w:rPr>
                <w:b/>
                <w:sz w:val="33"/>
              </w:rPr>
            </w:pPr>
          </w:p>
          <w:p>
            <w:pPr>
              <w:pStyle w:val="10"/>
              <w:spacing w:before="1"/>
              <w:ind w:left="104" w:right="-58"/>
              <w:jc w:val="center"/>
              <w:rPr>
                <w:sz w:val="24"/>
              </w:rPr>
            </w:pPr>
            <w:r>
              <w:rPr>
                <w:sz w:val="24"/>
              </w:rPr>
              <w:t>√</w:t>
            </w: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2"/>
              <w:jc w:val="center"/>
              <w:rPr>
                <w:b/>
              </w:rPr>
            </w:pPr>
          </w:p>
          <w:p>
            <w:pPr>
              <w:pStyle w:val="10"/>
              <w:spacing w:before="1"/>
              <w:ind w:left="104" w:right="-58"/>
              <w:jc w:val="center"/>
              <w:rPr>
                <w:sz w:val="24"/>
              </w:rPr>
            </w:pPr>
          </w:p>
        </w:tc>
        <w:tc>
          <w:tcPr>
            <w:tcW w:w="428"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4"/>
              <w:jc w:val="center"/>
              <w:rPr>
                <w:b/>
                <w:sz w:val="33"/>
              </w:rPr>
            </w:pPr>
          </w:p>
          <w:p>
            <w:pPr>
              <w:pStyle w:val="10"/>
              <w:spacing w:before="1"/>
              <w:ind w:left="212"/>
              <w:jc w:val="center"/>
              <w:rPr>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2"/>
              <w:jc w:val="center"/>
              <w:rPr>
                <w:b/>
              </w:rPr>
            </w:pPr>
          </w:p>
          <w:p>
            <w:pPr>
              <w:pStyle w:val="10"/>
              <w:spacing w:before="1"/>
              <w:ind w:left="212"/>
              <w:jc w:val="center"/>
              <w:rPr>
                <w:sz w:val="24"/>
              </w:rPr>
            </w:pPr>
          </w:p>
        </w:tc>
        <w:tc>
          <w:tcPr>
            <w:tcW w:w="426"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4"/>
              <w:jc w:val="center"/>
              <w:rPr>
                <w:b/>
                <w:sz w:val="33"/>
              </w:rPr>
            </w:pPr>
          </w:p>
          <w:p>
            <w:pPr>
              <w:pStyle w:val="10"/>
              <w:spacing w:before="1"/>
              <w:ind w:left="105" w:right="-58"/>
              <w:jc w:val="center"/>
              <w:rPr>
                <w:sz w:val="24"/>
              </w:rPr>
            </w:pPr>
            <w:r>
              <w:rPr>
                <w:sz w:val="24"/>
              </w:rPr>
              <w:t>√</w:t>
            </w: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2"/>
              <w:jc w:val="center"/>
              <w:rPr>
                <w:b/>
              </w:rPr>
            </w:pPr>
          </w:p>
          <w:p>
            <w:pPr>
              <w:pStyle w:val="10"/>
              <w:spacing w:before="1"/>
              <w:ind w:left="105" w:right="-58"/>
              <w:jc w:val="center"/>
              <w:rPr>
                <w:sz w:val="24"/>
              </w:rPr>
            </w:pPr>
          </w:p>
        </w:tc>
        <w:tc>
          <w:tcPr>
            <w:tcW w:w="426"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4"/>
              <w:jc w:val="center"/>
              <w:rPr>
                <w:b/>
                <w:sz w:val="33"/>
              </w:rPr>
            </w:pPr>
          </w:p>
          <w:p>
            <w:pPr>
              <w:pStyle w:val="10"/>
              <w:spacing w:before="1"/>
              <w:ind w:left="207"/>
              <w:jc w:val="center"/>
              <w:rPr>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2"/>
              <w:jc w:val="center"/>
              <w:rPr>
                <w:b/>
              </w:rPr>
            </w:pPr>
          </w:p>
          <w:p>
            <w:pPr>
              <w:pStyle w:val="10"/>
              <w:spacing w:before="1"/>
              <w:ind w:left="207"/>
              <w:jc w:val="center"/>
              <w:rPr>
                <w:sz w:val="24"/>
              </w:rPr>
            </w:pPr>
          </w:p>
        </w:tc>
        <w:tc>
          <w:tcPr>
            <w:tcW w:w="426"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4"/>
              <w:jc w:val="center"/>
              <w:rPr>
                <w:b/>
                <w:sz w:val="33"/>
              </w:rPr>
            </w:pPr>
          </w:p>
          <w:p>
            <w:pPr>
              <w:pStyle w:val="10"/>
              <w:spacing w:before="1"/>
              <w:ind w:left="103" w:right="-58"/>
              <w:jc w:val="center"/>
              <w:rPr>
                <w:sz w:val="24"/>
              </w:rPr>
            </w:pPr>
            <w:r>
              <w:rPr>
                <w:sz w:val="24"/>
              </w:rPr>
              <w:t>√</w:t>
            </w: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2"/>
              <w:jc w:val="center"/>
              <w:rPr>
                <w:b/>
              </w:rPr>
            </w:pPr>
          </w:p>
          <w:p>
            <w:pPr>
              <w:pStyle w:val="10"/>
              <w:spacing w:before="1"/>
              <w:ind w:left="103" w:right="-58"/>
              <w:jc w:val="center"/>
              <w:rPr>
                <w:sz w:val="24"/>
              </w:rPr>
            </w:pPr>
          </w:p>
        </w:tc>
        <w:tc>
          <w:tcPr>
            <w:tcW w:w="428" w:type="dxa"/>
            <w:vMerge w:val="restart"/>
            <w:vAlign w:val="center"/>
          </w:tcPr>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4"/>
              <w:jc w:val="center"/>
              <w:rPr>
                <w:b/>
                <w:sz w:val="33"/>
              </w:rPr>
            </w:pPr>
          </w:p>
          <w:p>
            <w:pPr>
              <w:pStyle w:val="10"/>
              <w:spacing w:before="1"/>
              <w:ind w:left="210"/>
              <w:jc w:val="center"/>
              <w:rPr>
                <w:sz w:val="24"/>
              </w:rPr>
            </w:pPr>
          </w:p>
          <w:p>
            <w:pPr>
              <w:pStyle w:val="10"/>
              <w:jc w:val="center"/>
              <w:rPr>
                <w:b/>
                <w:sz w:val="24"/>
              </w:rPr>
            </w:pPr>
          </w:p>
          <w:p>
            <w:pPr>
              <w:pStyle w:val="10"/>
              <w:jc w:val="center"/>
              <w:rPr>
                <w:b/>
                <w:sz w:val="24"/>
              </w:rPr>
            </w:pPr>
          </w:p>
          <w:p>
            <w:pPr>
              <w:pStyle w:val="10"/>
              <w:jc w:val="center"/>
              <w:rPr>
                <w:b/>
                <w:sz w:val="24"/>
              </w:rPr>
            </w:pPr>
          </w:p>
          <w:p>
            <w:pPr>
              <w:pStyle w:val="10"/>
              <w:jc w:val="center"/>
              <w:rPr>
                <w:b/>
                <w:sz w:val="24"/>
              </w:rPr>
            </w:pPr>
          </w:p>
          <w:p>
            <w:pPr>
              <w:pStyle w:val="10"/>
              <w:spacing w:before="2"/>
              <w:jc w:val="center"/>
              <w:rPr>
                <w:b/>
              </w:rPr>
            </w:pPr>
          </w:p>
          <w:p>
            <w:pPr>
              <w:pStyle w:val="10"/>
              <w:spacing w:before="1"/>
              <w:ind w:left="21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4"/>
              <w:rPr>
                <w:b/>
                <w:sz w:val="18"/>
              </w:rPr>
            </w:pPr>
          </w:p>
          <w:p>
            <w:pPr>
              <w:pStyle w:val="10"/>
              <w:spacing w:line="307" w:lineRule="exact"/>
              <w:ind w:left="102"/>
              <w:rPr>
                <w:sz w:val="24"/>
              </w:rPr>
            </w:pPr>
            <w:r>
              <w:rPr>
                <w:sz w:val="24"/>
              </w:rPr>
              <w:t xml:space="preserve"> </w:t>
            </w:r>
            <w:r>
              <w:t>检查计划及方案</w:t>
            </w:r>
          </w:p>
        </w:tc>
        <w:tc>
          <w:tcPr>
            <w:tcW w:w="4968" w:type="dxa"/>
            <w:vMerge w:val="continue"/>
            <w:tcBorders>
              <w:top w:val="nil"/>
            </w:tcBorders>
          </w:tcPr>
          <w:p>
            <w:pPr>
              <w:rPr>
                <w:sz w:val="2"/>
                <w:szCs w:val="2"/>
              </w:rPr>
            </w:pPr>
          </w:p>
        </w:tc>
        <w:tc>
          <w:tcPr>
            <w:tcW w:w="1274" w:type="dxa"/>
            <w:vMerge w:val="continue"/>
            <w:tcBorders/>
          </w:tcPr>
          <w:p>
            <w:pPr>
              <w:rPr>
                <w:sz w:val="2"/>
                <w:szCs w:val="2"/>
              </w:rPr>
            </w:pPr>
          </w:p>
        </w:tc>
        <w:tc>
          <w:tcPr>
            <w:tcW w:w="1275" w:type="dxa"/>
            <w:vMerge w:val="continue"/>
            <w:tcBorders/>
          </w:tcPr>
          <w:p>
            <w:pPr>
              <w:rPr>
                <w:sz w:val="2"/>
                <w:szCs w:val="2"/>
              </w:rPr>
            </w:pPr>
          </w:p>
        </w:tc>
        <w:tc>
          <w:tcPr>
            <w:tcW w:w="4539" w:type="dxa"/>
            <w:vMerge w:val="continue"/>
            <w:tcBorders/>
          </w:tcPr>
          <w:p>
            <w:pPr>
              <w:rPr>
                <w:sz w:val="2"/>
                <w:szCs w:val="2"/>
              </w:rPr>
            </w:pPr>
          </w:p>
        </w:tc>
        <w:tc>
          <w:tcPr>
            <w:tcW w:w="423" w:type="dxa"/>
            <w:vMerge w:val="continue"/>
            <w:tcBorders/>
          </w:tcPr>
          <w:p>
            <w:pPr>
              <w:rPr>
                <w:sz w:val="2"/>
                <w:szCs w:val="2"/>
              </w:rPr>
            </w:pPr>
          </w:p>
        </w:tc>
        <w:tc>
          <w:tcPr>
            <w:tcW w:w="428" w:type="dxa"/>
            <w:vMerge w:val="continue"/>
            <w:tcBorders/>
          </w:tcPr>
          <w:p>
            <w:pPr>
              <w:rPr>
                <w:sz w:val="2"/>
                <w:szCs w:val="2"/>
              </w:rPr>
            </w:pPr>
          </w:p>
        </w:tc>
        <w:tc>
          <w:tcPr>
            <w:tcW w:w="426" w:type="dxa"/>
            <w:vMerge w:val="continue"/>
            <w:tcBorders/>
          </w:tcPr>
          <w:p>
            <w:pPr>
              <w:rPr>
                <w:sz w:val="2"/>
                <w:szCs w:val="2"/>
              </w:rPr>
            </w:pPr>
          </w:p>
        </w:tc>
        <w:tc>
          <w:tcPr>
            <w:tcW w:w="426" w:type="dxa"/>
            <w:vMerge w:val="continue"/>
            <w:tcBorders/>
          </w:tcPr>
          <w:p>
            <w:pPr>
              <w:rPr>
                <w:sz w:val="2"/>
                <w:szCs w:val="2"/>
              </w:rPr>
            </w:pPr>
          </w:p>
        </w:tc>
        <w:tc>
          <w:tcPr>
            <w:tcW w:w="426" w:type="dxa"/>
            <w:vMerge w:val="continue"/>
            <w:tcBorders/>
          </w:tcPr>
          <w:p>
            <w:pPr>
              <w:rPr>
                <w:sz w:val="2"/>
                <w:szCs w:val="2"/>
              </w:rPr>
            </w:pPr>
          </w:p>
        </w:tc>
        <w:tc>
          <w:tcPr>
            <w:tcW w:w="428" w:type="dxa"/>
            <w:vMerge w:val="continue"/>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spacing w:before="5"/>
              <w:rPr>
                <w:b/>
                <w:sz w:val="19"/>
              </w:rPr>
            </w:pPr>
          </w:p>
          <w:p>
            <w:pPr>
              <w:pStyle w:val="10"/>
              <w:spacing w:before="1" w:line="254" w:lineRule="auto"/>
              <w:ind w:left="102" w:right="73"/>
              <w:rPr>
                <w:sz w:val="24"/>
              </w:rPr>
            </w:pPr>
            <w:r>
              <w:t>检查结果及处理信息</w:t>
            </w:r>
          </w:p>
        </w:tc>
        <w:tc>
          <w:tcPr>
            <w:tcW w:w="4968" w:type="dxa"/>
            <w:vMerge w:val="continue"/>
            <w:tcBorders>
              <w:top w:val="nil"/>
            </w:tcBorders>
          </w:tcPr>
          <w:p>
            <w:pPr>
              <w:rPr>
                <w:sz w:val="2"/>
                <w:szCs w:val="2"/>
              </w:rPr>
            </w:pPr>
          </w:p>
        </w:tc>
        <w:tc>
          <w:tcPr>
            <w:tcW w:w="1274" w:type="dxa"/>
            <w:vMerge w:val="continue"/>
            <w:tcBorders/>
          </w:tcPr>
          <w:p>
            <w:pPr>
              <w:rPr>
                <w:sz w:val="2"/>
                <w:szCs w:val="2"/>
              </w:rPr>
            </w:pPr>
          </w:p>
        </w:tc>
        <w:tc>
          <w:tcPr>
            <w:tcW w:w="1275" w:type="dxa"/>
            <w:vMerge w:val="continue"/>
            <w:tcBorders/>
          </w:tcPr>
          <w:p>
            <w:pPr>
              <w:rPr>
                <w:sz w:val="2"/>
                <w:szCs w:val="2"/>
              </w:rPr>
            </w:pPr>
          </w:p>
        </w:tc>
        <w:tc>
          <w:tcPr>
            <w:tcW w:w="4539" w:type="dxa"/>
            <w:vMerge w:val="continue"/>
            <w:tcBorders/>
          </w:tcPr>
          <w:p>
            <w:pPr>
              <w:rPr>
                <w:sz w:val="2"/>
                <w:szCs w:val="2"/>
              </w:rPr>
            </w:pPr>
          </w:p>
        </w:tc>
        <w:tc>
          <w:tcPr>
            <w:tcW w:w="423" w:type="dxa"/>
            <w:vMerge w:val="continue"/>
            <w:tcBorders/>
          </w:tcPr>
          <w:p>
            <w:pPr>
              <w:rPr>
                <w:sz w:val="2"/>
                <w:szCs w:val="2"/>
              </w:rPr>
            </w:pPr>
          </w:p>
        </w:tc>
        <w:tc>
          <w:tcPr>
            <w:tcW w:w="428" w:type="dxa"/>
            <w:vMerge w:val="continue"/>
            <w:tcBorders/>
          </w:tcPr>
          <w:p>
            <w:pPr>
              <w:rPr>
                <w:sz w:val="2"/>
                <w:szCs w:val="2"/>
              </w:rPr>
            </w:pPr>
          </w:p>
        </w:tc>
        <w:tc>
          <w:tcPr>
            <w:tcW w:w="426" w:type="dxa"/>
            <w:vMerge w:val="continue"/>
            <w:tcBorders/>
          </w:tcPr>
          <w:p>
            <w:pPr>
              <w:rPr>
                <w:sz w:val="2"/>
                <w:szCs w:val="2"/>
              </w:rPr>
            </w:pPr>
          </w:p>
        </w:tc>
        <w:tc>
          <w:tcPr>
            <w:tcW w:w="426" w:type="dxa"/>
            <w:vMerge w:val="continue"/>
            <w:tcBorders/>
          </w:tcPr>
          <w:p>
            <w:pPr>
              <w:rPr>
                <w:sz w:val="2"/>
                <w:szCs w:val="2"/>
              </w:rPr>
            </w:pPr>
          </w:p>
        </w:tc>
        <w:tc>
          <w:tcPr>
            <w:tcW w:w="426" w:type="dxa"/>
            <w:vMerge w:val="continue"/>
            <w:tcBorders/>
          </w:tcPr>
          <w:p>
            <w:pPr>
              <w:rPr>
                <w:sz w:val="2"/>
                <w:szCs w:val="2"/>
              </w:rPr>
            </w:pPr>
          </w:p>
        </w:tc>
        <w:tc>
          <w:tcPr>
            <w:tcW w:w="428" w:type="dxa"/>
            <w:vMerge w:val="continue"/>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10"/>
              <w:rPr>
                <w:b/>
                <w:sz w:val="24"/>
              </w:rPr>
            </w:pPr>
          </w:p>
          <w:p>
            <w:pPr>
              <w:pStyle w:val="10"/>
              <w:rPr>
                <w:b/>
                <w:sz w:val="24"/>
              </w:rPr>
            </w:pPr>
          </w:p>
          <w:p>
            <w:pPr>
              <w:pStyle w:val="10"/>
              <w:rPr>
                <w:b/>
                <w:sz w:val="24"/>
              </w:rPr>
            </w:pPr>
          </w:p>
          <w:p>
            <w:pPr>
              <w:pStyle w:val="10"/>
              <w:spacing w:before="6"/>
              <w:rPr>
                <w:b/>
                <w:sz w:val="33"/>
              </w:rPr>
            </w:pPr>
          </w:p>
          <w:p>
            <w:pPr>
              <w:pStyle w:val="10"/>
              <w:spacing w:line="254" w:lineRule="auto"/>
              <w:ind w:left="102" w:right="195"/>
              <w:rPr>
                <w:sz w:val="24"/>
              </w:rPr>
            </w:pPr>
            <w:r>
              <w:t>投诉举报电话以及网上投诉渠道</w:t>
            </w:r>
          </w:p>
        </w:tc>
        <w:tc>
          <w:tcPr>
            <w:tcW w:w="4968" w:type="dxa"/>
            <w:vMerge w:val="continue"/>
            <w:tcBorders>
              <w:top w:val="nil"/>
            </w:tcBorders>
          </w:tcPr>
          <w:p>
            <w:pPr>
              <w:rPr>
                <w:sz w:val="2"/>
                <w:szCs w:val="2"/>
              </w:rPr>
            </w:pPr>
          </w:p>
        </w:tc>
        <w:tc>
          <w:tcPr>
            <w:tcW w:w="1274" w:type="dxa"/>
            <w:vMerge w:val="continue"/>
            <w:tcBorders/>
          </w:tcPr>
          <w:p>
            <w:pPr>
              <w:pStyle w:val="10"/>
              <w:spacing w:line="254" w:lineRule="auto"/>
              <w:ind w:left="152" w:right="149"/>
              <w:jc w:val="center"/>
              <w:rPr>
                <w:sz w:val="24"/>
              </w:rPr>
            </w:pPr>
          </w:p>
        </w:tc>
        <w:tc>
          <w:tcPr>
            <w:tcW w:w="1275" w:type="dxa"/>
            <w:vMerge w:val="continue"/>
            <w:tcBorders/>
          </w:tcPr>
          <w:p>
            <w:pPr>
              <w:pStyle w:val="10"/>
              <w:spacing w:line="254" w:lineRule="auto"/>
              <w:ind w:left="157" w:right="145"/>
              <w:jc w:val="center"/>
              <w:rPr>
                <w:sz w:val="24"/>
              </w:rPr>
            </w:pPr>
          </w:p>
        </w:tc>
        <w:tc>
          <w:tcPr>
            <w:tcW w:w="4539" w:type="dxa"/>
            <w:vMerge w:val="continue"/>
            <w:tcBorders/>
          </w:tcPr>
          <w:p>
            <w:pPr>
              <w:pStyle w:val="10"/>
              <w:tabs>
                <w:tab w:val="left" w:pos="4067"/>
              </w:tabs>
              <w:spacing w:before="19"/>
              <w:ind w:left="107"/>
              <w:rPr>
                <w:sz w:val="24"/>
              </w:rPr>
            </w:pPr>
          </w:p>
        </w:tc>
        <w:tc>
          <w:tcPr>
            <w:tcW w:w="423" w:type="dxa"/>
            <w:vMerge w:val="continue"/>
            <w:tcBorders/>
          </w:tcPr>
          <w:p>
            <w:pPr>
              <w:pStyle w:val="10"/>
              <w:spacing w:before="1"/>
              <w:ind w:left="104" w:right="-58"/>
              <w:rPr>
                <w:sz w:val="24"/>
              </w:rPr>
            </w:pPr>
          </w:p>
        </w:tc>
        <w:tc>
          <w:tcPr>
            <w:tcW w:w="428" w:type="dxa"/>
            <w:vMerge w:val="continue"/>
            <w:tcBorders/>
          </w:tcPr>
          <w:p>
            <w:pPr>
              <w:pStyle w:val="10"/>
              <w:spacing w:before="1"/>
              <w:ind w:left="212"/>
              <w:rPr>
                <w:sz w:val="24"/>
              </w:rPr>
            </w:pPr>
          </w:p>
        </w:tc>
        <w:tc>
          <w:tcPr>
            <w:tcW w:w="426" w:type="dxa"/>
            <w:vMerge w:val="continue"/>
            <w:tcBorders/>
          </w:tcPr>
          <w:p>
            <w:pPr>
              <w:pStyle w:val="10"/>
              <w:spacing w:before="1"/>
              <w:ind w:left="105" w:right="-58"/>
              <w:rPr>
                <w:sz w:val="24"/>
              </w:rPr>
            </w:pPr>
          </w:p>
        </w:tc>
        <w:tc>
          <w:tcPr>
            <w:tcW w:w="426" w:type="dxa"/>
            <w:vMerge w:val="continue"/>
            <w:tcBorders/>
          </w:tcPr>
          <w:p>
            <w:pPr>
              <w:pStyle w:val="10"/>
              <w:spacing w:before="1"/>
              <w:ind w:left="207"/>
              <w:rPr>
                <w:sz w:val="24"/>
              </w:rPr>
            </w:pPr>
          </w:p>
        </w:tc>
        <w:tc>
          <w:tcPr>
            <w:tcW w:w="426" w:type="dxa"/>
            <w:vMerge w:val="continue"/>
            <w:tcBorders/>
          </w:tcPr>
          <w:p>
            <w:pPr>
              <w:pStyle w:val="10"/>
              <w:spacing w:before="1"/>
              <w:ind w:left="103" w:right="-58"/>
              <w:rPr>
                <w:sz w:val="24"/>
              </w:rPr>
            </w:pPr>
          </w:p>
        </w:tc>
        <w:tc>
          <w:tcPr>
            <w:tcW w:w="428" w:type="dxa"/>
            <w:vMerge w:val="continue"/>
            <w:tcBorders/>
          </w:tcPr>
          <w:p>
            <w:pPr>
              <w:pStyle w:val="10"/>
              <w:spacing w:before="1"/>
              <w:ind w:left="210"/>
              <w:rPr>
                <w:sz w:val="24"/>
              </w:rPr>
            </w:pPr>
          </w:p>
        </w:tc>
      </w:tr>
    </w:tbl>
    <w:p/>
    <w:p/>
    <w:p/>
    <w:p/>
    <w:p/>
    <w:p/>
    <w:p/>
    <w:sectPr>
      <w:pgSz w:w="23820" w:h="16840" w:orient="landscape"/>
      <w:pgMar w:top="1420" w:right="800" w:bottom="1320" w:left="800" w:header="0" w:footer="11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2049" o:spid="_x0000_s2049" o:spt="202" type="#_x0000_t202" style="position:absolute;left:0pt;margin-left:583.15pt;margin-top:770.85pt;height:12pt;width:28.0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b/>
                    <w:sz w:val="18"/>
                  </w:rPr>
                </w:pPr>
                <w:r>
                  <w:fldChar w:fldCharType="begin"/>
                </w:r>
                <w:r>
                  <w:rPr>
                    <w:rFonts w:ascii="Times New Roman"/>
                    <w:b/>
                    <w:sz w:val="18"/>
                  </w:rPr>
                  <w:instrText xml:space="preserve"> PAGE </w:instrText>
                </w:r>
                <w:r>
                  <w:fldChar w:fldCharType="separate"/>
                </w:r>
                <w:r>
                  <w:rPr>
                    <w:rFonts w:ascii="Times New Roman"/>
                    <w:b/>
                    <w:sz w:val="18"/>
                  </w:rPr>
                  <w:t>58</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172A27"/>
    <w:rsid w:val="00172A27"/>
    <w:rsid w:val="00194E1F"/>
    <w:rsid w:val="001A45EB"/>
    <w:rsid w:val="001B4A21"/>
    <w:rsid w:val="001E4093"/>
    <w:rsid w:val="002B0D88"/>
    <w:rsid w:val="00490D70"/>
    <w:rsid w:val="004D6532"/>
    <w:rsid w:val="00592954"/>
    <w:rsid w:val="00617EBA"/>
    <w:rsid w:val="00644DFE"/>
    <w:rsid w:val="00664EE4"/>
    <w:rsid w:val="006662DB"/>
    <w:rsid w:val="0066757F"/>
    <w:rsid w:val="00683C76"/>
    <w:rsid w:val="006D42AF"/>
    <w:rsid w:val="00710DFB"/>
    <w:rsid w:val="00751B12"/>
    <w:rsid w:val="007711BE"/>
    <w:rsid w:val="00772CF8"/>
    <w:rsid w:val="007761B8"/>
    <w:rsid w:val="007875F7"/>
    <w:rsid w:val="007951ED"/>
    <w:rsid w:val="00802CF3"/>
    <w:rsid w:val="00841D67"/>
    <w:rsid w:val="0085215A"/>
    <w:rsid w:val="00890024"/>
    <w:rsid w:val="008D2E84"/>
    <w:rsid w:val="009219E9"/>
    <w:rsid w:val="009353CB"/>
    <w:rsid w:val="00953DC1"/>
    <w:rsid w:val="009837EF"/>
    <w:rsid w:val="00A1161C"/>
    <w:rsid w:val="00A73843"/>
    <w:rsid w:val="00A848BC"/>
    <w:rsid w:val="00A90F0B"/>
    <w:rsid w:val="00B57625"/>
    <w:rsid w:val="00D8623A"/>
    <w:rsid w:val="00DE22BA"/>
    <w:rsid w:val="00DF6455"/>
    <w:rsid w:val="00E11E5A"/>
    <w:rsid w:val="00E66EB7"/>
    <w:rsid w:val="00EF7F9C"/>
    <w:rsid w:val="00F57DA1"/>
    <w:rsid w:val="00F70C48"/>
    <w:rsid w:val="00FA19E5"/>
    <w:rsid w:val="00FD694C"/>
    <w:rsid w:val="07E8548D"/>
    <w:rsid w:val="0A744E72"/>
    <w:rsid w:val="10E8176B"/>
    <w:rsid w:val="12825BC7"/>
    <w:rsid w:val="17023F55"/>
    <w:rsid w:val="1BE476BD"/>
    <w:rsid w:val="1EF85868"/>
    <w:rsid w:val="26FB6ECE"/>
    <w:rsid w:val="297835DC"/>
    <w:rsid w:val="2C9936B8"/>
    <w:rsid w:val="34D21227"/>
    <w:rsid w:val="353E692B"/>
    <w:rsid w:val="373C0E4D"/>
    <w:rsid w:val="3B6C6678"/>
    <w:rsid w:val="40366D98"/>
    <w:rsid w:val="42356403"/>
    <w:rsid w:val="432E252D"/>
    <w:rsid w:val="44B95F92"/>
    <w:rsid w:val="4CF84467"/>
    <w:rsid w:val="4D770C05"/>
    <w:rsid w:val="52F1185C"/>
    <w:rsid w:val="53FE37AE"/>
    <w:rsid w:val="552A23FB"/>
    <w:rsid w:val="57B47049"/>
    <w:rsid w:val="5B497517"/>
    <w:rsid w:val="5C914427"/>
    <w:rsid w:val="5FDE7F3E"/>
    <w:rsid w:val="627255BC"/>
    <w:rsid w:val="64005236"/>
    <w:rsid w:val="65432466"/>
    <w:rsid w:val="6DA21325"/>
    <w:rsid w:val="6EE71614"/>
    <w:rsid w:val="6F422594"/>
    <w:rsid w:val="73EC40BE"/>
    <w:rsid w:val="75490578"/>
    <w:rsid w:val="7D461500"/>
    <w:rsid w:val="7D9C4CB7"/>
    <w:rsid w:val="7ED5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sz w:val="48"/>
      <w:szCs w:val="48"/>
    </w:rPr>
  </w:style>
  <w:style w:type="paragraph" w:styleId="3">
    <w:name w:val="footer"/>
    <w:basedOn w:val="1"/>
    <w:link w:val="13"/>
    <w:qFormat/>
    <w:uiPriority w:val="0"/>
    <w:pPr>
      <w:tabs>
        <w:tab w:val="center" w:pos="4153"/>
        <w:tab w:val="right" w:pos="8306"/>
      </w:tabs>
      <w:snapToGrid w:val="0"/>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cs="Times New Roman"/>
      <w:sz w:val="24"/>
      <w:lang w:val="en-US" w:bidi="ar-SA"/>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列出段落1"/>
    <w:basedOn w:val="1"/>
    <w:qFormat/>
    <w:uiPriority w:val="1"/>
  </w:style>
  <w:style w:type="paragraph" w:customStyle="1" w:styleId="10">
    <w:name w:val="Table Paragraph"/>
    <w:basedOn w:val="1"/>
    <w:qFormat/>
    <w:uiPriority w:val="1"/>
  </w:style>
  <w:style w:type="paragraph" w:customStyle="1" w:styleId="11">
    <w:name w:val="Default"/>
    <w:unhideWhenUsed/>
    <w:qFormat/>
    <w:uiPriority w:val="99"/>
    <w:pPr>
      <w:widowControl w:val="0"/>
      <w:autoSpaceDE w:val="0"/>
      <w:autoSpaceDN w:val="0"/>
      <w:adjustRightInd w:val="0"/>
    </w:pPr>
    <w:rPr>
      <w:rFonts w:ascii="宋体" w:hAnsi="宋体" w:eastAsia="宋体" w:cstheme="minorBidi"/>
      <w:color w:val="000000"/>
      <w:sz w:val="24"/>
      <w:lang w:val="en-US" w:eastAsia="zh-CN" w:bidi="ar-SA"/>
    </w:rPr>
  </w:style>
  <w:style w:type="character" w:customStyle="1" w:styleId="12">
    <w:name w:val="页眉 Char"/>
    <w:basedOn w:val="7"/>
    <w:link w:val="4"/>
    <w:uiPriority w:val="0"/>
    <w:rPr>
      <w:rFonts w:ascii="宋体" w:hAnsi="宋体" w:eastAsia="宋体" w:cs="宋体"/>
      <w:sz w:val="18"/>
      <w:szCs w:val="18"/>
      <w:lang w:val="zh-CN" w:bidi="zh-CN"/>
    </w:rPr>
  </w:style>
  <w:style w:type="character" w:customStyle="1" w:styleId="13">
    <w:name w:val="页脚 Char"/>
    <w:basedOn w:val="7"/>
    <w:link w:val="3"/>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7577</Words>
  <Characters>43191</Characters>
  <Lines>359</Lines>
  <Paragraphs>101</Paragraphs>
  <TotalTime>0</TotalTime>
  <ScaleCrop>false</ScaleCrop>
  <LinksUpToDate>false</LinksUpToDate>
  <CharactersWithSpaces>50667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2020-09-19T07:29:00Z</dcterms:created>
  <dc:creator>mingyan you</dc:creator>
  <cp:lastModifiedBy>成功上岸</cp:lastModifiedBy>
  <dcterms:modified xsi:type="dcterms:W3CDTF">2021-02-18T02:59:19Z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2020-09-18T00:00:00Z</vt:filetime>
  </property>
  <property fmtid="{D5CDD505-2E9C-101B-9397-08002B2CF9AE}" pid="5" name="KSOProductBuildVer">
    <vt:lpwstr>2052-11.1.0.10132</vt:lpwstr>
  </property>
</Properties>
</file>